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33976">
      <w:pP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bookmarkEnd w:id="0"/>
    <w:p w14:paraId="60C73F57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知识产权指标说明</w:t>
      </w:r>
    </w:p>
    <w:p w14:paraId="37A426A0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D7DE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一、所称“Ⅰ类知识产权”包括发明专利（含国防专利）、植物新品种、国家级农作物品种、国家新药、国家一级中药保护品种、集成电路布图设计专有权（均不包含转让未满1年的知识产权）。</w:t>
      </w:r>
    </w:p>
    <w:p w14:paraId="5B8C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二、所称“Ⅰ类高价值知识产权”须符合以下条件之一：</w:t>
      </w:r>
    </w:p>
    <w:p w14:paraId="060A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1.在海外有同族专利权的发明专利或在海外取得收入的其他Ⅰ类知识产权，其中专利限G20成员、新加坡以及欧洲专利局经实质审查后获得授权的发明专利。</w:t>
      </w:r>
    </w:p>
    <w:p w14:paraId="5927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2.维持年限超过10年的Ⅰ类知识产权。</w:t>
      </w:r>
    </w:p>
    <w:p w14:paraId="3399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3.实现较高质押融资金额的Ⅰ类知识产权。</w:t>
      </w:r>
    </w:p>
    <w:p w14:paraId="38873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4.获得国家科学技术奖或中国专利奖的Ⅰ类知识产权。</w:t>
      </w:r>
    </w:p>
    <w:p w14:paraId="7C4D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三、所称“Ⅱ类知识产权”包括与主导产品相关的软件著作权（不含商标）、授权后维持超过2年的实用新型专利或外观设计专利（均不包含转让未满1年的知识产权）。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F9D41F9"/>
    <w:rsid w:val="2BDE6BB1"/>
    <w:rsid w:val="32B36390"/>
    <w:rsid w:val="3BE8A5E5"/>
    <w:rsid w:val="3DE8BF2D"/>
    <w:rsid w:val="7FD674EE"/>
    <w:rsid w:val="E3FEF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3</TotalTime>
  <ScaleCrop>false</ScaleCrop>
  <LinksUpToDate>false</LinksUpToDate>
  <CharactersWithSpaces>356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2022-09-13T12:05:00Z</dcterms:created>
  <dc:creator>Daisy</dc:creator>
  <cp:lastModifiedBy>user</cp:lastModifiedBy>
  <dcterms:modified xsi:type="dcterms:W3CDTF">2026-06-24T10:22:53Z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3D3EBAFE1E874020870B9E40D0A5EB4D</vt:lpwstr>
  </property>
</Properties>
</file>