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bookmarkEnd w:id="0"/>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中山市板芙医院停车场委托第三方运营管理服务采购项目公开比选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中山市板芙医院现对中山市板芙医院停车场委托第三方运营管理服务采购项目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中山市板芙医院停车场委托第三方运营管理服务采购项目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6"/>
        <w:tblW w:w="4720" w:type="pct"/>
        <w:tblInd w:w="48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96"/>
        <w:gridCol w:w="1464"/>
        <w:gridCol w:w="2363"/>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2947"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785"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1267"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服务管理费率最低限价</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947"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28"/>
                <w:sz w:val="21"/>
                <w:szCs w:val="21"/>
                <w:highlight w:val="none"/>
                <w:lang w:eastAsia="zh-CN"/>
              </w:rPr>
              <w:t>中山市板芙医院停车场委托第三方运营管理服务采购项目</w:t>
            </w:r>
          </w:p>
        </w:tc>
        <w:tc>
          <w:tcPr>
            <w:tcW w:w="785"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1267"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29.75%</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28A8175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为医院门诊、住院患者、职工与公务车辆提供停放服务。</w:t>
      </w:r>
    </w:p>
    <w:p w14:paraId="6947A7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03AE5F01">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2026年9月1日至2029年8月31日（共三年）（具体自合同签订之日起三年）。</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72763829">
      <w:pPr>
        <w:pStyle w:val="8"/>
        <w:rPr>
          <w:rFonts w:hint="default"/>
          <w:lang w:val="en-US" w:eastAsia="zh-CN"/>
        </w:rPr>
      </w:pPr>
      <w:r>
        <w:rPr>
          <w:rFonts w:hint="eastAsia" w:ascii="宋体" w:hAnsi="宋体" w:cs="宋体"/>
          <w:color w:val="auto"/>
          <w:sz w:val="21"/>
          <w:szCs w:val="21"/>
          <w:highlight w:val="none"/>
          <w:lang w:val="en-US" w:eastAsia="zh-CN"/>
        </w:rPr>
        <w:t xml:space="preserve">    1.服务要求</w:t>
      </w:r>
    </w:p>
    <w:p w14:paraId="09C5B4C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1.1升级现有停车场相关设备（不限于道闸、监控、减速带、收费电脑、收费手机、收费公示牌等设备设施），视实际运行情况与院方沟通升级方案。</w:t>
      </w:r>
    </w:p>
    <w:p w14:paraId="5255785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投入停车场管理软件及收费系统,我院现有主要设备停车场控制机（JSKT6043）、车牌识别摄像机（JSPJ11108A）、道闸（JSDZ0207B）、雷达车辆检测器(JSPJ0113-FZ)、数字式车辆检测器(JSPJ1102E)等均为捷顺品牌，所投入的管理软件及收费系统需匹配我院现有设备。</w:t>
      </w:r>
    </w:p>
    <w:p w14:paraId="2EA4A06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1.3断电断网情况下，支持紧急开闸功能。</w:t>
      </w:r>
    </w:p>
    <w:p w14:paraId="429BDA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 24小时远程值守服务。</w:t>
      </w:r>
    </w:p>
    <w:p w14:paraId="146C8E4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1.5合作期间，与停车场相关的设备、设施故障维护维修所产生的费用均由承包方承担。</w:t>
      </w:r>
    </w:p>
    <w:p w14:paraId="66B816AC">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1.6每季度根据实际产生的停车扫码收入（即服务管理费基数）按比例支付医院场地服务管理费，</w:t>
      </w:r>
      <w:r>
        <w:rPr>
          <w:rFonts w:hint="eastAsia" w:ascii="宋体" w:hAnsi="宋体" w:eastAsia="宋体" w:cs="宋体"/>
          <w:b/>
          <w:bCs/>
          <w:color w:val="auto"/>
          <w:kern w:val="2"/>
          <w:sz w:val="21"/>
          <w:szCs w:val="21"/>
          <w:highlight w:val="none"/>
          <w:lang w:val="en-US" w:eastAsia="zh-CN" w:bidi="ar-SA"/>
        </w:rPr>
        <w:t>服务管理费率不得低于29.75%</w:t>
      </w:r>
      <w:r>
        <w:rPr>
          <w:rFonts w:hint="eastAsia" w:ascii="宋体" w:hAnsi="宋体" w:eastAsia="宋体" w:cs="宋体"/>
          <w:color w:val="auto"/>
          <w:kern w:val="2"/>
          <w:sz w:val="21"/>
          <w:szCs w:val="21"/>
          <w:highlight w:val="none"/>
          <w:lang w:val="en-US" w:eastAsia="zh-CN" w:bidi="ar-SA"/>
        </w:rPr>
        <w:t>，即服务管理费=服务管理费基数*服务管理费率。</w:t>
      </w:r>
    </w:p>
    <w:p w14:paraId="6C398C1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1.7根据《中山市发展和改革局关于公布中山市停车服务收费政府指导价的通告》（中发改价控〔2018〕316号）精神执行收费并备案，对</w:t>
      </w:r>
      <w:r>
        <w:rPr>
          <w:rFonts w:hint="eastAsia" w:ascii="宋体" w:hAnsi="宋体" w:eastAsia="宋体" w:cs="宋体"/>
          <w:color w:val="auto"/>
          <w:sz w:val="21"/>
          <w:szCs w:val="21"/>
          <w:highlight w:val="none"/>
          <w:lang w:val="en-US" w:eastAsia="zh-CN"/>
        </w:rPr>
        <w:t>医护人员、上级部门进行督导检查人员、就诊患者、救护车、军警消防车等实行免费停车服务，其他人员按正常收费规定执行。</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7BF47848">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w:t>
      </w:r>
      <w:r>
        <w:rPr>
          <w:rFonts w:hint="eastAsia" w:ascii="宋体" w:hAnsi="宋体" w:cs="宋体"/>
          <w:color w:val="auto"/>
          <w:sz w:val="21"/>
          <w:szCs w:val="21"/>
          <w:highlight w:val="none"/>
          <w:lang w:val="en-US" w:eastAsia="zh-CN"/>
        </w:rPr>
        <w:t>供应商根据</w:t>
      </w:r>
      <w:r>
        <w:rPr>
          <w:rFonts w:hint="eastAsia" w:ascii="宋体" w:hAnsi="宋体" w:eastAsia="宋体" w:cs="宋体"/>
          <w:color w:val="auto"/>
          <w:kern w:val="2"/>
          <w:sz w:val="21"/>
          <w:szCs w:val="21"/>
          <w:highlight w:val="none"/>
          <w:lang w:val="en-US" w:eastAsia="zh-CN" w:bidi="ar-SA"/>
        </w:rPr>
        <w:t>每季度实际产生的停车扫码收入（即服务管理费基数）形成清单资料，在季度结束后的次月15日前将相关清单资料提交给采购人并支付医院场地服务管理费。</w:t>
      </w:r>
    </w:p>
    <w:p w14:paraId="5DE9E743">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w:t>
      </w:r>
      <w:r>
        <w:rPr>
          <w:rFonts w:hint="eastAsia" w:ascii="宋体" w:hAnsi="宋体" w:cs="宋体"/>
          <w:color w:val="auto"/>
          <w:sz w:val="21"/>
          <w:szCs w:val="21"/>
          <w:highlight w:val="none"/>
          <w:lang w:val="en-US" w:eastAsia="zh-CN"/>
        </w:rPr>
        <w:t>：采购人按照服务要求对系统、设备等相关服务进行验收。</w:t>
      </w:r>
    </w:p>
    <w:p w14:paraId="530C153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供应商须根据《中山市发展和改革局关于公布中山市停车服务收费政府指导价的通告》（中发改价控〔2018〕316号）精神，按照已备案的“中山市板芙医院配套停车场机动车停放服务收费标准”进行收费。</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.保密要求：双方合作中涉及的所有业务、技术资料，均有责任对第三方保密。如其中一方擅自将涉及另一方的商业和技术秘密的资料透漏给第三方，则另一方将保留追究对方法律责任的权利。</w:t>
      </w:r>
    </w:p>
    <w:p w14:paraId="10F7592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在验收中发现服务达不到验收标准或合同及合同相关技术文件规定，供应商应及时安排更换为有相关技术培训合格证书的专业工程师继续服务，以保证服务最终达到合同或合同相关技术文件中规定的要求。更换人员的相关费用全部由供应商承担并承担由此造成的一切损失。如更换后的服务人员仍达不到验收标准或合同及合同相关技术文件规定的，采购人可终止全部或部分合同，采购人可以依其认为适当的条件和方法购买</w:t>
      </w:r>
      <w:r>
        <w:rPr>
          <w:rFonts w:hint="eastAsia" w:ascii="宋体" w:hAnsi="宋体" w:cs="宋体"/>
          <w:color w:val="auto"/>
          <w:sz w:val="21"/>
          <w:szCs w:val="21"/>
          <w:highlight w:val="none"/>
          <w:lang w:val="en-US" w:eastAsia="zh-CN"/>
        </w:rPr>
        <w:t>类似服务与</w:t>
      </w:r>
      <w:r>
        <w:rPr>
          <w:rFonts w:hint="eastAsia" w:ascii="宋体" w:hAnsi="宋体" w:eastAsia="宋体" w:cs="宋体"/>
          <w:color w:val="auto"/>
          <w:sz w:val="21"/>
          <w:szCs w:val="21"/>
          <w:highlight w:val="none"/>
          <w:lang w:val="en-US" w:eastAsia="zh-CN"/>
        </w:rPr>
        <w:t>未完成的服务，供应商应承担采购人因购买类似服务而产生的额外支出。但是，供应商应继续执行合同中未终止的部分。采购人保留法律追究的权利。</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w:t>
      </w:r>
      <w:r>
        <w:rPr>
          <w:rFonts w:hint="eastAsia" w:ascii="宋体" w:hAnsi="宋体" w:cs="宋体"/>
          <w:b/>
          <w:bCs/>
          <w:i w:val="0"/>
          <w:iCs w:val="0"/>
          <w:color w:val="auto"/>
          <w:kern w:val="0"/>
          <w:sz w:val="21"/>
          <w:szCs w:val="21"/>
          <w:highlight w:val="none"/>
          <w:u w:val="none"/>
          <w:lang w:val="en-US" w:eastAsia="zh-CN" w:bidi="ar"/>
        </w:rPr>
        <w:t>“停车场服务”</w:t>
      </w:r>
      <w:r>
        <w:rPr>
          <w:rFonts w:hint="eastAsia" w:ascii="宋体" w:hAnsi="宋体" w:cs="宋体"/>
          <w:i w:val="0"/>
          <w:iCs w:val="0"/>
          <w:color w:val="auto"/>
          <w:kern w:val="0"/>
          <w:sz w:val="21"/>
          <w:szCs w:val="21"/>
          <w:highlight w:val="none"/>
          <w:u w:val="none"/>
          <w:lang w:val="en-US" w:eastAsia="zh-CN" w:bidi="ar"/>
        </w:rPr>
        <w:t>等相关经营范围且有效的营业执照（提供证明材料复印件加盖供应商公章）。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55CA4C1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4B09CC92">
      <w:pPr>
        <w:keepNext w:val="0"/>
        <w:keepLines w:val="0"/>
        <w:pageBreakBefore w:val="0"/>
        <w:widowControl/>
        <w:numPr>
          <w:ilvl w:val="0"/>
          <w:numId w:val="0"/>
        </w:numPr>
        <w:shd w:val="clear" w:color="auto" w:fill="auto"/>
        <w:kinsoku/>
        <w:wordWrap/>
        <w:overflowPunct/>
        <w:topLinePunct w:val="0"/>
        <w:bidi w:val="0"/>
        <w:adjustRightInd/>
        <w:snapToGrid/>
        <w:spacing w:line="360" w:lineRule="exact"/>
        <w:ind w:firstLine="420" w:firstLineChars="200"/>
        <w:jc w:val="both"/>
        <w:rPr>
          <w:rFonts w:hint="eastAsia"/>
          <w:lang w:val="en-US" w:eastAsia="zh-CN"/>
        </w:rPr>
      </w:pPr>
      <w:r>
        <w:rPr>
          <w:rFonts w:hint="eastAsia" w:ascii="宋体" w:hAnsi="宋体" w:cs="宋体"/>
          <w:i w:val="0"/>
          <w:iCs w:val="0"/>
          <w:color w:val="auto"/>
          <w:kern w:val="0"/>
          <w:sz w:val="21"/>
          <w:szCs w:val="21"/>
          <w:highlight w:val="none"/>
          <w:u w:val="none"/>
          <w:lang w:val="en-US" w:eastAsia="zh-CN" w:bidi="ar"/>
        </w:rPr>
        <w:t>（七）</w:t>
      </w:r>
      <w:r>
        <w:rPr>
          <w:rFonts w:hint="eastAsia" w:ascii="宋体" w:hAnsi="宋体" w:eastAsia="宋体" w:cs="宋体"/>
          <w:color w:val="000000"/>
          <w:kern w:val="0"/>
          <w:sz w:val="21"/>
          <w:szCs w:val="20"/>
          <w:highlight w:val="none"/>
          <w:lang w:bidi="ar"/>
        </w:rPr>
        <w:t>围标、串标行为属于违法行为</w:t>
      </w:r>
      <w:r>
        <w:rPr>
          <w:rFonts w:hint="eastAsia" w:ascii="宋体" w:hAnsi="宋体" w:eastAsia="宋体" w:cs="宋体"/>
          <w:color w:val="000000"/>
          <w:kern w:val="0"/>
          <w:sz w:val="21"/>
          <w:szCs w:val="20"/>
          <w:highlight w:val="none"/>
          <w:lang w:eastAsia="zh-CN" w:bidi="ar"/>
        </w:rPr>
        <w:t>，</w:t>
      </w:r>
      <w:r>
        <w:rPr>
          <w:rFonts w:hint="eastAsia" w:ascii="宋体" w:hAnsi="宋体" w:eastAsia="宋体" w:cs="宋体"/>
          <w:color w:val="000000"/>
          <w:highlight w:val="none"/>
        </w:rPr>
        <w:t>供应商须无围标、串标行为（提供承诺书</w:t>
      </w:r>
      <w:r>
        <w:rPr>
          <w:rFonts w:hint="eastAsia" w:ascii="宋体" w:hAnsi="宋体" w:eastAsia="宋体" w:cs="宋体"/>
          <w:color w:val="000000"/>
          <w:highlight w:val="none"/>
          <w:lang w:eastAsia="zh-CN"/>
        </w:rPr>
        <w:t>）。</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10"/>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10"/>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w:t>
      </w:r>
      <w:r>
        <w:rPr>
          <w:rFonts w:hint="eastAsia" w:ascii="宋体" w:hAnsi="宋体" w:cs="宋体"/>
          <w:bCs/>
          <w:color w:val="auto"/>
          <w:sz w:val="21"/>
          <w:szCs w:val="21"/>
          <w:highlight w:val="none"/>
          <w:lang w:val="en-US" w:eastAsia="zh-CN"/>
        </w:rPr>
        <w:t>低于项目最低</w:t>
      </w:r>
      <w:bookmarkStart w:id="1" w:name="_GoBack"/>
      <w:bookmarkEnd w:id="1"/>
      <w:r>
        <w:rPr>
          <w:rFonts w:hint="eastAsia" w:ascii="宋体" w:hAnsi="宋体" w:cs="宋体"/>
          <w:bCs/>
          <w:color w:val="auto"/>
          <w:sz w:val="21"/>
          <w:szCs w:val="21"/>
          <w:highlight w:val="none"/>
          <w:lang w:val="en-US" w:eastAsia="zh-CN"/>
        </w:rPr>
        <w:t>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10"/>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10"/>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6"/>
        <w:tblW w:w="5023"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2"/>
        <w:gridCol w:w="7071"/>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9"/>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9"/>
                <w:rFonts w:hint="eastAsia" w:ascii="宋体" w:hAnsi="宋体" w:eastAsia="宋体" w:cs="宋体"/>
                <w:color w:val="333333"/>
                <w:sz w:val="21"/>
                <w:szCs w:val="21"/>
                <w:lang w:eastAsia="zh-CN"/>
              </w:rPr>
            </w:pPr>
            <w:r>
              <w:rPr>
                <w:rStyle w:val="19"/>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9"/>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价格分计算</w:t>
            </w:r>
            <w:r>
              <w:rPr>
                <w:rFonts w:hint="eastAsia" w:ascii="宋体" w:hAnsi="宋体" w:cs="宋体"/>
                <w:color w:val="auto"/>
                <w:sz w:val="21"/>
                <w:szCs w:val="21"/>
                <w:highlight w:val="none"/>
                <w:lang w:val="en-US" w:eastAsia="zh-CN"/>
              </w:rPr>
              <w:t>方式如下：</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w:t>
            </w:r>
            <w:r>
              <w:rPr>
                <w:rFonts w:hint="eastAsia" w:ascii="宋体" w:hAnsi="宋体" w:cs="宋体"/>
                <w:color w:val="auto"/>
                <w:sz w:val="21"/>
                <w:szCs w:val="21"/>
                <w:highlight w:val="none"/>
                <w:lang w:val="en-US" w:eastAsia="zh-CN"/>
              </w:rPr>
              <w:t>高</w:t>
            </w:r>
            <w:r>
              <w:rPr>
                <w:rFonts w:hint="eastAsia" w:ascii="宋体" w:hAnsi="宋体" w:eastAsia="宋体" w:cs="宋体"/>
                <w:color w:val="auto"/>
                <w:sz w:val="21"/>
                <w:szCs w:val="21"/>
                <w:highlight w:val="none"/>
              </w:rPr>
              <w:t>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0C79C6B">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共2项，本项目满分5分，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=一般条款响应程度得分（按四舍五入保留两位）。</w:t>
            </w:r>
          </w:p>
          <w:p w14:paraId="2B02AB67">
            <w:pPr>
              <w:pStyle w:val="14"/>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=一般条款响应程度得分（按四舍五入保留两位）。</w:t>
            </w:r>
          </w:p>
          <w:p w14:paraId="2576AD52">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=一般条款响应程度得分（按四舍五入保留两位）。</w:t>
            </w:r>
          </w:p>
          <w:p w14:paraId="4D53FB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4"/>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根据供应商提供的服务保障方案（包括但不限于：服务支撑能力、应急保障机制、售后服务体系等）进行评审：</w:t>
            </w:r>
          </w:p>
          <w:p w14:paraId="1724668C">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4"/>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BB6416"/>
    <w:rsid w:val="00C87466"/>
    <w:rsid w:val="0120118E"/>
    <w:rsid w:val="013C7F41"/>
    <w:rsid w:val="01B93CB3"/>
    <w:rsid w:val="020A5FE5"/>
    <w:rsid w:val="02AD51D0"/>
    <w:rsid w:val="06695AAF"/>
    <w:rsid w:val="074F28CD"/>
    <w:rsid w:val="075A0C9C"/>
    <w:rsid w:val="075D0E74"/>
    <w:rsid w:val="07742E26"/>
    <w:rsid w:val="088C3CD7"/>
    <w:rsid w:val="08B42162"/>
    <w:rsid w:val="0A552405"/>
    <w:rsid w:val="0B105E8F"/>
    <w:rsid w:val="0B425501"/>
    <w:rsid w:val="0B5A71A0"/>
    <w:rsid w:val="0DA27AF9"/>
    <w:rsid w:val="0DCC347C"/>
    <w:rsid w:val="0F411E6B"/>
    <w:rsid w:val="0F843B2A"/>
    <w:rsid w:val="10FD2C30"/>
    <w:rsid w:val="11F2677F"/>
    <w:rsid w:val="120A5047"/>
    <w:rsid w:val="14764E12"/>
    <w:rsid w:val="15A47E31"/>
    <w:rsid w:val="16AF68E3"/>
    <w:rsid w:val="173C0274"/>
    <w:rsid w:val="17AD667F"/>
    <w:rsid w:val="18F37183"/>
    <w:rsid w:val="19447D23"/>
    <w:rsid w:val="19C23FFF"/>
    <w:rsid w:val="1B52693D"/>
    <w:rsid w:val="1C1F77F3"/>
    <w:rsid w:val="1CA3450A"/>
    <w:rsid w:val="1D1A254A"/>
    <w:rsid w:val="1DAB3FD6"/>
    <w:rsid w:val="20FF1B2F"/>
    <w:rsid w:val="21316930"/>
    <w:rsid w:val="219C3D3D"/>
    <w:rsid w:val="21E441D2"/>
    <w:rsid w:val="2408770A"/>
    <w:rsid w:val="241A2687"/>
    <w:rsid w:val="243F400F"/>
    <w:rsid w:val="253202CD"/>
    <w:rsid w:val="25E80400"/>
    <w:rsid w:val="26FF2618"/>
    <w:rsid w:val="282652CF"/>
    <w:rsid w:val="2A524C38"/>
    <w:rsid w:val="2B8336DB"/>
    <w:rsid w:val="2E6A0991"/>
    <w:rsid w:val="318A2084"/>
    <w:rsid w:val="32301FF4"/>
    <w:rsid w:val="32862630"/>
    <w:rsid w:val="32E67053"/>
    <w:rsid w:val="33AD6EE0"/>
    <w:rsid w:val="33C31108"/>
    <w:rsid w:val="34D81478"/>
    <w:rsid w:val="3A822C5D"/>
    <w:rsid w:val="3AEB754D"/>
    <w:rsid w:val="3B713FFA"/>
    <w:rsid w:val="3DD70A23"/>
    <w:rsid w:val="3F0D7E20"/>
    <w:rsid w:val="410F24F8"/>
    <w:rsid w:val="41B868E9"/>
    <w:rsid w:val="429D4B61"/>
    <w:rsid w:val="4667066F"/>
    <w:rsid w:val="488A14A0"/>
    <w:rsid w:val="48B14A50"/>
    <w:rsid w:val="49326564"/>
    <w:rsid w:val="4ACD0CF8"/>
    <w:rsid w:val="4AE91161"/>
    <w:rsid w:val="4BCE02E1"/>
    <w:rsid w:val="4D964A1F"/>
    <w:rsid w:val="4F183C27"/>
    <w:rsid w:val="4FA2515B"/>
    <w:rsid w:val="51DA0BDC"/>
    <w:rsid w:val="51DE39B0"/>
    <w:rsid w:val="522F7C05"/>
    <w:rsid w:val="5289425D"/>
    <w:rsid w:val="52D05187"/>
    <w:rsid w:val="53BE1870"/>
    <w:rsid w:val="540C3F99"/>
    <w:rsid w:val="54850CFE"/>
    <w:rsid w:val="54EF0E42"/>
    <w:rsid w:val="557E41CD"/>
    <w:rsid w:val="560857B6"/>
    <w:rsid w:val="570F19E0"/>
    <w:rsid w:val="574E6989"/>
    <w:rsid w:val="57A26C6F"/>
    <w:rsid w:val="57A47613"/>
    <w:rsid w:val="5966506E"/>
    <w:rsid w:val="59761BA9"/>
    <w:rsid w:val="5B8247AD"/>
    <w:rsid w:val="5C106817"/>
    <w:rsid w:val="5DDA7107"/>
    <w:rsid w:val="5E3A6528"/>
    <w:rsid w:val="5E4647B1"/>
    <w:rsid w:val="5FA04E1F"/>
    <w:rsid w:val="5FC6594D"/>
    <w:rsid w:val="62503D99"/>
    <w:rsid w:val="631B1778"/>
    <w:rsid w:val="642705C1"/>
    <w:rsid w:val="64313601"/>
    <w:rsid w:val="65933B9B"/>
    <w:rsid w:val="674D5AB6"/>
    <w:rsid w:val="676D3727"/>
    <w:rsid w:val="67C361BD"/>
    <w:rsid w:val="67CF408D"/>
    <w:rsid w:val="69D1193E"/>
    <w:rsid w:val="6AD80A32"/>
    <w:rsid w:val="6B8E7F8D"/>
    <w:rsid w:val="70C54A6B"/>
    <w:rsid w:val="71465789"/>
    <w:rsid w:val="71B92164"/>
    <w:rsid w:val="720D0AC1"/>
    <w:rsid w:val="721D6DAF"/>
    <w:rsid w:val="728C5C5D"/>
    <w:rsid w:val="73314E5B"/>
    <w:rsid w:val="74C9421C"/>
    <w:rsid w:val="760A3CB4"/>
    <w:rsid w:val="77456506"/>
    <w:rsid w:val="795559D4"/>
    <w:rsid w:val="7B903C3A"/>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qFormat/>
    <w:uiPriority w:val="0"/>
    <w:pPr>
      <w:jc w:val="left"/>
    </w:pPr>
  </w:style>
  <w:style w:type="paragraph" w:styleId="8">
    <w:name w:val="Body Text"/>
    <w:basedOn w:val="1"/>
    <w:next w:val="1"/>
    <w:qFormat/>
    <w:uiPriority w:val="0"/>
    <w:pPr>
      <w:widowControl w:val="0"/>
      <w:jc w:val="both"/>
    </w:pPr>
    <w:rPr>
      <w:kern w:val="2"/>
      <w:sz w:val="28"/>
    </w:rPr>
  </w:style>
  <w:style w:type="paragraph" w:styleId="9">
    <w:name w:val="List 2"/>
    <w:basedOn w:val="1"/>
    <w:qFormat/>
    <w:uiPriority w:val="0"/>
    <w:pPr>
      <w:ind w:left="100" w:leftChars="200" w:hanging="200" w:hangingChars="200"/>
    </w:pPr>
  </w:style>
  <w:style w:type="paragraph" w:styleId="10">
    <w:name w:val="toc 5"/>
    <w:basedOn w:val="1"/>
    <w:next w:val="1"/>
    <w:qFormat/>
    <w:uiPriority w:val="39"/>
    <w:pPr>
      <w:widowControl w:val="0"/>
      <w:ind w:left="1680"/>
      <w:jc w:val="both"/>
    </w:pPr>
    <w:rPr>
      <w:kern w:val="2"/>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index 1"/>
    <w:basedOn w:val="1"/>
    <w:next w:val="1"/>
    <w:unhideWhenUsed/>
    <w:qFormat/>
    <w:uiPriority w:val="0"/>
  </w:style>
  <w:style w:type="paragraph" w:styleId="15">
    <w:name w:val="Title"/>
    <w:basedOn w:val="9"/>
    <w:next w:val="1"/>
    <w:qFormat/>
    <w:uiPriority w:val="0"/>
    <w:pPr>
      <w:widowControl w:val="0"/>
      <w:spacing w:before="240" w:after="60"/>
      <w:jc w:val="center"/>
      <w:outlineLvl w:val="0"/>
    </w:pPr>
    <w:rPr>
      <w:rFonts w:ascii="Cambria" w:hAnsi="Cambria"/>
      <w:b/>
      <w:bCs/>
      <w:kern w:val="2"/>
      <w:sz w:val="32"/>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正文首行缩进1"/>
    <w:basedOn w:val="8"/>
    <w:qFormat/>
    <w:uiPriority w:val="2457"/>
    <w:pPr>
      <w:spacing w:before="0" w:after="120" w:line="240" w:lineRule="auto"/>
      <w:ind w:left="0" w:right="0" w:firstLine="100"/>
    </w:pPr>
    <w:rPr>
      <w:szCs w:val="2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Table Text"/>
    <w:basedOn w:val="1"/>
    <w:semiHidden/>
    <w:qFormat/>
    <w:uiPriority w:val="0"/>
    <w:rPr>
      <w:rFonts w:ascii="仿宋" w:hAnsi="仿宋" w:eastAsia="仿宋" w:cs="仿宋"/>
      <w:sz w:val="28"/>
      <w:szCs w:val="28"/>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2884</Words>
  <Characters>3067</Characters>
  <Lines>0</Lines>
  <Paragraphs>0</Paragraphs>
  <TotalTime>1</TotalTime>
  <ScaleCrop>false</ScaleCrop>
  <LinksUpToDate>false</LinksUpToDate>
  <CharactersWithSpaces>3082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2026-06-24T02:00:14Z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09ECCB05D3B74FB9857E198F7286EE9B_13</vt:lpwstr>
  </property>
  <property fmtid="{D5CDD505-2E9C-101B-9397-08002B2CF9AE}" pid="4" name="KSOTemplateDocerSaveRecord">
    <vt:lpwstr>eyJoZGlkIjoiM2UzZjQwNWRhOTQyYzZlZTQyOGMyZDUxNjRkOTE4ODciLCJ1c2VySWQiOiIzMzc0NDkxODMifQ==</vt:lpwstr>
  </property>
</Properties>
</file>