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89F113">
      <w:pPr>
        <w:spacing w:line="574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附件：</w:t>
      </w:r>
    </w:p>
    <w:p w14:paraId="3011E37C">
      <w:pPr>
        <w:spacing w:after="15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横栏镇“校园餐”智慧监管平台系统评分表</w:t>
      </w:r>
    </w:p>
    <w:tbl>
      <w:tblPr>
        <w:tblStyle w:val="2"/>
        <w:tblW w:w="8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6851"/>
        <w:gridCol w:w="856"/>
      </w:tblGrid>
      <w:tr w14:paraId="6AB27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blHeader/>
          <w:jc w:val="center"/>
        </w:trPr>
        <w:tc>
          <w:tcPr>
            <w:tcW w:w="113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25F0CB0">
            <w:pPr>
              <w:snapToGrid w:val="0"/>
              <w:jc w:val="center"/>
              <w:rPr>
                <w:rFonts w:hint="eastAsia" w:asciiTheme="minorHAnsi" w:hAnsiTheme="minorHAnsi" w:cstheme="minorBidi"/>
                <w:b w:val="0"/>
                <w:bCs w:val="0"/>
                <w:sz w:val="21"/>
              </w:rPr>
            </w:pPr>
            <w:r>
              <w:rPr>
                <w:rFonts w:hint="eastAsia"/>
              </w:rPr>
              <w:t>评分指标及分值</w:t>
            </w:r>
          </w:p>
        </w:tc>
        <w:tc>
          <w:tcPr>
            <w:tcW w:w="685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016BCC">
            <w:pPr>
              <w:snapToGrid w:val="0"/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sz w:val="21"/>
              </w:rPr>
            </w:pPr>
            <w:r>
              <w:rPr>
                <w:rFonts w:hint="eastAsia"/>
              </w:rPr>
              <w:t>评分等级及标准</w:t>
            </w:r>
          </w:p>
        </w:tc>
        <w:tc>
          <w:tcPr>
            <w:tcW w:w="85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3BD2F80">
            <w:pPr>
              <w:snapToGrid w:val="0"/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sz w:val="21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sz w:val="21"/>
              </w:rPr>
              <w:t>得分</w:t>
            </w:r>
          </w:p>
        </w:tc>
      </w:tr>
      <w:tr w14:paraId="2247E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8" w:type="dxa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79E2E1F"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/>
              </w:rPr>
              <w:t>一、学校端系统功能完整性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50分</w:t>
            </w:r>
          </w:p>
        </w:tc>
        <w:tc>
          <w:tcPr>
            <w:tcW w:w="685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9004C30">
            <w:r>
              <w:rPr>
                <w:rFonts w:hint="eastAsia"/>
              </w:rPr>
              <w:t>1.采购验收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6分：</w:t>
            </w:r>
          </w:p>
          <w:p w14:paraId="4A5C63CA">
            <w:r>
              <w:rPr>
                <w:rFonts w:hint="eastAsia"/>
              </w:rPr>
              <w:t>优秀（</w:t>
            </w:r>
            <w:r>
              <w:rPr>
                <w:rFonts w:hint="eastAsia"/>
                <w:lang w:val="en-US" w:eastAsia="zh-CN"/>
              </w:rPr>
              <w:t>5-</w:t>
            </w:r>
            <w:r>
              <w:rPr>
                <w:rFonts w:hint="eastAsia"/>
              </w:rPr>
              <w:t>6分）：完全覆盖方案要求的全流程线上管理（供应商、合同、下单、验收、退货），支持与电子验收秤等硬件联动自动采集数据，流程设计精细、可操作性强。</w:t>
            </w:r>
          </w:p>
          <w:p w14:paraId="5D5F067F">
            <w:r>
              <w:rPr>
                <w:rFonts w:hint="eastAsia"/>
              </w:rPr>
              <w:t>良好（</w:t>
            </w:r>
            <w:r>
              <w:rPr>
                <w:rFonts w:hint="eastAsia"/>
                <w:lang w:val="en-US" w:eastAsia="zh-CN"/>
              </w:rPr>
              <w:t>3-</w:t>
            </w:r>
            <w:r>
              <w:rPr>
                <w:rFonts w:hint="eastAsia"/>
              </w:rPr>
              <w:t>4分）：覆盖主要流程，支持线上操作，但硬件联动或自动化程度不足。</w:t>
            </w:r>
          </w:p>
          <w:p w14:paraId="20F5BD9D">
            <w:pPr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/>
              </w:rPr>
              <w:t>一般（</w:t>
            </w:r>
            <w:r>
              <w:rPr>
                <w:rFonts w:hint="eastAsia"/>
                <w:lang w:val="en-US" w:eastAsia="zh-CN"/>
              </w:rPr>
              <w:t>1-</w:t>
            </w:r>
            <w:r>
              <w:rPr>
                <w:rFonts w:hint="eastAsia"/>
              </w:rPr>
              <w:t>2分）：仅实现基础信息记录，缺少流程化管理或不支持硬件联动。</w:t>
            </w:r>
          </w:p>
        </w:tc>
        <w:tc>
          <w:tcPr>
            <w:tcW w:w="85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DE90A09"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 w14:paraId="70899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8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032D9D0"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685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B0CE940">
            <w:pPr>
              <w:snapToGrid w:val="0"/>
            </w:pPr>
            <w:r>
              <w:rPr>
                <w:rFonts w:hint="eastAsia"/>
              </w:rPr>
              <w:t>2.仓储管理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6分：</w:t>
            </w:r>
          </w:p>
          <w:p w14:paraId="34BB077B">
            <w:r>
              <w:rPr>
                <w:rFonts w:hint="eastAsia"/>
              </w:rPr>
              <w:t>优秀（</w:t>
            </w:r>
            <w:r>
              <w:rPr>
                <w:rFonts w:hint="eastAsia"/>
                <w:lang w:val="en-US" w:eastAsia="zh-CN"/>
              </w:rPr>
              <w:t>5-</w:t>
            </w:r>
            <w:r>
              <w:rPr>
                <w:rFonts w:hint="eastAsia"/>
              </w:rPr>
              <w:t>6分）：实现入库、出库、库存、盘点、调配及上下限/保质期预警功能，支持智能仓储设备联动与人脸识别进出记录，功能完善。</w:t>
            </w:r>
          </w:p>
          <w:p w14:paraId="773CD3A7">
            <w:r>
              <w:rPr>
                <w:rFonts w:hint="eastAsia"/>
              </w:rPr>
              <w:t>良好（</w:t>
            </w:r>
            <w:r>
              <w:rPr>
                <w:rFonts w:hint="eastAsia"/>
                <w:lang w:val="en-US" w:eastAsia="zh-CN"/>
              </w:rPr>
              <w:t>3-</w:t>
            </w:r>
            <w:r>
              <w:rPr>
                <w:rFonts w:hint="eastAsia"/>
              </w:rPr>
              <w:t>4分）：具备核心库存管理功能，但预警、智能联动或人脸识别等功能不完整。</w:t>
            </w:r>
          </w:p>
          <w:p w14:paraId="4AE9B829">
            <w:r>
              <w:rPr>
                <w:rFonts w:hint="eastAsia"/>
              </w:rPr>
              <w:t>一般（</w:t>
            </w:r>
            <w:r>
              <w:rPr>
                <w:rFonts w:hint="eastAsia"/>
                <w:lang w:val="en-US" w:eastAsia="zh-CN"/>
              </w:rPr>
              <w:t>1-</w:t>
            </w:r>
            <w:r>
              <w:rPr>
                <w:rFonts w:hint="eastAsia"/>
              </w:rPr>
              <w:t>2分）：仅有基础出入库记录，无预警和智能设备支持。</w:t>
            </w:r>
            <w:r>
              <w:rPr>
                <w:rFonts w:hint="eastAsia"/>
              </w:rPr>
              <w:tab/>
            </w:r>
          </w:p>
        </w:tc>
        <w:tc>
          <w:tcPr>
            <w:tcW w:w="85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47EB977"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 w14:paraId="49DDF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8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2441105"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685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C10349E">
            <w:pPr>
              <w:snapToGrid w:val="0"/>
              <w:rPr>
                <w:highlight w:val="none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highlight w:val="none"/>
              </w:rPr>
              <w:t>.消费结算</w:t>
            </w:r>
            <w:r>
              <w:rPr>
                <w:rFonts w:hint="eastAsia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highlight w:val="none"/>
                <w:lang w:eastAsia="zh-CN"/>
              </w:rPr>
              <w:t>7</w:t>
            </w:r>
            <w:r>
              <w:rPr>
                <w:rFonts w:hint="eastAsia"/>
                <w:highlight w:val="none"/>
              </w:rPr>
              <w:t>分</w:t>
            </w:r>
          </w:p>
          <w:p w14:paraId="170EA3D3">
            <w:r>
              <w:rPr>
                <w:rFonts w:hint="eastAsia"/>
              </w:rPr>
              <w:t>优秀（</w:t>
            </w:r>
            <w:r>
              <w:rPr>
                <w:rFonts w:hint="eastAsia"/>
                <w:lang w:val="en-US" w:eastAsia="zh-CN"/>
              </w:rPr>
              <w:t>6-7</w:t>
            </w:r>
            <w:r>
              <w:rPr>
                <w:rFonts w:hint="eastAsia"/>
              </w:rPr>
              <w:t>分）：支持多种支付方式（包括人脸识别</w:t>
            </w:r>
            <w:r>
              <w:rPr>
                <w:rFonts w:hint="eastAsia"/>
                <w:lang w:val="en-US" w:eastAsia="zh-CN"/>
              </w:rPr>
              <w:t>等</w:t>
            </w:r>
            <w:r>
              <w:rPr>
                <w:rFonts w:hint="eastAsia"/>
              </w:rPr>
              <w:t>），完善的食谱管理、陪餐管理与师生满意度评价功能，硬件联动顺畅。</w:t>
            </w:r>
          </w:p>
          <w:p w14:paraId="767D1136">
            <w:r>
              <w:rPr>
                <w:rFonts w:hint="eastAsia"/>
              </w:rPr>
              <w:t>良好（4</w:t>
            </w:r>
            <w:r>
              <w:rPr>
                <w:rFonts w:hint="eastAsia"/>
                <w:lang w:val="en-US" w:eastAsia="zh-CN"/>
              </w:rPr>
              <w:t>-5</w:t>
            </w:r>
            <w:r>
              <w:rPr>
                <w:rFonts w:hint="eastAsia"/>
              </w:rPr>
              <w:t>分）：支持主要支付方式，满意度评价等功能基本实现但体验一般。</w:t>
            </w:r>
          </w:p>
          <w:p w14:paraId="74D53FC1">
            <w:pPr>
              <w:snapToGrid w:val="0"/>
            </w:pPr>
            <w:r>
              <w:rPr>
                <w:rFonts w:hint="eastAsia"/>
              </w:rPr>
              <w:t>一般（</w:t>
            </w:r>
            <w:r>
              <w:rPr>
                <w:rFonts w:hint="eastAsia"/>
                <w:lang w:val="en-US" w:eastAsia="zh-CN"/>
              </w:rPr>
              <w:t>1-3</w:t>
            </w:r>
            <w:r>
              <w:rPr>
                <w:rFonts w:hint="eastAsia"/>
              </w:rPr>
              <w:t>分）：支付方式单一，缺少评价或食谱管理功能。</w:t>
            </w:r>
          </w:p>
        </w:tc>
        <w:tc>
          <w:tcPr>
            <w:tcW w:w="85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F3B123B"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 w14:paraId="62440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8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E948F01"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685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F9E0814">
            <w:pPr>
              <w:snapToGrid w:val="0"/>
            </w:pPr>
            <w:r>
              <w:rPr>
                <w:rFonts w:hint="eastAsia"/>
              </w:rPr>
              <w:t>4.财务管理</w:t>
            </w:r>
            <w:r>
              <w:rPr>
                <w:rFonts w:hint="eastAsia"/>
                <w:lang w:val="en-US" w:eastAsia="zh-CN"/>
              </w:rPr>
              <w:t xml:space="preserve"> 7</w:t>
            </w:r>
            <w:r>
              <w:rPr>
                <w:rFonts w:hint="eastAsia"/>
              </w:rPr>
              <w:t>分</w:t>
            </w:r>
          </w:p>
          <w:p w14:paraId="550B8D25">
            <w:r>
              <w:rPr>
                <w:rFonts w:hint="eastAsia"/>
              </w:rPr>
              <w:t>优秀（6</w:t>
            </w:r>
            <w:r>
              <w:rPr>
                <w:rFonts w:hint="eastAsia"/>
                <w:lang w:val="en-US" w:eastAsia="zh-CN"/>
              </w:rPr>
              <w:t>-7</w:t>
            </w:r>
            <w:r>
              <w:rPr>
                <w:rFonts w:hint="eastAsia"/>
              </w:rPr>
              <w:t>分）：凭证管理、账簿查询、财务报表生成功能完善，支持与标准财务软件对接，确保经费透明、规范。</w:t>
            </w:r>
          </w:p>
          <w:p w14:paraId="1E13A110">
            <w:r>
              <w:rPr>
                <w:rFonts w:hint="eastAsia"/>
              </w:rPr>
              <w:t>良好（4</w:t>
            </w:r>
            <w:r>
              <w:rPr>
                <w:rFonts w:hint="eastAsia"/>
                <w:lang w:val="en-US" w:eastAsia="zh-CN"/>
              </w:rPr>
              <w:t>-5</w:t>
            </w:r>
            <w:r>
              <w:rPr>
                <w:rFonts w:hint="eastAsia"/>
              </w:rPr>
              <w:t>分）：能生成主要财务报表，但对接财务软件或报表细节有待完善。</w:t>
            </w:r>
          </w:p>
          <w:p w14:paraId="0F9E4B8A">
            <w:pPr>
              <w:snapToGrid w:val="0"/>
            </w:pPr>
            <w:r>
              <w:rPr>
                <w:rFonts w:hint="eastAsia"/>
              </w:rPr>
              <w:t>一般（</w:t>
            </w:r>
            <w:r>
              <w:rPr>
                <w:rFonts w:hint="eastAsia"/>
                <w:lang w:val="en-US" w:eastAsia="zh-CN"/>
              </w:rPr>
              <w:t>1-3</w:t>
            </w:r>
            <w:r>
              <w:rPr>
                <w:rFonts w:hint="eastAsia"/>
              </w:rPr>
              <w:t>分）：仅能提供基础流水记录，无法生成规范财务报表。</w:t>
            </w:r>
          </w:p>
        </w:tc>
        <w:tc>
          <w:tcPr>
            <w:tcW w:w="85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EB798C2"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 w14:paraId="03BE0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8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C3B9F37"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685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EB579C">
            <w:pPr>
              <w:snapToGrid w:val="0"/>
            </w:pPr>
            <w:r>
              <w:rPr>
                <w:rFonts w:hint="eastAsia"/>
              </w:rPr>
              <w:t>5.食品安全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6分</w:t>
            </w:r>
          </w:p>
          <w:p w14:paraId="140B75ED">
            <w:r>
              <w:rPr>
                <w:rFonts w:hint="eastAsia"/>
              </w:rPr>
              <w:t>优秀（</w:t>
            </w:r>
            <w:r>
              <w:rPr>
                <w:rFonts w:hint="eastAsia"/>
                <w:lang w:val="en-US" w:eastAsia="zh-CN"/>
              </w:rPr>
              <w:t>5-</w:t>
            </w:r>
            <w:r>
              <w:rPr>
                <w:rFonts w:hint="eastAsia"/>
              </w:rPr>
              <w:t>6分）：全面覆盖健康证/晨检、留样、消毒、废弃物处置等台账，支持智能晨检机、留样冰箱等物联设备自动采集数据。</w:t>
            </w:r>
          </w:p>
          <w:p w14:paraId="318CB33E">
            <w:r>
              <w:rPr>
                <w:rFonts w:hint="eastAsia"/>
              </w:rPr>
              <w:t>良好（</w:t>
            </w:r>
            <w:r>
              <w:rPr>
                <w:rFonts w:hint="eastAsia"/>
                <w:lang w:val="en-US" w:eastAsia="zh-CN"/>
              </w:rPr>
              <w:t>3-</w:t>
            </w:r>
            <w:r>
              <w:rPr>
                <w:rFonts w:hint="eastAsia"/>
              </w:rPr>
              <w:t>4分）：台账功能齐全，但物联网设备联动或自动化采集功能不完整。</w:t>
            </w:r>
          </w:p>
          <w:p w14:paraId="6D431600">
            <w:pPr>
              <w:snapToGrid w:val="0"/>
            </w:pPr>
            <w:r>
              <w:rPr>
                <w:rFonts w:hint="eastAsia"/>
              </w:rPr>
              <w:t>一般（</w:t>
            </w:r>
            <w:r>
              <w:rPr>
                <w:rFonts w:hint="eastAsia"/>
                <w:lang w:val="en-US" w:eastAsia="zh-CN"/>
              </w:rPr>
              <w:t>1-</w:t>
            </w:r>
            <w:r>
              <w:rPr>
                <w:rFonts w:hint="eastAsia"/>
              </w:rPr>
              <w:t>2分）：以人工录入为主，缺少智能设备支持。</w:t>
            </w:r>
          </w:p>
        </w:tc>
        <w:tc>
          <w:tcPr>
            <w:tcW w:w="85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71CD89B"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 w14:paraId="77F3A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8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2DB1143"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685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4235198">
            <w:pPr>
              <w:numPr>
                <w:ilvl w:val="-1"/>
                <w:numId w:val="0"/>
              </w:numPr>
            </w:pPr>
            <w:r>
              <w:rPr>
                <w:rFonts w:hint="eastAsia"/>
                <w:lang w:val="en-US" w:eastAsia="zh-CN"/>
              </w:rPr>
              <w:t>6.</w:t>
            </w:r>
            <w:r>
              <w:rPr>
                <w:rFonts w:hint="eastAsia"/>
              </w:rPr>
              <w:t>视频监控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6分</w:t>
            </w:r>
          </w:p>
          <w:p w14:paraId="0F0B0E87">
            <w:r>
              <w:rPr>
                <w:rFonts w:hint="eastAsia"/>
              </w:rPr>
              <w:t>优秀（</w:t>
            </w:r>
            <w:r>
              <w:rPr>
                <w:rFonts w:hint="eastAsia"/>
                <w:lang w:val="en-US" w:eastAsia="zh-CN"/>
              </w:rPr>
              <w:t>5-</w:t>
            </w:r>
            <w:r>
              <w:rPr>
                <w:rFonts w:hint="eastAsia"/>
              </w:rPr>
              <w:t>6分）：完全复用“互联网+明厨亮灶”系统，实现关键区域（验收、仓库）覆盖，具备实时调阅、回放功能，严格满足国标及省/市平台互联互通要求。</w:t>
            </w:r>
          </w:p>
          <w:p w14:paraId="6F6DF782">
            <w:r>
              <w:rPr>
                <w:rFonts w:hint="eastAsia"/>
              </w:rPr>
              <w:t>良好（</w:t>
            </w:r>
            <w:r>
              <w:rPr>
                <w:rFonts w:hint="eastAsia"/>
                <w:lang w:val="en-US" w:eastAsia="zh-CN"/>
              </w:rPr>
              <w:t>3-</w:t>
            </w:r>
            <w:r>
              <w:rPr>
                <w:rFonts w:hint="eastAsia"/>
              </w:rPr>
              <w:t>4分）：视频功能基本满足，但在互联互通或关键区域覆盖上略有不足。</w:t>
            </w:r>
          </w:p>
          <w:p w14:paraId="397ED435">
            <w:pPr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/>
              </w:rPr>
              <w:t>一般（</w:t>
            </w:r>
            <w:r>
              <w:rPr>
                <w:rFonts w:hint="eastAsia"/>
                <w:lang w:val="en-US" w:eastAsia="zh-CN"/>
              </w:rPr>
              <w:t>1-</w:t>
            </w:r>
            <w:r>
              <w:rPr>
                <w:rFonts w:hint="eastAsia"/>
              </w:rPr>
              <w:t>2分）：仅有简单视频接入，无法实现联网巡查或关键点位缺失。</w:t>
            </w:r>
          </w:p>
        </w:tc>
        <w:tc>
          <w:tcPr>
            <w:tcW w:w="85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DD1252A"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 w14:paraId="5C3AB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8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A2EB168"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685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ED0DC10">
            <w:r>
              <w:rPr>
                <w:rFonts w:hint="eastAsia"/>
              </w:rPr>
              <w:t>7.预警闭环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6分</w:t>
            </w:r>
          </w:p>
          <w:p w14:paraId="747C68D2">
            <w:r>
              <w:rPr>
                <w:rFonts w:hint="eastAsia"/>
              </w:rPr>
              <w:t>优秀（</w:t>
            </w:r>
            <w:r>
              <w:rPr>
                <w:rFonts w:hint="eastAsia"/>
                <w:lang w:val="en-US" w:eastAsia="zh-CN"/>
              </w:rPr>
              <w:t>5-</w:t>
            </w:r>
            <w:r>
              <w:rPr>
                <w:rFonts w:hint="eastAsia"/>
              </w:rPr>
              <w:t>6分）：能自动识别食品安全、经费异常、操作不规范等多维度风险，并形成“识别-预警-反馈-处置”的完整闭环管理。</w:t>
            </w:r>
          </w:p>
          <w:p w14:paraId="3D6B1771">
            <w:r>
              <w:rPr>
                <w:rFonts w:hint="eastAsia"/>
              </w:rPr>
              <w:t>良好（</w:t>
            </w:r>
            <w:r>
              <w:rPr>
                <w:rFonts w:hint="eastAsia"/>
                <w:lang w:val="en-US" w:eastAsia="zh-CN"/>
              </w:rPr>
              <w:t>3-</w:t>
            </w:r>
            <w:r>
              <w:rPr>
                <w:rFonts w:hint="eastAsia"/>
              </w:rPr>
              <w:t>4分）：有预警功能，但闭环处置流程或风险识别维度不完善。</w:t>
            </w:r>
          </w:p>
          <w:p w14:paraId="1328D201">
            <w:pPr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/>
              </w:rPr>
              <w:t>一般（</w:t>
            </w:r>
            <w:r>
              <w:rPr>
                <w:rFonts w:hint="eastAsia"/>
                <w:lang w:val="en-US" w:eastAsia="zh-CN"/>
              </w:rPr>
              <w:t>1-</w:t>
            </w:r>
            <w:r>
              <w:rPr>
                <w:rFonts w:hint="eastAsia"/>
              </w:rPr>
              <w:t>2分）：仅有简单提醒，无闭环管理机制。</w:t>
            </w:r>
            <w:r>
              <w:rPr>
                <w:rFonts w:hint="eastAsia"/>
              </w:rPr>
              <w:tab/>
            </w:r>
          </w:p>
        </w:tc>
        <w:tc>
          <w:tcPr>
            <w:tcW w:w="85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25A8075"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 w14:paraId="6FFFE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8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A7F6726"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685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9D0E445">
            <w:r>
              <w:rPr>
                <w:rFonts w:hint="eastAsia"/>
              </w:rPr>
              <w:t>8.移动作业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6分</w:t>
            </w:r>
          </w:p>
          <w:p w14:paraId="08FBD2B8">
            <w:r>
              <w:rPr>
                <w:rFonts w:hint="eastAsia"/>
              </w:rPr>
              <w:t>优秀（5-6分）：支持通过手机/扫码枪等移动终端便捷录入或图文识别提取数据，操作便捷，实用性强。</w:t>
            </w:r>
          </w:p>
          <w:p w14:paraId="47E41B49">
            <w:r>
              <w:rPr>
                <w:rFonts w:hint="eastAsia"/>
              </w:rPr>
              <w:t>良好（3-4分）：支持移动端录入，但图文识别等智能化程度不高。</w:t>
            </w:r>
          </w:p>
          <w:p w14:paraId="78C9FA73">
            <w:pPr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/>
              </w:rPr>
              <w:t>一般（1-2分）：不支持移动端作业或功能极其基础。</w:t>
            </w:r>
            <w:r>
              <w:rPr>
                <w:rFonts w:hint="eastAsia"/>
              </w:rPr>
              <w:tab/>
            </w:r>
          </w:p>
        </w:tc>
        <w:tc>
          <w:tcPr>
            <w:tcW w:w="85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BEBB7CE"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 w14:paraId="46AC6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8" w:type="dxa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8E4B0CD">
            <w:pPr>
              <w:snapToGrid w:val="0"/>
              <w:jc w:val="center"/>
              <w:rPr>
                <w:rFonts w:cs="仿宋_GB2312" w:asciiTheme="minorEastAsia" w:hAnsi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/>
              </w:rPr>
              <w:t>二、数据与系统保障能力</w:t>
            </w:r>
            <w:r>
              <w:rPr>
                <w:rFonts w:hint="eastAsia" w:asciiTheme="minorEastAsia" w:hAnsiTheme="minorEastAsia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20分</w:t>
            </w:r>
            <w:r>
              <w:rPr>
                <w:rFonts w:hint="eastAsia" w:asciiTheme="minorEastAsia" w:hAnsiTheme="minorEastAsia"/>
              </w:rPr>
              <w:tab/>
            </w:r>
          </w:p>
        </w:tc>
        <w:tc>
          <w:tcPr>
            <w:tcW w:w="685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4B62B4F">
            <w:pPr>
              <w:snapToGrid w:val="0"/>
              <w:jc w:val="left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1.</w:t>
            </w:r>
            <w:r>
              <w:rPr>
                <w:rFonts w:hint="eastAsia" w:cs="仿宋_GB2312" w:asciiTheme="minorEastAsia" w:hAnsiTheme="minorEastAsia"/>
                <w:szCs w:val="21"/>
                <w:highlight w:val="none"/>
              </w:rPr>
              <w:t>数据存储、</w:t>
            </w:r>
            <w:r>
              <w:rPr>
                <w:rFonts w:hint="eastAsia" w:cs="仿宋_GB2312" w:asciiTheme="minorEastAsia" w:hAnsiTheme="minorEastAsia"/>
                <w:szCs w:val="21"/>
              </w:rPr>
              <w:t>备份与安全</w:t>
            </w:r>
            <w:r>
              <w:rPr>
                <w:rFonts w:hint="eastAsia" w:cs="仿宋_GB2312" w:asciiTheme="minorEastAsia" w:hAnsiTheme="minor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仿宋_GB2312" w:asciiTheme="minorEastAsia" w:hAnsiTheme="minorEastAsia"/>
                <w:szCs w:val="21"/>
              </w:rPr>
              <w:t>8分</w:t>
            </w:r>
            <w:r>
              <w:rPr>
                <w:rFonts w:hint="eastAsia" w:cs="仿宋_GB2312" w:asciiTheme="minorEastAsia" w:hAnsiTheme="minorEastAsia"/>
                <w:szCs w:val="21"/>
              </w:rPr>
              <w:tab/>
            </w:r>
          </w:p>
          <w:p w14:paraId="53C7FA71">
            <w:pPr>
              <w:snapToGrid w:val="0"/>
              <w:jc w:val="left"/>
              <w:rPr>
                <w:rFonts w:hint="eastAsia"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优秀（7-8分）：提供详尽的数据存储、备份策略（如异地备份、定期自动备份），支持学校一键下载完整数据（含历史数据），下载周期可设置</w:t>
            </w:r>
            <w:r>
              <w:rPr>
                <w:rFonts w:hint="eastAsia" w:cs="仿宋_GB2312" w:asciiTheme="minorEastAsia" w:hAnsiTheme="minorEastAsia"/>
                <w:szCs w:val="21"/>
                <w:lang w:eastAsia="zh-CN"/>
              </w:rPr>
              <w:t>，</w:t>
            </w:r>
            <w:r>
              <w:rPr>
                <w:rFonts w:hint="eastAsia" w:cs="仿宋_GB2312" w:asciiTheme="minorEastAsia" w:hAnsiTheme="minorEastAsia"/>
                <w:szCs w:val="21"/>
              </w:rPr>
              <w:t>数据安全方案（如加密传输、权限管理、等保认证）清晰严谨。</w:t>
            </w:r>
          </w:p>
          <w:p w14:paraId="7F1AF149">
            <w:pPr>
              <w:snapToGrid w:val="0"/>
              <w:jc w:val="left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良好（4-6分）：有基本的备份和安全方案，但细节或完整性不足。</w:t>
            </w:r>
          </w:p>
          <w:p w14:paraId="65C753AA">
            <w:pPr>
              <w:snapToGrid w:val="0"/>
              <w:jc w:val="left"/>
              <w:rPr>
                <w:rFonts w:cs="仿宋_GB2312" w:asciiTheme="minorEastAsia" w:hAnsiTheme="minorEastAsia"/>
                <w:b/>
                <w:bCs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一般（1-3分）：未明确阐述数据备份与安全保障措施。</w:t>
            </w:r>
            <w:r>
              <w:rPr>
                <w:rFonts w:hint="eastAsia" w:cs="仿宋_GB2312" w:asciiTheme="minorEastAsia" w:hAnsiTheme="minorEastAsia"/>
                <w:szCs w:val="21"/>
              </w:rPr>
              <w:tab/>
            </w:r>
          </w:p>
        </w:tc>
        <w:tc>
          <w:tcPr>
            <w:tcW w:w="85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ED17144">
            <w:pPr>
              <w:snapToGrid w:val="0"/>
              <w:jc w:val="center"/>
              <w:rPr>
                <w:rFonts w:cs="仿宋_GB2312" w:asciiTheme="minorEastAsia" w:hAnsiTheme="minorEastAsia"/>
                <w:b/>
                <w:bCs/>
                <w:sz w:val="24"/>
              </w:rPr>
            </w:pPr>
          </w:p>
        </w:tc>
      </w:tr>
      <w:tr w14:paraId="3EB7D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8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93C48BD">
            <w:pPr>
              <w:snapToGrid w:val="0"/>
              <w:jc w:val="center"/>
              <w:rPr>
                <w:rFonts w:cs="仿宋_GB2312" w:asciiTheme="minorEastAsia" w:hAnsiTheme="minorEastAsia"/>
                <w:b/>
                <w:bCs/>
                <w:sz w:val="24"/>
              </w:rPr>
            </w:pPr>
          </w:p>
        </w:tc>
        <w:tc>
          <w:tcPr>
            <w:tcW w:w="685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FF95B5B">
            <w:pPr>
              <w:snapToGrid w:val="0"/>
              <w:jc w:val="left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2.报餐缴费、停餐退费</w:t>
            </w:r>
            <w:r>
              <w:rPr>
                <w:rFonts w:hint="eastAsia" w:cs="仿宋_GB2312" w:asciiTheme="minorEastAsia" w:hAnsiTheme="minorEastAsia"/>
                <w:szCs w:val="21"/>
                <w:lang w:val="en-US" w:eastAsia="zh-CN"/>
              </w:rPr>
              <w:t>等家长端</w:t>
            </w:r>
            <w:r>
              <w:rPr>
                <w:rFonts w:hint="eastAsia" w:cs="仿宋_GB2312" w:asciiTheme="minorEastAsia" w:hAnsiTheme="minorEastAsia"/>
                <w:szCs w:val="21"/>
              </w:rPr>
              <w:t>功能</w:t>
            </w:r>
            <w:r>
              <w:rPr>
                <w:rFonts w:hint="eastAsia" w:cs="仿宋_GB2312" w:asciiTheme="minorEastAsia" w:hAnsiTheme="minor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仿宋_GB2312" w:asciiTheme="minorEastAsia" w:hAnsiTheme="minorEastAsia"/>
                <w:szCs w:val="21"/>
              </w:rPr>
              <w:t>6分</w:t>
            </w:r>
            <w:r>
              <w:rPr>
                <w:rFonts w:hint="eastAsia" w:cs="仿宋_GB2312" w:asciiTheme="minorEastAsia" w:hAnsiTheme="minorEastAsia"/>
                <w:szCs w:val="21"/>
              </w:rPr>
              <w:tab/>
            </w:r>
          </w:p>
          <w:p w14:paraId="2C982993">
            <w:pPr>
              <w:snapToGrid w:val="0"/>
              <w:jc w:val="left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优秀（5-6分）：报餐、缴费、停餐、退费流程线上化、自动化，操作便捷。有其他显著提升管理效率的特色功能、家长可通过微信/支付宝直接缴费、查看账单。</w:t>
            </w:r>
          </w:p>
          <w:p w14:paraId="00772F82">
            <w:pPr>
              <w:snapToGrid w:val="0"/>
              <w:jc w:val="left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良好（3-4分）：支持线上报餐缴费，但停餐退费流程自动化程度一般。</w:t>
            </w:r>
          </w:p>
          <w:p w14:paraId="452CC8AA">
            <w:pPr>
              <w:snapToGrid w:val="0"/>
              <w:jc w:val="left"/>
              <w:rPr>
                <w:rFonts w:cs="仿宋_GB2312" w:asciiTheme="minorEastAsia" w:hAnsiTheme="minorEastAsia"/>
                <w:b/>
                <w:bCs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一般（1-2分）：功能不全或仍依赖线下操作。</w:t>
            </w:r>
            <w:r>
              <w:rPr>
                <w:rFonts w:hint="eastAsia" w:cs="仿宋_GB2312" w:asciiTheme="minorEastAsia" w:hAnsiTheme="minorEastAsia"/>
                <w:szCs w:val="21"/>
              </w:rPr>
              <w:tab/>
            </w:r>
          </w:p>
        </w:tc>
        <w:tc>
          <w:tcPr>
            <w:tcW w:w="85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31A82C6">
            <w:pPr>
              <w:snapToGrid w:val="0"/>
              <w:jc w:val="center"/>
              <w:rPr>
                <w:rFonts w:cs="仿宋_GB2312" w:asciiTheme="minorEastAsia" w:hAnsiTheme="minorEastAsia"/>
                <w:b/>
                <w:bCs/>
                <w:sz w:val="24"/>
              </w:rPr>
            </w:pPr>
          </w:p>
        </w:tc>
      </w:tr>
      <w:tr w14:paraId="64421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8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A70914">
            <w:pPr>
              <w:snapToGrid w:val="0"/>
              <w:jc w:val="center"/>
              <w:rPr>
                <w:rFonts w:cs="仿宋_GB2312" w:asciiTheme="minorEastAsia" w:hAnsiTheme="minorEastAsia"/>
                <w:b/>
                <w:bCs/>
                <w:sz w:val="24"/>
              </w:rPr>
            </w:pPr>
          </w:p>
        </w:tc>
        <w:tc>
          <w:tcPr>
            <w:tcW w:w="685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3A0CBC9">
            <w:pPr>
              <w:snapToGrid w:val="0"/>
              <w:jc w:val="left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3.系统对接与扩展能力</w:t>
            </w:r>
            <w:r>
              <w:rPr>
                <w:rFonts w:hint="eastAsia" w:cs="仿宋_GB2312" w:asciiTheme="minorEastAsia" w:hAnsiTheme="minor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仿宋_GB2312" w:asciiTheme="minorEastAsia" w:hAnsiTheme="minorEastAsia"/>
                <w:szCs w:val="21"/>
              </w:rPr>
              <w:t>6分</w:t>
            </w:r>
          </w:p>
          <w:p w14:paraId="32F463FE">
            <w:pPr>
              <w:snapToGrid w:val="0"/>
              <w:jc w:val="left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优秀（5-6分）：明确承诺完全满足市级平台对接要求且不额外收费，提供详细的技术方案，具备未来功能升级与迭代的扩展架构。</w:t>
            </w:r>
          </w:p>
          <w:p w14:paraId="42A8416A">
            <w:pPr>
              <w:snapToGrid w:val="0"/>
              <w:jc w:val="left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良好（3-4分）：承诺满足对接要求，但技术方案不够具体。</w:t>
            </w:r>
          </w:p>
          <w:p w14:paraId="4A24B3CA">
            <w:pPr>
              <w:snapToGrid w:val="0"/>
              <w:jc w:val="left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一般（1-2分）：仅口头承诺，无明确技术方案。</w:t>
            </w:r>
            <w:r>
              <w:rPr>
                <w:rFonts w:hint="eastAsia" w:cs="仿宋_GB2312" w:asciiTheme="minorEastAsia" w:hAnsiTheme="minorEastAsia"/>
                <w:szCs w:val="21"/>
              </w:rPr>
              <w:tab/>
            </w:r>
          </w:p>
        </w:tc>
        <w:tc>
          <w:tcPr>
            <w:tcW w:w="85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BF418EC">
            <w:pPr>
              <w:snapToGrid w:val="0"/>
              <w:jc w:val="center"/>
              <w:rPr>
                <w:rFonts w:cs="仿宋_GB2312" w:asciiTheme="minorEastAsia" w:hAnsiTheme="minorEastAsia"/>
                <w:b/>
                <w:bCs/>
                <w:sz w:val="24"/>
              </w:rPr>
            </w:pPr>
          </w:p>
        </w:tc>
      </w:tr>
      <w:tr w14:paraId="627F7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8" w:type="dxa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54B02EC">
            <w:pPr>
              <w:snapToGrid w:val="0"/>
              <w:jc w:val="center"/>
              <w:rPr>
                <w:rFonts w:cs="仿宋_GB2312" w:asciiTheme="minorEastAsia" w:hAnsiTheme="minorEastAsia"/>
                <w:bCs/>
                <w:szCs w:val="21"/>
              </w:rPr>
            </w:pPr>
            <w:r>
              <w:rPr>
                <w:rFonts w:hint="eastAsia" w:cs="仿宋_GB2312" w:asciiTheme="minorEastAsia" w:hAnsiTheme="minorEastAsia"/>
                <w:bCs/>
                <w:szCs w:val="21"/>
              </w:rPr>
              <w:t>三、服务与商务方案</w:t>
            </w:r>
            <w:r>
              <w:rPr>
                <w:rFonts w:hint="eastAsia" w:cs="仿宋_GB2312" w:asciiTheme="minorEastAsia" w:hAnsiTheme="minorEastAsia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cs="仿宋_GB2312" w:asciiTheme="minorEastAsia" w:hAnsiTheme="minorEastAsia"/>
                <w:bCs/>
                <w:szCs w:val="21"/>
              </w:rPr>
              <w:t>30分</w:t>
            </w:r>
          </w:p>
        </w:tc>
        <w:tc>
          <w:tcPr>
            <w:tcW w:w="685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F89018F">
            <w:pPr>
              <w:snapToGrid w:val="0"/>
              <w:jc w:val="left"/>
              <w:rPr>
                <w:rFonts w:hint="eastAsia" w:cs="仿宋_GB2312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1.费用合理性</w:t>
            </w:r>
            <w:r>
              <w:rPr>
                <w:rFonts w:hint="eastAsia" w:cs="仿宋_GB2312" w:asciiTheme="minorEastAsia" w:hAnsiTheme="minor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仿宋_GB2312" w:asciiTheme="minorEastAsia" w:hAnsiTheme="minorEastAsia"/>
                <w:szCs w:val="21"/>
              </w:rPr>
              <w:t>10分</w:t>
            </w:r>
          </w:p>
          <w:p w14:paraId="0B39CE47">
            <w:pPr>
              <w:snapToGrid w:val="0"/>
              <w:jc w:val="left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优秀（9-10分）：报价明细清晰、完整，各项费用（软硬件、实施、运维）合理，性价比高，符合“银行承担”的费用模式且无隐性收费。</w:t>
            </w:r>
          </w:p>
          <w:p w14:paraId="766080FB">
            <w:pPr>
              <w:snapToGrid w:val="0"/>
              <w:jc w:val="left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良好（6-8分）：报价基本合理，但明细不够清晰或存在少量疑问。</w:t>
            </w:r>
          </w:p>
          <w:p w14:paraId="1D9FCDF7">
            <w:pPr>
              <w:snapToGrid w:val="0"/>
              <w:jc w:val="left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一般（1-5分）：报价过高、模糊不清或存在明显不合理项。</w:t>
            </w:r>
          </w:p>
        </w:tc>
        <w:tc>
          <w:tcPr>
            <w:tcW w:w="85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EAEA69A">
            <w:pPr>
              <w:snapToGrid w:val="0"/>
              <w:jc w:val="center"/>
              <w:rPr>
                <w:rFonts w:cs="仿宋_GB2312" w:asciiTheme="minorEastAsia" w:hAnsiTheme="minorEastAsia"/>
                <w:b/>
                <w:bCs/>
                <w:sz w:val="24"/>
              </w:rPr>
            </w:pPr>
          </w:p>
        </w:tc>
      </w:tr>
      <w:tr w14:paraId="4E0EF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8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6D7CB3C">
            <w:pPr>
              <w:snapToGrid w:val="0"/>
              <w:jc w:val="center"/>
              <w:rPr>
                <w:rFonts w:cs="仿宋_GB2312" w:asciiTheme="minorEastAsia" w:hAnsiTheme="minorEastAsia"/>
                <w:b/>
                <w:bCs/>
                <w:sz w:val="24"/>
              </w:rPr>
            </w:pPr>
          </w:p>
        </w:tc>
        <w:tc>
          <w:tcPr>
            <w:tcW w:w="685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73DAF01">
            <w:pPr>
              <w:snapToGrid w:val="0"/>
              <w:jc w:val="left"/>
              <w:rPr>
                <w:rFonts w:hint="default" w:cs="仿宋_GB2312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2.售后服务与响应机制</w:t>
            </w:r>
            <w:r>
              <w:rPr>
                <w:rFonts w:hint="eastAsia" w:cs="仿宋_GB2312" w:asciiTheme="minorEastAsia" w:hAnsiTheme="minor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仿宋_GB2312" w:asciiTheme="minorEastAsia" w:hAnsiTheme="minorEastAsia"/>
                <w:szCs w:val="21"/>
              </w:rPr>
              <w:t>8分</w:t>
            </w:r>
          </w:p>
          <w:p w14:paraId="4CD8998C">
            <w:pPr>
              <w:snapToGrid w:val="0"/>
              <w:jc w:val="left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优秀（7-8分）：提供详细的本地化服务承诺，故障响应分级明确（如：7×24小时，15分钟响应，2小时到现场），有专职团队和备件方案。</w:t>
            </w:r>
          </w:p>
          <w:p w14:paraId="6EB78BF2">
            <w:pPr>
              <w:snapToGrid w:val="0"/>
              <w:jc w:val="left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良好（4-6分）：有明确的售后服务团队和响应时间，但响应速度或本地化支撑一般。</w:t>
            </w:r>
          </w:p>
          <w:p w14:paraId="085C7114">
            <w:pPr>
              <w:snapToGrid w:val="0"/>
              <w:jc w:val="left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一般（1-3分）：售后服务承诺模糊，响应机制不清晰。</w:t>
            </w:r>
            <w:r>
              <w:rPr>
                <w:rFonts w:hint="eastAsia" w:cs="仿宋_GB2312" w:asciiTheme="minorEastAsia" w:hAnsiTheme="minorEastAsia"/>
                <w:szCs w:val="21"/>
              </w:rPr>
              <w:tab/>
            </w:r>
          </w:p>
        </w:tc>
        <w:tc>
          <w:tcPr>
            <w:tcW w:w="85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78DAE22">
            <w:pPr>
              <w:snapToGrid w:val="0"/>
              <w:jc w:val="center"/>
              <w:rPr>
                <w:rFonts w:cs="仿宋_GB2312" w:asciiTheme="minorEastAsia" w:hAnsiTheme="minorEastAsia"/>
                <w:b/>
                <w:bCs/>
                <w:sz w:val="24"/>
              </w:rPr>
            </w:pPr>
          </w:p>
        </w:tc>
      </w:tr>
      <w:tr w14:paraId="2FA83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8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4C6D7E">
            <w:pPr>
              <w:snapToGrid w:val="0"/>
              <w:jc w:val="center"/>
              <w:rPr>
                <w:rFonts w:cs="仿宋_GB2312" w:asciiTheme="minorEastAsia" w:hAnsiTheme="minorEastAsia"/>
                <w:b/>
                <w:bCs/>
                <w:sz w:val="24"/>
              </w:rPr>
            </w:pPr>
          </w:p>
        </w:tc>
        <w:tc>
          <w:tcPr>
            <w:tcW w:w="685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1E0406A">
            <w:pPr>
              <w:snapToGrid w:val="0"/>
              <w:jc w:val="left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3.应用培训与实施计划</w:t>
            </w:r>
            <w:r>
              <w:rPr>
                <w:rFonts w:hint="eastAsia" w:cs="仿宋_GB2312" w:asciiTheme="minorEastAsia" w:hAnsiTheme="minor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仿宋_GB2312" w:asciiTheme="minorEastAsia" w:hAnsiTheme="minorEastAsia"/>
                <w:szCs w:val="21"/>
              </w:rPr>
              <w:t>6分</w:t>
            </w:r>
          </w:p>
          <w:p w14:paraId="38C7E8F4">
            <w:pPr>
              <w:snapToGrid w:val="0"/>
              <w:jc w:val="left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优秀（5-6分）：培训方案系统全面（分角色、分阶段），提供详尽的实施计划和时间表，确保学校快速上手。</w:t>
            </w:r>
            <w:bookmarkStart w:id="0" w:name="_GoBack"/>
            <w:bookmarkEnd w:id="0"/>
          </w:p>
          <w:p w14:paraId="00661D9A">
            <w:pPr>
              <w:snapToGrid w:val="0"/>
              <w:jc w:val="left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良好（3-4分）：有培训计划和实施安排，但缺乏针对性或细节不足。</w:t>
            </w:r>
          </w:p>
          <w:p w14:paraId="05218976">
            <w:pPr>
              <w:snapToGrid w:val="0"/>
              <w:jc w:val="left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一般（1-2分）：培训计划笼统，实施计划不可行。</w:t>
            </w:r>
            <w:r>
              <w:rPr>
                <w:rFonts w:hint="eastAsia" w:cs="仿宋_GB2312" w:asciiTheme="minorEastAsia" w:hAnsiTheme="minorEastAsia"/>
                <w:szCs w:val="21"/>
              </w:rPr>
              <w:tab/>
            </w:r>
          </w:p>
        </w:tc>
        <w:tc>
          <w:tcPr>
            <w:tcW w:w="85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EAEB41">
            <w:pPr>
              <w:snapToGrid w:val="0"/>
              <w:jc w:val="center"/>
              <w:rPr>
                <w:rFonts w:cs="仿宋_GB2312" w:asciiTheme="minorEastAsia" w:hAnsiTheme="minorEastAsia"/>
                <w:b/>
                <w:bCs/>
                <w:sz w:val="24"/>
              </w:rPr>
            </w:pPr>
          </w:p>
        </w:tc>
      </w:tr>
      <w:tr w14:paraId="7F52C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8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43226D7">
            <w:pPr>
              <w:snapToGrid w:val="0"/>
              <w:jc w:val="center"/>
              <w:rPr>
                <w:rFonts w:cs="仿宋_GB2312" w:asciiTheme="minorEastAsia" w:hAnsiTheme="minorEastAsia"/>
                <w:b/>
                <w:bCs/>
                <w:sz w:val="24"/>
              </w:rPr>
            </w:pPr>
          </w:p>
        </w:tc>
        <w:tc>
          <w:tcPr>
            <w:tcW w:w="685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8CC42EB">
            <w:pPr>
              <w:snapToGrid w:val="0"/>
              <w:jc w:val="left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4.公司资质与综合实力</w:t>
            </w:r>
            <w:r>
              <w:rPr>
                <w:rFonts w:hint="eastAsia" w:cs="仿宋_GB2312" w:asciiTheme="minorEastAsia" w:hAnsiTheme="minor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仿宋_GB2312" w:asciiTheme="minorEastAsia" w:hAnsiTheme="minorEastAsia"/>
                <w:szCs w:val="21"/>
              </w:rPr>
              <w:t>6分</w:t>
            </w:r>
          </w:p>
          <w:p w14:paraId="5D8B4647">
            <w:pPr>
              <w:snapToGrid w:val="0"/>
              <w:jc w:val="left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优秀（5-6分）：完全满足所有资质条件（独立法人、软著、无违规记录），且具备同类项目成功案例</w:t>
            </w:r>
            <w:r>
              <w:rPr>
                <w:rFonts w:hint="eastAsia" w:cs="仿宋_GB2312" w:asciiTheme="minorEastAsia" w:hAnsiTheme="minorEastAsia"/>
                <w:szCs w:val="21"/>
                <w:lang w:eastAsia="zh-CN"/>
              </w:rPr>
              <w:t>（佐证需提交相关合同）</w:t>
            </w:r>
            <w:r>
              <w:rPr>
                <w:rFonts w:hint="eastAsia" w:cs="仿宋_GB2312" w:asciiTheme="minorEastAsia" w:hAnsiTheme="minorEastAsia"/>
                <w:szCs w:val="21"/>
              </w:rPr>
              <w:t>，技术团队雄厚。</w:t>
            </w:r>
          </w:p>
          <w:p w14:paraId="7551CFB8">
            <w:pPr>
              <w:snapToGrid w:val="0"/>
              <w:jc w:val="left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良好（3-4分）：满足基本资质要求，有相关项目经验但规模较小。</w:t>
            </w:r>
          </w:p>
          <w:p w14:paraId="1A146001">
            <w:pPr>
              <w:snapToGrid w:val="0"/>
              <w:jc w:val="left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一般（1-2分）：仅满足基本资质条件，无相关案例或团队介绍薄弱。</w:t>
            </w:r>
          </w:p>
        </w:tc>
        <w:tc>
          <w:tcPr>
            <w:tcW w:w="85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FB6CD43">
            <w:pPr>
              <w:snapToGrid w:val="0"/>
              <w:jc w:val="center"/>
              <w:rPr>
                <w:rFonts w:cs="仿宋_GB2312" w:asciiTheme="minorEastAsia" w:hAnsiTheme="minorEastAsia"/>
                <w:b/>
                <w:bCs/>
                <w:sz w:val="24"/>
              </w:rPr>
            </w:pPr>
          </w:p>
        </w:tc>
      </w:tr>
      <w:tr w14:paraId="33046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AF0477D">
            <w:pPr>
              <w:snapToGrid w:val="0"/>
              <w:jc w:val="left"/>
              <w:rPr>
                <w:rFonts w:hint="default" w:cs="仿宋_GB2312" w:asciiTheme="minorEastAsia" w:hAnsiTheme="minorEastAsia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仿宋_GB2312" w:asciiTheme="minorEastAsia" w:hAnsiTheme="minorEastAsia" w:eastAsiaTheme="minorEastAsia"/>
                <w:sz w:val="21"/>
                <w:szCs w:val="21"/>
              </w:rPr>
              <w:t>加分项</w:t>
            </w:r>
            <w:r>
              <w:rPr>
                <w:rFonts w:hint="eastAsia" w:cs="仿宋_GB2312" w:asciiTheme="minorEastAsia" w:hAnsiTheme="minorEastAsia"/>
                <w:sz w:val="21"/>
                <w:szCs w:val="21"/>
                <w:lang w:val="en-US" w:eastAsia="zh-CN"/>
              </w:rPr>
              <w:t xml:space="preserve"> 5分</w:t>
            </w:r>
          </w:p>
        </w:tc>
        <w:tc>
          <w:tcPr>
            <w:tcW w:w="685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4C2EB89">
            <w:pPr>
              <w:snapToGrid w:val="0"/>
              <w:jc w:val="left"/>
              <w:rPr>
                <w:rFonts w:hint="eastAsia"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b w:val="0"/>
                <w:bCs w:val="0"/>
                <w:szCs w:val="21"/>
                <w:lang w:eastAsia="zh-CN"/>
              </w:rPr>
              <w:t>可</w:t>
            </w:r>
            <w:r>
              <w:rPr>
                <w:rFonts w:hint="eastAsia" w:cs="仿宋_GB2312" w:asciiTheme="minorEastAsia" w:hAnsiTheme="minorEastAsia" w:eastAsiaTheme="minorEastAsia"/>
                <w:b w:val="0"/>
                <w:bCs w:val="0"/>
                <w:szCs w:val="21"/>
                <w:lang w:val="en-US" w:eastAsia="zh-CN"/>
              </w:rPr>
              <w:t>免费</w:t>
            </w:r>
            <w:r>
              <w:rPr>
                <w:rFonts w:hint="eastAsia" w:cs="仿宋_GB2312" w:asciiTheme="minorEastAsia" w:hAnsiTheme="minorEastAsia" w:eastAsiaTheme="minorEastAsia"/>
                <w:b w:val="0"/>
                <w:bCs w:val="0"/>
                <w:szCs w:val="21"/>
                <w:lang w:eastAsia="zh-CN"/>
              </w:rPr>
              <w:t>提供</w:t>
            </w:r>
            <w:r>
              <w:rPr>
                <w:rFonts w:hint="eastAsia" w:cs="仿宋_GB2312" w:asciiTheme="minorEastAsia" w:hAnsiTheme="minorEastAsia" w:eastAsiaTheme="minorEastAsia"/>
                <w:b w:val="0"/>
                <w:bCs w:val="0"/>
                <w:szCs w:val="21"/>
              </w:rPr>
              <w:t>除监管平台外的其他适合学校使用的信息化建设软硬件等</w:t>
            </w:r>
            <w:r>
              <w:rPr>
                <w:rFonts w:hint="eastAsia" w:cs="仿宋_GB2312" w:asciiTheme="minorEastAsia" w:hAnsiTheme="minorEastAsia"/>
                <w:b w:val="0"/>
                <w:bCs w:val="0"/>
                <w:szCs w:val="21"/>
                <w:lang w:eastAsia="zh-CN"/>
              </w:rPr>
              <w:t>。</w:t>
            </w:r>
            <w:r>
              <w:rPr>
                <w:rFonts w:hint="eastAsia" w:cs="仿宋_GB2312" w:asciiTheme="minorEastAsia" w:hAnsiTheme="minorEastAsia"/>
                <w:b w:val="0"/>
                <w:bCs w:val="0"/>
                <w:szCs w:val="21"/>
                <w:lang w:val="en-US" w:eastAsia="zh-CN"/>
              </w:rPr>
              <w:t>1-</w:t>
            </w:r>
            <w:r>
              <w:rPr>
                <w:rFonts w:hint="eastAsia" w:cs="仿宋_GB2312" w:asciiTheme="minorEastAsia" w:hAnsiTheme="minorEastAsia" w:eastAsiaTheme="minorEastAsia"/>
                <w:b w:val="0"/>
                <w:bCs w:val="0"/>
                <w:szCs w:val="21"/>
              </w:rPr>
              <w:t>5分</w:t>
            </w:r>
          </w:p>
        </w:tc>
        <w:tc>
          <w:tcPr>
            <w:tcW w:w="85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8F2291">
            <w:pPr>
              <w:snapToGrid w:val="0"/>
              <w:jc w:val="center"/>
              <w:rPr>
                <w:rFonts w:cs="仿宋_GB2312" w:asciiTheme="minorEastAsia" w:hAnsiTheme="minorEastAsia"/>
                <w:b/>
                <w:bCs/>
                <w:sz w:val="24"/>
              </w:rPr>
            </w:pPr>
          </w:p>
        </w:tc>
      </w:tr>
    </w:tbl>
    <w:p w14:paraId="5E2739A5">
      <w:r>
        <w:rPr>
          <w:rFonts w:hint="eastAsia"/>
        </w:rPr>
        <w:tab/>
      </w:r>
    </w:p>
    <w:p w14:paraId="672103D3">
      <w:r>
        <w:rPr>
          <w:rFonts w:hint="eastAsia"/>
        </w:rPr>
        <w:tab/>
      </w:r>
      <w:r>
        <w:rPr>
          <w:rFonts w:hint="eastAsia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146B9D"/>
    <w:rsid w:val="0043552B"/>
    <w:rsid w:val="00F67908"/>
    <w:rsid w:val="011E1FE4"/>
    <w:rsid w:val="020C2621"/>
    <w:rsid w:val="024C2B81"/>
    <w:rsid w:val="02E96621"/>
    <w:rsid w:val="03800D34"/>
    <w:rsid w:val="04275653"/>
    <w:rsid w:val="043A5387"/>
    <w:rsid w:val="056F1060"/>
    <w:rsid w:val="06F83A96"/>
    <w:rsid w:val="07AD40C1"/>
    <w:rsid w:val="09153CCC"/>
    <w:rsid w:val="098B21E0"/>
    <w:rsid w:val="0D6945E7"/>
    <w:rsid w:val="0E4B0190"/>
    <w:rsid w:val="115B4B8E"/>
    <w:rsid w:val="11C75D80"/>
    <w:rsid w:val="12DC3AAD"/>
    <w:rsid w:val="160A26DF"/>
    <w:rsid w:val="165D4F05"/>
    <w:rsid w:val="17984446"/>
    <w:rsid w:val="18F02060"/>
    <w:rsid w:val="197E766C"/>
    <w:rsid w:val="1A6570C1"/>
    <w:rsid w:val="1C316C17"/>
    <w:rsid w:val="1C7D1E5D"/>
    <w:rsid w:val="1C9A2A0F"/>
    <w:rsid w:val="1E081BFA"/>
    <w:rsid w:val="200D1749"/>
    <w:rsid w:val="20A0436C"/>
    <w:rsid w:val="20BA4465"/>
    <w:rsid w:val="21E464DA"/>
    <w:rsid w:val="24EC6623"/>
    <w:rsid w:val="259A0642"/>
    <w:rsid w:val="2AAB4039"/>
    <w:rsid w:val="2B6C1A1A"/>
    <w:rsid w:val="2B801021"/>
    <w:rsid w:val="2C493B09"/>
    <w:rsid w:val="2D355E3C"/>
    <w:rsid w:val="2D572256"/>
    <w:rsid w:val="2E7B3D22"/>
    <w:rsid w:val="2F8A06C1"/>
    <w:rsid w:val="2FDB716E"/>
    <w:rsid w:val="2FF10740"/>
    <w:rsid w:val="30731155"/>
    <w:rsid w:val="30801AC4"/>
    <w:rsid w:val="30CB2D3F"/>
    <w:rsid w:val="312863E3"/>
    <w:rsid w:val="39C173D5"/>
    <w:rsid w:val="39DB5D1B"/>
    <w:rsid w:val="3B3B4F65"/>
    <w:rsid w:val="3B8701AA"/>
    <w:rsid w:val="3BE473AB"/>
    <w:rsid w:val="3E630A5B"/>
    <w:rsid w:val="3F057D64"/>
    <w:rsid w:val="46B67B95"/>
    <w:rsid w:val="4743767B"/>
    <w:rsid w:val="478D08F6"/>
    <w:rsid w:val="49677B2B"/>
    <w:rsid w:val="4C982217"/>
    <w:rsid w:val="4FCC3F86"/>
    <w:rsid w:val="4FEE03A0"/>
    <w:rsid w:val="509E3B74"/>
    <w:rsid w:val="53130849"/>
    <w:rsid w:val="535E3DD5"/>
    <w:rsid w:val="539354E6"/>
    <w:rsid w:val="551E5284"/>
    <w:rsid w:val="5540344C"/>
    <w:rsid w:val="567A0BDF"/>
    <w:rsid w:val="56890E23"/>
    <w:rsid w:val="5875165E"/>
    <w:rsid w:val="593B4656"/>
    <w:rsid w:val="5C146B9D"/>
    <w:rsid w:val="5CCE57E1"/>
    <w:rsid w:val="5E174F66"/>
    <w:rsid w:val="5ECA6D76"/>
    <w:rsid w:val="5FF217E7"/>
    <w:rsid w:val="610E2650"/>
    <w:rsid w:val="637075F2"/>
    <w:rsid w:val="64122457"/>
    <w:rsid w:val="650C50F9"/>
    <w:rsid w:val="67423054"/>
    <w:rsid w:val="6773145F"/>
    <w:rsid w:val="67DF4D46"/>
    <w:rsid w:val="68BE495C"/>
    <w:rsid w:val="69F12B0F"/>
    <w:rsid w:val="69F85C4B"/>
    <w:rsid w:val="6BFA3EFD"/>
    <w:rsid w:val="6D154D66"/>
    <w:rsid w:val="6DFF1C9E"/>
    <w:rsid w:val="6EF07839"/>
    <w:rsid w:val="6FA81EC2"/>
    <w:rsid w:val="738974B5"/>
    <w:rsid w:val="772E7150"/>
    <w:rsid w:val="78FB7506"/>
    <w:rsid w:val="792720A9"/>
    <w:rsid w:val="7A287E87"/>
    <w:rsid w:val="7A794B87"/>
    <w:rsid w:val="7AC202DC"/>
    <w:rsid w:val="7BA93249"/>
    <w:rsid w:val="7BB045D8"/>
    <w:rsid w:val="7C134B67"/>
    <w:rsid w:val="7EEF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1970</Words>
  <Characters>2045</Characters>
  <Lines>15</Lines>
  <Paragraphs>4</Paragraphs>
  <TotalTime>1</TotalTime>
  <ScaleCrop>false</ScaleCrop>
  <LinksUpToDate>false</LinksUpToDate>
  <CharactersWithSpaces>2062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2026-06-05T07:01:00Z</dcterms:created>
  <dc:creator>无尽夏</dc:creator>
  <cp:lastModifiedBy>无尽夏</cp:lastModifiedBy>
  <dcterms:modified xsi:type="dcterms:W3CDTF">2026-06-05T08:25:55Z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9B88EE11561741879D98F9F22907CF6E_13</vt:lpwstr>
  </property>
  <property fmtid="{D5CDD505-2E9C-101B-9397-08002B2CF9AE}" pid="4" name="KSOTemplateDocerSaveRecord">
    <vt:lpwstr>eyJoZGlkIjoiMmFlNjYwNjAwOGIzZTcxM2VkMTcwZmU5NjliOWMxZTUiLCJ1c2VySWQiOiIzMzYyMzY4NDAifQ==</vt:lpwstr>
  </property>
</Properties>
</file>