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中山市新融科技有限公司工业厂房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低效工业用地再开发实施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方案</w:t>
      </w:r>
    </w:p>
    <w:p w14:paraId="1F0F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</w:p>
    <w:p w14:paraId="0BB0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根据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大涌镇青岗东片区控制性详细规划（2018）》（中府函【2018】891号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大涌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镇人民政府拟对位于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中山市大涌镇青业街8号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中山市新融科技有限公司低效工业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用地进行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中山市新融科技有限公司进行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自主改造，采取全面改造的改造方式。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方案如下：</w:t>
      </w:r>
    </w:p>
    <w:p w14:paraId="07A6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一、地块基本情况</w:t>
      </w:r>
    </w:p>
    <w:p w14:paraId="4355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（一）总体情况</w:t>
      </w:r>
    </w:p>
    <w:p w14:paraId="3165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中山市大涌镇青业街8号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1.3066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13066.1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19.5992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亩）。</w:t>
      </w:r>
    </w:p>
    <w:p w14:paraId="1578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）权属情况</w:t>
      </w:r>
    </w:p>
    <w:p w14:paraId="585A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属国有建设用地，土地用途为工业，改造涉及的土地已经确权、登记，不动产权证号为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粤（2026）中山市不动产权第0339890号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，为土地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中山市新融科技有限公司于2025年通过司法拍卖取得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。</w:t>
      </w:r>
    </w:p>
    <w:p w14:paraId="4EC7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）土地利用现状情况</w:t>
      </w:r>
    </w:p>
    <w:p w14:paraId="69A2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为空地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原有一栋建筑物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原权属人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月开始使用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无合法规划报建手续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有建筑面积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约12000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，作工业厂房所用。该地块目前已拆除建筑面积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该地块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不涉及抵押、查封，不涉及闲置土地，不涉及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历史文化资源要素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不在土壤环境潜在监测地块范围内，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0万元（折合0万元/亩）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3114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）规划情况</w:t>
      </w:r>
    </w:p>
    <w:p w14:paraId="5836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改造地块符合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、控制性详细规划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其中，在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中，属城镇建设用地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1.3066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13066.1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19.5992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亩），属非建设用地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亩）；在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大涌镇青岗东片区控制性详细规划（2018）》（中府函【2018】891号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中，一类工业用地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1.3020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13019.91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19.5299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亩），规划容积率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，绿地率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10%-15%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，建筑高度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城市道路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0.0048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47.84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0.0718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。</w:t>
      </w:r>
    </w:p>
    <w:p w14:paraId="13B3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改造项目位于城镇开发边界内，不涉及占压森林资源，不涉及永久基本农田、生态保护红线等管控要求。</w:t>
      </w:r>
    </w:p>
    <w:p w14:paraId="78A3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二、改造意愿情况</w:t>
      </w:r>
    </w:p>
    <w:p w14:paraId="0489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改造范围涉及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中山市新融科技有限公司1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个权利主体，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大涌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</w:rPr>
        <w:t>镇人民政府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已按照法律法规，就改造范围、土地现状、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人改造意愿，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将涉及土地、房屋纳入改造范围。</w:t>
      </w:r>
    </w:p>
    <w:p w14:paraId="15AD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主体及拟改造情况</w:t>
      </w:r>
    </w:p>
    <w:p w14:paraId="40B2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</w:rPr>
        <w:t>控制性详细规划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管控要求实施建设。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在规划中属非建设用地部分，按照非建设用地进行管控；在详细规划中属道路和绿地等公益性用地部分，日后属地政府需按规划开发建设时，应无偿将用地交给属地政府使用。</w:t>
      </w:r>
    </w:p>
    <w:p w14:paraId="787C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改造项目拟采取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</w:rPr>
        <w:t>人自主改造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方式，由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中山市新融科技有限公司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</w:rPr>
        <w:t>全面改造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。改造后将用于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shd w:val="clear" w:color="auto"/>
          <w:lang w:val="en-US" w:eastAsia="zh-CN"/>
        </w:rPr>
        <w:t>引进智能照明灯具制造、智慧家居、高端电子等产业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3.35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43771.44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平方米），其中新建建筑面积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43771.44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平方米，保留建筑面积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平方米。</w:t>
      </w:r>
    </w:p>
    <w:p w14:paraId="2247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项目相关情况符合国家《产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shd w:val="clear"/>
        </w:rPr>
        <w:t>业结构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shd w:val="clear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441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万元。</w:t>
      </w:r>
    </w:p>
    <w:p w14:paraId="2FAE29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资金筹措</w:t>
      </w:r>
    </w:p>
    <w:p w14:paraId="7620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主体拟投入资金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5880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万元，其中自有资金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2940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万元，，银行借贷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2940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万元。</w:t>
      </w:r>
    </w:p>
    <w:p w14:paraId="64FDC7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开发时序</w:t>
      </w:r>
    </w:p>
    <w:p w14:paraId="18A7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自实施方案批复之日起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365日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内开工，开工后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天内竣工，拟投入资金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5880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元，拟建建筑面积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43771.44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平方米），保留建筑面积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。</w:t>
      </w:r>
    </w:p>
    <w:p w14:paraId="31ABEAD2">
      <w:pPr>
        <w:keepNext w:val="0"/>
        <w:keepLines w:val="0"/>
        <w:pageBreakBefore w:val="0"/>
        <w:widowControl w:val="0"/>
        <w:tabs>
          <w:tab w:val="left" w:pos="7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六、实施监管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eastAsia="zh-CN"/>
        </w:rPr>
        <w:tab/>
      </w:r>
    </w:p>
    <w:p w14:paraId="05FD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结合项目实际情况和经同步审核确认的实施监管协议，明确需落实至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方案的监管内容。</w:t>
      </w:r>
    </w:p>
    <w:p w14:paraId="7B94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</w:pPr>
    </w:p>
    <w:p w14:paraId="6394DC11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ADC8F0-6EF3-4103-9750-55A6107EB7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23D8F6-2D83-4C6D-8F43-8416517268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B739ED2-42BB-412B-AB3A-62033F376A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9E8B93-3DF7-4216-870B-8868C6B4D7D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ECF929C-BD75-41B6-A0DC-64E32D06CF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C7F2E63-8CD7-432A-B58B-C4C53177332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673"/>
    <w:rsid w:val="06322943"/>
    <w:rsid w:val="092914AF"/>
    <w:rsid w:val="14B862F5"/>
    <w:rsid w:val="15D05C79"/>
    <w:rsid w:val="1E2E187F"/>
    <w:rsid w:val="29887B42"/>
    <w:rsid w:val="2E202ACB"/>
    <w:rsid w:val="2E5B3D42"/>
    <w:rsid w:val="343B4673"/>
    <w:rsid w:val="44EB2E71"/>
    <w:rsid w:val="559D53F0"/>
    <w:rsid w:val="5A7510AB"/>
    <w:rsid w:val="5AE7165E"/>
    <w:rsid w:val="6CB807BF"/>
    <w:rsid w:val="6F1019EE"/>
    <w:rsid w:val="7E0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1216</Words>
  <Characters>1376</Characters>
  <Lines>0</Lines>
  <Paragraphs>0</Paragraphs>
  <TotalTime>2395</TotalTime>
  <ScaleCrop>false</ScaleCrop>
  <LinksUpToDate>false</LinksUpToDate>
  <CharactersWithSpaces>1376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liang小仪</cp:lastModifiedBy>
  <cp:lastPrinted>2023-03-03T02:49:00Z</cp:lastPrinted>
  <dcterms:modified xsi:type="dcterms:W3CDTF">2026-05-09T00:38:00Z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9A04E11C1BEF48BE97CC81752E1AF289_13</vt:lpwstr>
  </property>
  <property fmtid="{D5CDD505-2E9C-101B-9397-08002B2CF9AE}" pid="4" name="KSOTemplateDocerSaveRecord">
    <vt:lpwstr>eyJoZGlkIjoiMDNkNjIwY2FhNmYyZThiOWIzN2FlMzcwYjcwYmQzYWUiLCJ1c2VySWQiOiIzNzMzMDM5NzAifQ==</vt:lpwstr>
  </property>
</Properties>
</file>