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4972">
      <w:pPr>
        <w:adjustRightInd w:val="0"/>
        <w:snapToGrid w:val="0"/>
        <w:spacing w:beforeLines="0" w:afterLines="0" w:line="575" w:lineRule="exact"/>
        <w:jc w:val="center"/>
        <w:rPr>
          <w:rFonts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南头镇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中山市富高建设实业有限公司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“工改工”项目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低效工业用地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改造方案</w:t>
      </w:r>
    </w:p>
    <w:p w14:paraId="389EC2E6">
      <w:pPr>
        <w:spacing w:line="400" w:lineRule="exact"/>
        <w:jc w:val="center"/>
        <w:rPr>
          <w:b/>
          <w:bCs/>
          <w:color w:val="auto"/>
          <w:sz w:val="32"/>
          <w:szCs w:val="32"/>
          <w:highlight w:val="none"/>
        </w:rPr>
      </w:pPr>
    </w:p>
    <w:p w14:paraId="75058AB3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根据现行控制性详细规划，南头镇人民政府拟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将军村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的低效工业用地进行改造，由产权人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作为改造主体进行自主改造，采取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的改造方式。改造方案如下:</w:t>
      </w:r>
    </w:p>
    <w:p w14:paraId="532097E2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 w14:paraId="4344FB52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（一）总体情况</w:t>
      </w:r>
    </w:p>
    <w:p w14:paraId="3CAA3775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项目地块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南头镇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eastAsia="zh-CN"/>
        </w:rPr>
        <w:t>将军村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北至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厂房，东至广珠西线高速，南至同济东路，西至厂房，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1.2914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12913.6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19.37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 w14:paraId="0409B65A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标图入库情况</w:t>
      </w:r>
    </w:p>
    <w:p w14:paraId="5C562C6F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改造地块正在办理手续纳入省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低效用地数据库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66B3F07C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）权属情况</w:t>
      </w:r>
    </w:p>
    <w:p w14:paraId="4460A01B">
      <w:pPr>
        <w:pStyle w:val="2"/>
        <w:ind w:firstLine="616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改造地块属国有建设用地，土地用途为工业，改造涉及的土地已经确权、登记，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不动产权证号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粤（20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）中山市不动产权第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0334196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，为土地产权人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自20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年开始使用。</w:t>
      </w:r>
    </w:p>
    <w:p w14:paraId="3C992918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）土地利用现状情况</w:t>
      </w:r>
    </w:p>
    <w:p w14:paraId="7163BB68">
      <w:pPr>
        <w:ind w:firstLine="616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在二调及最新土地利用现状均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为建设用地。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均未办理建筑物报建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手续，现状容积率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，作工业用途。目前未拆除现状建筑物。改造前年产值约为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 w14:paraId="6A7E46BF"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查封、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抵押、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土壤环境潜在监管地块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1A22A8A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（五）规划情况</w:t>
      </w:r>
    </w:p>
    <w:p w14:paraId="56D8A880">
      <w:pPr>
        <w:ind w:firstLine="616" w:firstLineChars="20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改造地块符合国土空间总体规划、控制性详细规划，已纳入《中山市城市更新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“三旧”改造专项规划（2020-2035）》。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在《中山市国土空间总体规划（2021-2035 年）》中，属城乡建设用地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1.2914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12913.6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19.37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亩）；在《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南头镇升辉北路以东用地控制性详细规划调整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》（中府函〔20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号）中，一类工业用地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1.1610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11609.67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17.41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亩），规划容积率1-3.5,建筑密度35%-60%，绿地率10%-15%，建筑高度50米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;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防护绿地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0.0982公顷（981.87平方米，折合约1.47亩），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道路用地0.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0322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322.06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0.48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 w14:paraId="3BF28554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均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“三区三线”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城镇开发边界内，不涉及永久基本农田、生态保护红线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、森林资源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783F2579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 w14:paraId="0D6F81DE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个权利主体，南头镇人民政府已按照法律法规，就改造范围、土地现状、改造主体及拟改造情况等事项征询涉及所有产权人改造意愿，同意将涉及土地、房屋纳入改造范围。</w:t>
      </w:r>
    </w:p>
    <w:p w14:paraId="5279A378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73333FA9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019D36FC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改造项目拟采取自主改造方式，由产权人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。改造后用于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生产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VR眼镜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在符合详细规划的基础上，容积率不小于3.0，总建筑面积不小于38740.8平方米，其中新建建筑面积不小于38740.8平方米，不保留原建筑物。项目建成后可申请分割销售，自持销售比例为：自持不少于20%，销售不大于80%。</w:t>
      </w:r>
    </w:p>
    <w:p w14:paraId="48B6C627"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 w14:paraId="4D7E5175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四、资金筹措</w:t>
      </w:r>
    </w:p>
    <w:p w14:paraId="09CD54B8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 w14:paraId="03C85480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五、开发时序</w:t>
      </w:r>
    </w:p>
    <w:p w14:paraId="45420F6F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项目自改造方案批复之日起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日内动工，自动工之日起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日内竣工。</w:t>
      </w:r>
    </w:p>
    <w:p w14:paraId="2389EC86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六、实施监管</w:t>
      </w:r>
    </w:p>
    <w:p w14:paraId="2429B0EE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详见南头镇与改造主体签订的项目实施监管协议。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  <w:docVar w:name="KSO_WPS_MARK_KEY" w:val="42b0ff3d-a3c2-4880-a8bb-020ff1491b97"/>
  </w:docVars>
  <w:rsids>
    <w:rsidRoot w:val="009050CC"/>
    <w:rsid w:val="00085510"/>
    <w:rsid w:val="00093A92"/>
    <w:rsid w:val="00097FB0"/>
    <w:rsid w:val="000C7350"/>
    <w:rsid w:val="000D1DAD"/>
    <w:rsid w:val="00233255"/>
    <w:rsid w:val="0024294E"/>
    <w:rsid w:val="002A10F8"/>
    <w:rsid w:val="002F1BAE"/>
    <w:rsid w:val="00321434"/>
    <w:rsid w:val="003404AB"/>
    <w:rsid w:val="003E6B83"/>
    <w:rsid w:val="00413369"/>
    <w:rsid w:val="00431EAB"/>
    <w:rsid w:val="0056717B"/>
    <w:rsid w:val="0058143E"/>
    <w:rsid w:val="0065446F"/>
    <w:rsid w:val="006F1A8E"/>
    <w:rsid w:val="007221D9"/>
    <w:rsid w:val="009050CC"/>
    <w:rsid w:val="009F5963"/>
    <w:rsid w:val="00D05F74"/>
    <w:rsid w:val="00D51C7A"/>
    <w:rsid w:val="00DC0553"/>
    <w:rsid w:val="00EB3707"/>
    <w:rsid w:val="00EC42DC"/>
    <w:rsid w:val="00EC63A3"/>
    <w:rsid w:val="00F65B89"/>
    <w:rsid w:val="00F75136"/>
    <w:rsid w:val="00FC1897"/>
    <w:rsid w:val="01B33C25"/>
    <w:rsid w:val="027E7CF8"/>
    <w:rsid w:val="097116D1"/>
    <w:rsid w:val="097E3590"/>
    <w:rsid w:val="09BB4A21"/>
    <w:rsid w:val="0A9E5F43"/>
    <w:rsid w:val="0BAA2CD0"/>
    <w:rsid w:val="0C24314A"/>
    <w:rsid w:val="0D405134"/>
    <w:rsid w:val="0F4E6A03"/>
    <w:rsid w:val="12FF4E38"/>
    <w:rsid w:val="13BA4E0B"/>
    <w:rsid w:val="166A382D"/>
    <w:rsid w:val="16C11E17"/>
    <w:rsid w:val="17666F6F"/>
    <w:rsid w:val="178A6D77"/>
    <w:rsid w:val="18994A7B"/>
    <w:rsid w:val="1C640484"/>
    <w:rsid w:val="213A1B47"/>
    <w:rsid w:val="23D35CE7"/>
    <w:rsid w:val="273E47E2"/>
    <w:rsid w:val="27806BAA"/>
    <w:rsid w:val="27BE2858"/>
    <w:rsid w:val="286B5250"/>
    <w:rsid w:val="29090949"/>
    <w:rsid w:val="29487125"/>
    <w:rsid w:val="29A06849"/>
    <w:rsid w:val="29CF16E1"/>
    <w:rsid w:val="29E744F3"/>
    <w:rsid w:val="2A7A21AE"/>
    <w:rsid w:val="2B24295B"/>
    <w:rsid w:val="2C224DC3"/>
    <w:rsid w:val="2C754722"/>
    <w:rsid w:val="2D365318"/>
    <w:rsid w:val="2D7211E3"/>
    <w:rsid w:val="2E086998"/>
    <w:rsid w:val="2EC13E2B"/>
    <w:rsid w:val="2FF40C09"/>
    <w:rsid w:val="314D49EF"/>
    <w:rsid w:val="341727F5"/>
    <w:rsid w:val="348E2278"/>
    <w:rsid w:val="351C6D05"/>
    <w:rsid w:val="36474D8D"/>
    <w:rsid w:val="38080A88"/>
    <w:rsid w:val="38C91C4E"/>
    <w:rsid w:val="3A7B5195"/>
    <w:rsid w:val="3BFD3176"/>
    <w:rsid w:val="3F395AC9"/>
    <w:rsid w:val="4272038F"/>
    <w:rsid w:val="43584806"/>
    <w:rsid w:val="43CE06CA"/>
    <w:rsid w:val="44174B03"/>
    <w:rsid w:val="44DC5391"/>
    <w:rsid w:val="44E17915"/>
    <w:rsid w:val="460232BA"/>
    <w:rsid w:val="46471BD8"/>
    <w:rsid w:val="466755A2"/>
    <w:rsid w:val="49C90144"/>
    <w:rsid w:val="4AE8783A"/>
    <w:rsid w:val="4D1E49A5"/>
    <w:rsid w:val="51802DCA"/>
    <w:rsid w:val="52E35CB5"/>
    <w:rsid w:val="54BA2F48"/>
    <w:rsid w:val="5C2C64D8"/>
    <w:rsid w:val="5D0B7C5E"/>
    <w:rsid w:val="5DC42461"/>
    <w:rsid w:val="5EEF498A"/>
    <w:rsid w:val="5EFD120B"/>
    <w:rsid w:val="5FA92DF7"/>
    <w:rsid w:val="60137341"/>
    <w:rsid w:val="60663786"/>
    <w:rsid w:val="60C8740B"/>
    <w:rsid w:val="620265BF"/>
    <w:rsid w:val="62E123C8"/>
    <w:rsid w:val="67050FE8"/>
    <w:rsid w:val="69565383"/>
    <w:rsid w:val="697C25FD"/>
    <w:rsid w:val="6C642F64"/>
    <w:rsid w:val="6C693D03"/>
    <w:rsid w:val="6CD55E52"/>
    <w:rsid w:val="6DBB1DDA"/>
    <w:rsid w:val="6E8251A0"/>
    <w:rsid w:val="6E8A0DA4"/>
    <w:rsid w:val="701D41BA"/>
    <w:rsid w:val="719B4106"/>
    <w:rsid w:val="73FF047C"/>
    <w:rsid w:val="75764B21"/>
    <w:rsid w:val="760A0BFC"/>
    <w:rsid w:val="788E1F9B"/>
    <w:rsid w:val="7AA566CA"/>
    <w:rsid w:val="7AE2051E"/>
    <w:rsid w:val="7B4C7489"/>
    <w:rsid w:val="7F105F6F"/>
    <w:rsid w:val="7FAE71C7"/>
    <w:rsid w:val="7FF80DB3"/>
    <w:rsid w:val="FFEE1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/>
      <w:sz w:val="24"/>
      <w:szCs w:val="24"/>
      <w:lang w:bidi="gu-IN"/>
    </w:rPr>
  </w:style>
  <w:style w:type="paragraph" w:styleId="4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line="0" w:lineRule="atLeast"/>
    </w:pPr>
    <w:rPr>
      <w:rFonts w:eastAsia="小标宋"/>
      <w:sz w:val="44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16"/>
    <w:semiHidden/>
    <w:unhideWhenUsed/>
    <w:qFormat/>
    <w:uiPriority w:val="0"/>
    <w:rPr>
      <w:b/>
      <w:bCs/>
    </w:rPr>
  </w:style>
  <w:style w:type="character" w:styleId="14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5">
    <w:name w:val="批注文字 Char"/>
    <w:basedOn w:val="13"/>
    <w:link w:val="4"/>
    <w:semiHidden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6">
    <w:name w:val="批注主题 Char"/>
    <w:basedOn w:val="15"/>
    <w:link w:val="11"/>
    <w:semiHidden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character" w:customStyle="1" w:styleId="17">
    <w:name w:val="批注框文本 Char"/>
    <w:basedOn w:val="13"/>
    <w:link w:val="7"/>
    <w:semiHidden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8">
    <w:name w:val="页眉 Char"/>
    <w:basedOn w:val="13"/>
    <w:link w:val="9"/>
    <w:semiHidden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1299</Words>
  <Characters>1471</Characters>
  <Lines>13</Lines>
  <Paragraphs>3</Paragraphs>
  <TotalTime>2</TotalTime>
  <ScaleCrop>false</ScaleCrop>
  <LinksUpToDate>false</LinksUpToDate>
  <CharactersWithSpaces>1472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2023-11-11T11:45:00Z</dcterms:created>
  <dc:creator>2210132C</dc:creator>
  <cp:lastModifiedBy>GUEST</cp:lastModifiedBy>
  <cp:lastPrinted>2026-05-13T16:52:00Z</cp:lastPrinted>
  <dcterms:modified xsi:type="dcterms:W3CDTF">2026-05-20T11:28:06Z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5BEFF6FA18864A069B59B4F6F17746F5_13</vt:lpwstr>
  </property>
  <property fmtid="{D5CDD505-2E9C-101B-9397-08002B2CF9AE}" pid="3" name="KSOProductBuildVer">
    <vt:lpwstr>2052-12.9.0.21301</vt:lpwstr>
  </property>
  <property fmtid="{D5CDD505-2E9C-101B-9397-08002B2CF9AE}" pid="4" name="KSOTemplateDocerSaveRecord">
    <vt:lpwstr>eyJoZGlkIjoiMjAzY2M2ZTdlNmQ3Nzc0OWFjMWJkZTQ0NjVkMzU4NzAiLCJ1c2VySWQiOiIzNjQ3MzQ0MDcifQ==</vt:lpwstr>
  </property>
</Properties>
</file>