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9136E">
      <w:pPr>
        <w:snapToGrid w:val="0"/>
        <w:jc w:val="center"/>
        <w:rPr>
          <w:rFonts w:ascii="Times New Roman" w:eastAsia="华文中宋"/>
          <w:color w:val="auto"/>
          <w:sz w:val="52"/>
          <w:szCs w:val="52"/>
          <w:u w:val="none"/>
        </w:rPr>
      </w:pPr>
    </w:p>
    <w:p w14:paraId="60D377C9">
      <w:pPr>
        <w:snapToGrid w:val="0"/>
        <w:jc w:val="center"/>
        <w:rPr>
          <w:rFonts w:hint="eastAsia" w:ascii="方正小标宋简体" w:hAnsi="方正小标宋简体" w:eastAsia="方正小标宋简体" w:cs="方正小标宋简体"/>
          <w:color w:val="auto"/>
          <w:sz w:val="52"/>
          <w:szCs w:val="52"/>
          <w:u w:val="none"/>
        </w:rPr>
      </w:pPr>
      <w:r>
        <w:rPr>
          <w:rFonts w:hint="eastAsia" w:ascii="方正小标宋简体" w:hAnsi="方正小标宋简体" w:eastAsia="方正小标宋简体" w:cs="方正小标宋简体"/>
          <w:color w:val="auto"/>
          <w:sz w:val="52"/>
          <w:szCs w:val="52"/>
          <w:u w:val="none"/>
        </w:rPr>
        <w:t>中山市民政事业发展“十四五”规划</w:t>
      </w:r>
    </w:p>
    <w:p w14:paraId="60CBB28E">
      <w:pPr>
        <w:snapToGrid w:val="0"/>
        <w:jc w:val="center"/>
        <w:rPr>
          <w:rFonts w:hint="eastAsia" w:ascii="方正小标宋简体" w:hAnsi="方正小标宋简体" w:eastAsia="方正小标宋简体" w:cs="方正小标宋简体"/>
          <w:color w:val="auto"/>
          <w:sz w:val="52"/>
          <w:szCs w:val="52"/>
          <w:u w:val="none"/>
        </w:rPr>
      </w:pPr>
      <w:r>
        <w:rPr>
          <w:rFonts w:hint="eastAsia" w:ascii="方正小标宋简体" w:hAnsi="方正小标宋简体" w:eastAsia="方正小标宋简体" w:cs="方正小标宋简体"/>
          <w:color w:val="auto"/>
          <w:sz w:val="52"/>
          <w:szCs w:val="52"/>
          <w:u w:val="none"/>
        </w:rPr>
        <w:t>（2021-2025年）</w:t>
      </w:r>
    </w:p>
    <w:p w14:paraId="3EF1C238">
      <w:pPr>
        <w:snapToGrid w:val="0"/>
        <w:jc w:val="center"/>
        <w:rPr>
          <w:rFonts w:ascii="Times New Roman" w:eastAsia="楷体_GB2312"/>
          <w:color w:val="auto"/>
          <w:sz w:val="36"/>
          <w:szCs w:val="36"/>
          <w:u w:val="none"/>
        </w:rPr>
      </w:pPr>
    </w:p>
    <w:p w14:paraId="07F26326">
      <w:pPr>
        <w:snapToGrid w:val="0"/>
        <w:jc w:val="center"/>
        <w:rPr>
          <w:rFonts w:ascii="Times New Roman" w:eastAsia="黑体"/>
          <w:b/>
          <w:bCs/>
          <w:color w:val="auto"/>
          <w:sz w:val="36"/>
          <w:szCs w:val="36"/>
          <w:u w:val="none"/>
        </w:rPr>
      </w:pPr>
    </w:p>
    <w:p w14:paraId="6F611497">
      <w:pPr>
        <w:snapToGrid w:val="0"/>
        <w:jc w:val="center"/>
        <w:rPr>
          <w:rFonts w:ascii="Times New Roman" w:eastAsia="黑体"/>
          <w:b/>
          <w:bCs/>
          <w:color w:val="auto"/>
          <w:sz w:val="36"/>
          <w:szCs w:val="36"/>
          <w:u w:val="none"/>
        </w:rPr>
      </w:pPr>
    </w:p>
    <w:p w14:paraId="2A52EF30">
      <w:pPr>
        <w:pStyle w:val="7"/>
        <w:snapToGrid w:val="0"/>
        <w:rPr>
          <w:rFonts w:hint="default" w:ascii="Times New Roman" w:eastAsia="黑体"/>
          <w:bCs/>
          <w:color w:val="auto"/>
          <w:sz w:val="36"/>
          <w:szCs w:val="36"/>
          <w:u w:val="none"/>
        </w:rPr>
      </w:pPr>
    </w:p>
    <w:p w14:paraId="18895AFD">
      <w:pPr>
        <w:snapToGrid w:val="0"/>
        <w:jc w:val="center"/>
        <w:rPr>
          <w:rFonts w:ascii="Times New Roman" w:eastAsia="黑体"/>
          <w:b/>
          <w:bCs/>
          <w:color w:val="auto"/>
          <w:sz w:val="36"/>
          <w:szCs w:val="36"/>
          <w:u w:val="none"/>
        </w:rPr>
      </w:pPr>
    </w:p>
    <w:p w14:paraId="1E3BB00B">
      <w:pPr>
        <w:pStyle w:val="7"/>
        <w:snapToGrid w:val="0"/>
        <w:rPr>
          <w:rFonts w:hint="default" w:ascii="Times New Roman" w:eastAsia="黑体"/>
          <w:bCs/>
          <w:color w:val="auto"/>
          <w:sz w:val="36"/>
          <w:szCs w:val="36"/>
          <w:u w:val="none"/>
        </w:rPr>
      </w:pPr>
    </w:p>
    <w:p w14:paraId="313C0964">
      <w:pPr>
        <w:snapToGrid w:val="0"/>
        <w:jc w:val="center"/>
        <w:rPr>
          <w:rFonts w:ascii="Times New Roman"/>
          <w:color w:val="auto"/>
          <w:u w:val="none"/>
        </w:rPr>
      </w:pPr>
    </w:p>
    <w:p w14:paraId="24B9DD54">
      <w:pPr>
        <w:snapToGrid w:val="0"/>
        <w:jc w:val="center"/>
        <w:rPr>
          <w:rFonts w:ascii="Times New Roman"/>
          <w:color w:val="auto"/>
          <w:u w:val="none"/>
        </w:rPr>
      </w:pPr>
    </w:p>
    <w:p w14:paraId="10FD70FC">
      <w:pPr>
        <w:pStyle w:val="7"/>
        <w:snapToGrid w:val="0"/>
        <w:rPr>
          <w:rFonts w:hint="default" w:ascii="Times New Roman"/>
          <w:color w:val="auto"/>
          <w:u w:val="none"/>
        </w:rPr>
      </w:pPr>
    </w:p>
    <w:p w14:paraId="0D74F8D9">
      <w:pPr>
        <w:snapToGrid w:val="0"/>
        <w:jc w:val="center"/>
        <w:rPr>
          <w:rFonts w:ascii="Times New Roman" w:eastAsia="黑体"/>
          <w:b/>
          <w:bCs/>
          <w:color w:val="auto"/>
          <w:sz w:val="36"/>
          <w:szCs w:val="36"/>
          <w:u w:val="none"/>
        </w:rPr>
      </w:pPr>
    </w:p>
    <w:p w14:paraId="429B7ADC">
      <w:pPr>
        <w:pStyle w:val="7"/>
        <w:snapToGrid w:val="0"/>
        <w:rPr>
          <w:rFonts w:hint="default" w:ascii="Times New Roman"/>
          <w:color w:val="auto"/>
          <w:u w:val="none"/>
        </w:rPr>
      </w:pPr>
    </w:p>
    <w:p w14:paraId="34D9BD8B">
      <w:pPr>
        <w:snapToGrid w:val="0"/>
        <w:jc w:val="center"/>
        <w:rPr>
          <w:rFonts w:ascii="Times New Roman" w:eastAsia="黑体"/>
          <w:color w:val="auto"/>
          <w:sz w:val="36"/>
          <w:szCs w:val="36"/>
          <w:u w:val="none"/>
        </w:rPr>
      </w:pPr>
      <w:r>
        <w:rPr>
          <w:rFonts w:ascii="Times New Roman" w:eastAsia="黑体"/>
          <w:color w:val="auto"/>
          <w:sz w:val="36"/>
          <w:szCs w:val="36"/>
          <w:u w:val="none"/>
        </w:rPr>
        <w:t>中山市民政局</w:t>
      </w:r>
    </w:p>
    <w:p w14:paraId="081EFABC">
      <w:pPr>
        <w:snapToGrid w:val="0"/>
        <w:jc w:val="center"/>
        <w:rPr>
          <w:rFonts w:ascii="Times New Roman" w:eastAsia="黑体"/>
          <w:color w:val="auto"/>
          <w:u w:val="none"/>
        </w:rPr>
      </w:pPr>
      <w:r>
        <w:rPr>
          <w:rFonts w:ascii="Times New Roman" w:eastAsia="黑体"/>
          <w:color w:val="auto"/>
          <w:u w:val="none"/>
        </w:rPr>
        <w:t>2021年1</w:t>
      </w:r>
      <w:r>
        <w:rPr>
          <w:rFonts w:hint="eastAsia" w:ascii="Times New Roman" w:eastAsia="黑体"/>
          <w:color w:val="auto"/>
          <w:u w:val="none"/>
          <w:lang w:val="en-US" w:eastAsia="zh-CN"/>
        </w:rPr>
        <w:t>2</w:t>
      </w:r>
      <w:r>
        <w:rPr>
          <w:rFonts w:ascii="Times New Roman" w:eastAsia="黑体"/>
          <w:color w:val="auto"/>
          <w:u w:val="none"/>
        </w:rPr>
        <w:t>月</w:t>
      </w:r>
    </w:p>
    <w:p w14:paraId="0EECE2B1">
      <w:pPr>
        <w:snapToGrid w:val="0"/>
        <w:jc w:val="center"/>
        <w:rPr>
          <w:rFonts w:ascii="Times New Roman"/>
          <w:color w:val="auto"/>
          <w:u w:val="none"/>
        </w:rPr>
        <w:sectPr>
          <w:footerReference r:id="rId4" w:type="default"/>
          <w:footerReference r:id="rId5" w:type="even"/>
          <w:pgSz w:w="11906" w:h="16838"/>
          <w:pgMar w:top="2211" w:right="1531" w:bottom="1871" w:left="1531" w:header="851" w:footer="1361" w:gutter="0"/>
          <w:pgNumType w:fmt="numberInDash" w:start="1"/>
          <w:cols w:space="720" w:num="1"/>
          <w:docGrid w:type="linesAndChars" w:linePitch="574" w:charSpace="-1683"/>
        </w:sectPr>
      </w:pPr>
    </w:p>
    <w:p w14:paraId="3F82032F">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Times New Roman" w:eastAsia="黑体"/>
          <w:color w:val="auto"/>
          <w:sz w:val="44"/>
          <w:szCs w:val="44"/>
          <w:u w:val="none"/>
        </w:rPr>
      </w:pPr>
      <w:r>
        <w:rPr>
          <w:rFonts w:ascii="Times New Roman" w:eastAsia="黑体"/>
          <w:color w:val="auto"/>
          <w:sz w:val="44"/>
          <w:szCs w:val="44"/>
          <w:u w:val="none"/>
        </w:rPr>
        <w:t>目  录</w:t>
      </w:r>
    </w:p>
    <w:p w14:paraId="60C2A8B2">
      <w:pPr>
        <w:pStyle w:val="13"/>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textAlignment w:val="auto"/>
        <w:rPr>
          <w:rFonts w:ascii="Times New Roman" w:eastAsia="黑体"/>
          <w:color w:val="auto"/>
          <w:u w:val="none"/>
        </w:rPr>
      </w:pPr>
      <w:r>
        <w:rPr>
          <w:rFonts w:ascii="Times New Roman"/>
          <w:color w:val="auto"/>
          <w:u w:val="none"/>
        </w:rPr>
        <w:fldChar w:fldCharType="begin" w:fldLock="1"/>
      </w:r>
      <w:r>
        <w:rPr>
          <w:rFonts w:ascii="Times New Roman"/>
          <w:color w:val="auto"/>
          <w:u w:val="none"/>
        </w:rPr>
        <w:instrText xml:space="preserve">TOC \o "1-4" \h \u </w:instrText>
      </w:r>
      <w:r>
        <w:rPr>
          <w:rFonts w:ascii="Times New Roman"/>
          <w:color w:val="auto"/>
          <w:u w:val="none"/>
        </w:rPr>
        <w:fldChar w:fldCharType="separate"/>
      </w:r>
      <w:r>
        <w:rPr>
          <w:color w:val="auto"/>
          <w:u w:val="none"/>
        </w:rPr>
        <w:fldChar w:fldCharType="begin"/>
      </w:r>
      <w:r>
        <w:rPr>
          <w:color w:val="auto"/>
          <w:u w:val="none"/>
        </w:rPr>
        <w:instrText xml:space="preserve"> HYPERLINK \l "_Toc86940087" </w:instrText>
      </w:r>
      <w:r>
        <w:rPr>
          <w:color w:val="auto"/>
          <w:u w:val="none"/>
        </w:rPr>
        <w:fldChar w:fldCharType="separate"/>
      </w:r>
      <w:r>
        <w:rPr>
          <w:rStyle w:val="20"/>
          <w:rFonts w:ascii="Times New Roman" w:eastAsia="黑体"/>
          <w:color w:val="auto"/>
          <w:u w:val="none"/>
        </w:rPr>
        <w:t>一、发展基础</w:t>
      </w:r>
      <w:r>
        <w:rPr>
          <w:rFonts w:ascii="Times New Roman" w:eastAsia="黑体"/>
          <w:color w:val="auto"/>
          <w:u w:val="none"/>
        </w:rPr>
        <w:tab/>
      </w:r>
      <w:r>
        <w:rPr>
          <w:rFonts w:ascii="Times New Roman" w:eastAsia="黑体"/>
          <w:color w:val="auto"/>
          <w:u w:val="none"/>
        </w:rPr>
        <w:fldChar w:fldCharType="begin"/>
      </w:r>
      <w:r>
        <w:rPr>
          <w:rFonts w:ascii="Times New Roman" w:eastAsia="黑体"/>
          <w:color w:val="auto"/>
          <w:u w:val="none"/>
        </w:rPr>
        <w:instrText xml:space="preserve"> PAGEREF _Toc86940087 \h </w:instrText>
      </w:r>
      <w:r>
        <w:rPr>
          <w:rFonts w:ascii="Times New Roman" w:eastAsia="黑体"/>
          <w:color w:val="auto"/>
          <w:u w:val="none"/>
        </w:rPr>
        <w:fldChar w:fldCharType="separate"/>
      </w:r>
      <w:r>
        <w:rPr>
          <w:rFonts w:ascii="Times New Roman" w:eastAsia="黑体"/>
          <w:color w:val="auto"/>
          <w:u w:val="none"/>
        </w:rPr>
        <w:t>1</w:t>
      </w:r>
      <w:r>
        <w:rPr>
          <w:rFonts w:ascii="Times New Roman" w:eastAsia="黑体"/>
          <w:color w:val="auto"/>
          <w:u w:val="none"/>
        </w:rPr>
        <w:fldChar w:fldCharType="end"/>
      </w:r>
      <w:r>
        <w:rPr>
          <w:rFonts w:ascii="Times New Roman" w:eastAsia="黑体"/>
          <w:color w:val="auto"/>
          <w:u w:val="none"/>
        </w:rPr>
        <w:fldChar w:fldCharType="end"/>
      </w:r>
    </w:p>
    <w:p w14:paraId="026F7BCE">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ascii="Times New Roman" w:eastAsia="楷体_GB2312"/>
          <w:color w:val="auto"/>
          <w:u w:val="none"/>
        </w:rPr>
      </w:pPr>
      <w:r>
        <w:rPr>
          <w:color w:val="auto"/>
          <w:u w:val="none"/>
        </w:rPr>
        <w:fldChar w:fldCharType="begin"/>
      </w:r>
      <w:r>
        <w:rPr>
          <w:color w:val="auto"/>
          <w:u w:val="none"/>
        </w:rPr>
        <w:instrText xml:space="preserve"> HYPERLINK \l "_Toc86940088" </w:instrText>
      </w:r>
      <w:r>
        <w:rPr>
          <w:color w:val="auto"/>
          <w:u w:val="none"/>
        </w:rPr>
        <w:fldChar w:fldCharType="separate"/>
      </w:r>
      <w:r>
        <w:rPr>
          <w:rStyle w:val="20"/>
          <w:rFonts w:ascii="Times New Roman" w:eastAsia="楷体_GB2312"/>
          <w:color w:val="auto"/>
          <w:u w:val="none"/>
        </w:rPr>
        <w:t>（一）取得成效</w:t>
      </w:r>
      <w:r>
        <w:rPr>
          <w:rFonts w:ascii="Times New Roman" w:eastAsia="楷体_GB2312"/>
          <w:color w:val="auto"/>
          <w:u w:val="none"/>
        </w:rPr>
        <w:tab/>
      </w:r>
      <w:r>
        <w:rPr>
          <w:rFonts w:ascii="Times New Roman" w:eastAsia="楷体_GB2312"/>
          <w:color w:val="auto"/>
          <w:u w:val="none"/>
        </w:rPr>
        <w:fldChar w:fldCharType="begin"/>
      </w:r>
      <w:r>
        <w:rPr>
          <w:rFonts w:ascii="Times New Roman" w:eastAsia="楷体_GB2312"/>
          <w:color w:val="auto"/>
          <w:u w:val="none"/>
        </w:rPr>
        <w:instrText xml:space="preserve"> PAGEREF _Toc86940088 \h </w:instrText>
      </w:r>
      <w:r>
        <w:rPr>
          <w:rFonts w:ascii="Times New Roman" w:eastAsia="楷体_GB2312"/>
          <w:color w:val="auto"/>
          <w:u w:val="none"/>
        </w:rPr>
        <w:fldChar w:fldCharType="separate"/>
      </w:r>
      <w:r>
        <w:rPr>
          <w:rFonts w:ascii="Times New Roman" w:eastAsia="楷体_GB2312"/>
          <w:color w:val="auto"/>
          <w:u w:val="none"/>
        </w:rPr>
        <w:t>1</w:t>
      </w:r>
      <w:r>
        <w:rPr>
          <w:rFonts w:ascii="Times New Roman" w:eastAsia="楷体_GB2312"/>
          <w:color w:val="auto"/>
          <w:u w:val="none"/>
        </w:rPr>
        <w:fldChar w:fldCharType="end"/>
      </w:r>
      <w:r>
        <w:rPr>
          <w:rFonts w:ascii="Times New Roman" w:eastAsia="楷体_GB2312"/>
          <w:color w:val="auto"/>
          <w:u w:val="none"/>
        </w:rPr>
        <w:fldChar w:fldCharType="end"/>
      </w:r>
    </w:p>
    <w:p w14:paraId="57AF0015">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ascii="Times New Roman" w:eastAsia="等线"/>
          <w:color w:val="auto"/>
          <w:u w:val="none"/>
        </w:rPr>
      </w:pPr>
      <w:r>
        <w:rPr>
          <w:color w:val="auto"/>
          <w:u w:val="none"/>
        </w:rPr>
        <w:fldChar w:fldCharType="begin"/>
      </w:r>
      <w:r>
        <w:rPr>
          <w:color w:val="auto"/>
          <w:u w:val="none"/>
        </w:rPr>
        <w:instrText xml:space="preserve"> HYPERLINK \l "_Toc86940089" </w:instrText>
      </w:r>
      <w:r>
        <w:rPr>
          <w:color w:val="auto"/>
          <w:u w:val="none"/>
        </w:rPr>
        <w:fldChar w:fldCharType="separate"/>
      </w:r>
      <w:r>
        <w:rPr>
          <w:rStyle w:val="20"/>
          <w:rFonts w:ascii="Times New Roman"/>
          <w:color w:val="auto"/>
          <w:u w:val="none"/>
        </w:rPr>
        <w:t>1.坚持兜牢底线，基本民生保障更加有力</w:t>
      </w:r>
      <w:r>
        <w:rPr>
          <w:rFonts w:ascii="Times New Roman"/>
          <w:color w:val="auto"/>
          <w:u w:val="none"/>
        </w:rPr>
        <w:tab/>
      </w:r>
      <w:r>
        <w:rPr>
          <w:rFonts w:ascii="Times New Roman"/>
          <w:color w:val="auto"/>
          <w:u w:val="none"/>
        </w:rPr>
        <w:fldChar w:fldCharType="begin"/>
      </w:r>
      <w:r>
        <w:rPr>
          <w:rFonts w:ascii="Times New Roman"/>
          <w:color w:val="auto"/>
          <w:u w:val="none"/>
        </w:rPr>
        <w:instrText xml:space="preserve"> PAGEREF _Toc86940089 \h </w:instrText>
      </w:r>
      <w:r>
        <w:rPr>
          <w:rFonts w:ascii="Times New Roman"/>
          <w:color w:val="auto"/>
          <w:u w:val="none"/>
        </w:rPr>
        <w:fldChar w:fldCharType="separate"/>
      </w:r>
      <w:r>
        <w:rPr>
          <w:rFonts w:ascii="Times New Roman"/>
          <w:color w:val="auto"/>
          <w:u w:val="none"/>
        </w:rPr>
        <w:t>1</w:t>
      </w:r>
      <w:r>
        <w:rPr>
          <w:rFonts w:ascii="Times New Roman"/>
          <w:color w:val="auto"/>
          <w:u w:val="none"/>
        </w:rPr>
        <w:fldChar w:fldCharType="end"/>
      </w:r>
      <w:r>
        <w:rPr>
          <w:rFonts w:ascii="Times New Roman"/>
          <w:color w:val="auto"/>
          <w:u w:val="none"/>
        </w:rPr>
        <w:fldChar w:fldCharType="end"/>
      </w:r>
    </w:p>
    <w:p w14:paraId="18A32A0E">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ascii="Times New Roman" w:eastAsia="等线"/>
          <w:color w:val="auto"/>
          <w:u w:val="none"/>
        </w:rPr>
      </w:pPr>
      <w:r>
        <w:rPr>
          <w:color w:val="auto"/>
          <w:u w:val="none"/>
        </w:rPr>
        <w:fldChar w:fldCharType="begin"/>
      </w:r>
      <w:r>
        <w:rPr>
          <w:color w:val="auto"/>
          <w:u w:val="none"/>
        </w:rPr>
        <w:instrText xml:space="preserve"> HYPERLINK \l "_Toc86940090" </w:instrText>
      </w:r>
      <w:r>
        <w:rPr>
          <w:color w:val="auto"/>
          <w:u w:val="none"/>
        </w:rPr>
        <w:fldChar w:fldCharType="separate"/>
      </w:r>
      <w:r>
        <w:rPr>
          <w:rStyle w:val="20"/>
          <w:rFonts w:ascii="Times New Roman"/>
          <w:color w:val="auto"/>
          <w:u w:val="none"/>
        </w:rPr>
        <w:t>2.坚持改革创新，基本社会服务质量提质增效</w:t>
      </w:r>
      <w:r>
        <w:rPr>
          <w:rFonts w:ascii="Times New Roman"/>
          <w:color w:val="auto"/>
          <w:u w:val="none"/>
        </w:rPr>
        <w:tab/>
      </w:r>
      <w:r>
        <w:rPr>
          <w:rFonts w:ascii="Times New Roman"/>
          <w:color w:val="auto"/>
          <w:u w:val="none"/>
        </w:rPr>
        <w:fldChar w:fldCharType="begin"/>
      </w:r>
      <w:r>
        <w:rPr>
          <w:rFonts w:ascii="Times New Roman"/>
          <w:color w:val="auto"/>
          <w:u w:val="none"/>
        </w:rPr>
        <w:instrText xml:space="preserve"> PAGEREF _Toc86940090 \h </w:instrText>
      </w:r>
      <w:r>
        <w:rPr>
          <w:rFonts w:ascii="Times New Roman"/>
          <w:color w:val="auto"/>
          <w:u w:val="none"/>
        </w:rPr>
        <w:fldChar w:fldCharType="separate"/>
      </w:r>
      <w:r>
        <w:rPr>
          <w:rFonts w:ascii="Times New Roman"/>
          <w:color w:val="auto"/>
          <w:u w:val="none"/>
        </w:rPr>
        <w:t>4</w:t>
      </w:r>
      <w:r>
        <w:rPr>
          <w:rFonts w:ascii="Times New Roman"/>
          <w:color w:val="auto"/>
          <w:u w:val="none"/>
        </w:rPr>
        <w:fldChar w:fldCharType="end"/>
      </w:r>
      <w:r>
        <w:rPr>
          <w:rFonts w:ascii="Times New Roman"/>
          <w:color w:val="auto"/>
          <w:u w:val="none"/>
        </w:rPr>
        <w:fldChar w:fldCharType="end"/>
      </w:r>
    </w:p>
    <w:p w14:paraId="32311C6A">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ascii="Times New Roman" w:eastAsia="等线"/>
          <w:color w:val="auto"/>
          <w:u w:val="none"/>
        </w:rPr>
      </w:pPr>
      <w:r>
        <w:rPr>
          <w:color w:val="auto"/>
          <w:u w:val="none"/>
        </w:rPr>
        <w:fldChar w:fldCharType="begin"/>
      </w:r>
      <w:r>
        <w:rPr>
          <w:color w:val="auto"/>
          <w:u w:val="none"/>
        </w:rPr>
        <w:instrText xml:space="preserve"> HYPERLINK \l "_Toc86940091" </w:instrText>
      </w:r>
      <w:r>
        <w:rPr>
          <w:color w:val="auto"/>
          <w:u w:val="none"/>
        </w:rPr>
        <w:fldChar w:fldCharType="separate"/>
      </w:r>
      <w:r>
        <w:rPr>
          <w:rStyle w:val="20"/>
          <w:rFonts w:ascii="Times New Roman"/>
          <w:color w:val="auto"/>
          <w:u w:val="none"/>
        </w:rPr>
        <w:t>3.坚持共建共享，基层社会治理更加扎实</w:t>
      </w:r>
      <w:r>
        <w:rPr>
          <w:rFonts w:ascii="Times New Roman"/>
          <w:color w:val="auto"/>
          <w:u w:val="none"/>
        </w:rPr>
        <w:tab/>
      </w:r>
      <w:r>
        <w:rPr>
          <w:rFonts w:ascii="Times New Roman"/>
          <w:color w:val="auto"/>
          <w:u w:val="none"/>
        </w:rPr>
        <w:fldChar w:fldCharType="begin"/>
      </w:r>
      <w:r>
        <w:rPr>
          <w:rFonts w:ascii="Times New Roman"/>
          <w:color w:val="auto"/>
          <w:u w:val="none"/>
        </w:rPr>
        <w:instrText xml:space="preserve"> PAGEREF _Toc86940091 \h </w:instrText>
      </w:r>
      <w:r>
        <w:rPr>
          <w:rFonts w:ascii="Times New Roman"/>
          <w:color w:val="auto"/>
          <w:u w:val="none"/>
        </w:rPr>
        <w:fldChar w:fldCharType="separate"/>
      </w:r>
      <w:r>
        <w:rPr>
          <w:rFonts w:ascii="Times New Roman"/>
          <w:color w:val="auto"/>
          <w:u w:val="none"/>
        </w:rPr>
        <w:t>6</w:t>
      </w:r>
      <w:r>
        <w:rPr>
          <w:rFonts w:ascii="Times New Roman"/>
          <w:color w:val="auto"/>
          <w:u w:val="none"/>
        </w:rPr>
        <w:fldChar w:fldCharType="end"/>
      </w:r>
      <w:r>
        <w:rPr>
          <w:rFonts w:ascii="Times New Roman"/>
          <w:color w:val="auto"/>
          <w:u w:val="none"/>
        </w:rPr>
        <w:fldChar w:fldCharType="end"/>
      </w:r>
    </w:p>
    <w:p w14:paraId="0CEBFCD0">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ascii="Times New Roman" w:eastAsia="楷体_GB2312"/>
          <w:color w:val="auto"/>
          <w:u w:val="none"/>
        </w:rPr>
      </w:pPr>
      <w:r>
        <w:rPr>
          <w:color w:val="auto"/>
          <w:u w:val="none"/>
        </w:rPr>
        <w:fldChar w:fldCharType="begin"/>
      </w:r>
      <w:r>
        <w:rPr>
          <w:color w:val="auto"/>
          <w:u w:val="none"/>
        </w:rPr>
        <w:instrText xml:space="preserve"> HYPERLINK \l "_Toc86940092" </w:instrText>
      </w:r>
      <w:r>
        <w:rPr>
          <w:color w:val="auto"/>
          <w:u w:val="none"/>
        </w:rPr>
        <w:fldChar w:fldCharType="separate"/>
      </w:r>
      <w:r>
        <w:rPr>
          <w:rStyle w:val="20"/>
          <w:rFonts w:ascii="Times New Roman" w:eastAsia="楷体_GB2312"/>
          <w:color w:val="auto"/>
          <w:u w:val="none"/>
        </w:rPr>
        <w:t>（二）存在问题</w:t>
      </w:r>
      <w:r>
        <w:rPr>
          <w:rFonts w:ascii="Times New Roman" w:eastAsia="楷体_GB2312"/>
          <w:color w:val="auto"/>
          <w:u w:val="none"/>
        </w:rPr>
        <w:tab/>
      </w:r>
      <w:r>
        <w:rPr>
          <w:rFonts w:ascii="Times New Roman" w:eastAsia="楷体_GB2312"/>
          <w:color w:val="auto"/>
          <w:u w:val="none"/>
        </w:rPr>
        <w:fldChar w:fldCharType="begin"/>
      </w:r>
      <w:r>
        <w:rPr>
          <w:rFonts w:ascii="Times New Roman" w:eastAsia="楷体_GB2312"/>
          <w:color w:val="auto"/>
          <w:u w:val="none"/>
        </w:rPr>
        <w:instrText xml:space="preserve"> PAGEREF _Toc86940092 \h </w:instrText>
      </w:r>
      <w:r>
        <w:rPr>
          <w:rFonts w:ascii="Times New Roman" w:eastAsia="楷体_GB2312"/>
          <w:color w:val="auto"/>
          <w:u w:val="none"/>
        </w:rPr>
        <w:fldChar w:fldCharType="separate"/>
      </w:r>
      <w:r>
        <w:rPr>
          <w:rFonts w:ascii="Times New Roman" w:eastAsia="楷体_GB2312"/>
          <w:color w:val="auto"/>
          <w:u w:val="none"/>
        </w:rPr>
        <w:t>10</w:t>
      </w:r>
      <w:r>
        <w:rPr>
          <w:rFonts w:ascii="Times New Roman" w:eastAsia="楷体_GB2312"/>
          <w:color w:val="auto"/>
          <w:u w:val="none"/>
        </w:rPr>
        <w:fldChar w:fldCharType="end"/>
      </w:r>
      <w:r>
        <w:rPr>
          <w:rFonts w:ascii="Times New Roman" w:eastAsia="楷体_GB2312"/>
          <w:color w:val="auto"/>
          <w:u w:val="none"/>
        </w:rPr>
        <w:fldChar w:fldCharType="end"/>
      </w:r>
    </w:p>
    <w:p w14:paraId="2D108F4D">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ascii="Times New Roman" w:eastAsia="楷体_GB2312"/>
          <w:color w:val="auto"/>
          <w:u w:val="none"/>
        </w:rPr>
      </w:pPr>
      <w:r>
        <w:rPr>
          <w:color w:val="auto"/>
          <w:u w:val="none"/>
        </w:rPr>
        <w:fldChar w:fldCharType="begin"/>
      </w:r>
      <w:r>
        <w:rPr>
          <w:color w:val="auto"/>
          <w:u w:val="none"/>
        </w:rPr>
        <w:instrText xml:space="preserve"> HYPERLINK \l "_Toc86940093" </w:instrText>
      </w:r>
      <w:r>
        <w:rPr>
          <w:color w:val="auto"/>
          <w:u w:val="none"/>
        </w:rPr>
        <w:fldChar w:fldCharType="separate"/>
      </w:r>
      <w:r>
        <w:rPr>
          <w:rStyle w:val="20"/>
          <w:rFonts w:ascii="Times New Roman" w:eastAsia="楷体_GB2312"/>
          <w:color w:val="auto"/>
          <w:u w:val="none"/>
        </w:rPr>
        <w:t>（三）面临形势</w:t>
      </w:r>
      <w:r>
        <w:rPr>
          <w:rFonts w:ascii="Times New Roman" w:eastAsia="楷体_GB2312"/>
          <w:color w:val="auto"/>
          <w:u w:val="none"/>
        </w:rPr>
        <w:tab/>
      </w:r>
      <w:r>
        <w:rPr>
          <w:rFonts w:ascii="Times New Roman" w:eastAsia="楷体_GB2312"/>
          <w:color w:val="auto"/>
          <w:u w:val="none"/>
        </w:rPr>
        <w:fldChar w:fldCharType="begin"/>
      </w:r>
      <w:r>
        <w:rPr>
          <w:rFonts w:ascii="Times New Roman" w:eastAsia="楷体_GB2312"/>
          <w:color w:val="auto"/>
          <w:u w:val="none"/>
        </w:rPr>
        <w:instrText xml:space="preserve"> PAGEREF _Toc86940093 \h </w:instrText>
      </w:r>
      <w:r>
        <w:rPr>
          <w:rFonts w:ascii="Times New Roman" w:eastAsia="楷体_GB2312"/>
          <w:color w:val="auto"/>
          <w:u w:val="none"/>
        </w:rPr>
        <w:fldChar w:fldCharType="separate"/>
      </w:r>
      <w:r>
        <w:rPr>
          <w:rFonts w:ascii="Times New Roman" w:eastAsia="楷体_GB2312"/>
          <w:color w:val="auto"/>
          <w:u w:val="none"/>
        </w:rPr>
        <w:t>12</w:t>
      </w:r>
      <w:r>
        <w:rPr>
          <w:rFonts w:ascii="Times New Roman" w:eastAsia="楷体_GB2312"/>
          <w:color w:val="auto"/>
          <w:u w:val="none"/>
        </w:rPr>
        <w:fldChar w:fldCharType="end"/>
      </w:r>
      <w:r>
        <w:rPr>
          <w:rFonts w:ascii="Times New Roman" w:eastAsia="楷体_GB2312"/>
          <w:color w:val="auto"/>
          <w:u w:val="none"/>
        </w:rPr>
        <w:fldChar w:fldCharType="end"/>
      </w:r>
    </w:p>
    <w:p w14:paraId="7486A78C">
      <w:pPr>
        <w:pStyle w:val="13"/>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textAlignment w:val="auto"/>
        <w:rPr>
          <w:rFonts w:ascii="Times New Roman" w:eastAsia="黑体"/>
          <w:color w:val="auto"/>
          <w:u w:val="none"/>
        </w:rPr>
      </w:pPr>
      <w:r>
        <w:rPr>
          <w:color w:val="auto"/>
          <w:u w:val="none"/>
        </w:rPr>
        <w:fldChar w:fldCharType="begin"/>
      </w:r>
      <w:r>
        <w:rPr>
          <w:color w:val="auto"/>
          <w:u w:val="none"/>
        </w:rPr>
        <w:instrText xml:space="preserve"> HYPERLINK \l "_Toc86940094" </w:instrText>
      </w:r>
      <w:r>
        <w:rPr>
          <w:color w:val="auto"/>
          <w:u w:val="none"/>
        </w:rPr>
        <w:fldChar w:fldCharType="separate"/>
      </w:r>
      <w:r>
        <w:rPr>
          <w:rStyle w:val="20"/>
          <w:rFonts w:ascii="Times New Roman" w:eastAsia="黑体"/>
          <w:color w:val="auto"/>
          <w:u w:val="none"/>
        </w:rPr>
        <w:t>二、总体要求</w:t>
      </w:r>
      <w:r>
        <w:rPr>
          <w:rFonts w:ascii="Times New Roman" w:eastAsia="黑体"/>
          <w:color w:val="auto"/>
          <w:u w:val="none"/>
        </w:rPr>
        <w:tab/>
      </w:r>
      <w:r>
        <w:rPr>
          <w:rFonts w:ascii="Times New Roman" w:eastAsia="黑体"/>
          <w:color w:val="auto"/>
          <w:u w:val="none"/>
        </w:rPr>
        <w:fldChar w:fldCharType="begin"/>
      </w:r>
      <w:r>
        <w:rPr>
          <w:rFonts w:ascii="Times New Roman" w:eastAsia="黑体"/>
          <w:color w:val="auto"/>
          <w:u w:val="none"/>
        </w:rPr>
        <w:instrText xml:space="preserve"> PAGEREF _Toc86940094 \h </w:instrText>
      </w:r>
      <w:r>
        <w:rPr>
          <w:rFonts w:ascii="Times New Roman" w:eastAsia="黑体"/>
          <w:color w:val="auto"/>
          <w:u w:val="none"/>
        </w:rPr>
        <w:fldChar w:fldCharType="separate"/>
      </w:r>
      <w:r>
        <w:rPr>
          <w:rFonts w:ascii="Times New Roman" w:eastAsia="黑体"/>
          <w:color w:val="auto"/>
          <w:u w:val="none"/>
        </w:rPr>
        <w:t>14</w:t>
      </w:r>
      <w:r>
        <w:rPr>
          <w:rFonts w:ascii="Times New Roman" w:eastAsia="黑体"/>
          <w:color w:val="auto"/>
          <w:u w:val="none"/>
        </w:rPr>
        <w:fldChar w:fldCharType="end"/>
      </w:r>
      <w:r>
        <w:rPr>
          <w:rFonts w:ascii="Times New Roman" w:eastAsia="黑体"/>
          <w:color w:val="auto"/>
          <w:u w:val="none"/>
        </w:rPr>
        <w:fldChar w:fldCharType="end"/>
      </w:r>
    </w:p>
    <w:p w14:paraId="2758CC38">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ascii="Times New Roman" w:eastAsia="楷体_GB2312"/>
          <w:color w:val="auto"/>
          <w:u w:val="none"/>
        </w:rPr>
      </w:pPr>
      <w:r>
        <w:rPr>
          <w:color w:val="auto"/>
          <w:u w:val="none"/>
        </w:rPr>
        <w:fldChar w:fldCharType="begin"/>
      </w:r>
      <w:r>
        <w:rPr>
          <w:color w:val="auto"/>
          <w:u w:val="none"/>
        </w:rPr>
        <w:instrText xml:space="preserve"> HYPERLINK \l "_Toc86940095" </w:instrText>
      </w:r>
      <w:r>
        <w:rPr>
          <w:color w:val="auto"/>
          <w:u w:val="none"/>
        </w:rPr>
        <w:fldChar w:fldCharType="separate"/>
      </w:r>
      <w:r>
        <w:rPr>
          <w:rStyle w:val="20"/>
          <w:rFonts w:ascii="Times New Roman" w:eastAsia="楷体_GB2312"/>
          <w:color w:val="auto"/>
          <w:u w:val="none"/>
        </w:rPr>
        <w:t>（一）指导思想</w:t>
      </w:r>
      <w:r>
        <w:rPr>
          <w:rFonts w:ascii="Times New Roman" w:eastAsia="楷体_GB2312"/>
          <w:color w:val="auto"/>
          <w:u w:val="none"/>
        </w:rPr>
        <w:tab/>
      </w:r>
      <w:r>
        <w:rPr>
          <w:rFonts w:ascii="Times New Roman" w:eastAsia="楷体_GB2312"/>
          <w:color w:val="auto"/>
          <w:u w:val="none"/>
        </w:rPr>
        <w:fldChar w:fldCharType="begin"/>
      </w:r>
      <w:r>
        <w:rPr>
          <w:rFonts w:ascii="Times New Roman" w:eastAsia="楷体_GB2312"/>
          <w:color w:val="auto"/>
          <w:u w:val="none"/>
        </w:rPr>
        <w:instrText xml:space="preserve"> PAGEREF _Toc86940095 \h </w:instrText>
      </w:r>
      <w:r>
        <w:rPr>
          <w:rFonts w:ascii="Times New Roman" w:eastAsia="楷体_GB2312"/>
          <w:color w:val="auto"/>
          <w:u w:val="none"/>
        </w:rPr>
        <w:fldChar w:fldCharType="separate"/>
      </w:r>
      <w:r>
        <w:rPr>
          <w:rFonts w:ascii="Times New Roman" w:eastAsia="楷体_GB2312"/>
          <w:color w:val="auto"/>
          <w:u w:val="none"/>
        </w:rPr>
        <w:t>14</w:t>
      </w:r>
      <w:r>
        <w:rPr>
          <w:rFonts w:ascii="Times New Roman" w:eastAsia="楷体_GB2312"/>
          <w:color w:val="auto"/>
          <w:u w:val="none"/>
        </w:rPr>
        <w:fldChar w:fldCharType="end"/>
      </w:r>
      <w:r>
        <w:rPr>
          <w:rFonts w:ascii="Times New Roman" w:eastAsia="楷体_GB2312"/>
          <w:color w:val="auto"/>
          <w:u w:val="none"/>
        </w:rPr>
        <w:fldChar w:fldCharType="end"/>
      </w:r>
    </w:p>
    <w:p w14:paraId="605E8205">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hint="default" w:ascii="Times New Roman" w:eastAsia="楷体_GB2312"/>
          <w:color w:val="auto"/>
          <w:u w:val="none"/>
          <w:lang w:val="en-US" w:eastAsia="zh-CN"/>
        </w:rPr>
      </w:pPr>
      <w:r>
        <w:rPr>
          <w:color w:val="auto"/>
          <w:u w:val="none"/>
        </w:rPr>
        <w:fldChar w:fldCharType="begin" w:fldLock="1"/>
      </w:r>
      <w:r>
        <w:rPr>
          <w:color w:val="auto"/>
          <w:u w:val="none"/>
        </w:rPr>
        <w:instrText xml:space="preserve"> HYPERLINK \l "_Toc86940096" </w:instrText>
      </w:r>
      <w:r>
        <w:rPr>
          <w:color w:val="auto"/>
          <w:u w:val="none"/>
        </w:rPr>
        <w:fldChar w:fldCharType="separate"/>
      </w:r>
      <w:r>
        <w:rPr>
          <w:rStyle w:val="20"/>
          <w:rFonts w:ascii="Times New Roman" w:eastAsia="楷体_GB2312"/>
          <w:color w:val="auto"/>
          <w:u w:val="none"/>
        </w:rPr>
        <w:t>（二）基本原则</w:t>
      </w:r>
      <w:r>
        <w:rPr>
          <w:rFonts w:ascii="Times New Roman" w:eastAsia="楷体_GB2312"/>
          <w:color w:val="auto"/>
          <w:u w:val="none"/>
        </w:rPr>
        <w:tab/>
      </w:r>
      <w:r>
        <w:rPr>
          <w:rFonts w:ascii="Times New Roman" w:eastAsia="楷体_GB2312"/>
          <w:color w:val="auto"/>
          <w:u w:val="none"/>
        </w:rPr>
        <w:fldChar w:fldCharType="end"/>
      </w:r>
      <w:r>
        <w:rPr>
          <w:rFonts w:hint="eastAsia" w:ascii="Times New Roman" w:eastAsia="楷体_GB2312"/>
          <w:color w:val="auto"/>
          <w:u w:val="none"/>
          <w:lang w:val="en-US" w:eastAsia="zh-CN"/>
        </w:rPr>
        <w:t>15</w:t>
      </w:r>
    </w:p>
    <w:p w14:paraId="55650CE7">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"_Toc86940097" </w:instrText>
      </w:r>
      <w:r>
        <w:rPr>
          <w:color w:val="auto"/>
          <w:u w:val="none"/>
        </w:rPr>
        <w:fldChar w:fldCharType="separate"/>
      </w:r>
      <w:r>
        <w:rPr>
          <w:rStyle w:val="20"/>
          <w:rFonts w:ascii="Times New Roman"/>
          <w:color w:val="auto"/>
          <w:u w:val="none"/>
        </w:rPr>
        <w:t>——坚持党建引领</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15</w:t>
      </w:r>
    </w:p>
    <w:p w14:paraId="29137F50">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"_Toc86940098" </w:instrText>
      </w:r>
      <w:r>
        <w:rPr>
          <w:color w:val="auto"/>
          <w:u w:val="none"/>
        </w:rPr>
        <w:fldChar w:fldCharType="separate"/>
      </w:r>
      <w:r>
        <w:rPr>
          <w:rStyle w:val="20"/>
          <w:rFonts w:ascii="Times New Roman"/>
          <w:color w:val="auto"/>
          <w:u w:val="none"/>
        </w:rPr>
        <w:t>——坚持以人为本</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15</w:t>
      </w:r>
    </w:p>
    <w:p w14:paraId="645DAFE7">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"_Toc86940099" </w:instrText>
      </w:r>
      <w:r>
        <w:rPr>
          <w:color w:val="auto"/>
          <w:u w:val="none"/>
        </w:rPr>
        <w:fldChar w:fldCharType="separate"/>
      </w:r>
      <w:r>
        <w:rPr>
          <w:rStyle w:val="20"/>
          <w:rFonts w:ascii="Times New Roman"/>
          <w:color w:val="auto"/>
          <w:u w:val="none"/>
        </w:rPr>
        <w:t>——坚持改革创新</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16</w:t>
      </w:r>
    </w:p>
    <w:p w14:paraId="1652C1A0">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"_Toc86940100" </w:instrText>
      </w:r>
      <w:r>
        <w:rPr>
          <w:color w:val="auto"/>
          <w:u w:val="none"/>
        </w:rPr>
        <w:fldChar w:fldCharType="separate"/>
      </w:r>
      <w:r>
        <w:rPr>
          <w:rStyle w:val="20"/>
          <w:rFonts w:ascii="Times New Roman"/>
          <w:color w:val="auto"/>
          <w:u w:val="none"/>
        </w:rPr>
        <w:t>——坚持底线思维</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16</w:t>
      </w:r>
    </w:p>
    <w:p w14:paraId="109E5FA2">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"_Toc86940101" </w:instrText>
      </w:r>
      <w:r>
        <w:rPr>
          <w:color w:val="auto"/>
          <w:u w:val="none"/>
        </w:rPr>
        <w:fldChar w:fldCharType="separate"/>
      </w:r>
      <w:r>
        <w:rPr>
          <w:rStyle w:val="20"/>
          <w:rFonts w:ascii="Times New Roman"/>
          <w:color w:val="auto"/>
          <w:u w:val="none"/>
        </w:rPr>
        <w:t>——坚持服务大局</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16</w:t>
      </w:r>
    </w:p>
    <w:p w14:paraId="07D70A20">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"_Toc86940102" </w:instrText>
      </w:r>
      <w:r>
        <w:rPr>
          <w:color w:val="auto"/>
          <w:u w:val="none"/>
        </w:rPr>
        <w:fldChar w:fldCharType="separate"/>
      </w:r>
      <w:r>
        <w:rPr>
          <w:rStyle w:val="20"/>
          <w:rFonts w:ascii="Times New Roman"/>
          <w:color w:val="auto"/>
          <w:u w:val="none"/>
        </w:rPr>
        <w:t>——坚持共建共治</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16</w:t>
      </w:r>
    </w:p>
    <w:p w14:paraId="67E81DA8">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hint="default" w:ascii="Times New Roman" w:eastAsia="楷体_GB2312"/>
          <w:color w:val="auto"/>
          <w:u w:val="none"/>
          <w:lang w:val="en-US" w:eastAsia="zh-CN"/>
        </w:rPr>
      </w:pPr>
      <w:r>
        <w:rPr>
          <w:color w:val="auto"/>
          <w:u w:val="none"/>
        </w:rPr>
        <w:fldChar w:fldCharType="begin"/>
      </w:r>
      <w:r>
        <w:rPr>
          <w:color w:val="auto"/>
          <w:u w:val="none"/>
        </w:rPr>
        <w:instrText xml:space="preserve"> HYPERLINK \l "_Toc86940103" </w:instrText>
      </w:r>
      <w:r>
        <w:rPr>
          <w:color w:val="auto"/>
          <w:u w:val="none"/>
        </w:rPr>
        <w:fldChar w:fldCharType="separate"/>
      </w:r>
      <w:r>
        <w:rPr>
          <w:rStyle w:val="20"/>
          <w:rFonts w:ascii="Times New Roman" w:eastAsia="楷体_GB2312"/>
          <w:color w:val="auto"/>
          <w:u w:val="none"/>
        </w:rPr>
        <w:t>（三）发展目标</w:t>
      </w:r>
      <w:r>
        <w:rPr>
          <w:rFonts w:ascii="Times New Roman" w:eastAsia="楷体_GB2312"/>
          <w:color w:val="auto"/>
          <w:u w:val="none"/>
        </w:rPr>
        <w:tab/>
      </w:r>
      <w:r>
        <w:rPr>
          <w:rFonts w:ascii="Times New Roman" w:eastAsia="楷体_GB2312"/>
          <w:color w:val="auto"/>
          <w:u w:val="none"/>
        </w:rPr>
        <w:fldChar w:fldCharType="end"/>
      </w:r>
      <w:r>
        <w:rPr>
          <w:rFonts w:hint="eastAsia" w:ascii="Times New Roman" w:eastAsia="楷体_GB2312"/>
          <w:color w:val="auto"/>
          <w:u w:val="none"/>
          <w:lang w:val="en-US" w:eastAsia="zh-CN"/>
        </w:rPr>
        <w:t>16</w:t>
      </w:r>
    </w:p>
    <w:p w14:paraId="0C75CF73">
      <w:pPr>
        <w:pStyle w:val="13"/>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textAlignment w:val="auto"/>
        <w:rPr>
          <w:rFonts w:hint="default" w:ascii="Times New Roman" w:eastAsia="黑体"/>
          <w:color w:val="auto"/>
          <w:u w:val="none"/>
          <w:lang w:val="en-US" w:eastAsia="zh-CN"/>
        </w:rPr>
      </w:pPr>
      <w:r>
        <w:rPr>
          <w:color w:val="auto"/>
          <w:u w:val="none"/>
        </w:rPr>
        <w:fldChar w:fldCharType="begin"/>
      </w:r>
      <w:r>
        <w:rPr>
          <w:color w:val="auto"/>
          <w:u w:val="none"/>
        </w:rPr>
        <w:instrText xml:space="preserve"> HYPERLINK \l "_Toc86940104" </w:instrText>
      </w:r>
      <w:r>
        <w:rPr>
          <w:color w:val="auto"/>
          <w:u w:val="none"/>
        </w:rPr>
        <w:fldChar w:fldCharType="separate"/>
      </w:r>
      <w:r>
        <w:rPr>
          <w:rStyle w:val="20"/>
          <w:rFonts w:ascii="Times New Roman" w:eastAsia="黑体"/>
          <w:color w:val="auto"/>
          <w:u w:val="none"/>
        </w:rPr>
        <w:t>三、主要任务</w:t>
      </w:r>
      <w:r>
        <w:rPr>
          <w:rFonts w:ascii="Times New Roman" w:eastAsia="黑体"/>
          <w:color w:val="auto"/>
          <w:u w:val="none"/>
        </w:rPr>
        <w:tab/>
      </w:r>
      <w:r>
        <w:rPr>
          <w:rFonts w:ascii="Times New Roman" w:eastAsia="黑体"/>
          <w:color w:val="auto"/>
          <w:u w:val="none"/>
        </w:rPr>
        <w:fldChar w:fldCharType="end"/>
      </w:r>
      <w:r>
        <w:rPr>
          <w:rFonts w:hint="eastAsia" w:ascii="Times New Roman" w:eastAsia="黑体"/>
          <w:color w:val="auto"/>
          <w:u w:val="none"/>
          <w:lang w:val="en-US" w:eastAsia="zh-CN"/>
        </w:rPr>
        <w:t>22</w:t>
      </w:r>
    </w:p>
    <w:p w14:paraId="609E23EC">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hint="default" w:ascii="Times New Roman" w:eastAsia="楷体_GB2312"/>
          <w:color w:val="auto"/>
          <w:u w:val="none"/>
          <w:lang w:val="en-US" w:eastAsia="zh-CN"/>
        </w:rPr>
      </w:pPr>
      <w:r>
        <w:rPr>
          <w:color w:val="auto"/>
          <w:u w:val="none"/>
        </w:rPr>
        <w:fldChar w:fldCharType="begin"/>
      </w:r>
      <w:r>
        <w:rPr>
          <w:color w:val="auto"/>
          <w:u w:val="none"/>
        </w:rPr>
        <w:instrText xml:space="preserve"> HYPERLINK \l "_Toc86940105" </w:instrText>
      </w:r>
      <w:r>
        <w:rPr>
          <w:color w:val="auto"/>
          <w:u w:val="none"/>
        </w:rPr>
        <w:fldChar w:fldCharType="separate"/>
      </w:r>
      <w:r>
        <w:rPr>
          <w:rStyle w:val="20"/>
          <w:rFonts w:ascii="Times New Roman" w:eastAsia="楷体_GB2312"/>
          <w:color w:val="auto"/>
          <w:u w:val="none"/>
        </w:rPr>
        <w:t>（一）</w:t>
      </w:r>
      <w:r>
        <w:rPr>
          <w:rStyle w:val="20"/>
          <w:rFonts w:hint="eastAsia" w:ascii="Times New Roman" w:eastAsia="楷体_GB2312"/>
          <w:color w:val="auto"/>
          <w:u w:val="none"/>
          <w:lang w:eastAsia="zh-CN"/>
        </w:rPr>
        <w:t>构建大</w:t>
      </w:r>
      <w:r>
        <w:rPr>
          <w:rStyle w:val="20"/>
          <w:rFonts w:ascii="Times New Roman" w:eastAsia="楷体_GB2312"/>
          <w:color w:val="auto"/>
          <w:u w:val="none"/>
        </w:rPr>
        <w:t>救助体系，</w:t>
      </w:r>
      <w:r>
        <w:rPr>
          <w:rStyle w:val="20"/>
          <w:rFonts w:hint="eastAsia" w:ascii="Times New Roman" w:eastAsia="楷体_GB2312"/>
          <w:color w:val="auto"/>
          <w:u w:val="none"/>
          <w:lang w:eastAsia="zh-CN"/>
        </w:rPr>
        <w:t>全</w:t>
      </w:r>
      <w:r>
        <w:rPr>
          <w:rStyle w:val="20"/>
          <w:rFonts w:ascii="Times New Roman" w:eastAsia="楷体_GB2312"/>
          <w:color w:val="auto"/>
          <w:u w:val="none"/>
        </w:rPr>
        <w:t>力保障改善兜底民生</w:t>
      </w:r>
      <w:r>
        <w:rPr>
          <w:rFonts w:ascii="Times New Roman" w:eastAsia="楷体_GB2312"/>
          <w:color w:val="auto"/>
          <w:u w:val="none"/>
        </w:rPr>
        <w:tab/>
      </w:r>
      <w:r>
        <w:rPr>
          <w:rFonts w:ascii="Times New Roman" w:eastAsia="楷体_GB2312"/>
          <w:color w:val="auto"/>
          <w:u w:val="none"/>
        </w:rPr>
        <w:fldChar w:fldCharType="end"/>
      </w:r>
      <w:r>
        <w:rPr>
          <w:rFonts w:hint="eastAsia" w:ascii="Times New Roman" w:eastAsia="楷体_GB2312"/>
          <w:color w:val="auto"/>
          <w:u w:val="none"/>
          <w:lang w:val="en-US" w:eastAsia="zh-CN"/>
        </w:rPr>
        <w:t>22</w:t>
      </w:r>
    </w:p>
    <w:p w14:paraId="0AA6F47E">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"_Toc86940106" </w:instrText>
      </w:r>
      <w:r>
        <w:rPr>
          <w:color w:val="auto"/>
          <w:u w:val="none"/>
        </w:rPr>
        <w:fldChar w:fldCharType="separate"/>
      </w:r>
      <w:r>
        <w:rPr>
          <w:rStyle w:val="20"/>
          <w:rFonts w:ascii="Times New Roman"/>
          <w:color w:val="auto"/>
          <w:u w:val="none"/>
        </w:rPr>
        <w:t>1.健全社会救助体系</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22</w:t>
      </w:r>
    </w:p>
    <w:p w14:paraId="6B1F38BF">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"_Toc86940106" </w:instrText>
      </w:r>
      <w:r>
        <w:rPr>
          <w:color w:val="auto"/>
          <w:u w:val="none"/>
        </w:rPr>
        <w:fldChar w:fldCharType="separate"/>
      </w:r>
      <w:r>
        <w:rPr>
          <w:rStyle w:val="20"/>
          <w:rFonts w:hint="eastAsia" w:ascii="Times New Roman"/>
          <w:color w:val="auto"/>
          <w:u w:val="none"/>
          <w:lang w:val="en-US" w:eastAsia="zh-CN"/>
        </w:rPr>
        <w:t>2</w:t>
      </w:r>
      <w:r>
        <w:rPr>
          <w:rStyle w:val="20"/>
          <w:rFonts w:ascii="Times New Roman"/>
          <w:color w:val="auto"/>
          <w:u w:val="none"/>
        </w:rPr>
        <w:t>.</w:t>
      </w:r>
      <w:r>
        <w:rPr>
          <w:rStyle w:val="20"/>
          <w:rFonts w:hint="eastAsia" w:ascii="Times New Roman"/>
          <w:color w:val="auto"/>
          <w:u w:val="none"/>
          <w:lang w:eastAsia="zh-CN"/>
        </w:rPr>
        <w:t>强化基本生活救助</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22</w:t>
      </w:r>
    </w:p>
    <w:p w14:paraId="43EC0700">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"_Toc86940108" </w:instrText>
      </w:r>
      <w:r>
        <w:rPr>
          <w:color w:val="auto"/>
          <w:u w:val="none"/>
        </w:rPr>
        <w:fldChar w:fldCharType="separate"/>
      </w:r>
      <w:r>
        <w:rPr>
          <w:rStyle w:val="20"/>
          <w:rFonts w:hint="eastAsia" w:ascii="Times New Roman"/>
          <w:color w:val="auto"/>
          <w:u w:val="none"/>
          <w:lang w:val="en-US" w:eastAsia="zh-CN"/>
        </w:rPr>
        <w:t>3</w:t>
      </w:r>
      <w:r>
        <w:rPr>
          <w:rStyle w:val="20"/>
          <w:rFonts w:ascii="Times New Roman"/>
          <w:color w:val="auto"/>
          <w:u w:val="none"/>
        </w:rPr>
        <w:t>.稳步提高救助水平</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23</w:t>
      </w:r>
    </w:p>
    <w:p w14:paraId="7C2E0B7F">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"_Toc86940106" </w:instrText>
      </w:r>
      <w:r>
        <w:rPr>
          <w:color w:val="auto"/>
          <w:u w:val="none"/>
        </w:rPr>
        <w:fldChar w:fldCharType="separate"/>
      </w:r>
      <w:r>
        <w:rPr>
          <w:rStyle w:val="20"/>
          <w:rFonts w:hint="eastAsia" w:ascii="Times New Roman"/>
          <w:color w:val="auto"/>
          <w:u w:val="none"/>
          <w:lang w:val="en-US" w:eastAsia="zh-CN"/>
        </w:rPr>
        <w:t>4</w:t>
      </w:r>
      <w:r>
        <w:rPr>
          <w:rStyle w:val="20"/>
          <w:rFonts w:ascii="Times New Roman"/>
          <w:color w:val="auto"/>
          <w:u w:val="none"/>
        </w:rPr>
        <w:t>.</w:t>
      </w:r>
      <w:r>
        <w:rPr>
          <w:rStyle w:val="20"/>
          <w:rFonts w:hint="eastAsia" w:ascii="Times New Roman"/>
          <w:color w:val="auto"/>
          <w:u w:val="none"/>
          <w:lang w:eastAsia="zh-CN"/>
        </w:rPr>
        <w:t>完善急难社会救助</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23</w:t>
      </w:r>
    </w:p>
    <w:p w14:paraId="0D6FFA19">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color w:val="auto"/>
          <w:u w:val="none"/>
        </w:rPr>
        <w:sectPr>
          <w:footerReference r:id="rId8" w:type="first"/>
          <w:footerReference r:id="rId6" w:type="default"/>
          <w:footerReference r:id="rId7" w:type="even"/>
          <w:pgSz w:w="11906" w:h="16838"/>
          <w:pgMar w:top="2211" w:right="1531" w:bottom="1871" w:left="1531" w:header="851" w:footer="1361" w:gutter="0"/>
          <w:pgNumType w:fmt="numberInDash" w:start="1"/>
          <w:cols w:space="720" w:num="1"/>
          <w:docGrid w:type="linesAndChars" w:linePitch="574" w:charSpace="-1683"/>
        </w:sectPr>
      </w:pPr>
    </w:p>
    <w:p w14:paraId="5FB08D2D">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"_Toc86940109" </w:instrText>
      </w:r>
      <w:r>
        <w:rPr>
          <w:color w:val="auto"/>
          <w:u w:val="none"/>
        </w:rPr>
        <w:fldChar w:fldCharType="separate"/>
      </w:r>
      <w:r>
        <w:rPr>
          <w:rStyle w:val="20"/>
          <w:rFonts w:hint="eastAsia" w:ascii="Times New Roman"/>
          <w:color w:val="auto"/>
          <w:u w:val="none"/>
          <w:lang w:val="en-US" w:eastAsia="zh-CN"/>
        </w:rPr>
        <w:t>5</w:t>
      </w:r>
      <w:r>
        <w:rPr>
          <w:rStyle w:val="20"/>
          <w:rFonts w:ascii="Times New Roman"/>
          <w:color w:val="auto"/>
          <w:u w:val="none"/>
        </w:rPr>
        <w:t>.建立社会救助信息共享机制</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24</w:t>
      </w:r>
    </w:p>
    <w:p w14:paraId="561BCEE6">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"_Toc86940111" </w:instrText>
      </w:r>
      <w:r>
        <w:rPr>
          <w:color w:val="auto"/>
          <w:u w:val="none"/>
        </w:rPr>
        <w:fldChar w:fldCharType="separate"/>
      </w:r>
      <w:r>
        <w:rPr>
          <w:rStyle w:val="20"/>
          <w:rFonts w:hint="eastAsia" w:ascii="Times New Roman"/>
          <w:color w:val="auto"/>
          <w:u w:val="none"/>
          <w:lang w:val="en-US" w:eastAsia="zh-CN"/>
        </w:rPr>
        <w:t>6</w:t>
      </w:r>
      <w:r>
        <w:rPr>
          <w:rStyle w:val="20"/>
          <w:rFonts w:ascii="Times New Roman"/>
          <w:color w:val="auto"/>
          <w:u w:val="none"/>
        </w:rPr>
        <w:t>.创新社会救助方式</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24</w:t>
      </w:r>
    </w:p>
    <w:p w14:paraId="098D2ACE">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"_Toc86940112" </w:instrText>
      </w:r>
      <w:r>
        <w:rPr>
          <w:color w:val="auto"/>
          <w:u w:val="none"/>
        </w:rPr>
        <w:fldChar w:fldCharType="separate"/>
      </w:r>
      <w:r>
        <w:rPr>
          <w:rStyle w:val="20"/>
          <w:rFonts w:hint="eastAsia" w:ascii="Times New Roman"/>
          <w:color w:val="auto"/>
          <w:u w:val="none"/>
          <w:lang w:val="en-US" w:eastAsia="zh-CN"/>
        </w:rPr>
        <w:t>7</w:t>
      </w:r>
      <w:r>
        <w:rPr>
          <w:rStyle w:val="20"/>
          <w:rFonts w:ascii="Times New Roman"/>
          <w:color w:val="auto"/>
          <w:u w:val="none"/>
        </w:rPr>
        <w:t>.</w:t>
      </w:r>
      <w:r>
        <w:rPr>
          <w:rStyle w:val="20"/>
          <w:rFonts w:hint="eastAsia" w:ascii="Times New Roman"/>
          <w:color w:val="auto"/>
          <w:u w:val="none"/>
          <w:lang w:eastAsia="zh-CN"/>
        </w:rPr>
        <w:t>积极参与</w:t>
      </w:r>
      <w:r>
        <w:rPr>
          <w:rStyle w:val="20"/>
          <w:rFonts w:ascii="Times New Roman"/>
          <w:color w:val="auto"/>
          <w:u w:val="none"/>
        </w:rPr>
        <w:t>推进粤港澳大湾区社会救助统筹发展</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24</w:t>
      </w:r>
    </w:p>
    <w:p w14:paraId="409CE697">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"_Toc86940111" </w:instrText>
      </w:r>
      <w:r>
        <w:rPr>
          <w:color w:val="auto"/>
          <w:u w:val="none"/>
        </w:rPr>
        <w:fldChar w:fldCharType="separate"/>
      </w:r>
      <w:r>
        <w:rPr>
          <w:rStyle w:val="20"/>
          <w:rFonts w:hint="eastAsia" w:ascii="Times New Roman"/>
          <w:color w:val="auto"/>
          <w:u w:val="none"/>
          <w:lang w:val="en-US" w:eastAsia="zh-CN"/>
        </w:rPr>
        <w:t>8</w:t>
      </w:r>
      <w:r>
        <w:rPr>
          <w:rStyle w:val="20"/>
          <w:rFonts w:ascii="Times New Roman"/>
          <w:color w:val="auto"/>
          <w:u w:val="none"/>
        </w:rPr>
        <w:t>.</w:t>
      </w:r>
      <w:r>
        <w:rPr>
          <w:rStyle w:val="20"/>
          <w:rFonts w:hint="eastAsia" w:ascii="Times New Roman"/>
          <w:color w:val="auto"/>
          <w:u w:val="none"/>
          <w:lang w:eastAsia="zh-CN"/>
        </w:rPr>
        <w:t>提升基层救助经办服务能力</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25</w:t>
      </w:r>
    </w:p>
    <w:p w14:paraId="4A229346">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"_Toc86940112" </w:instrText>
      </w:r>
      <w:r>
        <w:rPr>
          <w:color w:val="auto"/>
          <w:u w:val="none"/>
        </w:rPr>
        <w:fldChar w:fldCharType="separate"/>
      </w:r>
      <w:r>
        <w:rPr>
          <w:rStyle w:val="20"/>
          <w:rFonts w:hint="eastAsia" w:ascii="Times New Roman"/>
          <w:color w:val="auto"/>
          <w:u w:val="none"/>
          <w:lang w:val="en-US" w:eastAsia="zh-CN"/>
        </w:rPr>
        <w:t>9</w:t>
      </w:r>
      <w:r>
        <w:rPr>
          <w:rStyle w:val="20"/>
          <w:rFonts w:ascii="Times New Roman"/>
          <w:color w:val="auto"/>
          <w:u w:val="none"/>
        </w:rPr>
        <w:t>.</w:t>
      </w:r>
      <w:r>
        <w:rPr>
          <w:rStyle w:val="20"/>
          <w:rFonts w:hint="eastAsia" w:ascii="Times New Roman"/>
          <w:color w:val="auto"/>
          <w:u w:val="none"/>
          <w:lang w:eastAsia="zh-CN"/>
        </w:rPr>
        <w:t>健全智慧救助体系</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25</w:t>
      </w:r>
    </w:p>
    <w:p w14:paraId="12138CA6">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hint="default" w:ascii="Times New Roman" w:eastAsia="楷体_GB2312"/>
          <w:color w:val="auto"/>
          <w:u w:val="none"/>
          <w:lang w:val="en-US" w:eastAsia="zh-CN"/>
        </w:rPr>
      </w:pPr>
      <w:r>
        <w:rPr>
          <w:color w:val="auto"/>
          <w:u w:val="none"/>
        </w:rPr>
        <w:fldChar w:fldCharType="begin"/>
      </w:r>
      <w:r>
        <w:rPr>
          <w:color w:val="auto"/>
          <w:u w:val="none"/>
        </w:rPr>
        <w:instrText xml:space="preserve"> HYPERLINK \l "_Toc86940118" </w:instrText>
      </w:r>
      <w:r>
        <w:rPr>
          <w:color w:val="auto"/>
          <w:u w:val="none"/>
        </w:rPr>
        <w:fldChar w:fldCharType="separate"/>
      </w:r>
      <w:r>
        <w:rPr>
          <w:rStyle w:val="20"/>
          <w:rFonts w:ascii="Times New Roman" w:eastAsia="楷体_GB2312"/>
          <w:color w:val="auto"/>
          <w:u w:val="none"/>
        </w:rPr>
        <w:t>（</w:t>
      </w:r>
      <w:r>
        <w:rPr>
          <w:rStyle w:val="20"/>
          <w:rFonts w:hint="eastAsia" w:ascii="Times New Roman" w:eastAsia="楷体_GB2312"/>
          <w:color w:val="auto"/>
          <w:u w:val="none"/>
          <w:lang w:eastAsia="zh-CN"/>
        </w:rPr>
        <w:t>二</w:t>
      </w:r>
      <w:r>
        <w:rPr>
          <w:rStyle w:val="20"/>
          <w:rFonts w:ascii="Times New Roman" w:eastAsia="楷体_GB2312"/>
          <w:color w:val="auto"/>
          <w:u w:val="none"/>
        </w:rPr>
        <w:t>）</w:t>
      </w:r>
      <w:r>
        <w:rPr>
          <w:rStyle w:val="20"/>
          <w:rFonts w:hint="eastAsia" w:ascii="Times New Roman" w:eastAsia="楷体_GB2312"/>
          <w:color w:val="auto"/>
          <w:u w:val="none"/>
          <w:lang w:eastAsia="zh-CN"/>
        </w:rPr>
        <w:t>构建大养老服务体系，积极应对人口老龄化</w:t>
      </w:r>
      <w:r>
        <w:rPr>
          <w:rFonts w:ascii="Times New Roman" w:eastAsia="楷体_GB2312"/>
          <w:color w:val="auto"/>
          <w:u w:val="none"/>
        </w:rPr>
        <w:tab/>
      </w:r>
      <w:r>
        <w:rPr>
          <w:rFonts w:ascii="Times New Roman" w:eastAsia="楷体_GB2312"/>
          <w:color w:val="auto"/>
          <w:u w:val="none"/>
        </w:rPr>
        <w:fldChar w:fldCharType="end"/>
      </w:r>
      <w:r>
        <w:rPr>
          <w:rFonts w:hint="eastAsia" w:ascii="Times New Roman" w:eastAsia="楷体_GB2312"/>
          <w:color w:val="auto"/>
          <w:u w:val="none"/>
          <w:lang w:val="en-US" w:eastAsia="zh-CN"/>
        </w:rPr>
        <w:t>25</w:t>
      </w:r>
    </w:p>
    <w:p w14:paraId="1CBF829D">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"_Toc86940119" </w:instrText>
      </w:r>
      <w:r>
        <w:rPr>
          <w:color w:val="auto"/>
          <w:u w:val="none"/>
        </w:rPr>
        <w:fldChar w:fldCharType="separate"/>
      </w:r>
      <w:r>
        <w:rPr>
          <w:rStyle w:val="20"/>
          <w:rFonts w:ascii="Times New Roman"/>
          <w:color w:val="auto"/>
          <w:u w:val="none"/>
        </w:rPr>
        <w:t>1.</w:t>
      </w:r>
      <w:r>
        <w:rPr>
          <w:rStyle w:val="20"/>
          <w:rFonts w:hint="eastAsia" w:ascii="Times New Roman"/>
          <w:color w:val="auto"/>
          <w:u w:val="none"/>
          <w:lang w:eastAsia="zh-CN"/>
        </w:rPr>
        <w:t>强化基本养老服务保障</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25</w:t>
      </w:r>
    </w:p>
    <w:p w14:paraId="0BA03B20">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"_Toc86940120" </w:instrText>
      </w:r>
      <w:r>
        <w:rPr>
          <w:color w:val="auto"/>
          <w:u w:val="none"/>
        </w:rPr>
        <w:fldChar w:fldCharType="separate"/>
      </w:r>
      <w:r>
        <w:rPr>
          <w:rStyle w:val="20"/>
          <w:rFonts w:ascii="Times New Roman"/>
          <w:color w:val="auto"/>
          <w:u w:val="none"/>
        </w:rPr>
        <w:t>2.</w:t>
      </w:r>
      <w:r>
        <w:rPr>
          <w:rStyle w:val="20"/>
          <w:rFonts w:hint="eastAsia" w:ascii="Times New Roman"/>
          <w:color w:val="auto"/>
          <w:u w:val="none"/>
          <w:lang w:eastAsia="zh-CN"/>
        </w:rPr>
        <w:t>健全养老服务网络</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27</w:t>
      </w:r>
    </w:p>
    <w:p w14:paraId="0E4FA2BE">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"_Toc86940121" </w:instrText>
      </w:r>
      <w:r>
        <w:rPr>
          <w:color w:val="auto"/>
          <w:u w:val="none"/>
        </w:rPr>
        <w:fldChar w:fldCharType="separate"/>
      </w:r>
      <w:r>
        <w:rPr>
          <w:rStyle w:val="20"/>
          <w:rFonts w:ascii="Times New Roman"/>
          <w:color w:val="auto"/>
          <w:u w:val="none"/>
        </w:rPr>
        <w:t>3.</w:t>
      </w:r>
      <w:r>
        <w:rPr>
          <w:rStyle w:val="20"/>
          <w:rFonts w:hint="eastAsia" w:ascii="Times New Roman"/>
          <w:color w:val="auto"/>
          <w:u w:val="none"/>
          <w:lang w:eastAsia="zh-CN"/>
        </w:rPr>
        <w:t>促进养老服务行业规范发展</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29</w:t>
      </w:r>
    </w:p>
    <w:p w14:paraId="57B27801">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hint="default" w:ascii="Times New Roman" w:eastAsia="楷体_GB2312"/>
          <w:color w:val="auto"/>
          <w:u w:val="none"/>
          <w:lang w:val="en-US" w:eastAsia="zh-CN"/>
        </w:rPr>
      </w:pPr>
      <w:r>
        <w:rPr>
          <w:color w:val="auto"/>
          <w:u w:val="none"/>
        </w:rPr>
        <w:fldChar w:fldCharType="begin"/>
      </w:r>
      <w:r>
        <w:rPr>
          <w:color w:val="auto"/>
          <w:u w:val="none"/>
        </w:rPr>
        <w:instrText xml:space="preserve"> HYPERLINK \l "_Toc86940118" </w:instrText>
      </w:r>
      <w:r>
        <w:rPr>
          <w:color w:val="auto"/>
          <w:u w:val="none"/>
        </w:rPr>
        <w:fldChar w:fldCharType="separate"/>
      </w:r>
      <w:r>
        <w:rPr>
          <w:rStyle w:val="20"/>
          <w:rFonts w:ascii="Times New Roman" w:eastAsia="楷体_GB2312"/>
          <w:color w:val="auto"/>
          <w:u w:val="none"/>
        </w:rPr>
        <w:t>（</w:t>
      </w:r>
      <w:r>
        <w:rPr>
          <w:rStyle w:val="20"/>
          <w:rFonts w:hint="eastAsia" w:ascii="Times New Roman" w:eastAsia="楷体_GB2312"/>
          <w:color w:val="auto"/>
          <w:u w:val="none"/>
          <w:lang w:eastAsia="zh-CN"/>
        </w:rPr>
        <w:t>三</w:t>
      </w:r>
      <w:r>
        <w:rPr>
          <w:rStyle w:val="20"/>
          <w:rFonts w:ascii="Times New Roman" w:eastAsia="楷体_GB2312"/>
          <w:color w:val="auto"/>
          <w:u w:val="none"/>
        </w:rPr>
        <w:t>）</w:t>
      </w:r>
      <w:r>
        <w:rPr>
          <w:rStyle w:val="20"/>
          <w:rFonts w:hint="eastAsia" w:ascii="Times New Roman" w:eastAsia="楷体_GB2312"/>
          <w:color w:val="auto"/>
          <w:spacing w:val="-20"/>
          <w:u w:val="none"/>
          <w:lang w:eastAsia="zh-CN"/>
        </w:rPr>
        <w:t>构建大儿童保障体系，推进儿童福利事业高质量发展</w:t>
      </w:r>
      <w:r>
        <w:rPr>
          <w:rFonts w:ascii="Times New Roman" w:eastAsia="楷体_GB2312"/>
          <w:color w:val="auto"/>
          <w:u w:val="none"/>
        </w:rPr>
        <w:tab/>
      </w:r>
      <w:r>
        <w:rPr>
          <w:rFonts w:ascii="Times New Roman" w:eastAsia="楷体_GB2312"/>
          <w:color w:val="auto"/>
          <w:u w:val="none"/>
        </w:rPr>
        <w:fldChar w:fldCharType="end"/>
      </w:r>
      <w:r>
        <w:rPr>
          <w:rFonts w:hint="eastAsia" w:ascii="Times New Roman" w:eastAsia="楷体_GB2312"/>
          <w:color w:val="auto"/>
          <w:u w:val="none"/>
          <w:lang w:val="en-US" w:eastAsia="zh-CN"/>
        </w:rPr>
        <w:t>31</w:t>
      </w:r>
    </w:p>
    <w:p w14:paraId="165D2740">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"_Toc86940119" </w:instrText>
      </w:r>
      <w:r>
        <w:rPr>
          <w:color w:val="auto"/>
          <w:u w:val="none"/>
        </w:rPr>
        <w:fldChar w:fldCharType="separate"/>
      </w:r>
      <w:r>
        <w:rPr>
          <w:rStyle w:val="20"/>
          <w:rFonts w:ascii="Times New Roman"/>
          <w:color w:val="auto"/>
          <w:u w:val="none"/>
        </w:rPr>
        <w:t>1.</w:t>
      </w:r>
      <w:r>
        <w:rPr>
          <w:rStyle w:val="20"/>
          <w:rFonts w:hint="eastAsia" w:ascii="Times New Roman"/>
          <w:color w:val="auto"/>
          <w:u w:val="none"/>
          <w:lang w:eastAsia="zh-CN"/>
        </w:rPr>
        <w:t>健全儿童保护体制机制</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31</w:t>
      </w:r>
    </w:p>
    <w:p w14:paraId="70519E86">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"_Toc86940120" </w:instrText>
      </w:r>
      <w:r>
        <w:rPr>
          <w:color w:val="auto"/>
          <w:u w:val="none"/>
        </w:rPr>
        <w:fldChar w:fldCharType="separate"/>
      </w:r>
      <w:r>
        <w:rPr>
          <w:rStyle w:val="20"/>
          <w:rFonts w:ascii="Times New Roman"/>
          <w:color w:val="auto"/>
          <w:u w:val="none"/>
        </w:rPr>
        <w:t>2.</w:t>
      </w:r>
      <w:r>
        <w:rPr>
          <w:rStyle w:val="20"/>
          <w:rFonts w:hint="eastAsia" w:ascii="Times New Roman"/>
          <w:color w:val="auto"/>
          <w:u w:val="none"/>
          <w:lang w:eastAsia="zh-CN"/>
        </w:rPr>
        <w:t>夯实儿童保障工作基础</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32</w:t>
      </w:r>
    </w:p>
    <w:p w14:paraId="7400163A">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eastAsia" w:ascii="Times New Roman" w:eastAsia="仿宋_GB2312"/>
          <w:color w:val="auto"/>
          <w:u w:val="none"/>
          <w:lang w:val="en-US" w:eastAsia="zh-CN"/>
        </w:rPr>
      </w:pPr>
      <w:r>
        <w:rPr>
          <w:color w:val="auto"/>
          <w:u w:val="none"/>
        </w:rPr>
        <w:fldChar w:fldCharType="begin"/>
      </w:r>
      <w:r>
        <w:rPr>
          <w:color w:val="auto"/>
          <w:u w:val="none"/>
        </w:rPr>
        <w:instrText xml:space="preserve"> HYPERLINK \l "_Toc86940121" </w:instrText>
      </w:r>
      <w:r>
        <w:rPr>
          <w:color w:val="auto"/>
          <w:u w:val="none"/>
        </w:rPr>
        <w:fldChar w:fldCharType="separate"/>
      </w:r>
      <w:r>
        <w:rPr>
          <w:rStyle w:val="20"/>
          <w:rFonts w:ascii="Times New Roman"/>
          <w:color w:val="auto"/>
          <w:u w:val="none"/>
        </w:rPr>
        <w:t>3.</w:t>
      </w:r>
      <w:r>
        <w:rPr>
          <w:rStyle w:val="20"/>
          <w:rFonts w:hint="eastAsia" w:ascii="Times New Roman"/>
          <w:color w:val="auto"/>
          <w:u w:val="none"/>
          <w:lang w:eastAsia="zh-CN"/>
        </w:rPr>
        <w:t>强化儿童监护能力建设</w:t>
      </w:r>
      <w:r>
        <w:rPr>
          <w:rFonts w:ascii="Times New Roman"/>
          <w:color w:val="auto"/>
          <w:u w:val="none"/>
        </w:rPr>
        <w:tab/>
      </w:r>
      <w:r>
        <w:rPr>
          <w:rFonts w:hint="eastAsia" w:ascii="Times New Roman"/>
          <w:color w:val="auto"/>
          <w:u w:val="none"/>
          <w:lang w:val="en-US" w:eastAsia="zh-CN"/>
        </w:rPr>
        <w:t>3</w:t>
      </w:r>
      <w:r>
        <w:rPr>
          <w:rFonts w:ascii="Times New Roman"/>
          <w:color w:val="auto"/>
          <w:u w:val="none"/>
        </w:rPr>
        <w:fldChar w:fldCharType="end"/>
      </w:r>
      <w:r>
        <w:rPr>
          <w:rFonts w:hint="eastAsia" w:ascii="Times New Roman"/>
          <w:color w:val="auto"/>
          <w:u w:val="none"/>
          <w:lang w:val="en-US" w:eastAsia="zh-CN"/>
        </w:rPr>
        <w:t>3</w:t>
      </w:r>
    </w:p>
    <w:p w14:paraId="4148094A">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hint="default" w:ascii="Times New Roman" w:eastAsia="楷体_GB2312"/>
          <w:color w:val="auto"/>
          <w:u w:val="none"/>
          <w:lang w:val="en-US" w:eastAsia="zh-CN"/>
        </w:rPr>
      </w:pPr>
      <w:r>
        <w:rPr>
          <w:color w:val="auto"/>
          <w:u w:val="none"/>
        </w:rPr>
        <w:fldChar w:fldCharType="begin"/>
      </w:r>
      <w:r>
        <w:rPr>
          <w:color w:val="auto"/>
          <w:u w:val="none"/>
        </w:rPr>
        <w:instrText xml:space="preserve"> HYPERLINK \l "_Toc86940113" </w:instrText>
      </w:r>
      <w:r>
        <w:rPr>
          <w:color w:val="auto"/>
          <w:u w:val="none"/>
        </w:rPr>
        <w:fldChar w:fldCharType="separate"/>
      </w:r>
      <w:r>
        <w:rPr>
          <w:rStyle w:val="20"/>
          <w:rFonts w:ascii="Times New Roman" w:eastAsia="楷体_GB2312"/>
          <w:color w:val="auto"/>
          <w:u w:val="none"/>
        </w:rPr>
        <w:t>（</w:t>
      </w:r>
      <w:r>
        <w:rPr>
          <w:rStyle w:val="20"/>
          <w:rFonts w:hint="eastAsia" w:ascii="Times New Roman" w:eastAsia="楷体_GB2312"/>
          <w:color w:val="auto"/>
          <w:u w:val="none"/>
          <w:lang w:eastAsia="zh-CN"/>
        </w:rPr>
        <w:t>四</w:t>
      </w:r>
      <w:r>
        <w:rPr>
          <w:rStyle w:val="20"/>
          <w:rFonts w:ascii="Times New Roman" w:eastAsia="楷体_GB2312"/>
          <w:color w:val="auto"/>
          <w:u w:val="none"/>
        </w:rPr>
        <w:t>）</w:t>
      </w:r>
      <w:r>
        <w:rPr>
          <w:rStyle w:val="20"/>
          <w:rFonts w:hint="eastAsia" w:ascii="Times New Roman" w:eastAsia="楷体_GB2312"/>
          <w:color w:val="auto"/>
          <w:u w:val="none"/>
          <w:lang w:eastAsia="zh-CN"/>
        </w:rPr>
        <w:t>构建大慈善体系，推动慈善事业健康规范发展</w:t>
      </w:r>
      <w:r>
        <w:rPr>
          <w:rFonts w:ascii="Times New Roman" w:eastAsia="楷体_GB2312"/>
          <w:color w:val="auto"/>
          <w:u w:val="none"/>
        </w:rPr>
        <w:tab/>
      </w:r>
      <w:r>
        <w:rPr>
          <w:rFonts w:ascii="Times New Roman" w:eastAsia="楷体_GB2312"/>
          <w:color w:val="auto"/>
          <w:u w:val="none"/>
        </w:rPr>
        <w:fldChar w:fldCharType="end"/>
      </w:r>
      <w:r>
        <w:rPr>
          <w:rFonts w:hint="eastAsia" w:ascii="Times New Roman" w:eastAsia="楷体_GB2312"/>
          <w:color w:val="auto"/>
          <w:u w:val="none"/>
          <w:lang w:val="en-US" w:eastAsia="zh-CN"/>
        </w:rPr>
        <w:t>34</w:t>
      </w:r>
    </w:p>
    <w:p w14:paraId="30F578C0">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"_Toc86940114" </w:instrText>
      </w:r>
      <w:r>
        <w:rPr>
          <w:color w:val="auto"/>
          <w:u w:val="none"/>
        </w:rPr>
        <w:fldChar w:fldCharType="separate"/>
      </w:r>
      <w:r>
        <w:rPr>
          <w:rStyle w:val="20"/>
          <w:rFonts w:ascii="Times New Roman"/>
          <w:color w:val="auto"/>
          <w:u w:val="none"/>
        </w:rPr>
        <w:t>1.</w:t>
      </w:r>
      <w:r>
        <w:rPr>
          <w:rStyle w:val="20"/>
          <w:rFonts w:hint="eastAsia" w:ascii="Times New Roman"/>
          <w:color w:val="auto"/>
          <w:u w:val="none"/>
          <w:lang w:eastAsia="zh-CN"/>
        </w:rPr>
        <w:t>健全慈善事业发展体制机制</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35</w:t>
      </w:r>
    </w:p>
    <w:p w14:paraId="5A6D3211">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"_Toc86940115" </w:instrText>
      </w:r>
      <w:r>
        <w:rPr>
          <w:color w:val="auto"/>
          <w:u w:val="none"/>
        </w:rPr>
        <w:fldChar w:fldCharType="separate"/>
      </w:r>
      <w:r>
        <w:rPr>
          <w:rStyle w:val="20"/>
          <w:rFonts w:ascii="Times New Roman"/>
          <w:color w:val="auto"/>
          <w:u w:val="none"/>
        </w:rPr>
        <w:t>2.</w:t>
      </w:r>
      <w:r>
        <w:rPr>
          <w:rStyle w:val="20"/>
          <w:rFonts w:hint="eastAsia" w:ascii="Times New Roman"/>
          <w:color w:val="auto"/>
          <w:u w:val="none"/>
          <w:lang w:eastAsia="zh-CN"/>
        </w:rPr>
        <w:t>创新慈善参与渠道</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35</w:t>
      </w:r>
    </w:p>
    <w:p w14:paraId="05566620">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eastAsia" w:ascii="Times New Roman"/>
          <w:color w:val="auto"/>
          <w:u w:val="none"/>
          <w:lang w:val="en-US" w:eastAsia="zh-CN"/>
        </w:rPr>
      </w:pPr>
      <w:r>
        <w:rPr>
          <w:color w:val="auto"/>
          <w:u w:val="none"/>
        </w:rPr>
        <w:fldChar w:fldCharType="begin"/>
      </w:r>
      <w:r>
        <w:rPr>
          <w:color w:val="auto"/>
          <w:u w:val="none"/>
        </w:rPr>
        <w:instrText xml:space="preserve"> HYPERLINK \l "_Toc86940116" </w:instrText>
      </w:r>
      <w:r>
        <w:rPr>
          <w:color w:val="auto"/>
          <w:u w:val="none"/>
        </w:rPr>
        <w:fldChar w:fldCharType="separate"/>
      </w:r>
      <w:r>
        <w:rPr>
          <w:rStyle w:val="20"/>
          <w:rFonts w:ascii="Times New Roman"/>
          <w:color w:val="auto"/>
          <w:u w:val="none"/>
        </w:rPr>
        <w:t>3.提升</w:t>
      </w:r>
      <w:r>
        <w:rPr>
          <w:rStyle w:val="20"/>
          <w:rFonts w:hint="eastAsia" w:ascii="Times New Roman"/>
          <w:color w:val="auto"/>
          <w:u w:val="none"/>
          <w:lang w:eastAsia="zh-CN"/>
        </w:rPr>
        <w:t>慈善事业管理</w:t>
      </w:r>
      <w:r>
        <w:rPr>
          <w:rStyle w:val="20"/>
          <w:rFonts w:ascii="Times New Roman"/>
          <w:color w:val="auto"/>
          <w:u w:val="none"/>
        </w:rPr>
        <w:t>水平</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35</w:t>
      </w:r>
    </w:p>
    <w:p w14:paraId="4E15675D">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color w:val="auto"/>
          <w:u w:val="none"/>
          <w:lang w:val="en-US" w:eastAsia="zh-CN"/>
        </w:rPr>
      </w:pPr>
      <w:bookmarkStart w:id="0" w:name="页码"/>
      <w:bookmarkEnd w:id="0"/>
      <w:r>
        <w:rPr>
          <w:color w:val="auto"/>
          <w:u w:val="none"/>
        </w:rPr>
        <w:fldChar w:fldCharType="begin"/>
      </w:r>
      <w:r>
        <w:rPr>
          <w:color w:val="auto"/>
          <w:u w:val="none"/>
        </w:rPr>
        <w:instrText xml:space="preserve"> HYPERLINK \l "_Toc86940116" </w:instrText>
      </w:r>
      <w:r>
        <w:rPr>
          <w:color w:val="auto"/>
          <w:u w:val="none"/>
        </w:rPr>
        <w:fldChar w:fldCharType="separate"/>
      </w:r>
      <w:r>
        <w:rPr>
          <w:rStyle w:val="20"/>
          <w:rFonts w:hint="eastAsia" w:ascii="Times New Roman"/>
          <w:color w:val="auto"/>
          <w:sz w:val="32"/>
          <w:szCs w:val="32"/>
          <w:u w:val="none"/>
          <w:lang w:val="en-US" w:eastAsia="zh-CN"/>
        </w:rPr>
        <w:t>4</w:t>
      </w:r>
      <w:r>
        <w:rPr>
          <w:rStyle w:val="20"/>
          <w:rFonts w:ascii="Times New Roman"/>
          <w:color w:val="auto"/>
          <w:u w:val="none"/>
        </w:rPr>
        <w:t>.</w:t>
      </w:r>
      <w:r>
        <w:rPr>
          <w:rStyle w:val="20"/>
          <w:rFonts w:hint="eastAsia" w:ascii="Times New Roman"/>
          <w:color w:val="auto"/>
          <w:u w:val="none"/>
          <w:lang w:eastAsia="zh-CN"/>
        </w:rPr>
        <w:t>提升公益慈善专业人才培养发展水平</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36</w:t>
      </w:r>
    </w:p>
    <w:p w14:paraId="085683C9">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8" w:hanging="624" w:hangingChars="200"/>
        <w:textAlignment w:val="auto"/>
        <w:rPr>
          <w:rFonts w:hint="default" w:ascii="Times New Roman" w:eastAsia="楷体_GB2312"/>
          <w:color w:val="auto"/>
          <w:u w:val="none"/>
          <w:lang w:val="en-US" w:eastAsia="zh-CN"/>
        </w:rPr>
      </w:pPr>
      <w:r>
        <w:rPr>
          <w:color w:val="auto"/>
          <w:u w:val="none"/>
        </w:rPr>
        <w:fldChar w:fldCharType="begin"/>
      </w:r>
      <w:r>
        <w:rPr>
          <w:color w:val="auto"/>
          <w:u w:val="none"/>
        </w:rPr>
        <w:instrText xml:space="preserve"> HYPERLINK \l "_Toc86940122" </w:instrText>
      </w:r>
      <w:r>
        <w:rPr>
          <w:color w:val="auto"/>
          <w:u w:val="none"/>
        </w:rPr>
        <w:fldChar w:fldCharType="separate"/>
      </w:r>
      <w:r>
        <w:rPr>
          <w:rStyle w:val="20"/>
          <w:rFonts w:ascii="Times New Roman" w:eastAsia="楷体_GB2312"/>
          <w:color w:val="auto"/>
          <w:u w:val="none"/>
        </w:rPr>
        <w:t>（</w:t>
      </w:r>
      <w:r>
        <w:rPr>
          <w:rStyle w:val="20"/>
          <w:rFonts w:hint="eastAsia" w:ascii="Times New Roman" w:eastAsia="楷体_GB2312"/>
          <w:color w:val="auto"/>
          <w:u w:val="none"/>
          <w:lang w:eastAsia="zh-CN"/>
        </w:rPr>
        <w:t>五</w:t>
      </w:r>
      <w:r>
        <w:rPr>
          <w:rStyle w:val="20"/>
          <w:rFonts w:ascii="Times New Roman" w:eastAsia="楷体_GB2312"/>
          <w:color w:val="auto"/>
          <w:u w:val="none"/>
        </w:rPr>
        <w:t>）</w:t>
      </w:r>
      <w:r>
        <w:rPr>
          <w:rStyle w:val="20"/>
          <w:rFonts w:hint="eastAsia" w:ascii="Times New Roman" w:eastAsia="楷体_GB2312"/>
          <w:color w:val="auto"/>
          <w:u w:val="none"/>
          <w:lang w:eastAsia="zh-CN"/>
        </w:rPr>
        <w:t>构建民政领域大社会治理体系，助力基层治理体系和治理能力现代化建设</w:t>
      </w:r>
      <w:r>
        <w:rPr>
          <w:rFonts w:ascii="Times New Roman" w:eastAsia="楷体_GB2312"/>
          <w:color w:val="auto"/>
          <w:u w:val="none"/>
        </w:rPr>
        <w:tab/>
      </w:r>
      <w:r>
        <w:rPr>
          <w:rFonts w:ascii="Times New Roman" w:eastAsia="楷体_GB2312"/>
          <w:color w:val="auto"/>
          <w:u w:val="none"/>
        </w:rPr>
        <w:fldChar w:fldCharType="end"/>
      </w:r>
      <w:r>
        <w:rPr>
          <w:rFonts w:hint="eastAsia" w:ascii="Times New Roman" w:eastAsia="楷体_GB2312"/>
          <w:color w:val="auto"/>
          <w:u w:val="none"/>
          <w:lang w:val="en-US" w:eastAsia="zh-CN"/>
        </w:rPr>
        <w:t>37</w:t>
      </w:r>
    </w:p>
    <w:p w14:paraId="0224F5D2">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"_Toc86940123" </w:instrText>
      </w:r>
      <w:r>
        <w:rPr>
          <w:color w:val="auto"/>
          <w:u w:val="none"/>
        </w:rPr>
        <w:fldChar w:fldCharType="separate"/>
      </w:r>
      <w:r>
        <w:rPr>
          <w:rStyle w:val="20"/>
          <w:rFonts w:ascii="Times New Roman"/>
          <w:color w:val="auto"/>
          <w:u w:val="none"/>
        </w:rPr>
        <w:t>1.</w:t>
      </w:r>
      <w:r>
        <w:rPr>
          <w:rStyle w:val="20"/>
          <w:rFonts w:hint="eastAsia" w:ascii="Times New Roman"/>
          <w:color w:val="auto"/>
          <w:u w:val="none"/>
          <w:lang w:eastAsia="zh-CN"/>
        </w:rPr>
        <w:t>完善城乡基层治理</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37</w:t>
      </w:r>
    </w:p>
    <w:p w14:paraId="63F64043">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"_Toc86940124" </w:instrText>
      </w:r>
      <w:r>
        <w:rPr>
          <w:color w:val="auto"/>
          <w:u w:val="none"/>
        </w:rPr>
        <w:fldChar w:fldCharType="separate"/>
      </w:r>
      <w:r>
        <w:rPr>
          <w:rStyle w:val="20"/>
          <w:rFonts w:ascii="Times New Roman"/>
          <w:color w:val="auto"/>
          <w:u w:val="none"/>
        </w:rPr>
        <w:t>2.</w:t>
      </w:r>
      <w:r>
        <w:rPr>
          <w:rStyle w:val="20"/>
          <w:rFonts w:hint="eastAsia" w:ascii="Times New Roman"/>
          <w:color w:val="auto"/>
          <w:u w:val="none"/>
          <w:lang w:eastAsia="zh-CN"/>
        </w:rPr>
        <w:t>规范社会组织发展</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39</w:t>
      </w:r>
    </w:p>
    <w:p w14:paraId="5E5E025C">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"_Toc86940124" </w:instrText>
      </w:r>
      <w:r>
        <w:rPr>
          <w:color w:val="auto"/>
          <w:u w:val="none"/>
        </w:rPr>
        <w:fldChar w:fldCharType="separate"/>
      </w:r>
      <w:r>
        <w:rPr>
          <w:rStyle w:val="20"/>
          <w:rFonts w:hint="eastAsia" w:ascii="Times New Roman"/>
          <w:color w:val="auto"/>
          <w:u w:val="none"/>
          <w:lang w:val="en-US" w:eastAsia="zh-CN"/>
        </w:rPr>
        <w:t>3</w:t>
      </w:r>
      <w:r>
        <w:rPr>
          <w:rStyle w:val="20"/>
          <w:rFonts w:ascii="Times New Roman"/>
          <w:color w:val="auto"/>
          <w:u w:val="none"/>
        </w:rPr>
        <w:t>.</w:t>
      </w:r>
      <w:r>
        <w:rPr>
          <w:rStyle w:val="20"/>
          <w:rFonts w:hint="eastAsia" w:ascii="Times New Roman"/>
          <w:color w:val="auto"/>
          <w:u w:val="none"/>
          <w:lang w:eastAsia="zh-CN"/>
        </w:rPr>
        <w:t>加强社工人才队伍建设</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41</w:t>
      </w:r>
    </w:p>
    <w:p w14:paraId="7BA093D9">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color w:val="auto"/>
          <w:u w:val="none"/>
          <w:lang w:val="en-US" w:eastAsia="zh-CN"/>
        </w:rPr>
      </w:pPr>
      <w:r>
        <w:rPr>
          <w:color w:val="auto"/>
          <w:u w:val="none"/>
        </w:rPr>
        <w:fldChar w:fldCharType="begin"/>
      </w:r>
      <w:r>
        <w:rPr>
          <w:color w:val="auto"/>
          <w:u w:val="none"/>
        </w:rPr>
        <w:instrText xml:space="preserve"> HYPERLINK \l "_Toc86940125" </w:instrText>
      </w:r>
      <w:r>
        <w:rPr>
          <w:color w:val="auto"/>
          <w:u w:val="none"/>
        </w:rPr>
        <w:fldChar w:fldCharType="separate"/>
      </w:r>
      <w:r>
        <w:rPr>
          <w:rStyle w:val="20"/>
          <w:rFonts w:hint="eastAsia" w:ascii="Times New Roman"/>
          <w:color w:val="auto"/>
          <w:u w:val="none"/>
          <w:lang w:val="en-US" w:eastAsia="zh-CN"/>
        </w:rPr>
        <w:t>4</w:t>
      </w:r>
      <w:r>
        <w:rPr>
          <w:rStyle w:val="20"/>
          <w:rFonts w:ascii="Times New Roman"/>
          <w:color w:val="auto"/>
          <w:u w:val="none"/>
        </w:rPr>
        <w:t>.</w:t>
      </w:r>
      <w:r>
        <w:rPr>
          <w:rStyle w:val="20"/>
          <w:rFonts w:hint="eastAsia" w:ascii="Times New Roman"/>
          <w:color w:val="auto"/>
          <w:u w:val="none"/>
          <w:lang w:eastAsia="zh-CN"/>
        </w:rPr>
        <w:t>提升基本社会服务水平</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42</w:t>
      </w:r>
    </w:p>
    <w:p w14:paraId="024AF30F">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color w:val="auto"/>
          <w:u w:val="none"/>
        </w:rPr>
        <w:sectPr>
          <w:footerReference r:id="rId9" w:type="default"/>
          <w:footerReference r:id="rId10" w:type="even"/>
          <w:pgSz w:w="11906" w:h="16838"/>
          <w:pgMar w:top="2211" w:right="1531" w:bottom="1871" w:left="1531" w:header="851" w:footer="1361" w:gutter="0"/>
          <w:pgNumType w:fmt="numberInDash" w:start="1"/>
          <w:cols w:space="720" w:num="1"/>
          <w:docGrid w:type="linesAndChars" w:linePitch="574" w:charSpace="-1683"/>
        </w:sectPr>
      </w:pPr>
    </w:p>
    <w:p w14:paraId="6A341188">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hint="default" w:ascii="Times New Roman" w:eastAsia="楷体_GB2312"/>
          <w:color w:val="auto"/>
          <w:u w:val="none"/>
          <w:lang w:val="en-US" w:eastAsia="zh-CN"/>
        </w:rPr>
      </w:pPr>
      <w:r>
        <w:rPr>
          <w:color w:val="auto"/>
          <w:u w:val="none"/>
        </w:rPr>
        <w:fldChar w:fldCharType="begin"/>
      </w:r>
      <w:r>
        <w:rPr>
          <w:color w:val="auto"/>
          <w:u w:val="none"/>
        </w:rPr>
        <w:instrText xml:space="preserve"> HYPERLINK \l "_Toc86940105" </w:instrText>
      </w:r>
      <w:r>
        <w:rPr>
          <w:color w:val="auto"/>
          <w:u w:val="none"/>
        </w:rPr>
        <w:fldChar w:fldCharType="separate"/>
      </w:r>
      <w:r>
        <w:rPr>
          <w:rStyle w:val="20"/>
          <w:rFonts w:ascii="Times New Roman" w:eastAsia="楷体_GB2312"/>
          <w:color w:val="auto"/>
          <w:u w:val="none"/>
        </w:rPr>
        <w:t>（</w:t>
      </w:r>
      <w:r>
        <w:rPr>
          <w:rStyle w:val="20"/>
          <w:rFonts w:hint="eastAsia" w:ascii="Times New Roman" w:eastAsia="楷体_GB2312"/>
          <w:color w:val="auto"/>
          <w:u w:val="none"/>
          <w:lang w:eastAsia="zh-CN"/>
        </w:rPr>
        <w:t>六</w:t>
      </w:r>
      <w:r>
        <w:rPr>
          <w:rStyle w:val="20"/>
          <w:rFonts w:ascii="Times New Roman" w:eastAsia="楷体_GB2312"/>
          <w:color w:val="auto"/>
          <w:u w:val="none"/>
        </w:rPr>
        <w:t>）</w:t>
      </w:r>
      <w:r>
        <w:rPr>
          <w:rStyle w:val="20"/>
          <w:rFonts w:hint="eastAsia" w:ascii="Times New Roman" w:eastAsia="楷体_GB2312"/>
          <w:color w:val="auto"/>
          <w:u w:val="none"/>
          <w:lang w:eastAsia="zh-CN"/>
        </w:rPr>
        <w:t>夯实民政服务基础设施，着力提升公共服务水平</w:t>
      </w:r>
      <w:r>
        <w:rPr>
          <w:rFonts w:ascii="Times New Roman" w:eastAsia="楷体_GB2312"/>
          <w:color w:val="auto"/>
          <w:u w:val="none"/>
        </w:rPr>
        <w:tab/>
      </w:r>
      <w:r>
        <w:rPr>
          <w:rFonts w:ascii="Times New Roman" w:eastAsia="楷体_GB2312"/>
          <w:color w:val="auto"/>
          <w:u w:val="none"/>
        </w:rPr>
        <w:fldChar w:fldCharType="end"/>
      </w:r>
      <w:r>
        <w:rPr>
          <w:rFonts w:hint="eastAsia" w:ascii="Times New Roman" w:eastAsia="楷体_GB2312"/>
          <w:color w:val="auto"/>
          <w:u w:val="none"/>
          <w:lang w:val="en-US" w:eastAsia="zh-CN"/>
        </w:rPr>
        <w:t>45</w:t>
      </w:r>
    </w:p>
    <w:p w14:paraId="52C7984E">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"_Toc86940106" </w:instrText>
      </w:r>
      <w:r>
        <w:rPr>
          <w:color w:val="auto"/>
          <w:u w:val="none"/>
        </w:rPr>
        <w:fldChar w:fldCharType="separate"/>
      </w:r>
      <w:r>
        <w:rPr>
          <w:rStyle w:val="20"/>
          <w:rFonts w:ascii="Times New Roman"/>
          <w:color w:val="auto"/>
          <w:u w:val="none"/>
        </w:rPr>
        <w:t>1.</w:t>
      </w:r>
      <w:r>
        <w:rPr>
          <w:rStyle w:val="20"/>
          <w:rFonts w:hint="eastAsia" w:ascii="Times New Roman"/>
          <w:color w:val="auto"/>
          <w:u w:val="none"/>
          <w:lang w:eastAsia="zh-CN"/>
        </w:rPr>
        <w:t>建设多功能救助管理机构</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45</w:t>
      </w:r>
    </w:p>
    <w:p w14:paraId="5C4E9445">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sz w:val="32"/>
          <w:szCs w:val="32"/>
          <w:u w:val="none"/>
          <w:lang w:val="en-US" w:eastAsia="zh-CN"/>
        </w:rPr>
      </w:pPr>
      <w:r>
        <w:rPr>
          <w:color w:val="auto"/>
          <w:sz w:val="32"/>
          <w:szCs w:val="32"/>
          <w:u w:val="none"/>
        </w:rPr>
        <w:fldChar w:fldCharType="begin"/>
      </w:r>
      <w:r>
        <w:rPr>
          <w:color w:val="auto"/>
          <w:sz w:val="32"/>
          <w:szCs w:val="32"/>
          <w:u w:val="none"/>
        </w:rPr>
        <w:instrText xml:space="preserve"> HYPERLINK \l "_Toc86940108" </w:instrText>
      </w:r>
      <w:r>
        <w:rPr>
          <w:color w:val="auto"/>
          <w:sz w:val="32"/>
          <w:szCs w:val="32"/>
          <w:u w:val="none"/>
        </w:rPr>
        <w:fldChar w:fldCharType="separate"/>
      </w:r>
      <w:r>
        <w:rPr>
          <w:rStyle w:val="20"/>
          <w:rFonts w:hint="eastAsia" w:ascii="Times New Roman"/>
          <w:color w:val="auto"/>
          <w:sz w:val="32"/>
          <w:szCs w:val="32"/>
          <w:u w:val="none"/>
          <w:lang w:val="en-US" w:eastAsia="zh-CN"/>
        </w:rPr>
        <w:t>2</w:t>
      </w:r>
      <w:r>
        <w:rPr>
          <w:rStyle w:val="20"/>
          <w:rFonts w:ascii="Times New Roman"/>
          <w:color w:val="auto"/>
          <w:sz w:val="32"/>
          <w:szCs w:val="32"/>
          <w:u w:val="none"/>
        </w:rPr>
        <w:t>.</w:t>
      </w:r>
      <w:r>
        <w:rPr>
          <w:rStyle w:val="20"/>
          <w:rFonts w:hint="eastAsia" w:ascii="Times New Roman"/>
          <w:color w:val="auto"/>
          <w:sz w:val="32"/>
          <w:szCs w:val="32"/>
          <w:u w:val="none"/>
          <w:lang w:eastAsia="zh-CN"/>
        </w:rPr>
        <w:t>加强市儿童福利机构保障设施建设</w:t>
      </w:r>
      <w:r>
        <w:rPr>
          <w:rFonts w:ascii="Times New Roman"/>
          <w:color w:val="auto"/>
          <w:sz w:val="32"/>
          <w:szCs w:val="32"/>
          <w:u w:val="none"/>
        </w:rPr>
        <w:tab/>
      </w:r>
      <w:r>
        <w:rPr>
          <w:rFonts w:ascii="Times New Roman"/>
          <w:color w:val="auto"/>
          <w:sz w:val="32"/>
          <w:szCs w:val="32"/>
          <w:u w:val="none"/>
        </w:rPr>
        <w:fldChar w:fldCharType="end"/>
      </w:r>
      <w:r>
        <w:rPr>
          <w:rFonts w:hint="eastAsia" w:ascii="Times New Roman"/>
          <w:color w:val="auto"/>
          <w:sz w:val="32"/>
          <w:szCs w:val="32"/>
          <w:u w:val="none"/>
          <w:lang w:val="en-US" w:eastAsia="zh-CN"/>
        </w:rPr>
        <w:t>45</w:t>
      </w:r>
    </w:p>
    <w:p w14:paraId="29BBCB12">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sz w:val="32"/>
          <w:szCs w:val="32"/>
          <w:u w:val="none"/>
          <w:lang w:val="en-US" w:eastAsia="zh-CN"/>
        </w:rPr>
      </w:pPr>
      <w:r>
        <w:rPr>
          <w:color w:val="auto"/>
          <w:sz w:val="32"/>
          <w:szCs w:val="32"/>
          <w:u w:val="none"/>
        </w:rPr>
        <w:fldChar w:fldCharType="begin"/>
      </w:r>
      <w:r>
        <w:rPr>
          <w:color w:val="auto"/>
          <w:sz w:val="32"/>
          <w:szCs w:val="32"/>
          <w:u w:val="none"/>
        </w:rPr>
        <w:instrText xml:space="preserve"> HYPERLINK \l "_Toc86940106" </w:instrText>
      </w:r>
      <w:r>
        <w:rPr>
          <w:color w:val="auto"/>
          <w:sz w:val="32"/>
          <w:szCs w:val="32"/>
          <w:u w:val="none"/>
        </w:rPr>
        <w:fldChar w:fldCharType="separate"/>
      </w:r>
      <w:r>
        <w:rPr>
          <w:rStyle w:val="20"/>
          <w:rFonts w:hint="eastAsia" w:ascii="Times New Roman"/>
          <w:color w:val="auto"/>
          <w:sz w:val="32"/>
          <w:szCs w:val="32"/>
          <w:u w:val="none"/>
          <w:lang w:val="en-US" w:eastAsia="zh-CN"/>
        </w:rPr>
        <w:t>3</w:t>
      </w:r>
      <w:r>
        <w:rPr>
          <w:rStyle w:val="20"/>
          <w:rFonts w:ascii="Times New Roman"/>
          <w:color w:val="auto"/>
          <w:sz w:val="32"/>
          <w:szCs w:val="32"/>
          <w:u w:val="none"/>
        </w:rPr>
        <w:t>.</w:t>
      </w:r>
      <w:r>
        <w:rPr>
          <w:rStyle w:val="20"/>
          <w:rFonts w:hint="eastAsia" w:ascii="Times New Roman"/>
          <w:color w:val="auto"/>
          <w:sz w:val="32"/>
          <w:szCs w:val="32"/>
          <w:u w:val="none"/>
          <w:lang w:eastAsia="zh-CN"/>
        </w:rPr>
        <w:t>推动殡葬服务设施建设</w:t>
      </w:r>
      <w:r>
        <w:rPr>
          <w:rFonts w:ascii="Times New Roman"/>
          <w:color w:val="auto"/>
          <w:sz w:val="32"/>
          <w:szCs w:val="32"/>
          <w:u w:val="none"/>
        </w:rPr>
        <w:tab/>
      </w:r>
      <w:r>
        <w:rPr>
          <w:rFonts w:ascii="Times New Roman"/>
          <w:color w:val="auto"/>
          <w:sz w:val="32"/>
          <w:szCs w:val="32"/>
          <w:u w:val="none"/>
        </w:rPr>
        <w:fldChar w:fldCharType="end"/>
      </w:r>
      <w:r>
        <w:rPr>
          <w:rFonts w:hint="eastAsia" w:ascii="Times New Roman"/>
          <w:color w:val="auto"/>
          <w:sz w:val="32"/>
          <w:szCs w:val="32"/>
          <w:u w:val="none"/>
          <w:lang w:val="en-US" w:eastAsia="zh-CN"/>
        </w:rPr>
        <w:t>46</w:t>
      </w:r>
    </w:p>
    <w:p w14:paraId="6C030C39">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sz w:val="32"/>
          <w:szCs w:val="32"/>
          <w:u w:val="none"/>
          <w:lang w:val="en-US" w:eastAsia="zh-CN"/>
        </w:rPr>
      </w:pPr>
      <w:r>
        <w:rPr>
          <w:color w:val="auto"/>
          <w:sz w:val="32"/>
          <w:szCs w:val="32"/>
          <w:u w:val="none"/>
        </w:rPr>
        <w:fldChar w:fldCharType="begin"/>
      </w:r>
      <w:r>
        <w:rPr>
          <w:color w:val="auto"/>
          <w:sz w:val="32"/>
          <w:szCs w:val="32"/>
          <w:u w:val="none"/>
        </w:rPr>
        <w:instrText xml:space="preserve"> HYPERLINK \l "_Toc86940109" </w:instrText>
      </w:r>
      <w:r>
        <w:rPr>
          <w:color w:val="auto"/>
          <w:sz w:val="32"/>
          <w:szCs w:val="32"/>
          <w:u w:val="none"/>
        </w:rPr>
        <w:fldChar w:fldCharType="separate"/>
      </w:r>
      <w:r>
        <w:rPr>
          <w:rStyle w:val="20"/>
          <w:rFonts w:hint="eastAsia" w:ascii="Times New Roman"/>
          <w:color w:val="auto"/>
          <w:sz w:val="32"/>
          <w:szCs w:val="32"/>
          <w:u w:val="none"/>
          <w:lang w:val="en-US" w:eastAsia="zh-CN"/>
        </w:rPr>
        <w:t>4</w:t>
      </w:r>
      <w:r>
        <w:rPr>
          <w:rStyle w:val="20"/>
          <w:rFonts w:ascii="Times New Roman"/>
          <w:color w:val="auto"/>
          <w:sz w:val="32"/>
          <w:szCs w:val="32"/>
          <w:u w:val="none"/>
        </w:rPr>
        <w:t>.</w:t>
      </w:r>
      <w:r>
        <w:rPr>
          <w:rStyle w:val="20"/>
          <w:rFonts w:hint="eastAsia" w:ascii="Times New Roman"/>
          <w:color w:val="auto"/>
          <w:sz w:val="32"/>
          <w:szCs w:val="32"/>
          <w:u w:val="none"/>
          <w:lang w:eastAsia="zh-CN"/>
        </w:rPr>
        <w:t>实施市婚姻登记中心服务场所搬迁</w:t>
      </w:r>
      <w:r>
        <w:rPr>
          <w:rFonts w:ascii="Times New Roman"/>
          <w:color w:val="auto"/>
          <w:sz w:val="32"/>
          <w:szCs w:val="32"/>
          <w:u w:val="none"/>
        </w:rPr>
        <w:tab/>
      </w:r>
      <w:r>
        <w:rPr>
          <w:rFonts w:ascii="Times New Roman"/>
          <w:color w:val="auto"/>
          <w:sz w:val="32"/>
          <w:szCs w:val="32"/>
          <w:u w:val="none"/>
        </w:rPr>
        <w:fldChar w:fldCharType="end"/>
      </w:r>
      <w:r>
        <w:rPr>
          <w:rFonts w:hint="eastAsia" w:ascii="Times New Roman"/>
          <w:color w:val="auto"/>
          <w:sz w:val="32"/>
          <w:szCs w:val="32"/>
          <w:u w:val="none"/>
          <w:lang w:val="en-US" w:eastAsia="zh-CN"/>
        </w:rPr>
        <w:t>46</w:t>
      </w:r>
    </w:p>
    <w:p w14:paraId="484EC12D">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sz w:val="32"/>
          <w:szCs w:val="32"/>
          <w:u w:val="none"/>
        </w:rPr>
        <w:fldChar w:fldCharType="begin"/>
      </w:r>
      <w:r>
        <w:rPr>
          <w:color w:val="auto"/>
          <w:sz w:val="32"/>
          <w:szCs w:val="32"/>
          <w:u w:val="none"/>
        </w:rPr>
        <w:instrText xml:space="preserve"> HYPERLINK \l "_Toc86940111" </w:instrText>
      </w:r>
      <w:r>
        <w:rPr>
          <w:color w:val="auto"/>
          <w:sz w:val="32"/>
          <w:szCs w:val="32"/>
          <w:u w:val="none"/>
        </w:rPr>
        <w:fldChar w:fldCharType="separate"/>
      </w:r>
      <w:r>
        <w:rPr>
          <w:rStyle w:val="20"/>
          <w:rFonts w:hint="eastAsia" w:ascii="Times New Roman"/>
          <w:color w:val="auto"/>
          <w:sz w:val="32"/>
          <w:szCs w:val="32"/>
          <w:u w:val="none"/>
          <w:lang w:val="en-US" w:eastAsia="zh-CN"/>
        </w:rPr>
        <w:t>5</w:t>
      </w:r>
      <w:r>
        <w:rPr>
          <w:rStyle w:val="20"/>
          <w:rFonts w:ascii="Times New Roman"/>
          <w:color w:val="auto"/>
          <w:sz w:val="32"/>
          <w:szCs w:val="32"/>
          <w:u w:val="none"/>
        </w:rPr>
        <w:t>.</w:t>
      </w:r>
      <w:r>
        <w:rPr>
          <w:rStyle w:val="20"/>
          <w:rFonts w:hint="eastAsia" w:ascii="Times New Roman"/>
          <w:color w:val="auto"/>
          <w:sz w:val="32"/>
          <w:szCs w:val="32"/>
          <w:u w:val="none"/>
          <w:lang w:eastAsia="zh-CN"/>
        </w:rPr>
        <w:t>加速智慧民政建设</w:t>
      </w:r>
      <w:r>
        <w:rPr>
          <w:rFonts w:ascii="Times New Roman"/>
          <w:color w:val="auto"/>
          <w:sz w:val="32"/>
          <w:szCs w:val="32"/>
          <w:u w:val="none"/>
        </w:rPr>
        <w:tab/>
      </w:r>
      <w:r>
        <w:rPr>
          <w:rFonts w:ascii="Times New Roman"/>
          <w:color w:val="auto"/>
          <w:sz w:val="32"/>
          <w:szCs w:val="32"/>
          <w:u w:val="none"/>
        </w:rPr>
        <w:fldChar w:fldCharType="end"/>
      </w:r>
      <w:r>
        <w:rPr>
          <w:rFonts w:hint="eastAsia" w:ascii="Times New Roman"/>
          <w:color w:val="auto"/>
          <w:u w:val="none"/>
          <w:lang w:val="en-US" w:eastAsia="zh-CN"/>
        </w:rPr>
        <w:t>46</w:t>
      </w:r>
    </w:p>
    <w:p w14:paraId="5195CB8A">
      <w:pPr>
        <w:pStyle w:val="13"/>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textAlignment w:val="auto"/>
        <w:rPr>
          <w:rFonts w:hint="default" w:ascii="Times New Roman" w:eastAsia="黑体"/>
          <w:color w:val="auto"/>
          <w:u w:val="none"/>
          <w:lang w:val="en-US" w:eastAsia="zh-CN"/>
        </w:rPr>
      </w:pPr>
      <w:r>
        <w:rPr>
          <w:color w:val="auto"/>
          <w:u w:val="none"/>
        </w:rPr>
        <w:fldChar w:fldCharType="begin"/>
      </w:r>
      <w:r>
        <w:rPr>
          <w:color w:val="auto"/>
          <w:u w:val="none"/>
        </w:rPr>
        <w:instrText xml:space="preserve"> HYPERLINK \l "_Toc86940127" </w:instrText>
      </w:r>
      <w:r>
        <w:rPr>
          <w:color w:val="auto"/>
          <w:u w:val="none"/>
        </w:rPr>
        <w:fldChar w:fldCharType="separate"/>
      </w:r>
      <w:r>
        <w:rPr>
          <w:rStyle w:val="20"/>
          <w:rFonts w:ascii="Times New Roman" w:eastAsia="黑体"/>
          <w:color w:val="auto"/>
          <w:u w:val="none"/>
        </w:rPr>
        <w:t>四、组织保障</w:t>
      </w:r>
      <w:r>
        <w:rPr>
          <w:rFonts w:ascii="Times New Roman" w:eastAsia="黑体"/>
          <w:color w:val="auto"/>
          <w:u w:val="none"/>
        </w:rPr>
        <w:tab/>
      </w:r>
      <w:r>
        <w:rPr>
          <w:rFonts w:ascii="Times New Roman" w:eastAsia="黑体"/>
          <w:color w:val="auto"/>
          <w:u w:val="none"/>
        </w:rPr>
        <w:fldChar w:fldCharType="end"/>
      </w:r>
      <w:r>
        <w:rPr>
          <w:rFonts w:hint="eastAsia" w:ascii="Times New Roman" w:eastAsia="黑体"/>
          <w:color w:val="auto"/>
          <w:u w:val="none"/>
          <w:lang w:val="en-US" w:eastAsia="zh-CN"/>
        </w:rPr>
        <w:t>47</w:t>
      </w:r>
    </w:p>
    <w:p w14:paraId="6B6C28EA">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hint="eastAsia" w:ascii="Times New Roman" w:eastAsia="楷体_GB2312"/>
          <w:color w:val="auto"/>
          <w:u w:val="none"/>
          <w:lang w:val="en-US" w:eastAsia="zh-CN"/>
        </w:rPr>
      </w:pPr>
      <w:r>
        <w:rPr>
          <w:color w:val="auto"/>
          <w:u w:val="none"/>
        </w:rPr>
        <w:fldChar w:fldCharType="begin"/>
      </w:r>
      <w:r>
        <w:rPr>
          <w:color w:val="auto"/>
          <w:u w:val="none"/>
        </w:rPr>
        <w:instrText xml:space="preserve"> HYPERLINK \l "_Toc86940128" </w:instrText>
      </w:r>
      <w:r>
        <w:rPr>
          <w:color w:val="auto"/>
          <w:u w:val="none"/>
        </w:rPr>
        <w:fldChar w:fldCharType="separate"/>
      </w:r>
      <w:r>
        <w:rPr>
          <w:rStyle w:val="20"/>
          <w:rFonts w:ascii="Times New Roman" w:eastAsia="楷体_GB2312"/>
          <w:color w:val="auto"/>
          <w:u w:val="none"/>
        </w:rPr>
        <w:t>（一）加强党的全面领导</w:t>
      </w:r>
      <w:r>
        <w:rPr>
          <w:rFonts w:ascii="Times New Roman" w:eastAsia="楷体_GB2312"/>
          <w:color w:val="auto"/>
          <w:u w:val="none"/>
        </w:rPr>
        <w:tab/>
      </w:r>
      <w:r>
        <w:rPr>
          <w:rFonts w:hint="eastAsia" w:ascii="Times New Roman" w:eastAsia="楷体_GB2312"/>
          <w:color w:val="auto"/>
          <w:u w:val="none"/>
          <w:lang w:val="en-US" w:eastAsia="zh-CN"/>
        </w:rPr>
        <w:t>4</w:t>
      </w:r>
      <w:r>
        <w:rPr>
          <w:rFonts w:ascii="Times New Roman" w:eastAsia="楷体_GB2312"/>
          <w:color w:val="auto"/>
          <w:u w:val="none"/>
        </w:rPr>
        <w:fldChar w:fldCharType="end"/>
      </w:r>
      <w:r>
        <w:rPr>
          <w:rFonts w:hint="eastAsia" w:ascii="Times New Roman" w:eastAsia="楷体_GB2312"/>
          <w:color w:val="auto"/>
          <w:u w:val="none"/>
          <w:lang w:val="en-US" w:eastAsia="zh-CN"/>
        </w:rPr>
        <w:t>7</w:t>
      </w:r>
    </w:p>
    <w:p w14:paraId="5595FC2A">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hint="eastAsia" w:ascii="Times New Roman" w:eastAsia="楷体_GB2312"/>
          <w:color w:val="auto"/>
          <w:u w:val="none"/>
          <w:lang w:val="en-US" w:eastAsia="zh-CN"/>
        </w:rPr>
      </w:pPr>
      <w:r>
        <w:rPr>
          <w:color w:val="auto"/>
          <w:u w:val="none"/>
        </w:rPr>
        <w:fldChar w:fldCharType="begin"/>
      </w:r>
      <w:r>
        <w:rPr>
          <w:color w:val="auto"/>
          <w:u w:val="none"/>
        </w:rPr>
        <w:instrText xml:space="preserve"> HYPERLINK \l "_Toc86940129" </w:instrText>
      </w:r>
      <w:r>
        <w:rPr>
          <w:color w:val="auto"/>
          <w:u w:val="none"/>
        </w:rPr>
        <w:fldChar w:fldCharType="separate"/>
      </w:r>
      <w:r>
        <w:rPr>
          <w:rStyle w:val="20"/>
          <w:rFonts w:ascii="Times New Roman" w:eastAsia="楷体_GB2312"/>
          <w:color w:val="auto"/>
          <w:u w:val="none"/>
        </w:rPr>
        <w:t>（二）落实资金资源保障</w:t>
      </w:r>
      <w:r>
        <w:rPr>
          <w:rFonts w:ascii="Times New Roman" w:eastAsia="楷体_GB2312"/>
          <w:color w:val="auto"/>
          <w:u w:val="none"/>
        </w:rPr>
        <w:tab/>
      </w:r>
      <w:r>
        <w:rPr>
          <w:rFonts w:hint="eastAsia" w:ascii="Times New Roman" w:eastAsia="楷体_GB2312"/>
          <w:color w:val="auto"/>
          <w:u w:val="none"/>
          <w:lang w:val="en-US" w:eastAsia="zh-CN"/>
        </w:rPr>
        <w:t>4</w:t>
      </w:r>
      <w:r>
        <w:rPr>
          <w:rFonts w:ascii="Times New Roman" w:eastAsia="楷体_GB2312"/>
          <w:color w:val="auto"/>
          <w:u w:val="none"/>
        </w:rPr>
        <w:fldChar w:fldCharType="end"/>
      </w:r>
      <w:r>
        <w:rPr>
          <w:rFonts w:hint="eastAsia" w:ascii="Times New Roman" w:eastAsia="楷体_GB2312"/>
          <w:color w:val="auto"/>
          <w:u w:val="none"/>
          <w:lang w:val="en-US" w:eastAsia="zh-CN"/>
        </w:rPr>
        <w:t>8</w:t>
      </w:r>
    </w:p>
    <w:p w14:paraId="1BA4F2B1">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hint="eastAsia" w:ascii="Times New Roman" w:eastAsia="楷体_GB2312"/>
          <w:color w:val="auto"/>
          <w:u w:val="none"/>
          <w:lang w:val="en-US" w:eastAsia="zh-CN"/>
        </w:rPr>
      </w:pPr>
      <w:r>
        <w:rPr>
          <w:color w:val="auto"/>
          <w:u w:val="none"/>
        </w:rPr>
        <w:fldChar w:fldCharType="begin"/>
      </w:r>
      <w:r>
        <w:rPr>
          <w:color w:val="auto"/>
          <w:u w:val="none"/>
        </w:rPr>
        <w:instrText xml:space="preserve"> HYPERLINK \l "_Toc86940130" </w:instrText>
      </w:r>
      <w:r>
        <w:rPr>
          <w:color w:val="auto"/>
          <w:u w:val="none"/>
        </w:rPr>
        <w:fldChar w:fldCharType="separate"/>
      </w:r>
      <w:r>
        <w:rPr>
          <w:rStyle w:val="20"/>
          <w:rFonts w:ascii="Times New Roman" w:eastAsia="楷体_GB2312"/>
          <w:color w:val="auto"/>
          <w:u w:val="none"/>
        </w:rPr>
        <w:t>（三）深化民政领域法治</w:t>
      </w:r>
      <w:r>
        <w:rPr>
          <w:rFonts w:ascii="Times New Roman" w:eastAsia="楷体_GB2312"/>
          <w:color w:val="auto"/>
          <w:u w:val="none"/>
        </w:rPr>
        <w:tab/>
      </w:r>
      <w:r>
        <w:rPr>
          <w:rFonts w:hint="eastAsia" w:ascii="Times New Roman" w:eastAsia="楷体_GB2312"/>
          <w:color w:val="auto"/>
          <w:u w:val="none"/>
          <w:lang w:val="en-US" w:eastAsia="zh-CN"/>
        </w:rPr>
        <w:t>4</w:t>
      </w:r>
      <w:r>
        <w:rPr>
          <w:rFonts w:ascii="Times New Roman" w:eastAsia="楷体_GB2312"/>
          <w:color w:val="auto"/>
          <w:u w:val="none"/>
        </w:rPr>
        <w:fldChar w:fldCharType="end"/>
      </w:r>
      <w:r>
        <w:rPr>
          <w:rFonts w:hint="eastAsia" w:ascii="Times New Roman" w:eastAsia="楷体_GB2312"/>
          <w:color w:val="auto"/>
          <w:u w:val="none"/>
          <w:lang w:val="en-US" w:eastAsia="zh-CN"/>
        </w:rPr>
        <w:t>8</w:t>
      </w:r>
    </w:p>
    <w:p w14:paraId="2AA11EB7">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hint="eastAsia" w:ascii="Times New Roman" w:eastAsia="楷体_GB2312"/>
          <w:color w:val="auto"/>
          <w:u w:val="none"/>
          <w:lang w:val="en-US" w:eastAsia="zh-CN"/>
        </w:rPr>
      </w:pPr>
      <w:r>
        <w:rPr>
          <w:color w:val="auto"/>
          <w:u w:val="none"/>
        </w:rPr>
        <w:fldChar w:fldCharType="begin"/>
      </w:r>
      <w:r>
        <w:rPr>
          <w:color w:val="auto"/>
          <w:u w:val="none"/>
        </w:rPr>
        <w:instrText xml:space="preserve"> HYPERLINK \l "_Toc86940131" </w:instrText>
      </w:r>
      <w:r>
        <w:rPr>
          <w:color w:val="auto"/>
          <w:u w:val="none"/>
        </w:rPr>
        <w:fldChar w:fldCharType="separate"/>
      </w:r>
      <w:r>
        <w:rPr>
          <w:rStyle w:val="20"/>
          <w:rFonts w:ascii="Times New Roman" w:eastAsia="楷体_GB2312"/>
          <w:color w:val="auto"/>
          <w:u w:val="none"/>
        </w:rPr>
        <w:t>（四）提升民政队伍能力</w:t>
      </w:r>
      <w:r>
        <w:rPr>
          <w:rFonts w:ascii="Times New Roman" w:eastAsia="楷体_GB2312"/>
          <w:color w:val="auto"/>
          <w:u w:val="none"/>
        </w:rPr>
        <w:tab/>
      </w:r>
      <w:r>
        <w:rPr>
          <w:rFonts w:hint="eastAsia" w:ascii="Times New Roman" w:eastAsia="楷体_GB2312"/>
          <w:color w:val="auto"/>
          <w:u w:val="none"/>
          <w:lang w:val="en-US" w:eastAsia="zh-CN"/>
        </w:rPr>
        <w:t>4</w:t>
      </w:r>
      <w:r>
        <w:rPr>
          <w:rFonts w:ascii="Times New Roman" w:eastAsia="楷体_GB2312"/>
          <w:color w:val="auto"/>
          <w:u w:val="none"/>
        </w:rPr>
        <w:fldChar w:fldCharType="end"/>
      </w:r>
      <w:r>
        <w:rPr>
          <w:rFonts w:hint="eastAsia" w:ascii="Times New Roman" w:eastAsia="楷体_GB2312"/>
          <w:color w:val="auto"/>
          <w:u w:val="none"/>
          <w:lang w:val="en-US" w:eastAsia="zh-CN"/>
        </w:rPr>
        <w:t>9</w:t>
      </w:r>
    </w:p>
    <w:p w14:paraId="6EE9A2AE">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hint="default" w:ascii="Times New Roman" w:eastAsia="楷体_GB2312"/>
          <w:color w:val="auto"/>
          <w:u w:val="none"/>
          <w:lang w:val="en-US" w:eastAsia="zh-CN"/>
        </w:rPr>
      </w:pPr>
      <w:r>
        <w:rPr>
          <w:color w:val="auto"/>
          <w:u w:val="none"/>
        </w:rPr>
        <w:fldChar w:fldCharType="begin"/>
      </w:r>
      <w:r>
        <w:rPr>
          <w:color w:val="auto"/>
          <w:u w:val="none"/>
        </w:rPr>
        <w:instrText xml:space="preserve"> HYPERLINK \l "_Toc86940132" </w:instrText>
      </w:r>
      <w:r>
        <w:rPr>
          <w:color w:val="auto"/>
          <w:u w:val="none"/>
        </w:rPr>
        <w:fldChar w:fldCharType="separate"/>
      </w:r>
      <w:r>
        <w:rPr>
          <w:rStyle w:val="20"/>
          <w:rFonts w:ascii="Times New Roman" w:eastAsia="楷体_GB2312"/>
          <w:color w:val="auto"/>
          <w:u w:val="none"/>
        </w:rPr>
        <w:t>（五）强化民政督查评估</w:t>
      </w:r>
      <w:r>
        <w:rPr>
          <w:rFonts w:ascii="Times New Roman" w:eastAsia="楷体_GB2312"/>
          <w:color w:val="auto"/>
          <w:u w:val="none"/>
        </w:rPr>
        <w:tab/>
      </w:r>
      <w:r>
        <w:rPr>
          <w:rFonts w:ascii="Times New Roman" w:eastAsia="楷体_GB2312"/>
          <w:color w:val="auto"/>
          <w:u w:val="none"/>
        </w:rPr>
        <w:fldChar w:fldCharType="end"/>
      </w:r>
      <w:r>
        <w:rPr>
          <w:rFonts w:hint="eastAsia" w:ascii="Times New Roman" w:eastAsia="楷体_GB2312"/>
          <w:color w:val="auto"/>
          <w:u w:val="none"/>
          <w:lang w:val="en-US" w:eastAsia="zh-CN"/>
        </w:rPr>
        <w:t>49</w:t>
      </w:r>
    </w:p>
    <w:p w14:paraId="79D10EDF">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Style w:val="20"/>
          <w:rFonts w:hint="default" w:ascii="Times New Roman" w:eastAsia="楷体_GB2312"/>
          <w:color w:val="auto"/>
          <w:u w:val="none"/>
          <w:lang w:val="en-US" w:eastAsia="zh-CN"/>
        </w:rPr>
        <w:sectPr>
          <w:footerReference r:id="rId11" w:type="default"/>
          <w:footerReference r:id="rId12" w:type="even"/>
          <w:pgSz w:w="11906" w:h="16838"/>
          <w:pgMar w:top="2211" w:right="1531" w:bottom="1871" w:left="1531" w:header="851" w:footer="1361" w:gutter="0"/>
          <w:pgNumType w:fmt="numberInDash" w:start="1"/>
          <w:cols w:space="720" w:num="1"/>
          <w:docGrid w:type="linesAndChars" w:linePitch="574" w:charSpace="-1683"/>
        </w:sectPr>
      </w:pPr>
      <w:r>
        <w:rPr>
          <w:rStyle w:val="20"/>
          <w:rFonts w:ascii="Times New Roman" w:eastAsia="楷体_GB2312"/>
          <w:color w:val="auto"/>
          <w:u w:val="none"/>
        </w:rPr>
        <w:t>（</w:t>
      </w:r>
      <w:r>
        <w:rPr>
          <w:rStyle w:val="20"/>
          <w:rFonts w:hint="eastAsia" w:ascii="Times New Roman" w:eastAsia="楷体_GB2312"/>
          <w:color w:val="auto"/>
          <w:u w:val="none"/>
          <w:lang w:eastAsia="zh-CN"/>
        </w:rPr>
        <w:t>六</w:t>
      </w:r>
      <w:r>
        <w:rPr>
          <w:rStyle w:val="20"/>
          <w:rFonts w:ascii="Times New Roman" w:eastAsia="楷体_GB2312"/>
          <w:color w:val="auto"/>
          <w:u w:val="none"/>
        </w:rPr>
        <w:t>）建立风险防控机制</w:t>
      </w:r>
      <w:r>
        <w:rPr>
          <w:rFonts w:ascii="Times New Roman" w:eastAsia="楷体_GB2312"/>
          <w:color w:val="auto"/>
          <w:u w:val="none"/>
        </w:rPr>
        <w:tab/>
      </w:r>
      <w:r>
        <w:rPr>
          <w:rFonts w:hint="eastAsia" w:ascii="Times New Roman" w:eastAsia="楷体_GB2312"/>
          <w:color w:val="auto"/>
          <w:u w:val="none"/>
          <w:lang w:val="en-US" w:eastAsia="zh-CN"/>
        </w:rPr>
        <w:t>50</w:t>
      </w:r>
    </w:p>
    <w:p w14:paraId="448FEA74">
      <w:pPr>
        <w:keepNext w:val="0"/>
        <w:keepLines w:val="0"/>
        <w:pageBreakBefore w:val="0"/>
        <w:widowControl w:val="0"/>
        <w:kinsoku/>
        <w:wordWrap/>
        <w:overflowPunct/>
        <w:topLinePunct w:val="0"/>
        <w:autoSpaceDE/>
        <w:autoSpaceDN/>
        <w:bidi w:val="0"/>
        <w:adjustRightInd/>
        <w:snapToGrid w:val="0"/>
        <w:spacing w:line="520" w:lineRule="exact"/>
        <w:ind w:firstLine="624" w:firstLineChars="200"/>
        <w:textAlignment w:val="auto"/>
        <w:rPr>
          <w:rFonts w:ascii="Times New Roman"/>
          <w:color w:val="auto"/>
          <w:u w:val="none"/>
        </w:rPr>
      </w:pPr>
      <w:r>
        <w:rPr>
          <w:rFonts w:ascii="Times New Roman"/>
          <w:color w:val="auto"/>
          <w:u w:val="none"/>
        </w:rPr>
        <w:fldChar w:fldCharType="end"/>
      </w:r>
      <w:r>
        <w:rPr>
          <w:rFonts w:ascii="Times New Roman"/>
          <w:color w:val="auto"/>
          <w:u w:val="none"/>
        </w:rPr>
        <w:t>十四五期间，为建设具有新发展阶段特色、粤港澳大湾区城市特征、兜底性社会建设特点的现代民政事业，根据民政部《“十四五”民</w:t>
      </w:r>
      <w:r>
        <w:rPr>
          <w:rFonts w:hint="eastAsia" w:ascii="仿宋_GB2312" w:hAnsi="仿宋_GB2312" w:eastAsia="仿宋_GB2312" w:cs="仿宋_GB2312"/>
          <w:color w:val="auto"/>
          <w:u w:val="none"/>
        </w:rPr>
        <w:t>政事业发展规划》、广东省民政厅《广东省民政事业发展“十四五”规划（2021-2025年）》和《中山市国民经济和社会发展第十四个五年规划和2035年远景目标纲要</w:t>
      </w:r>
      <w:r>
        <w:rPr>
          <w:rFonts w:ascii="Times New Roman"/>
          <w:color w:val="auto"/>
          <w:u w:val="none"/>
        </w:rPr>
        <w:t>》，制定本规划。</w:t>
      </w:r>
    </w:p>
    <w:p w14:paraId="30CA94D8">
      <w:pPr>
        <w:pStyle w:val="4"/>
        <w:pageBreakBefore w:val="0"/>
        <w:kinsoku/>
        <w:wordWrap/>
        <w:topLinePunct w:val="0"/>
        <w:bidi w:val="0"/>
        <w:snapToGrid w:val="0"/>
        <w:spacing w:line="600" w:lineRule="exact"/>
        <w:ind w:firstLine="624"/>
        <w:textAlignment w:val="auto"/>
        <w:rPr>
          <w:rFonts w:ascii="Times New Roman" w:hAnsi="Times New Roman"/>
          <w:color w:val="auto"/>
          <w:u w:val="none"/>
        </w:rPr>
      </w:pPr>
      <w:bookmarkStart w:id="1" w:name="_Toc86940087"/>
      <w:r>
        <w:rPr>
          <w:rFonts w:ascii="Times New Roman" w:hAnsi="Times New Roman"/>
          <w:color w:val="auto"/>
          <w:u w:val="none"/>
        </w:rPr>
        <w:t>一、发展基础</w:t>
      </w:r>
      <w:bookmarkEnd w:id="1"/>
    </w:p>
    <w:p w14:paraId="4265D27B">
      <w:pPr>
        <w:pStyle w:val="5"/>
        <w:pageBreakBefore w:val="0"/>
        <w:kinsoku/>
        <w:wordWrap/>
        <w:topLinePunct w:val="0"/>
        <w:bidi w:val="0"/>
        <w:snapToGrid w:val="0"/>
        <w:spacing w:line="600" w:lineRule="exact"/>
        <w:ind w:firstLine="626"/>
        <w:textAlignment w:val="auto"/>
        <w:rPr>
          <w:rFonts w:ascii="Times New Roman" w:hAnsi="Times New Roman"/>
          <w:color w:val="auto"/>
          <w:u w:val="none"/>
        </w:rPr>
      </w:pPr>
      <w:bookmarkStart w:id="2" w:name="_Toc20769"/>
      <w:bookmarkStart w:id="3" w:name="_Toc17972"/>
      <w:bookmarkStart w:id="4" w:name="_Toc11368_WPSOffice_Level2"/>
      <w:bookmarkStart w:id="5" w:name="_Toc16979"/>
      <w:bookmarkStart w:id="6" w:name="_Toc86940088"/>
      <w:r>
        <w:rPr>
          <w:rFonts w:ascii="Times New Roman" w:hAnsi="Times New Roman"/>
          <w:color w:val="auto"/>
          <w:u w:val="none"/>
        </w:rPr>
        <w:t>（一）</w:t>
      </w:r>
      <w:bookmarkEnd w:id="2"/>
      <w:bookmarkEnd w:id="3"/>
      <w:bookmarkEnd w:id="4"/>
      <w:bookmarkEnd w:id="5"/>
      <w:r>
        <w:rPr>
          <w:rFonts w:ascii="Times New Roman" w:hAnsi="Times New Roman"/>
          <w:color w:val="auto"/>
          <w:u w:val="none"/>
        </w:rPr>
        <w:t>取得成效</w:t>
      </w:r>
      <w:bookmarkEnd w:id="6"/>
    </w:p>
    <w:p w14:paraId="30EB7727">
      <w:pPr>
        <w:pageBreakBefore w:val="0"/>
        <w:kinsoku/>
        <w:wordWrap/>
        <w:topLinePunct w:val="0"/>
        <w:bidi w:val="0"/>
        <w:snapToGrid w:val="0"/>
        <w:spacing w:line="600" w:lineRule="exact"/>
        <w:ind w:firstLine="624" w:firstLineChars="200"/>
        <w:textAlignment w:val="auto"/>
        <w:rPr>
          <w:rFonts w:ascii="Times New Roman"/>
          <w:color w:val="auto"/>
          <w:u w:val="none"/>
        </w:rPr>
      </w:pPr>
      <w:r>
        <w:rPr>
          <w:rFonts w:ascii="Times New Roman"/>
          <w:color w:val="auto"/>
          <w:u w:val="none"/>
        </w:rPr>
        <w:t>“十三五”以来，在市委、市政府的正确领导和省民政厅的有力指导下，全市民政系统以习近平新时代中国特色社会主义思想为指导，坚持以人民为中心</w:t>
      </w:r>
      <w:r>
        <w:rPr>
          <w:rFonts w:ascii="Times New Roman"/>
          <w:color w:val="auto"/>
          <w:spacing w:val="-4"/>
          <w:u w:val="none"/>
        </w:rPr>
        <w:t>的发展理念，担当作为，务实创新，</w:t>
      </w:r>
      <w:r>
        <w:rPr>
          <w:rFonts w:ascii="Times New Roman"/>
          <w:color w:val="auto"/>
          <w:u w:val="none"/>
        </w:rPr>
        <w:t>强化党建引领，保障基本民生、提升基层治理、完善基本社会服务，圆满完成“十三五”各项目标任务，为“十四五”民政事业高质量发展奠定了坚实基础。</w:t>
      </w:r>
    </w:p>
    <w:p w14:paraId="60637820">
      <w:pPr>
        <w:pStyle w:val="6"/>
        <w:pageBreakBefore w:val="0"/>
        <w:kinsoku/>
        <w:wordWrap/>
        <w:topLinePunct w:val="0"/>
        <w:bidi w:val="0"/>
        <w:snapToGrid w:val="0"/>
        <w:spacing w:line="600" w:lineRule="exact"/>
        <w:ind w:firstLine="626"/>
        <w:textAlignment w:val="auto"/>
        <w:rPr>
          <w:rFonts w:ascii="Times New Roman" w:hAnsi="Times New Roman"/>
          <w:b/>
          <w:bCs/>
          <w:color w:val="auto"/>
          <w:u w:val="none"/>
        </w:rPr>
      </w:pPr>
      <w:bookmarkStart w:id="7" w:name="_Toc20669_WPSOffice_Level3"/>
      <w:bookmarkStart w:id="8" w:name="_Toc9685"/>
      <w:bookmarkStart w:id="9" w:name="_Toc1099"/>
      <w:bookmarkStart w:id="10" w:name="_Toc28712"/>
      <w:bookmarkStart w:id="11" w:name="_Toc86940089"/>
      <w:r>
        <w:rPr>
          <w:rFonts w:ascii="Times New Roman" w:hAnsi="Times New Roman"/>
          <w:b/>
          <w:bCs/>
          <w:color w:val="auto"/>
          <w:u w:val="none"/>
        </w:rPr>
        <w:t>1.坚持兜牢底线，基本民生保障更加有力</w:t>
      </w:r>
      <w:bookmarkEnd w:id="7"/>
      <w:bookmarkEnd w:id="8"/>
      <w:bookmarkEnd w:id="9"/>
      <w:bookmarkEnd w:id="10"/>
      <w:r>
        <w:rPr>
          <w:rFonts w:ascii="Times New Roman" w:hAnsi="Times New Roman"/>
          <w:b/>
          <w:bCs/>
          <w:color w:val="auto"/>
          <w:u w:val="none"/>
        </w:rPr>
        <w:t>。</w:t>
      </w:r>
      <w:bookmarkEnd w:id="11"/>
    </w:p>
    <w:p w14:paraId="78543A9B">
      <w:pPr>
        <w:pageBreakBefore w:val="0"/>
        <w:kinsoku/>
        <w:wordWrap/>
        <w:topLinePunct w:val="0"/>
        <w:bidi w:val="0"/>
        <w:snapToGrid w:val="0"/>
        <w:spacing w:line="600" w:lineRule="exact"/>
        <w:ind w:firstLine="624" w:firstLineChars="200"/>
        <w:textAlignment w:val="auto"/>
        <w:rPr>
          <w:rFonts w:ascii="Times New Roman"/>
          <w:color w:val="auto"/>
          <w:u w:val="none"/>
        </w:rPr>
      </w:pPr>
      <w:r>
        <w:rPr>
          <w:rFonts w:ascii="Times New Roman"/>
          <w:bCs/>
          <w:color w:val="auto"/>
          <w:u w:val="none"/>
        </w:rPr>
        <w:t>（1）救助体系日</w:t>
      </w:r>
      <w:r>
        <w:rPr>
          <w:rFonts w:hint="eastAsia" w:ascii="仿宋_GB2312" w:hAnsi="仿宋_GB2312" w:eastAsia="仿宋_GB2312" w:cs="仿宋_GB2312"/>
          <w:bCs/>
          <w:color w:val="auto"/>
          <w:u w:val="none"/>
        </w:rPr>
        <w:t>趋完善。</w:t>
      </w:r>
      <w:r>
        <w:rPr>
          <w:rFonts w:hint="eastAsia" w:ascii="仿宋_GB2312" w:hAnsi="仿宋_GB2312" w:eastAsia="仿宋_GB2312" w:cs="仿宋_GB2312"/>
          <w:color w:val="auto"/>
          <w:u w:val="none"/>
        </w:rPr>
        <w:t>2016-2020年，我市先后修订出台了最低生活保障、低收入家庭救助、特困人员救助供养、临时困难救助、困难家庭住房改造等系列政策制度。建立起以最低生活保障为主、临时救助等分类救助为辅助</w:t>
      </w:r>
      <w:r>
        <w:rPr>
          <w:rFonts w:ascii="Times New Roman"/>
          <w:color w:val="auto"/>
          <w:u w:val="none"/>
        </w:rPr>
        <w:t>，医疗、教育、住房等专项救助相联动，慈善救助为重要补充，一体化、规范化、精细化的社会救助体系。形成了制度衔接、部门联动、社会参与、数据共享的综合救助新格局。</w:t>
      </w:r>
    </w:p>
    <w:p w14:paraId="475F3CE5">
      <w:pPr>
        <w:pageBreakBefore w:val="0"/>
        <w:kinsoku/>
        <w:wordWrap/>
        <w:topLinePunct w:val="0"/>
        <w:bidi w:val="0"/>
        <w:snapToGrid w:val="0"/>
        <w:spacing w:line="600" w:lineRule="exact"/>
        <w:ind w:firstLine="624" w:firstLineChars="200"/>
        <w:textAlignment w:val="auto"/>
        <w:rPr>
          <w:rFonts w:ascii="Times New Roman"/>
          <w:color w:val="auto"/>
          <w:u w:val="none"/>
        </w:rPr>
      </w:pPr>
      <w:r>
        <w:rPr>
          <w:rFonts w:hint="eastAsia" w:ascii="Times New Roman"/>
          <w:bCs/>
          <w:color w:val="auto"/>
          <w:u w:val="none"/>
        </w:rPr>
        <w:t>（2）</w:t>
      </w:r>
      <w:r>
        <w:rPr>
          <w:rFonts w:ascii="Times New Roman"/>
          <w:bCs/>
          <w:color w:val="auto"/>
          <w:u w:val="none"/>
        </w:rPr>
        <w:t>兜底民生保障有力。</w:t>
      </w:r>
      <w:r>
        <w:rPr>
          <w:rFonts w:ascii="Times New Roman"/>
          <w:color w:val="auto"/>
          <w:u w:val="none"/>
        </w:rPr>
        <w:t>坚持雪中送炭、尽力而为的原则，不断提高低保标准，应保</w:t>
      </w:r>
      <w:r>
        <w:rPr>
          <w:rFonts w:hint="eastAsia" w:ascii="仿宋_GB2312" w:hAnsi="仿宋_GB2312" w:eastAsia="仿宋_GB2312" w:cs="仿宋_GB2312"/>
          <w:color w:val="auto"/>
          <w:u w:val="none"/>
        </w:rPr>
        <w:t>尽保。2016-2020年，我市低保标准由629元/月提高到1100元/月，增幅74.8%，年均增长18.7%。目前低保线仅次于深圳，位居全省第二，处于同类地区第一。低收入对象认定标准由580元/月-629元/月提高到1101元/月-1650元/月，增幅162%。城镇低保、农村低保人均月补助水平（含分类救助金）1202元、1140元，比2015年的414元、347元分别增长190%、229%。民生兜底工作跨进了全省前列</w:t>
      </w:r>
      <w:r>
        <w:rPr>
          <w:rFonts w:ascii="Times New Roman"/>
          <w:color w:val="auto"/>
          <w:u w:val="none"/>
        </w:rPr>
        <w:t>。</w:t>
      </w:r>
    </w:p>
    <w:p w14:paraId="6BD6F5AD">
      <w:pPr>
        <w:pageBreakBefore w:val="0"/>
        <w:kinsoku/>
        <w:wordWrap/>
        <w:topLinePunct w:val="0"/>
        <w:bidi w:val="0"/>
        <w:snapToGrid w:val="0"/>
        <w:spacing w:line="600" w:lineRule="exact"/>
        <w:ind w:firstLine="624" w:firstLineChars="200"/>
        <w:textAlignment w:val="auto"/>
        <w:rPr>
          <w:rFonts w:hint="eastAsia" w:ascii="仿宋_GB2312" w:hAnsi="仿宋_GB2312" w:eastAsia="仿宋_GB2312" w:cs="仿宋_GB2312"/>
          <w:color w:val="auto"/>
          <w:u w:val="none"/>
        </w:rPr>
      </w:pPr>
      <w:r>
        <w:rPr>
          <w:rFonts w:ascii="Times New Roman"/>
          <w:bCs/>
          <w:color w:val="auto"/>
          <w:u w:val="none"/>
        </w:rPr>
        <w:t>（3）临时救助大力提升</w:t>
      </w:r>
      <w:r>
        <w:rPr>
          <w:rFonts w:hint="eastAsia" w:ascii="仿宋_GB2312" w:hAnsi="仿宋_GB2312" w:eastAsia="仿宋_GB2312" w:cs="仿宋_GB2312"/>
          <w:bCs/>
          <w:color w:val="auto"/>
          <w:u w:val="none"/>
        </w:rPr>
        <w:t>。</w:t>
      </w:r>
      <w:r>
        <w:rPr>
          <w:rFonts w:hint="eastAsia" w:ascii="仿宋_GB2312" w:hAnsi="仿宋_GB2312" w:eastAsia="仿宋_GB2312" w:cs="仿宋_GB2312"/>
          <w:color w:val="auto"/>
          <w:u w:val="none"/>
        </w:rPr>
        <w:t>2016-2020年，全市开展临时困难救助逾6.13万人次，累计发放救助金8976万元。2018年，统一提高临时救助水平，双低家庭的救助资金全部由市负担，并统一提高镇街临时救助水平，达到每人次不低于2个月低保标准。2020年，人均次救助2498元，比2016年人均次救助465元增长437%。</w:t>
      </w:r>
    </w:p>
    <w:p w14:paraId="779B361E">
      <w:pPr>
        <w:pStyle w:val="8"/>
        <w:pageBreakBefore w:val="0"/>
        <w:kinsoku/>
        <w:wordWrap/>
        <w:topLinePunct w:val="0"/>
        <w:bidi w:val="0"/>
        <w:snapToGrid w:val="0"/>
        <w:spacing w:before="0" w:after="0" w:afterAutospacing="0" w:line="600" w:lineRule="exact"/>
        <w:ind w:firstLine="624" w:firstLineChars="200"/>
        <w:textAlignment w:val="auto"/>
        <w:rPr>
          <w:rFonts w:hint="eastAsia" w:ascii="仿宋_GB2312" w:hAnsi="仿宋_GB2312" w:eastAsia="仿宋_GB2312" w:cs="仿宋_GB2312"/>
          <w:color w:val="auto"/>
          <w:sz w:val="32"/>
          <w:szCs w:val="32"/>
          <w:u w:val="none"/>
        </w:rPr>
      </w:pPr>
      <w:r>
        <w:rPr>
          <w:rFonts w:ascii="Times New Roman" w:hAnsi="Times New Roman" w:cs="Times New Roman"/>
          <w:bCs/>
          <w:color w:val="auto"/>
          <w:sz w:val="32"/>
          <w:szCs w:val="32"/>
          <w:u w:val="none"/>
        </w:rPr>
        <w:t>（4）“三大难题”有效破解。</w:t>
      </w:r>
      <w:r>
        <w:rPr>
          <w:rFonts w:ascii="Times New Roman" w:hAnsi="Times New Roman" w:cs="Times New Roman"/>
          <w:color w:val="auto"/>
          <w:sz w:val="32"/>
          <w:szCs w:val="32"/>
          <w:u w:val="none"/>
        </w:rPr>
        <w:t>聚焦特殊群体，在全省率先打造“三大”帮扶中心，破解困难群众大病、教育、危房改造的难题。</w:t>
      </w:r>
      <w:r>
        <w:rPr>
          <w:rFonts w:ascii="Times New Roman" w:hAnsi="Times New Roman" w:eastAsia="黑体" w:cs="Times New Roman"/>
          <w:color w:val="auto"/>
          <w:sz w:val="32"/>
          <w:szCs w:val="32"/>
          <w:u w:val="none"/>
        </w:rPr>
        <w:t>一是</w:t>
      </w:r>
      <w:r>
        <w:rPr>
          <w:rFonts w:ascii="Times New Roman" w:hAnsi="Times New Roman" w:cs="Times New Roman"/>
          <w:color w:val="auto"/>
          <w:sz w:val="32"/>
          <w:szCs w:val="32"/>
          <w:u w:val="none"/>
        </w:rPr>
        <w:t>打造“大病帮扶中心”，努力</w:t>
      </w:r>
      <w:r>
        <w:rPr>
          <w:rFonts w:hint="eastAsia" w:ascii="仿宋_GB2312" w:hAnsi="仿宋_GB2312" w:eastAsia="仿宋_GB2312" w:cs="仿宋_GB2312"/>
          <w:color w:val="auto"/>
          <w:sz w:val="32"/>
          <w:szCs w:val="32"/>
          <w:u w:val="none"/>
        </w:rPr>
        <w:t>破解“因病致困”难题。我市困难家庭超过90%属于因病致贫、因病返贫。2018年4月，市民政局率先建立“大病困难帮扶中心”，充分利用社会力量对大病困难群众政策外医疗自付费用和自费费用开展慈善救助帮扶。中心自成立以来，累计救助困难群众6576人次，发放救助金1660万元。我市以创新的举措破解群众大病困难问题，实现困难群众大病住院限额范围报销95%以</w:t>
      </w:r>
      <w:r>
        <w:rPr>
          <w:rFonts w:ascii="Times New Roman" w:hAnsi="Times New Roman" w:cs="Times New Roman"/>
          <w:color w:val="auto"/>
          <w:sz w:val="32"/>
          <w:szCs w:val="32"/>
          <w:u w:val="none"/>
        </w:rPr>
        <w:t>上。</w:t>
      </w:r>
      <w:r>
        <w:rPr>
          <w:rFonts w:ascii="Times New Roman" w:hAnsi="Times New Roman" w:eastAsia="黑体" w:cs="Times New Roman"/>
          <w:color w:val="auto"/>
          <w:sz w:val="32"/>
          <w:szCs w:val="32"/>
          <w:u w:val="none"/>
        </w:rPr>
        <w:t>二是</w:t>
      </w:r>
      <w:r>
        <w:rPr>
          <w:rFonts w:ascii="Times New Roman" w:hAnsi="Times New Roman" w:cs="Times New Roman"/>
          <w:color w:val="auto"/>
          <w:sz w:val="32"/>
          <w:szCs w:val="32"/>
          <w:u w:val="none"/>
        </w:rPr>
        <w:t>打造“危房改造中心”，努力破解困难群众“居住难”问题</w:t>
      </w:r>
      <w:r>
        <w:rPr>
          <w:rFonts w:hint="eastAsia" w:ascii="仿宋_GB2312" w:hAnsi="仿宋_GB2312" w:eastAsia="仿宋_GB2312" w:cs="仿宋_GB2312"/>
          <w:color w:val="auto"/>
          <w:sz w:val="32"/>
          <w:szCs w:val="32"/>
          <w:u w:val="none"/>
        </w:rPr>
        <w:t>。2004年以来，我市共投入近2亿元，为双低家庭改造危房3443套</w:t>
      </w:r>
      <w:r>
        <w:rPr>
          <w:rStyle w:val="21"/>
          <w:rFonts w:hint="eastAsia" w:ascii="仿宋_GB2312" w:hAnsi="仿宋_GB2312" w:eastAsia="仿宋_GB2312" w:cs="仿宋_GB2312"/>
          <w:color w:val="auto"/>
          <w:sz w:val="32"/>
          <w:szCs w:val="32"/>
          <w:u w:val="none"/>
        </w:rPr>
        <w:footnoteReference w:id="0"/>
      </w:r>
      <w:r>
        <w:rPr>
          <w:rFonts w:hint="eastAsia" w:ascii="仿宋_GB2312" w:hAnsi="仿宋_GB2312" w:eastAsia="仿宋_GB2312" w:cs="仿宋_GB2312"/>
          <w:color w:val="auto"/>
          <w:sz w:val="32"/>
          <w:szCs w:val="32"/>
          <w:u w:val="none"/>
        </w:rPr>
        <w:t>。2020年，市民政局建立“危房改造帮扶中心”，对政策无法覆盖的困难群众危房给予兜底帮扶改造。2020年，完成住房改造109套，新增动工63套</w:t>
      </w:r>
      <w:r>
        <w:rPr>
          <w:rFonts w:ascii="Times New Roman" w:hAnsi="Times New Roman" w:cs="Times New Roman"/>
          <w:color w:val="auto"/>
          <w:sz w:val="32"/>
          <w:szCs w:val="32"/>
          <w:u w:val="none"/>
        </w:rPr>
        <w:t>。</w:t>
      </w:r>
      <w:r>
        <w:rPr>
          <w:rFonts w:ascii="Times New Roman" w:hAnsi="Times New Roman" w:eastAsia="黑体" w:cs="Times New Roman"/>
          <w:color w:val="auto"/>
          <w:sz w:val="32"/>
          <w:szCs w:val="32"/>
          <w:u w:val="none"/>
        </w:rPr>
        <w:t>三是</w:t>
      </w:r>
      <w:r>
        <w:rPr>
          <w:rFonts w:ascii="Times New Roman" w:hAnsi="Times New Roman" w:cs="Times New Roman"/>
          <w:color w:val="auto"/>
          <w:sz w:val="32"/>
          <w:szCs w:val="32"/>
          <w:u w:val="none"/>
        </w:rPr>
        <w:t>打造“教育帮扶中心”，努力破解困难学子“读书难”问题。市、镇（街）两级联动，并与刘蓉蓉慈育助学基金共同成立“教育帮扶中心”，</w:t>
      </w:r>
      <w:r>
        <w:rPr>
          <w:rFonts w:ascii="Times New Roman" w:hAnsi="Times New Roman" w:cs="Times New Roman"/>
          <w:bCs/>
          <w:color w:val="auto"/>
          <w:sz w:val="32"/>
          <w:szCs w:val="32"/>
          <w:u w:val="none"/>
        </w:rPr>
        <w:t>对特殊困难家庭中的</w:t>
      </w:r>
      <w:r>
        <w:rPr>
          <w:rFonts w:ascii="Times New Roman" w:hAnsi="Times New Roman" w:cs="Times New Roman"/>
          <w:color w:val="auto"/>
          <w:sz w:val="32"/>
          <w:szCs w:val="32"/>
          <w:u w:val="none"/>
        </w:rPr>
        <w:t>大学、</w:t>
      </w:r>
      <w:r>
        <w:rPr>
          <w:rFonts w:hint="eastAsia" w:ascii="仿宋_GB2312" w:hAnsi="仿宋_GB2312" w:eastAsia="仿宋_GB2312" w:cs="仿宋_GB2312"/>
          <w:color w:val="auto"/>
          <w:sz w:val="32"/>
          <w:szCs w:val="32"/>
          <w:u w:val="none"/>
        </w:rPr>
        <w:t>高中、初中学生每人每年分别资助8000元（其中市教育帮扶基金4000元）、3000元、1000元</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color w:val="auto"/>
          <w:sz w:val="32"/>
          <w:szCs w:val="32"/>
          <w:u w:val="none"/>
        </w:rPr>
        <w:t>共向1098名困难学子发放助学金350多万元。</w:t>
      </w:r>
    </w:p>
    <w:p w14:paraId="3E341013">
      <w:pPr>
        <w:pageBreakBefore w:val="0"/>
        <w:kinsoku/>
        <w:wordWrap/>
        <w:topLinePunct w:val="0"/>
        <w:bidi w:val="0"/>
        <w:snapToGrid w:val="0"/>
        <w:spacing w:line="600" w:lineRule="exact"/>
        <w:ind w:firstLine="624" w:firstLineChars="200"/>
        <w:textAlignment w:val="auto"/>
        <w:rPr>
          <w:rFonts w:ascii="Times New Roman"/>
          <w:color w:val="auto"/>
          <w:u w:val="none"/>
        </w:rPr>
      </w:pPr>
      <w:r>
        <w:rPr>
          <w:rFonts w:ascii="Times New Roman"/>
          <w:bCs/>
          <w:color w:val="auto"/>
          <w:u w:val="none"/>
        </w:rPr>
        <w:t>（5）特殊群体保障提升。</w:t>
      </w:r>
      <w:r>
        <w:rPr>
          <w:rFonts w:ascii="Times New Roman"/>
          <w:color w:val="auto"/>
          <w:u w:val="none"/>
        </w:rPr>
        <w:t>城乡特困人员基本生</w:t>
      </w:r>
      <w:r>
        <w:rPr>
          <w:rFonts w:hint="eastAsia" w:ascii="仿宋_GB2312" w:hAnsi="仿宋_GB2312" w:eastAsia="仿宋_GB2312" w:cs="仿宋_GB2312"/>
          <w:color w:val="auto"/>
          <w:u w:val="none"/>
        </w:rPr>
        <w:t>活标准从2016年的1220元/月提高到2020年的1760元/月，增长44.2%。集中供养、散居孤儿、事实无人抚养儿童基本生活标准从2016年的每人每月1340元、820元、500元，提高到2020年每人每月1924.4元、1550元、1550元，分别增长43.6%、89%、210%。困难残疾人生活补贴、重度残疾人护理补贴从2016年的每人每月100元、150元，提高到2020年每人每月175 元、235元，分别增长75%、56.7%。</w:t>
      </w:r>
    </w:p>
    <w:p w14:paraId="7CCA5374">
      <w:pPr>
        <w:pageBreakBefore w:val="0"/>
        <w:kinsoku/>
        <w:wordWrap/>
        <w:topLinePunct w:val="0"/>
        <w:bidi w:val="0"/>
        <w:snapToGrid w:val="0"/>
        <w:spacing w:line="600" w:lineRule="exact"/>
        <w:ind w:firstLine="624" w:firstLineChars="200"/>
        <w:textAlignment w:val="auto"/>
        <w:rPr>
          <w:rFonts w:hint="eastAsia" w:ascii="仿宋_GB2312" w:hAnsi="仿宋_GB2312" w:eastAsia="仿宋_GB2312" w:cs="仿宋_GB2312"/>
          <w:color w:val="auto"/>
          <w:spacing w:val="-2"/>
          <w:u w:val="none"/>
        </w:rPr>
      </w:pPr>
      <w:r>
        <w:rPr>
          <w:rFonts w:ascii="Times New Roman"/>
          <w:bCs/>
          <w:color w:val="auto"/>
          <w:u w:val="none"/>
        </w:rPr>
        <w:t>（6）慈善事业蓬勃发展。</w:t>
      </w:r>
      <w:r>
        <w:rPr>
          <w:rFonts w:ascii="Times New Roman" w:eastAsia="黑体"/>
          <w:color w:val="auto"/>
          <w:spacing w:val="10"/>
          <w:u w:val="none"/>
        </w:rPr>
        <w:t>一是</w:t>
      </w:r>
      <w:r>
        <w:rPr>
          <w:rFonts w:ascii="Times New Roman"/>
          <w:color w:val="auto"/>
          <w:u w:val="none"/>
        </w:rPr>
        <w:t>慈善事业管理进一步规范。</w:t>
      </w:r>
      <w:r>
        <w:rPr>
          <w:rFonts w:hint="eastAsia" w:ascii="仿宋_GB2312" w:hAnsi="仿宋_GB2312" w:eastAsia="仿宋_GB2312" w:cs="仿宋_GB2312"/>
          <w:color w:val="auto"/>
          <w:u w:val="none"/>
        </w:rPr>
        <w:t>2019年出台《中山市慈善事业促进办法》，规范了善款的统一发平台，设立了慈善表彰奖项。截至2020年12月底，全市公益慈善类社会组织73家，2020年全年筹集善款4.12亿元</w:t>
      </w:r>
      <w:r>
        <w:rPr>
          <w:rFonts w:ascii="Times New Roman"/>
          <w:color w:val="auto"/>
          <w:u w:val="none"/>
        </w:rPr>
        <w:t>。</w:t>
      </w:r>
      <w:r>
        <w:rPr>
          <w:rFonts w:ascii="Times New Roman" w:eastAsia="黑体"/>
          <w:color w:val="auto"/>
          <w:u w:val="none"/>
        </w:rPr>
        <w:t>二是</w:t>
      </w:r>
      <w:r>
        <w:rPr>
          <w:rFonts w:ascii="Times New Roman"/>
          <w:color w:val="auto"/>
          <w:u w:val="none"/>
        </w:rPr>
        <w:t>打造“微基金”众筹品牌。</w:t>
      </w:r>
      <w:r>
        <w:rPr>
          <w:rFonts w:hint="eastAsia" w:ascii="仿宋_GB2312" w:hAnsi="仿宋_GB2312" w:eastAsia="仿宋_GB2312" w:cs="仿宋_GB2312"/>
          <w:color w:val="auto"/>
          <w:u w:val="none"/>
        </w:rPr>
        <w:t>2017年，通过“互联网+”募集社会“微捐助”，搭建社会扶贫济困的便捷平台。截至2020年底，全市成立微基金71个，慈善项目上线542个，参与捐赠人数达15.6万人次，募集善款2465万多</w:t>
      </w:r>
      <w:r>
        <w:rPr>
          <w:rFonts w:ascii="Times New Roman"/>
          <w:color w:val="auto"/>
          <w:u w:val="none"/>
        </w:rPr>
        <w:t>元。</w:t>
      </w:r>
      <w:r>
        <w:rPr>
          <w:rFonts w:ascii="Times New Roman" w:eastAsia="黑体"/>
          <w:color w:val="auto"/>
          <w:u w:val="none"/>
        </w:rPr>
        <w:t>三是</w:t>
      </w:r>
      <w:r>
        <w:rPr>
          <w:rFonts w:ascii="Times New Roman"/>
          <w:color w:val="auto"/>
          <w:u w:val="none"/>
        </w:rPr>
        <w:t>“博爱商城”圆梦困难群众“微心愿”。利用网络收集困难群众需求，链接社会资源，实现精准帮扶。目前</w:t>
      </w:r>
      <w:r>
        <w:rPr>
          <w:rFonts w:hint="eastAsia" w:ascii="仿宋_GB2312" w:hAnsi="仿宋_GB2312" w:eastAsia="仿宋_GB2312" w:cs="仿宋_GB2312"/>
          <w:color w:val="auto"/>
          <w:u w:val="none"/>
        </w:rPr>
        <w:t>，累计有2689人次参与捐赠，接收捐赠物资12.17万件，折合价值约382万元，发放物资10.27万件，受惠的困难群众达5.4万人次。</w:t>
      </w:r>
    </w:p>
    <w:p w14:paraId="60F9B304">
      <w:pPr>
        <w:pStyle w:val="6"/>
        <w:pageBreakBefore w:val="0"/>
        <w:kinsoku/>
        <w:wordWrap/>
        <w:topLinePunct w:val="0"/>
        <w:bidi w:val="0"/>
        <w:snapToGrid w:val="0"/>
        <w:spacing w:line="600" w:lineRule="exact"/>
        <w:ind w:firstLine="626"/>
        <w:textAlignment w:val="auto"/>
        <w:rPr>
          <w:rFonts w:ascii="Times New Roman" w:hAnsi="Times New Roman"/>
          <w:b/>
          <w:bCs/>
          <w:color w:val="auto"/>
          <w:u w:val="none"/>
        </w:rPr>
      </w:pPr>
      <w:bookmarkStart w:id="12" w:name="_Toc11791"/>
      <w:bookmarkStart w:id="13" w:name="_Toc9394"/>
      <w:bookmarkStart w:id="14" w:name="_Toc26910"/>
      <w:bookmarkStart w:id="15" w:name="_Toc12001_WPSOffice_Level3"/>
      <w:bookmarkStart w:id="16" w:name="_Toc86940090"/>
      <w:r>
        <w:rPr>
          <w:rFonts w:ascii="Times New Roman" w:hAnsi="Times New Roman"/>
          <w:b/>
          <w:bCs/>
          <w:color w:val="auto"/>
          <w:u w:val="none"/>
        </w:rPr>
        <w:t>2.坚持改革创新，基本社会服务质量</w:t>
      </w:r>
      <w:bookmarkEnd w:id="12"/>
      <w:bookmarkEnd w:id="13"/>
      <w:bookmarkEnd w:id="14"/>
      <w:bookmarkEnd w:id="15"/>
      <w:r>
        <w:rPr>
          <w:rFonts w:ascii="Times New Roman" w:hAnsi="Times New Roman"/>
          <w:b/>
          <w:bCs/>
          <w:color w:val="auto"/>
          <w:u w:val="none"/>
        </w:rPr>
        <w:t>提质增效</w:t>
      </w:r>
      <w:r>
        <w:rPr>
          <w:rFonts w:hint="eastAsia" w:ascii="Times New Roman" w:hAnsi="Times New Roman"/>
          <w:b/>
          <w:bCs/>
          <w:color w:val="auto"/>
          <w:u w:val="none"/>
        </w:rPr>
        <w:t>。</w:t>
      </w:r>
      <w:bookmarkEnd w:id="16"/>
    </w:p>
    <w:p w14:paraId="4A30CDB9">
      <w:pPr>
        <w:pStyle w:val="16"/>
        <w:pageBreakBefore w:val="0"/>
        <w:kinsoku/>
        <w:wordWrap/>
        <w:topLinePunct w:val="0"/>
        <w:bidi w:val="0"/>
        <w:snapToGrid w:val="0"/>
        <w:spacing w:before="0" w:beforeAutospacing="0" w:after="0" w:afterAutospacing="0" w:line="600" w:lineRule="exact"/>
        <w:ind w:firstLine="624" w:firstLineChars="200"/>
        <w:jc w:val="both"/>
        <w:textAlignment w:val="auto"/>
        <w:rPr>
          <w:rFonts w:ascii="Times New Roman" w:hAnsi="Times New Roman" w:eastAsia="楷体_GB2312" w:cs="Times New Roman"/>
          <w:b/>
          <w:bCs/>
          <w:color w:val="auto"/>
          <w:sz w:val="32"/>
          <w:szCs w:val="32"/>
          <w:u w:val="none"/>
          <w:shd w:val="clear" w:color="auto" w:fill="FFFFFF"/>
        </w:rPr>
      </w:pPr>
      <w:r>
        <w:rPr>
          <w:rFonts w:ascii="Times New Roman" w:hAnsi="Times New Roman" w:cs="Times New Roman"/>
          <w:bCs/>
          <w:color w:val="auto"/>
          <w:kern w:val="2"/>
          <w:sz w:val="32"/>
          <w:szCs w:val="32"/>
          <w:u w:val="none"/>
        </w:rPr>
        <w:t>（1）养老服务加快发展。</w:t>
      </w:r>
      <w:r>
        <w:rPr>
          <w:rFonts w:ascii="Times New Roman" w:hAnsi="Times New Roman" w:eastAsia="黑体" w:cs="Times New Roman"/>
          <w:color w:val="auto"/>
          <w:sz w:val="32"/>
          <w:szCs w:val="32"/>
          <w:u w:val="none"/>
        </w:rPr>
        <w:t>一是</w:t>
      </w:r>
      <w:r>
        <w:rPr>
          <w:rFonts w:ascii="Times New Roman" w:hAnsi="Times New Roman" w:cs="Times New Roman"/>
          <w:color w:val="auto"/>
          <w:sz w:val="32"/>
          <w:szCs w:val="32"/>
          <w:u w:val="none"/>
        </w:rPr>
        <w:t>推动居家养老服务高质量发展。</w:t>
      </w:r>
      <w:r>
        <w:rPr>
          <w:rFonts w:hint="eastAsia" w:ascii="仿宋_GB2312" w:hAnsi="仿宋_GB2312" w:eastAsia="仿宋_GB2312" w:cs="仿宋_GB2312"/>
          <w:color w:val="auto"/>
          <w:sz w:val="32"/>
          <w:szCs w:val="32"/>
          <w:u w:val="none"/>
          <w:lang w:bidi="ar"/>
        </w:rPr>
        <w:t>2018年，我市创新推行“1+2+N”社区居家养老服务</w:t>
      </w:r>
      <w:r>
        <w:rPr>
          <w:rStyle w:val="21"/>
          <w:rFonts w:hint="eastAsia" w:ascii="仿宋_GB2312" w:hAnsi="仿宋_GB2312" w:eastAsia="仿宋_GB2312" w:cs="仿宋_GB2312"/>
          <w:color w:val="auto"/>
          <w:sz w:val="32"/>
          <w:szCs w:val="32"/>
          <w:u w:val="none"/>
          <w:lang w:bidi="ar"/>
        </w:rPr>
        <w:footnoteReference w:id="1"/>
      </w:r>
      <w:r>
        <w:rPr>
          <w:rFonts w:hint="eastAsia" w:ascii="仿宋_GB2312" w:hAnsi="仿宋_GB2312" w:eastAsia="仿宋_GB2312" w:cs="仿宋_GB2312"/>
          <w:color w:val="auto"/>
          <w:sz w:val="32"/>
          <w:szCs w:val="32"/>
          <w:u w:val="none"/>
          <w:lang w:bidi="ar"/>
        </w:rPr>
        <w:t>，坚持以服务中心为载体，做实各类养老专项服务。2020年，进一步推动我市居家养老服务脱虚入实，深化“3+4+N”社区居家养老服务体系建设</w:t>
      </w:r>
      <w:r>
        <w:rPr>
          <w:rStyle w:val="21"/>
          <w:rFonts w:hint="eastAsia" w:ascii="仿宋_GB2312" w:hAnsi="仿宋_GB2312" w:eastAsia="仿宋_GB2312" w:cs="仿宋_GB2312"/>
          <w:color w:val="auto"/>
          <w:sz w:val="32"/>
          <w:szCs w:val="32"/>
          <w:u w:val="none"/>
          <w:lang w:bidi="ar"/>
        </w:rPr>
        <w:footnoteReference w:id="2"/>
      </w:r>
      <w:r>
        <w:rPr>
          <w:rFonts w:hint="eastAsia" w:ascii="仿宋_GB2312" w:hAnsi="仿宋_GB2312" w:eastAsia="仿宋_GB2312" w:cs="仿宋_GB2312"/>
          <w:color w:val="auto"/>
          <w:sz w:val="32"/>
          <w:szCs w:val="32"/>
          <w:u w:val="none"/>
          <w:lang w:bidi="ar"/>
        </w:rPr>
        <w:t>，着力解决现有居家养老服务未能充分满足老年人需求的问题。</w:t>
      </w:r>
      <w:r>
        <w:rPr>
          <w:rFonts w:hint="eastAsia" w:ascii="仿宋_GB2312" w:hAnsi="仿宋_GB2312" w:eastAsia="仿宋_GB2312" w:cs="仿宋_GB2312"/>
          <w:bCs/>
          <w:color w:val="auto"/>
          <w:sz w:val="32"/>
          <w:szCs w:val="32"/>
          <w:u w:val="none"/>
        </w:rPr>
        <w:t>截至2020年底，全市建成社区居家养老服务中心（站）261家，镇级社区居家养老服务中心（站）100%覆盖，农村社区居家养老服务中心（站）覆盖率达83%。大力推动长者饭堂建设，各镇街至少有一家长者饭堂，共建设长者饭堂和助餐点96个，实现镇街全覆盖和中心城区社区全覆盖。2016年至今，全市提供助餐服务122.6万餐</w:t>
      </w:r>
      <w:r>
        <w:rPr>
          <w:rFonts w:ascii="Times New Roman" w:hAnsi="Times New Roman" w:cs="Times New Roman"/>
          <w:bCs/>
          <w:color w:val="auto"/>
          <w:sz w:val="32"/>
          <w:szCs w:val="32"/>
          <w:u w:val="none"/>
        </w:rPr>
        <w:t>次。</w:t>
      </w:r>
      <w:r>
        <w:rPr>
          <w:rFonts w:ascii="Times New Roman" w:hAnsi="Times New Roman" w:eastAsia="黑体" w:cs="Times New Roman"/>
          <w:bCs/>
          <w:color w:val="auto"/>
          <w:sz w:val="32"/>
          <w:szCs w:val="32"/>
          <w:u w:val="none"/>
        </w:rPr>
        <w:t>二是</w:t>
      </w:r>
      <w:r>
        <w:rPr>
          <w:rFonts w:ascii="Times New Roman" w:hAnsi="Times New Roman" w:cs="Times New Roman"/>
          <w:color w:val="auto"/>
          <w:sz w:val="32"/>
          <w:szCs w:val="32"/>
          <w:u w:val="none"/>
        </w:rPr>
        <w:t>推进养老机构建设发展。</w:t>
      </w:r>
      <w:r>
        <w:rPr>
          <w:rFonts w:hint="eastAsia" w:ascii="仿宋_GB2312" w:hAnsi="仿宋_GB2312" w:eastAsia="仿宋_GB2312" w:cs="仿宋_GB2312"/>
          <w:color w:val="auto"/>
          <w:sz w:val="32"/>
          <w:szCs w:val="32"/>
          <w:u w:val="none"/>
        </w:rPr>
        <w:t>2018年，修订《中山市养老服务机构资助办法》，对民办养老机构开设</w:t>
      </w:r>
      <w:r>
        <w:rPr>
          <w:rFonts w:ascii="Times New Roman" w:hAnsi="Times New Roman" w:cs="Times New Roman"/>
          <w:color w:val="auto"/>
          <w:sz w:val="32"/>
          <w:szCs w:val="32"/>
          <w:u w:val="none"/>
        </w:rPr>
        <w:t>或新增床位给予每床最</w:t>
      </w:r>
      <w:r>
        <w:rPr>
          <w:rFonts w:hint="eastAsia" w:ascii="仿宋_GB2312" w:hAnsi="仿宋_GB2312" w:eastAsia="仿宋_GB2312" w:cs="仿宋_GB2312"/>
          <w:color w:val="auto"/>
          <w:sz w:val="32"/>
          <w:szCs w:val="32"/>
          <w:u w:val="none"/>
        </w:rPr>
        <w:t>高6000元的开办补助，对社区居家养老服务中心给予10万元开办补助。在全省率先探索公办养老机构社会化改革，完成了省下达的第一批改革共5家目标任务。目前，全市养老机构共25家，有3家达到5星级水平。各类养老机构共登记床位4768张</w:t>
      </w:r>
      <w:r>
        <w:rPr>
          <w:rFonts w:ascii="Times New Roman" w:hAnsi="Times New Roman" w:cs="Times New Roman"/>
          <w:color w:val="auto"/>
          <w:sz w:val="32"/>
          <w:szCs w:val="32"/>
          <w:u w:val="none"/>
        </w:rPr>
        <w:t>。</w:t>
      </w:r>
      <w:r>
        <w:rPr>
          <w:rFonts w:ascii="Times New Roman" w:hAnsi="Times New Roman" w:eastAsia="黑体" w:cs="Times New Roman"/>
          <w:color w:val="auto"/>
          <w:sz w:val="32"/>
          <w:szCs w:val="32"/>
          <w:u w:val="none"/>
        </w:rPr>
        <w:t>三是</w:t>
      </w:r>
      <w:r>
        <w:rPr>
          <w:rFonts w:ascii="Times New Roman" w:hAnsi="Times New Roman" w:cs="Times New Roman"/>
          <w:color w:val="auto"/>
          <w:sz w:val="32"/>
          <w:szCs w:val="32"/>
          <w:u w:val="none"/>
        </w:rPr>
        <w:t>健全老年人福利政</w:t>
      </w:r>
      <w:r>
        <w:rPr>
          <w:rFonts w:hint="eastAsia" w:ascii="仿宋_GB2312" w:hAnsi="仿宋_GB2312" w:eastAsia="仿宋_GB2312" w:cs="仿宋_GB2312"/>
          <w:color w:val="auto"/>
          <w:sz w:val="32"/>
          <w:szCs w:val="32"/>
          <w:u w:val="none"/>
        </w:rPr>
        <w:t>策。2018年，大幅提高高龄老人津贴标准，</w:t>
      </w:r>
      <w:r>
        <w:rPr>
          <w:rFonts w:hint="eastAsia" w:ascii="仿宋_GB2312" w:hAnsi="仿宋_GB2312" w:eastAsia="仿宋_GB2312" w:cs="仿宋_GB2312"/>
          <w:color w:val="auto"/>
          <w:sz w:val="32"/>
          <w:szCs w:val="32"/>
          <w:u w:val="none"/>
          <w:lang w:bidi="ar"/>
        </w:rPr>
        <w:t>80岁以上老人月入100元到500元不等。创新出台经济困难失能老年人照护补助办法，对重度失能的双低家庭老人和孤老优抚对象给予2000元、1500元定额补助。2019年，进一步完善经济困难失能老年人照护补助办法，对经济困难失能和半失能老人提供照护，每月最高补贴4000元。</w:t>
      </w:r>
    </w:p>
    <w:p w14:paraId="58027650">
      <w:pPr>
        <w:pageBreakBefore w:val="0"/>
        <w:kinsoku/>
        <w:wordWrap/>
        <w:topLinePunct w:val="0"/>
        <w:bidi w:val="0"/>
        <w:snapToGrid w:val="0"/>
        <w:spacing w:line="600" w:lineRule="exact"/>
        <w:ind w:firstLine="624" w:firstLineChars="200"/>
        <w:textAlignment w:val="auto"/>
        <w:rPr>
          <w:rFonts w:ascii="Times New Roman"/>
          <w:color w:val="auto"/>
          <w:u w:val="none"/>
        </w:rPr>
      </w:pPr>
      <w:r>
        <w:rPr>
          <w:rFonts w:ascii="Times New Roman"/>
          <w:bCs/>
          <w:color w:val="auto"/>
          <w:u w:val="none"/>
        </w:rPr>
        <w:t>（2）困境儿童保障日益完</w:t>
      </w:r>
      <w:r>
        <w:rPr>
          <w:rFonts w:hint="eastAsia" w:ascii="仿宋_GB2312" w:hAnsi="仿宋_GB2312" w:eastAsia="仿宋_GB2312" w:cs="仿宋_GB2312"/>
          <w:bCs/>
          <w:color w:val="auto"/>
          <w:u w:val="none"/>
        </w:rPr>
        <w:t>善。2016年，出台建立事实无人抚养儿童基本生活保障制度</w:t>
      </w:r>
      <w:r>
        <w:rPr>
          <w:rFonts w:hint="eastAsia" w:ascii="仿宋_GB2312" w:hAnsi="仿宋_GB2312" w:eastAsia="仿宋_GB2312" w:cs="仿宋_GB2312"/>
          <w:color w:val="auto"/>
          <w:u w:val="none"/>
        </w:rPr>
        <w:t>。2019年，</w:t>
      </w:r>
      <w:r>
        <w:rPr>
          <w:rFonts w:hint="eastAsia" w:ascii="仿宋_GB2312" w:hAnsi="仿宋_GB2312" w:eastAsia="仿宋_GB2312" w:cs="仿宋_GB2312"/>
          <w:bCs/>
          <w:color w:val="auto"/>
          <w:u w:val="none"/>
        </w:rPr>
        <w:t>建立农村留守儿童关爱保护和困境儿童保障工作联席会议制度。2020年，印发加强事实无人抚养儿童保障工作的实施方案，中山市未成年人救助保护中心正式成立。制定出台《中山市儿童福利机构成年孤儿安置办法》，破解了成年孤儿安置的历史问题</w:t>
      </w:r>
      <w:r>
        <w:rPr>
          <w:rFonts w:hint="eastAsia" w:ascii="仿宋_GB2312" w:hAnsi="仿宋_GB2312" w:eastAsia="仿宋_GB2312" w:cs="仿宋_GB2312"/>
          <w:color w:val="auto"/>
          <w:u w:val="none"/>
        </w:rPr>
        <w:t>。</w:t>
      </w:r>
      <w:r>
        <w:rPr>
          <w:rFonts w:hint="eastAsia" w:ascii="仿宋_GB2312" w:hAnsi="仿宋_GB2312" w:eastAsia="仿宋_GB2312" w:cs="仿宋_GB2312"/>
          <w:bCs/>
          <w:color w:val="auto"/>
          <w:u w:val="none"/>
        </w:rPr>
        <w:t>加强儿童工作队伍建设，</w:t>
      </w:r>
      <w:r>
        <w:rPr>
          <w:rFonts w:hint="eastAsia" w:ascii="仿宋_GB2312" w:hAnsi="仿宋_GB2312" w:eastAsia="仿宋_GB2312" w:cs="仿宋_GB2312"/>
          <w:color w:val="auto"/>
          <w:u w:val="none"/>
        </w:rPr>
        <w:t>全市共配备儿童督导员和儿童主任307名</w:t>
      </w:r>
      <w:r>
        <w:rPr>
          <w:rFonts w:ascii="Times New Roman"/>
          <w:color w:val="auto"/>
          <w:u w:val="none"/>
        </w:rPr>
        <w:t xml:space="preserve">，实现了镇（街）、村（居）全覆盖。 </w:t>
      </w:r>
    </w:p>
    <w:p w14:paraId="000B5657">
      <w:pPr>
        <w:pageBreakBefore w:val="0"/>
        <w:kinsoku/>
        <w:wordWrap/>
        <w:topLinePunct w:val="0"/>
        <w:bidi w:val="0"/>
        <w:snapToGrid w:val="0"/>
        <w:spacing w:line="600" w:lineRule="exact"/>
        <w:ind w:firstLine="624" w:firstLineChars="200"/>
        <w:textAlignment w:val="auto"/>
        <w:rPr>
          <w:rFonts w:ascii="Times New Roman"/>
          <w:color w:val="auto"/>
          <w:u w:val="none"/>
        </w:rPr>
      </w:pPr>
      <w:r>
        <w:rPr>
          <w:rFonts w:ascii="Times New Roman"/>
          <w:bCs/>
          <w:color w:val="auto"/>
          <w:u w:val="none"/>
        </w:rPr>
        <w:t>（3）社工改革成效凸显</w:t>
      </w:r>
      <w:r>
        <w:rPr>
          <w:rFonts w:hint="eastAsia" w:ascii="仿宋_GB2312" w:hAnsi="仿宋_GB2312" w:eastAsia="仿宋_GB2312" w:cs="仿宋_GB2312"/>
          <w:color w:val="auto"/>
          <w:u w:val="none"/>
        </w:rPr>
        <w:t>。</w:t>
      </w:r>
      <w:r>
        <w:rPr>
          <w:rFonts w:hint="eastAsia" w:ascii="仿宋_GB2312" w:hAnsi="仿宋_GB2312" w:eastAsia="仿宋_GB2312" w:cs="仿宋_GB2312"/>
          <w:color w:val="auto"/>
          <w:kern w:val="0"/>
          <w:u w:val="none"/>
          <w:lang w:bidi="ar"/>
        </w:rPr>
        <w:t>2018年以来，我市在全省率先深化社工改革，印发《关于进一步深化民政兜底性社工改革推动高质量发展的意见》及4个配套措施，实行“统一管理、定岗定员、绩效考核”，全面推进社工服务“脱虚入实”。全市社工直接服务村（居）困难群众，搭通了基层民政部门与群众的“连心桥”。改革实施以来，我市社工待遇明显提高，社工队伍稳定发展，社工管理服务水平有效提高，基层群众对社工评价满意率提高到95%以上。我市社工改革的扎实成效得到了</w:t>
      </w:r>
      <w:bookmarkStart w:id="144" w:name="_GoBack"/>
      <w:bookmarkEnd w:id="144"/>
      <w:r>
        <w:rPr>
          <w:rFonts w:hint="eastAsia" w:ascii="仿宋_GB2312" w:hAnsi="仿宋_GB2312" w:eastAsia="仿宋_GB2312" w:cs="仿宋_GB2312"/>
          <w:color w:val="auto"/>
          <w:kern w:val="0"/>
          <w:u w:val="none"/>
          <w:lang w:bidi="ar"/>
        </w:rPr>
        <w:t>民政部的肯定。</w:t>
      </w:r>
      <w:r>
        <w:rPr>
          <w:rFonts w:hint="eastAsia" w:ascii="仿宋_GB2312" w:hAnsi="仿宋_GB2312" w:eastAsia="仿宋_GB2312" w:cs="仿宋_GB2312"/>
          <w:color w:val="auto"/>
          <w:u w:val="none"/>
        </w:rPr>
        <w:t>目前，全市累计通过社会工作者职业水平考试人数达5918人</w:t>
      </w:r>
      <w:r>
        <w:rPr>
          <w:rFonts w:ascii="Times New Roman"/>
          <w:color w:val="auto"/>
          <w:u w:val="none"/>
        </w:rPr>
        <w:t>次。</w:t>
      </w:r>
    </w:p>
    <w:p w14:paraId="00F2A3D8">
      <w:pPr>
        <w:pageBreakBefore w:val="0"/>
        <w:kinsoku/>
        <w:wordWrap/>
        <w:topLinePunct w:val="0"/>
        <w:bidi w:val="0"/>
        <w:snapToGrid w:val="0"/>
        <w:spacing w:line="600" w:lineRule="exact"/>
        <w:ind w:firstLine="624" w:firstLineChars="200"/>
        <w:textAlignment w:val="auto"/>
        <w:rPr>
          <w:rFonts w:hint="eastAsia" w:ascii="仿宋_GB2312" w:hAnsi="仿宋_GB2312" w:eastAsia="仿宋_GB2312" w:cs="仿宋_GB2312"/>
          <w:color w:val="auto"/>
          <w:u w:val="none"/>
        </w:rPr>
      </w:pPr>
      <w:r>
        <w:rPr>
          <w:rFonts w:ascii="Times New Roman"/>
          <w:bCs/>
          <w:color w:val="auto"/>
          <w:u w:val="none"/>
        </w:rPr>
        <w:t>（4）审批服务办理提质增效</w:t>
      </w:r>
      <w:r>
        <w:rPr>
          <w:rFonts w:hint="eastAsia" w:ascii="仿宋_GB2312" w:hAnsi="仿宋_GB2312" w:eastAsia="仿宋_GB2312" w:cs="仿宋_GB2312"/>
          <w:bCs/>
          <w:color w:val="auto"/>
          <w:u w:val="none"/>
        </w:rPr>
        <w:t>。2020年，完成政务服务事项标准化工作，对依申请政务服务事项进行流程再造，全面梳理制定事项申请、情形导图和量化受理审查标准等材料，实现“一网通办”。全面实现对标整改实施事项105项工作指标1050项，提前完成了市下达的任务。一窗受理率达100%，所有依申请政务服务事项均实现了一次办、就近办，行政许可事项全流程网办率为100%，实现了全部行政许可事项“零跑动”，行政许可事项时限压减比为97.2%，即办率100%。2016年以来，共办理社会组织审批871宗、地名审批725宗。</w:t>
      </w:r>
    </w:p>
    <w:p w14:paraId="33BDBB80">
      <w:pPr>
        <w:pStyle w:val="6"/>
        <w:pageBreakBefore w:val="0"/>
        <w:kinsoku/>
        <w:wordWrap/>
        <w:topLinePunct w:val="0"/>
        <w:bidi w:val="0"/>
        <w:snapToGrid w:val="0"/>
        <w:spacing w:line="600" w:lineRule="exact"/>
        <w:ind w:firstLine="626"/>
        <w:textAlignment w:val="auto"/>
        <w:rPr>
          <w:rFonts w:ascii="Times New Roman" w:hAnsi="Times New Roman"/>
          <w:b/>
          <w:bCs/>
          <w:color w:val="auto"/>
          <w:u w:val="none"/>
        </w:rPr>
      </w:pPr>
      <w:bookmarkStart w:id="17" w:name="_Toc19834_WPSOffice_Level3"/>
      <w:bookmarkStart w:id="18" w:name="_Toc20506"/>
      <w:bookmarkStart w:id="19" w:name="_Toc29912"/>
      <w:bookmarkStart w:id="20" w:name="_Toc6351"/>
      <w:bookmarkStart w:id="21" w:name="_Toc86940091"/>
      <w:r>
        <w:rPr>
          <w:rFonts w:ascii="Times New Roman" w:hAnsi="Times New Roman"/>
          <w:b/>
          <w:bCs/>
          <w:color w:val="auto"/>
          <w:u w:val="none"/>
        </w:rPr>
        <w:t>3.坚持共建共享，基层社会治理更加扎实</w:t>
      </w:r>
      <w:bookmarkEnd w:id="17"/>
      <w:bookmarkEnd w:id="18"/>
      <w:bookmarkEnd w:id="19"/>
      <w:bookmarkEnd w:id="20"/>
      <w:r>
        <w:rPr>
          <w:rFonts w:ascii="Times New Roman" w:hAnsi="Times New Roman"/>
          <w:b/>
          <w:bCs/>
          <w:color w:val="auto"/>
          <w:u w:val="none"/>
        </w:rPr>
        <w:t>。</w:t>
      </w:r>
      <w:bookmarkEnd w:id="21"/>
    </w:p>
    <w:p w14:paraId="279CB6F9">
      <w:pPr>
        <w:pageBreakBefore w:val="0"/>
        <w:kinsoku/>
        <w:wordWrap/>
        <w:topLinePunct w:val="0"/>
        <w:bidi w:val="0"/>
        <w:snapToGrid w:val="0"/>
        <w:spacing w:line="600" w:lineRule="exact"/>
        <w:ind w:firstLine="624" w:firstLineChars="200"/>
        <w:textAlignment w:val="auto"/>
        <w:rPr>
          <w:rFonts w:hint="eastAsia" w:ascii="仿宋_GB2312" w:hAnsi="仿宋_GB2312" w:eastAsia="仿宋_GB2312" w:cs="仿宋_GB2312"/>
          <w:color w:val="auto"/>
          <w:u w:val="none"/>
        </w:rPr>
      </w:pPr>
      <w:r>
        <w:rPr>
          <w:rFonts w:ascii="Times New Roman"/>
          <w:bCs/>
          <w:color w:val="auto"/>
          <w:u w:val="none"/>
        </w:rPr>
        <w:t>（1）</w:t>
      </w:r>
      <w:r>
        <w:rPr>
          <w:rFonts w:hint="eastAsia" w:cs="Times New Roman"/>
          <w:b w:val="0"/>
          <w:bCs w:val="0"/>
          <w:color w:val="auto"/>
          <w:u w:val="none"/>
          <w:lang w:eastAsia="zh-CN"/>
        </w:rPr>
        <w:t>基层群众自治制度日趋完</w:t>
      </w:r>
      <w:r>
        <w:rPr>
          <w:rFonts w:hint="eastAsia" w:ascii="仿宋_GB2312" w:hAnsi="仿宋_GB2312" w:eastAsia="仿宋_GB2312" w:cs="仿宋_GB2312"/>
          <w:b w:val="0"/>
          <w:bCs w:val="0"/>
          <w:color w:val="auto"/>
          <w:u w:val="none"/>
          <w:lang w:eastAsia="zh-CN"/>
        </w:rPr>
        <w:t>善。</w:t>
      </w:r>
      <w:r>
        <w:rPr>
          <w:rFonts w:hint="eastAsia" w:ascii="仿宋_GB2312" w:hAnsi="仿宋_GB2312" w:eastAsia="仿宋_GB2312" w:cs="仿宋_GB2312"/>
          <w:color w:val="auto"/>
          <w:u w:val="none"/>
        </w:rPr>
        <w:t>2017年，村（居）委会换届选举圆满完成，277个村（居）委会选举产生新一届村（居）委会成员1350人，“一肩挑”和交叉任职率达89.89%、93.7%，参选率达97.56%、一次选举成功率达97.1%、非户籍人口参选试点村（居）占19.9%，均远高于省要求；同步完成各村（居）务监督委员会、村（居）民代表和村（居）民小组长的换届选举；非户籍人口参与基层治理不断深入，277个村（居）选聘社区建设协调委员会成员2885人、249个村（居）选聘特别委员605人。完善村（居）特别委员工作制度，建设27个示范点。加强村（居）务监督委员会规范化建设，强化村（居）务监督，</w:t>
      </w:r>
      <w:r>
        <w:rPr>
          <w:rFonts w:hint="eastAsia" w:ascii="仿宋_GB2312" w:hAnsi="仿宋_GB2312" w:eastAsia="仿宋_GB2312" w:cs="仿宋_GB2312"/>
          <w:color w:val="auto"/>
          <w:u w:val="none"/>
          <w:lang w:eastAsia="zh-CN"/>
        </w:rPr>
        <w:t>市</w:t>
      </w:r>
      <w:r>
        <w:rPr>
          <w:rFonts w:hint="eastAsia" w:ascii="仿宋_GB2312" w:hAnsi="仿宋_GB2312" w:eastAsia="仿宋_GB2312" w:cs="仿宋_GB2312"/>
          <w:color w:val="auto"/>
          <w:u w:val="none"/>
        </w:rPr>
        <w:t>镇</w:t>
      </w:r>
      <w:r>
        <w:rPr>
          <w:rFonts w:hint="eastAsia" w:ascii="仿宋_GB2312" w:hAnsi="仿宋_GB2312" w:eastAsia="仿宋_GB2312" w:cs="仿宋_GB2312"/>
          <w:color w:val="auto"/>
          <w:u w:val="none"/>
          <w:lang w:eastAsia="zh-CN"/>
        </w:rPr>
        <w:t>（</w:t>
      </w:r>
      <w:r>
        <w:rPr>
          <w:rFonts w:hint="eastAsia" w:ascii="仿宋_GB2312" w:hAnsi="仿宋_GB2312" w:eastAsia="仿宋_GB2312" w:cs="仿宋_GB2312"/>
          <w:color w:val="auto"/>
          <w:u w:val="none"/>
        </w:rPr>
        <w:t>街</w:t>
      </w:r>
      <w:r>
        <w:rPr>
          <w:rFonts w:hint="eastAsia" w:ascii="仿宋_GB2312" w:hAnsi="仿宋_GB2312" w:eastAsia="仿宋_GB2312" w:cs="仿宋_GB2312"/>
          <w:color w:val="auto"/>
          <w:u w:val="none"/>
          <w:lang w:eastAsia="zh-CN"/>
        </w:rPr>
        <w:t>道）</w:t>
      </w:r>
      <w:r>
        <w:rPr>
          <w:rFonts w:hint="eastAsia" w:ascii="仿宋_GB2312" w:hAnsi="仿宋_GB2312" w:eastAsia="仿宋_GB2312" w:cs="仿宋_GB2312"/>
          <w:color w:val="auto"/>
          <w:u w:val="none"/>
        </w:rPr>
        <w:t>出台村（居）务监督委员会及其成员考核办法。2019年，出台《关于深化村（居）务组务公开工作的意见》，全面推行村（居）务和村民小组组务公开；100%的村（社区）完成村规民约的修订完善工作；2020年，努力破解村民小组长管理难问题，出台《关于加强村民小组建设的意见（试行）》，从村民小组党组织建设、议事决策、村民小组长管理、民主监督和管理制度等方面，全面加强和规范村民小组建设。</w:t>
      </w:r>
    </w:p>
    <w:p w14:paraId="309C4D89">
      <w:pPr>
        <w:pageBreakBefore w:val="0"/>
        <w:kinsoku/>
        <w:wordWrap/>
        <w:topLinePunct w:val="0"/>
        <w:bidi w:val="0"/>
        <w:snapToGrid w:val="0"/>
        <w:spacing w:line="600" w:lineRule="exact"/>
        <w:ind w:firstLine="624" w:firstLineChars="200"/>
        <w:textAlignment w:val="auto"/>
        <w:rPr>
          <w:rFonts w:hint="eastAsia" w:ascii="仿宋_GB2312" w:hAnsi="仿宋_GB2312" w:eastAsia="仿宋_GB2312" w:cs="仿宋_GB2312"/>
          <w:color w:val="auto"/>
          <w:u w:val="none"/>
        </w:rPr>
      </w:pPr>
      <w:r>
        <w:rPr>
          <w:rFonts w:ascii="Times New Roman" w:hAnsi="Times New Roman" w:cs="Times New Roman"/>
          <w:bCs/>
          <w:color w:val="auto"/>
          <w:sz w:val="32"/>
          <w:szCs w:val="32"/>
          <w:u w:val="none"/>
        </w:rPr>
        <w:t>（2）</w:t>
      </w:r>
      <w:r>
        <w:rPr>
          <w:rFonts w:hint="eastAsia" w:ascii="Times New Roman" w:cs="Times New Roman"/>
          <w:color w:val="auto"/>
          <w:u w:val="none"/>
          <w:lang w:eastAsia="zh-CN"/>
        </w:rPr>
        <w:t>社区治理和服务不断加强</w:t>
      </w:r>
      <w:r>
        <w:rPr>
          <w:rFonts w:hint="eastAsia" w:ascii="仿宋_GB2312" w:hAnsi="仿宋_GB2312" w:eastAsia="仿宋_GB2312" w:cs="仿宋_GB2312"/>
          <w:color w:val="auto"/>
          <w:u w:val="none"/>
          <w:lang w:eastAsia="zh-CN"/>
        </w:rPr>
        <w:t>。</w:t>
      </w:r>
      <w:r>
        <w:rPr>
          <w:rFonts w:hint="eastAsia" w:ascii="仿宋_GB2312" w:hAnsi="仿宋_GB2312" w:eastAsia="仿宋_GB2312" w:cs="仿宋_GB2312"/>
          <w:color w:val="auto"/>
          <w:u w:val="none"/>
        </w:rPr>
        <w:t>2016年，制定社区减负工作方案；印发2批次65项村（社区）基本公共服务目录，推进基层公共服务规范化；2018年，市委市政府出台加强和完善城乡社区治理的实施意见，梳理明确41项重点任务；印发村（居）民委员会工作职责事项指导目录（村共109项，社区共89项）</w:t>
      </w:r>
      <w:r>
        <w:rPr>
          <w:rFonts w:hint="eastAsia" w:ascii="仿宋_GB2312" w:hAnsi="仿宋_GB2312" w:eastAsia="仿宋_GB2312" w:cs="仿宋_GB2312"/>
          <w:color w:val="auto"/>
          <w:spacing w:val="6"/>
          <w:u w:val="none"/>
        </w:rPr>
        <w:t>和</w:t>
      </w:r>
      <w:r>
        <w:rPr>
          <w:rFonts w:hint="eastAsia" w:ascii="仿宋_GB2312" w:hAnsi="仿宋_GB2312" w:eastAsia="仿宋_GB2312" w:cs="仿宋_GB2312"/>
          <w:color w:val="auto"/>
          <w:u w:val="none"/>
        </w:rPr>
        <w:t>印章使用范围清单（村共55项，社区共49项），推进自治组织减负；搭建村民议事平台，在东区花苑社区、南头镇南城社区、沙溪镇云汉村创建村（居）民议事协商示范点。</w:t>
      </w:r>
      <w:r>
        <w:rPr>
          <w:rFonts w:hint="eastAsia" w:ascii="仿宋_GB2312" w:hAnsi="仿宋_GB2312" w:eastAsia="仿宋_GB2312" w:cs="仿宋_GB2312"/>
          <w:color w:val="auto"/>
          <w:kern w:val="0"/>
          <w:u w:val="none"/>
        </w:rPr>
        <w:t>探索推进大型居住社区和城中村新建商品房住宅小区社区设置改革，出台《中山市规范社区设置工作指导意见》，指导有关镇街调整村（居）委会设置。</w:t>
      </w:r>
      <w:r>
        <w:rPr>
          <w:rFonts w:hint="eastAsia" w:ascii="仿宋_GB2312" w:hAnsi="仿宋_GB2312" w:eastAsia="仿宋_GB2312" w:cs="仿宋_GB2312"/>
          <w:color w:val="auto"/>
          <w:u w:val="none"/>
        </w:rPr>
        <w:t>制定《中山市乡镇政府服务能力建设试点工作方案》，火炬开发区、东区、小榄镇和东凤镇试点加强乡镇政府服务能力建设。建立正常离任村（社区）干部生活补助发放制度，完成两批共4147名村干部、635名社区干部的采集工作。</w:t>
      </w:r>
    </w:p>
    <w:p w14:paraId="69F0E673">
      <w:pPr>
        <w:pStyle w:val="8"/>
        <w:pageBreakBefore w:val="0"/>
        <w:kinsoku/>
        <w:wordWrap/>
        <w:topLinePunct w:val="0"/>
        <w:bidi w:val="0"/>
        <w:snapToGrid w:val="0"/>
        <w:spacing w:before="0" w:after="0" w:afterAutospacing="0" w:line="600" w:lineRule="exact"/>
        <w:ind w:firstLine="624" w:firstLineChars="200"/>
        <w:textAlignment w:val="auto"/>
        <w:rPr>
          <w:rFonts w:ascii="Times New Roman" w:hAnsi="Times New Roman" w:cs="Times New Roman"/>
          <w:color w:val="auto"/>
          <w:sz w:val="32"/>
          <w:szCs w:val="32"/>
          <w:u w:val="none"/>
        </w:rPr>
      </w:pPr>
      <w:r>
        <w:rPr>
          <w:rFonts w:ascii="Times New Roman" w:hAnsi="Times New Roman" w:cs="Times New Roman"/>
          <w:bCs/>
          <w:color w:val="auto"/>
          <w:sz w:val="32"/>
          <w:szCs w:val="32"/>
          <w:u w:val="none"/>
        </w:rPr>
        <w:t>（2）专项资金整治成效突出</w:t>
      </w:r>
      <w:r>
        <w:rPr>
          <w:rFonts w:ascii="Times New Roman" w:hAnsi="Times New Roman" w:cs="Times New Roman"/>
          <w:color w:val="auto"/>
          <w:sz w:val="32"/>
          <w:szCs w:val="32"/>
          <w:u w:val="none"/>
        </w:rPr>
        <w:t>。深刻汲取港口陈志祥小官巨贪的教训，</w:t>
      </w:r>
      <w:r>
        <w:rPr>
          <w:rFonts w:ascii="Times New Roman" w:hAnsi="Times New Roman" w:cs="Times New Roman"/>
          <w:color w:val="auto"/>
          <w:sz w:val="32"/>
          <w:szCs w:val="32"/>
          <w:u w:val="none"/>
          <w:lang w:val="zh-CN"/>
        </w:rPr>
        <w:t>市民政局分别</w:t>
      </w:r>
      <w:r>
        <w:rPr>
          <w:rFonts w:hint="eastAsia" w:ascii="仿宋_GB2312" w:hAnsi="仿宋_GB2312" w:eastAsia="仿宋_GB2312" w:cs="仿宋_GB2312"/>
          <w:color w:val="auto"/>
          <w:sz w:val="32"/>
          <w:szCs w:val="32"/>
          <w:u w:val="none"/>
          <w:lang w:val="zh-CN"/>
        </w:rPr>
        <w:t>于</w:t>
      </w:r>
      <w:r>
        <w:rPr>
          <w:rFonts w:hint="eastAsia" w:ascii="仿宋_GB2312" w:hAnsi="仿宋_GB2312" w:eastAsia="仿宋_GB2312" w:cs="仿宋_GB2312"/>
          <w:color w:val="auto"/>
          <w:sz w:val="32"/>
          <w:szCs w:val="32"/>
          <w:u w:val="none"/>
        </w:rPr>
        <w:t>2018</w:t>
      </w:r>
      <w:r>
        <w:rPr>
          <w:rFonts w:hint="eastAsia" w:ascii="仿宋_GB2312" w:hAnsi="仿宋_GB2312" w:eastAsia="仿宋_GB2312" w:cs="仿宋_GB2312"/>
          <w:color w:val="auto"/>
          <w:sz w:val="32"/>
          <w:szCs w:val="32"/>
          <w:u w:val="none"/>
          <w:lang w:val="zh-CN"/>
        </w:rPr>
        <w:t>年</w:t>
      </w:r>
      <w:r>
        <w:rPr>
          <w:rFonts w:hint="eastAsia" w:ascii="仿宋_GB2312" w:hAnsi="仿宋_GB2312" w:eastAsia="仿宋_GB2312" w:cs="仿宋_GB2312"/>
          <w:color w:val="auto"/>
          <w:sz w:val="32"/>
          <w:szCs w:val="32"/>
          <w:u w:val="none"/>
        </w:rPr>
        <w:t>7-8月和11月</w:t>
      </w:r>
      <w:r>
        <w:rPr>
          <w:rFonts w:hint="eastAsia" w:ascii="仿宋_GB2312" w:hAnsi="仿宋_GB2312" w:eastAsia="仿宋_GB2312" w:cs="仿宋_GB2312"/>
          <w:color w:val="auto"/>
          <w:sz w:val="32"/>
          <w:szCs w:val="32"/>
          <w:u w:val="none"/>
          <w:lang w:val="zh-CN"/>
        </w:rPr>
        <w:t>，组织开展了民政民生专项资金、双低及优抚家庭危房改造专项整治工作</w:t>
      </w:r>
      <w:r>
        <w:rPr>
          <w:rFonts w:hint="eastAsia" w:ascii="仿宋_GB2312" w:hAnsi="仿宋_GB2312" w:eastAsia="仿宋_GB2312" w:cs="仿宋_GB2312"/>
          <w:color w:val="auto"/>
          <w:sz w:val="32"/>
          <w:szCs w:val="32"/>
          <w:u w:val="none"/>
        </w:rPr>
        <w:t>，共发现问题433个，上报纪检监察机关或移交调查141宗。建章立制，堵塞漏洞，修订出台《中山市城乡居民最低生活保障及低收入家庭救助实施办法》等6个文件，修改完善民政专项资金审核审批流程，实行审核审批分离、审批和发放分离。并加大日常监管，严格执行落实定期对专项资金管理使用情况进行核查、抽查。2020年，组织开展全市民政专项资金督查，共查阅各类对象档案资料24003份、随机入户2989户，核查存在问题117个，已全部完成整改。</w:t>
      </w:r>
    </w:p>
    <w:p w14:paraId="233A45BA">
      <w:pPr>
        <w:pageBreakBefore w:val="0"/>
        <w:kinsoku/>
        <w:wordWrap/>
        <w:topLinePunct w:val="0"/>
        <w:bidi w:val="0"/>
        <w:snapToGrid w:val="0"/>
        <w:spacing w:line="600" w:lineRule="exact"/>
        <w:ind w:firstLine="624" w:firstLineChars="200"/>
        <w:textAlignment w:val="auto"/>
        <w:rPr>
          <w:rFonts w:ascii="Times New Roman"/>
          <w:color w:val="auto"/>
          <w:u w:val="none"/>
        </w:rPr>
      </w:pPr>
      <w:r>
        <w:rPr>
          <w:rFonts w:ascii="Times New Roman"/>
          <w:bCs/>
          <w:color w:val="auto"/>
          <w:u w:val="none"/>
        </w:rPr>
        <w:t>（</w:t>
      </w:r>
      <w:r>
        <w:rPr>
          <w:rFonts w:hint="eastAsia" w:ascii="Times New Roman"/>
          <w:bCs/>
          <w:color w:val="auto"/>
          <w:u w:val="none"/>
          <w:lang w:val="en-US" w:eastAsia="zh-CN"/>
        </w:rPr>
        <w:t>4</w:t>
      </w:r>
      <w:r>
        <w:rPr>
          <w:rFonts w:ascii="Times New Roman"/>
          <w:bCs/>
          <w:color w:val="auto"/>
          <w:u w:val="none"/>
        </w:rPr>
        <w:t>）社会组织管理不断加强</w:t>
      </w:r>
      <w:r>
        <w:rPr>
          <w:rFonts w:ascii="Times New Roman"/>
          <w:color w:val="auto"/>
          <w:u w:val="none"/>
        </w:rPr>
        <w:t>。</w:t>
      </w:r>
      <w:r>
        <w:rPr>
          <w:rFonts w:hint="eastAsia" w:ascii="仿宋_GB2312" w:hAnsi="仿宋_GB2312" w:eastAsia="仿宋_GB2312" w:cs="仿宋_GB2312"/>
          <w:color w:val="auto"/>
          <w:u w:val="none"/>
        </w:rPr>
        <w:t>2016年，创新探索异地商会开展新中山人临时困难救助工作；落实社会组织统一社会信用代码制度改革，实现“三证合一”；强化综合监管和诚信建设，发布我市首批社会组织诚信红黑榜名单。2017年，稳妥推进行业协会商会与行政机关脱钩，完成第二、三批试点93个社会组织脱钩任务；监督管理更加严格，首次出台社会组织抽查监督制度，对169家社会组织进行财务专项检查。2018年，打击整治非法社会组织专项行动成果显著，发现疑似非法社会组织26家，在全省会议作经验发言；完善监管体系，修订社会组织信用信息管理办法；培育社区社会组织，在小榄镇、三角镇成立社区社会组织服务中心。2019年，强化社会组织监管，建立社会组织管理工作联席会议制度，出台社会组织信息公开、重大事项报告等制度；开展社会组织年检、社会组织等级评估，组织社会组织财务专项检查，强化社会组织意识形态监管。2020年，积极推进社会组织“年检改年报”，年报率达91.2%；动员社会组织参与决战决胜脱贫攻坚，组织社会组织对口帮扶潮州及肇庆扶贫，选派社工赴昭通市支援帮扶。截至2020年底，全市登记在册的社会组织共2273家，登记备案的社区社会组织共1368个。</w:t>
      </w:r>
    </w:p>
    <w:p w14:paraId="02A847F8">
      <w:pPr>
        <w:pageBreakBefore w:val="0"/>
        <w:kinsoku/>
        <w:wordWrap/>
        <w:topLinePunct w:val="0"/>
        <w:bidi w:val="0"/>
        <w:snapToGrid w:val="0"/>
        <w:spacing w:line="600" w:lineRule="exact"/>
        <w:ind w:firstLine="624" w:firstLineChars="200"/>
        <w:textAlignment w:val="auto"/>
        <w:rPr>
          <w:rFonts w:ascii="Times New Roman"/>
          <w:bCs/>
          <w:color w:val="auto"/>
          <w:u w:val="none"/>
        </w:rPr>
      </w:pPr>
      <w:r>
        <w:rPr>
          <w:rFonts w:ascii="Times New Roman"/>
          <w:bCs/>
          <w:color w:val="auto"/>
          <w:u w:val="none"/>
        </w:rPr>
        <w:t>（</w:t>
      </w:r>
      <w:r>
        <w:rPr>
          <w:rFonts w:hint="eastAsia" w:ascii="Times New Roman"/>
          <w:bCs/>
          <w:color w:val="auto"/>
          <w:u w:val="none"/>
          <w:lang w:val="en-US" w:eastAsia="zh-CN"/>
        </w:rPr>
        <w:t>5</w:t>
      </w:r>
      <w:r>
        <w:rPr>
          <w:rFonts w:ascii="Times New Roman"/>
          <w:bCs/>
          <w:color w:val="auto"/>
          <w:u w:val="none"/>
        </w:rPr>
        <w:t>）社会事务全面提升。推进婚姻登记机关标准化建设，完成全市婚姻登记机关</w:t>
      </w:r>
      <w:r>
        <w:rPr>
          <w:rFonts w:hint="eastAsia" w:ascii="仿宋_GB2312" w:hAnsi="仿宋_GB2312" w:eastAsia="仿宋_GB2312" w:cs="仿宋_GB2312"/>
          <w:bCs/>
          <w:color w:val="auto"/>
          <w:u w:val="none"/>
        </w:rPr>
        <w:t>规范化建设。市婚姻登记中心顺利搬迁至兴中广场，努力打造“最美婚姻登记中心”。创新流浪乞讨人员救助管理模式，救助流浪乞讨人员10431人次，开展寻亲送返专项行动，帮助328名滞留流浪乞讨人员成功寻亲。福利彩票事业健康发展，“十三五”期间，我市福利彩票销量达53.72亿元，筹集福彩公益金5.56亿元，分别比“十二五”增长16.7%、15.9%。认真抓好界线界桩维护管理，完成中山佛山、珠海中山等市级行政区域界线联合检查。全面完成第二次全国地名普查补查工作，编印了《中山市地名词典》。殡葬改革持续深化。“十三五”期间，全市参加骨灰树葬、海葬活动共972人次，累计802具骨灰植树、撒海。完成市殡仪馆现有土地证办理，福荫园骨灰楼建设有序推进。此外，民政信息宣传成效显著，“智慧民政”投入使用，保密、法制、建议提案等各项工作不</w:t>
      </w:r>
      <w:r>
        <w:rPr>
          <w:rFonts w:ascii="Times New Roman"/>
          <w:bCs/>
          <w:color w:val="auto"/>
          <w:u w:val="none"/>
        </w:rPr>
        <w:t>断加强。</w:t>
      </w:r>
    </w:p>
    <w:p w14:paraId="6AEA6B89">
      <w:pPr>
        <w:pageBreakBefore w:val="0"/>
        <w:kinsoku/>
        <w:wordWrap/>
        <w:topLinePunct w:val="0"/>
        <w:bidi w:val="0"/>
        <w:snapToGrid w:val="0"/>
        <w:spacing w:line="600" w:lineRule="exact"/>
        <w:ind w:firstLine="624" w:firstLineChars="200"/>
        <w:textAlignment w:val="auto"/>
        <w:rPr>
          <w:rFonts w:ascii="Times New Roman"/>
          <w:color w:val="auto"/>
          <w:u w:val="none"/>
        </w:rPr>
      </w:pPr>
      <w:r>
        <w:rPr>
          <w:rFonts w:ascii="Times New Roman"/>
          <w:bCs/>
          <w:color w:val="auto"/>
          <w:u w:val="none"/>
        </w:rPr>
        <w:t>机构改革前，还按职责认真做好拥军救灾工作，不断提升优抚保障水平，进一步规范“两参”人员身份认定的协查、备案制度；大力推动全市复退军人服务体系建设，深入开展退役士兵安置和权益保障工作；推进烈士褒扬工作以及双拥创建和军民共建活动，组织进</w:t>
      </w:r>
      <w:r>
        <w:rPr>
          <w:rFonts w:hint="eastAsia" w:ascii="仿宋_GB2312" w:hAnsi="仿宋_GB2312" w:eastAsia="仿宋_GB2312" w:cs="仿宋_GB2312"/>
          <w:bCs/>
          <w:color w:val="auto"/>
          <w:u w:val="none"/>
        </w:rPr>
        <w:t>行“9·30”烈士纪念日烈士公祭活动，开展拥军优属慰问及“双拥在基层”活</w:t>
      </w:r>
      <w:r>
        <w:rPr>
          <w:rFonts w:ascii="Times New Roman"/>
          <w:bCs/>
          <w:color w:val="auto"/>
          <w:u w:val="none"/>
        </w:rPr>
        <w:t>动；全面落实军休干部“两个待遇”，圆满完成各项军供保障任务。抓好减灾救灾工作，有效应对强降雨、洪水和台风等自然灾害袭击，及时开展受灾害影响的救助工作，切实保障受灾群众基本生活。</w:t>
      </w:r>
    </w:p>
    <w:p w14:paraId="73FA3E8B">
      <w:pPr>
        <w:pStyle w:val="5"/>
        <w:pageBreakBefore w:val="0"/>
        <w:kinsoku/>
        <w:wordWrap/>
        <w:topLinePunct w:val="0"/>
        <w:bidi w:val="0"/>
        <w:snapToGrid w:val="0"/>
        <w:spacing w:line="600" w:lineRule="exact"/>
        <w:ind w:firstLine="626"/>
        <w:textAlignment w:val="auto"/>
        <w:rPr>
          <w:rFonts w:ascii="楷体_GB2312" w:hAnsi="楷体_GB2312"/>
          <w:b w:val="0"/>
          <w:color w:val="auto"/>
          <w:u w:val="none"/>
        </w:rPr>
      </w:pPr>
      <w:bookmarkStart w:id="22" w:name="_Toc86940092"/>
      <w:r>
        <w:rPr>
          <w:rFonts w:ascii="楷体_GB2312" w:hAnsi="楷体_GB2312"/>
          <w:color w:val="auto"/>
          <w:u w:val="none"/>
        </w:rPr>
        <w:t>（二）存在问题</w:t>
      </w:r>
      <w:bookmarkEnd w:id="22"/>
    </w:p>
    <w:p w14:paraId="52867290">
      <w:pPr>
        <w:pageBreakBefore w:val="0"/>
        <w:kinsoku/>
        <w:wordWrap/>
        <w:topLinePunct w:val="0"/>
        <w:bidi w:val="0"/>
        <w:snapToGrid w:val="0"/>
        <w:spacing w:line="600" w:lineRule="exact"/>
        <w:ind w:firstLine="624" w:firstLineChars="200"/>
        <w:textAlignment w:val="auto"/>
        <w:rPr>
          <w:rFonts w:ascii="Times New Roman"/>
          <w:bCs/>
          <w:color w:val="auto"/>
          <w:u w:val="none"/>
        </w:rPr>
      </w:pPr>
      <w:r>
        <w:rPr>
          <w:rFonts w:ascii="Times New Roman"/>
          <w:bCs/>
          <w:color w:val="auto"/>
          <w:u w:val="none"/>
        </w:rPr>
        <w:t>同时也应看到，对照奋力打造“</w:t>
      </w:r>
      <w:r>
        <w:rPr>
          <w:rFonts w:hint="eastAsia" w:ascii="Times New Roman"/>
          <w:bCs/>
          <w:color w:val="auto"/>
          <w:u w:val="none"/>
          <w:lang w:eastAsia="zh-CN"/>
        </w:rPr>
        <w:t>美丽</w:t>
      </w:r>
      <w:r>
        <w:rPr>
          <w:rFonts w:ascii="Times New Roman"/>
          <w:bCs/>
          <w:color w:val="auto"/>
          <w:u w:val="none"/>
        </w:rPr>
        <w:t>中山</w:t>
      </w:r>
      <w:r>
        <w:rPr>
          <w:rFonts w:hint="eastAsia" w:ascii="Times New Roman"/>
          <w:bCs/>
          <w:color w:val="auto"/>
          <w:u w:val="none"/>
          <w:lang w:eastAsia="zh-CN"/>
        </w:rPr>
        <w:t>、投资热土</w:t>
      </w:r>
      <w:r>
        <w:rPr>
          <w:rFonts w:ascii="Times New Roman"/>
          <w:bCs/>
          <w:color w:val="auto"/>
          <w:u w:val="none"/>
        </w:rPr>
        <w:t>”，努力打造中山为粤港澳大湾区和谐善治幸福城的目标和人民对美好生活的新期待，中山民政事业还存在一些不足</w:t>
      </w:r>
      <w:r>
        <w:rPr>
          <w:rFonts w:hint="eastAsia" w:ascii="Times New Roman"/>
          <w:bCs/>
          <w:color w:val="auto"/>
          <w:u w:val="none"/>
          <w:lang w:eastAsia="zh-CN"/>
        </w:rPr>
        <w:t>，</w:t>
      </w:r>
      <w:r>
        <w:rPr>
          <w:rFonts w:ascii="Times New Roman"/>
          <w:bCs/>
          <w:color w:val="auto"/>
          <w:u w:val="none"/>
        </w:rPr>
        <w:t>民政事业发展任重道远。</w:t>
      </w:r>
    </w:p>
    <w:p w14:paraId="1B06642D">
      <w:pPr>
        <w:pageBreakBefore w:val="0"/>
        <w:kinsoku/>
        <w:wordWrap/>
        <w:topLinePunct w:val="0"/>
        <w:bidi w:val="0"/>
        <w:snapToGrid w:val="0"/>
        <w:spacing w:line="600" w:lineRule="exact"/>
        <w:ind w:firstLine="624" w:firstLineChars="200"/>
        <w:textAlignment w:val="auto"/>
        <w:rPr>
          <w:rFonts w:ascii="Times New Roman"/>
          <w:bCs/>
          <w:color w:val="auto"/>
          <w:u w:val="none"/>
        </w:rPr>
      </w:pPr>
      <w:r>
        <w:rPr>
          <w:rFonts w:ascii="Times New Roman"/>
          <w:b/>
          <w:bCs w:val="0"/>
          <w:color w:val="auto"/>
          <w:u w:val="none"/>
        </w:rPr>
        <w:t>一是民生兜底的平衡性和协调性不够充分。</w:t>
      </w:r>
      <w:r>
        <w:rPr>
          <w:rFonts w:hint="eastAsia" w:ascii="Times New Roman"/>
          <w:bCs/>
          <w:color w:val="auto"/>
          <w:u w:val="none"/>
          <w:lang w:val="en-US" w:eastAsia="zh-CN"/>
        </w:rPr>
        <w:t>兜底生活保障制度仍不够牢固，制度建设仍不够完善。专项社会救助仍不够健全，救助力度有待提高。急难救助工作效果仍不够明显，“救急难”措施有待完善。</w:t>
      </w:r>
      <w:r>
        <w:rPr>
          <w:rFonts w:ascii="Times New Roman"/>
          <w:bCs/>
          <w:color w:val="auto"/>
          <w:u w:val="none"/>
        </w:rPr>
        <w:t>救助资源分散，救助信息缺乏互通共享，民生兜底保障安全网仍不够严密</w:t>
      </w:r>
      <w:r>
        <w:rPr>
          <w:rFonts w:hint="eastAsia" w:ascii="Times New Roman"/>
          <w:bCs/>
          <w:color w:val="auto"/>
          <w:u w:val="none"/>
          <w:lang w:eastAsia="zh-CN"/>
        </w:rPr>
        <w:t>。</w:t>
      </w:r>
      <w:r>
        <w:rPr>
          <w:rFonts w:hint="eastAsia" w:ascii="Times New Roman"/>
          <w:bCs/>
          <w:color w:val="auto"/>
          <w:u w:val="none"/>
          <w:lang w:val="en-US" w:eastAsia="zh-CN"/>
        </w:rPr>
        <w:t>社会救助服务水平存在短板，特殊群体关爱服务有待加强。社会力量参与社会救助方式单一，改革创新动力有待提升</w:t>
      </w:r>
      <w:r>
        <w:rPr>
          <w:rFonts w:ascii="Times New Roman"/>
          <w:bCs/>
          <w:color w:val="auto"/>
          <w:u w:val="none"/>
        </w:rPr>
        <w:t>。</w:t>
      </w:r>
    </w:p>
    <w:p w14:paraId="70B474CD">
      <w:pPr>
        <w:pageBreakBefore w:val="0"/>
        <w:kinsoku/>
        <w:wordWrap/>
        <w:topLinePunct w:val="0"/>
        <w:bidi w:val="0"/>
        <w:snapToGrid w:val="0"/>
        <w:spacing w:line="600" w:lineRule="exact"/>
        <w:ind w:firstLine="624" w:firstLineChars="200"/>
        <w:textAlignment w:val="auto"/>
        <w:rPr>
          <w:rFonts w:hint="eastAsia" w:ascii="仿宋_GB2312" w:hAnsi="仿宋_GB2312" w:eastAsia="仿宋_GB2312" w:cs="仿宋_GB2312"/>
          <w:color w:val="auto"/>
          <w:spacing w:val="0"/>
          <w:w w:val="100"/>
          <w:u w:val="none"/>
          <w:lang w:val="en-US" w:eastAsia="zh-CN"/>
        </w:rPr>
      </w:pPr>
      <w:r>
        <w:rPr>
          <w:rFonts w:hint="eastAsia" w:hAnsi="仿宋_GB2312" w:cs="仿宋_GB2312"/>
          <w:b/>
          <w:bCs/>
          <w:color w:val="auto"/>
          <w:spacing w:val="0"/>
          <w:w w:val="100"/>
          <w:u w:val="none"/>
          <w:lang w:val="en-US" w:eastAsia="zh-CN"/>
        </w:rPr>
        <w:t>二</w:t>
      </w:r>
      <w:r>
        <w:rPr>
          <w:rFonts w:hint="eastAsia" w:ascii="仿宋_GB2312" w:hAnsi="仿宋_GB2312" w:eastAsia="仿宋_GB2312" w:cs="仿宋_GB2312"/>
          <w:b/>
          <w:bCs/>
          <w:color w:val="auto"/>
          <w:spacing w:val="0"/>
          <w:w w:val="100"/>
          <w:u w:val="none"/>
          <w:lang w:val="en-US" w:eastAsia="zh-CN"/>
        </w:rPr>
        <w:t>是养老服务</w:t>
      </w:r>
      <w:r>
        <w:rPr>
          <w:rFonts w:hint="eastAsia" w:hAnsi="仿宋_GB2312" w:cs="仿宋_GB2312"/>
          <w:b/>
          <w:bCs/>
          <w:color w:val="auto"/>
          <w:spacing w:val="0"/>
          <w:w w:val="100"/>
          <w:u w:val="none"/>
          <w:lang w:val="en-US" w:eastAsia="zh-CN"/>
        </w:rPr>
        <w:t>能力有待加强。</w:t>
      </w:r>
      <w:r>
        <w:rPr>
          <w:rFonts w:hint="eastAsia" w:ascii="仿宋_GB2312" w:hAnsi="仿宋_GB2312" w:eastAsia="仿宋_GB2312" w:cs="仿宋_GB2312"/>
          <w:b/>
          <w:bCs/>
          <w:color w:val="auto"/>
          <w:spacing w:val="0"/>
          <w:w w:val="100"/>
          <w:u w:val="none"/>
          <w:lang w:val="en-US" w:eastAsia="zh-CN"/>
        </w:rPr>
        <w:t>养老服务设施用地保障不足</w:t>
      </w:r>
      <w:r>
        <w:rPr>
          <w:rFonts w:hint="eastAsia" w:hAnsi="仿宋_GB2312" w:cs="仿宋_GB2312"/>
          <w:b/>
          <w:bCs/>
          <w:color w:val="auto"/>
          <w:spacing w:val="0"/>
          <w:w w:val="100"/>
          <w:u w:val="none"/>
          <w:lang w:val="en-US" w:eastAsia="zh-CN"/>
        </w:rPr>
        <w:t>，</w:t>
      </w:r>
      <w:r>
        <w:rPr>
          <w:rFonts w:hint="eastAsia" w:ascii="仿宋_GB2312" w:hAnsi="仿宋_GB2312" w:eastAsia="仿宋_GB2312" w:cs="仿宋_GB2312"/>
          <w:b/>
          <w:bCs/>
          <w:color w:val="auto"/>
          <w:spacing w:val="0"/>
          <w:w w:val="100"/>
          <w:u w:val="none"/>
          <w:lang w:val="en-US" w:eastAsia="zh-CN"/>
        </w:rPr>
        <w:t>“四同步”未能有效落地。</w:t>
      </w:r>
      <w:r>
        <w:rPr>
          <w:rFonts w:hint="eastAsia" w:ascii="仿宋_GB2312" w:hAnsi="仿宋_GB2312" w:eastAsia="仿宋_GB2312" w:cs="仿宋_GB2312"/>
          <w:color w:val="auto"/>
          <w:spacing w:val="0"/>
          <w:w w:val="100"/>
          <w:u w:val="none"/>
          <w:lang w:val="en-US" w:eastAsia="zh-CN"/>
        </w:rPr>
        <w:t>公办养老机构服务力不强，养老护理员薪酬待遇普遍偏低，服务技能水平不高。社区养老覆盖有限，服务功能单一，运营力量薄弱，养老服务精细化、标准化有待</w:t>
      </w:r>
      <w:r>
        <w:rPr>
          <w:rFonts w:hint="eastAsia" w:hAnsi="仿宋_GB2312" w:cs="仿宋_GB2312"/>
          <w:color w:val="auto"/>
          <w:spacing w:val="0"/>
          <w:w w:val="100"/>
          <w:u w:val="none"/>
          <w:lang w:val="en-US" w:eastAsia="zh-CN"/>
        </w:rPr>
        <w:t>提升</w:t>
      </w:r>
      <w:r>
        <w:rPr>
          <w:rFonts w:hint="eastAsia" w:ascii="仿宋_GB2312" w:hAnsi="仿宋_GB2312" w:eastAsia="仿宋_GB2312" w:cs="仿宋_GB2312"/>
          <w:color w:val="auto"/>
          <w:spacing w:val="0"/>
          <w:w w:val="100"/>
          <w:u w:val="none"/>
          <w:lang w:val="en-US" w:eastAsia="zh-CN"/>
        </w:rPr>
        <w:t>。养老服务信息化有待进一步深化，养老服务监管</w:t>
      </w:r>
      <w:r>
        <w:rPr>
          <w:rFonts w:hint="eastAsia" w:hAnsi="仿宋_GB2312" w:cs="仿宋_GB2312"/>
          <w:color w:val="auto"/>
          <w:spacing w:val="0"/>
          <w:w w:val="100"/>
          <w:u w:val="none"/>
          <w:lang w:val="en-US" w:eastAsia="zh-CN"/>
        </w:rPr>
        <w:t>和</w:t>
      </w:r>
      <w:r>
        <w:rPr>
          <w:rFonts w:hint="eastAsia" w:ascii="仿宋_GB2312" w:hAnsi="仿宋_GB2312" w:eastAsia="仿宋_GB2312" w:cs="仿宋_GB2312"/>
          <w:color w:val="auto"/>
          <w:spacing w:val="0"/>
          <w:w w:val="100"/>
          <w:u w:val="none"/>
          <w:lang w:val="en-US" w:eastAsia="zh-CN"/>
        </w:rPr>
        <w:t>机构风险防范能力有待进一步提高，空巢老年人居家意外风险未能有效防范预警。</w:t>
      </w:r>
    </w:p>
    <w:p w14:paraId="59A826C7">
      <w:pPr>
        <w:pageBreakBefore w:val="0"/>
        <w:kinsoku/>
        <w:wordWrap/>
        <w:topLinePunct w:val="0"/>
        <w:bidi w:val="0"/>
        <w:snapToGrid w:val="0"/>
        <w:spacing w:line="600" w:lineRule="exact"/>
        <w:ind w:firstLine="624" w:firstLineChars="200"/>
        <w:textAlignment w:val="auto"/>
        <w:rPr>
          <w:rFonts w:hint="eastAsia" w:ascii="仿宋_GB2312" w:hAnsi="仿宋_GB2312" w:eastAsia="仿宋_GB2312" w:cs="仿宋_GB2312"/>
          <w:b w:val="0"/>
          <w:bCs/>
          <w:color w:val="auto"/>
          <w:sz w:val="32"/>
          <w:szCs w:val="32"/>
          <w:u w:val="none"/>
          <w:lang w:val="en-US" w:eastAsia="zh-CN" w:bidi="ar"/>
        </w:rPr>
      </w:pPr>
      <w:r>
        <w:rPr>
          <w:rFonts w:hint="eastAsia" w:hAnsi="仿宋_GB2312" w:cs="仿宋_GB2312"/>
          <w:b/>
          <w:bCs w:val="0"/>
          <w:color w:val="auto"/>
          <w:sz w:val="32"/>
          <w:szCs w:val="32"/>
          <w:u w:val="none"/>
          <w:lang w:val="en-US" w:eastAsia="zh-CN" w:bidi="ar"/>
        </w:rPr>
        <w:t>三</w:t>
      </w:r>
      <w:r>
        <w:rPr>
          <w:rFonts w:hint="eastAsia" w:ascii="仿宋_GB2312" w:hAnsi="仿宋_GB2312" w:eastAsia="仿宋_GB2312" w:cs="仿宋_GB2312"/>
          <w:b/>
          <w:bCs w:val="0"/>
          <w:color w:val="auto"/>
          <w:sz w:val="32"/>
          <w:szCs w:val="32"/>
          <w:u w:val="none"/>
          <w:lang w:val="en-US" w:eastAsia="zh-CN" w:bidi="ar"/>
        </w:rPr>
        <w:t>是儿童保障体系尚不完善。</w:t>
      </w:r>
      <w:r>
        <w:rPr>
          <w:rFonts w:hint="eastAsia" w:ascii="仿宋_GB2312" w:hAnsi="仿宋_GB2312" w:eastAsia="仿宋_GB2312" w:cs="仿宋_GB2312"/>
          <w:b w:val="0"/>
          <w:bCs/>
          <w:color w:val="auto"/>
          <w:sz w:val="32"/>
          <w:szCs w:val="32"/>
          <w:u w:val="none"/>
          <w:lang w:val="en-US" w:eastAsia="zh-CN" w:bidi="ar"/>
        </w:rPr>
        <w:t>儿童福利保障从业人员水平不高，关爱服务覆盖面和频次不</w:t>
      </w:r>
      <w:r>
        <w:rPr>
          <w:rFonts w:hint="eastAsia" w:hAnsi="仿宋_GB2312" w:cs="仿宋_GB2312"/>
          <w:b w:val="0"/>
          <w:bCs/>
          <w:color w:val="auto"/>
          <w:sz w:val="32"/>
          <w:szCs w:val="32"/>
          <w:u w:val="none"/>
          <w:lang w:val="en-US" w:eastAsia="zh-CN" w:bidi="ar"/>
        </w:rPr>
        <w:t>够</w:t>
      </w:r>
      <w:r>
        <w:rPr>
          <w:rFonts w:hint="eastAsia" w:ascii="仿宋_GB2312" w:hAnsi="仿宋_GB2312" w:eastAsia="仿宋_GB2312" w:cs="仿宋_GB2312"/>
          <w:b w:val="0"/>
          <w:bCs/>
          <w:color w:val="auto"/>
          <w:sz w:val="32"/>
          <w:szCs w:val="32"/>
          <w:u w:val="none"/>
          <w:lang w:val="en-US" w:eastAsia="zh-CN" w:bidi="ar"/>
        </w:rPr>
        <w:t>。儿童福利机构管理精细程度</w:t>
      </w:r>
      <w:r>
        <w:rPr>
          <w:rFonts w:hint="eastAsia" w:hAnsi="仿宋_GB2312" w:cs="仿宋_GB2312"/>
          <w:b w:val="0"/>
          <w:bCs/>
          <w:color w:val="auto"/>
          <w:sz w:val="32"/>
          <w:szCs w:val="32"/>
          <w:u w:val="none"/>
          <w:lang w:val="en-US" w:eastAsia="zh-CN" w:bidi="ar"/>
        </w:rPr>
        <w:t>和</w:t>
      </w:r>
      <w:r>
        <w:rPr>
          <w:rFonts w:hint="eastAsia" w:ascii="仿宋_GB2312" w:hAnsi="仿宋_GB2312" w:eastAsia="仿宋_GB2312" w:cs="仿宋_GB2312"/>
          <w:b w:val="0"/>
          <w:bCs/>
          <w:color w:val="auto"/>
          <w:sz w:val="32"/>
          <w:szCs w:val="32"/>
          <w:u w:val="none"/>
          <w:lang w:val="en-US" w:eastAsia="zh-CN" w:bidi="ar"/>
        </w:rPr>
        <w:t>风险防范能力有待加强。未成年人保护合力尚未有效形成，部门联动合作有待</w:t>
      </w:r>
      <w:r>
        <w:rPr>
          <w:rFonts w:hint="eastAsia" w:hAnsi="仿宋_GB2312" w:cs="仿宋_GB2312"/>
          <w:b w:val="0"/>
          <w:bCs/>
          <w:color w:val="auto"/>
          <w:sz w:val="32"/>
          <w:szCs w:val="32"/>
          <w:u w:val="none"/>
          <w:lang w:val="en-US" w:eastAsia="zh-CN" w:bidi="ar"/>
        </w:rPr>
        <w:t>强化</w:t>
      </w:r>
      <w:r>
        <w:rPr>
          <w:rFonts w:hint="eastAsia" w:ascii="仿宋_GB2312" w:hAnsi="仿宋_GB2312" w:eastAsia="仿宋_GB2312" w:cs="仿宋_GB2312"/>
          <w:b w:val="0"/>
          <w:bCs/>
          <w:color w:val="auto"/>
          <w:sz w:val="32"/>
          <w:szCs w:val="32"/>
          <w:u w:val="none"/>
          <w:lang w:val="en-US" w:eastAsia="zh-CN" w:bidi="ar"/>
        </w:rPr>
        <w:t>。儿童福利业务信息化水平不高，大数据应用不足，尚未形成政策找人机制。</w:t>
      </w:r>
    </w:p>
    <w:p w14:paraId="1D50EBB1">
      <w:pPr>
        <w:pageBreakBefore w:val="0"/>
        <w:kinsoku/>
        <w:wordWrap/>
        <w:topLinePunct w:val="0"/>
        <w:bidi w:val="0"/>
        <w:snapToGrid w:val="0"/>
        <w:spacing w:line="600" w:lineRule="exact"/>
        <w:ind w:firstLine="624" w:firstLineChars="200"/>
        <w:textAlignment w:val="auto"/>
        <w:rPr>
          <w:rFonts w:ascii="Times New Roman"/>
          <w:bCs/>
          <w:color w:val="auto"/>
          <w:sz w:val="36"/>
          <w:szCs w:val="36"/>
          <w:u w:val="none"/>
        </w:rPr>
      </w:pPr>
      <w:r>
        <w:rPr>
          <w:rFonts w:hint="eastAsia" w:ascii="Times New Roman"/>
          <w:b/>
          <w:bCs w:val="0"/>
          <w:color w:val="auto"/>
          <w:u w:val="none"/>
          <w:lang w:eastAsia="zh-CN"/>
        </w:rPr>
        <w:t>四</w:t>
      </w:r>
      <w:r>
        <w:rPr>
          <w:rFonts w:ascii="Times New Roman"/>
          <w:b/>
          <w:bCs w:val="0"/>
          <w:color w:val="auto"/>
          <w:u w:val="none"/>
        </w:rPr>
        <w:t>是慈善</w:t>
      </w:r>
      <w:r>
        <w:rPr>
          <w:rFonts w:hint="eastAsia" w:ascii="Times New Roman"/>
          <w:b/>
          <w:bCs w:val="0"/>
          <w:color w:val="auto"/>
          <w:u w:val="none"/>
          <w:lang w:eastAsia="zh-CN"/>
        </w:rPr>
        <w:t>事业</w:t>
      </w:r>
      <w:r>
        <w:rPr>
          <w:rFonts w:ascii="Times New Roman"/>
          <w:b/>
          <w:bCs w:val="0"/>
          <w:color w:val="auto"/>
          <w:u w:val="none"/>
        </w:rPr>
        <w:t>发展存在局限。</w:t>
      </w:r>
      <w:r>
        <w:rPr>
          <w:rFonts w:hint="eastAsia" w:ascii="Times New Roman"/>
          <w:bCs/>
          <w:color w:val="auto"/>
          <w:u w:val="none"/>
          <w:lang w:val="en-US" w:eastAsia="zh-CN"/>
        </w:rPr>
        <w:t>慈善事业发展体制机制仍不够健全，慈善工作统筹协调能力有待提高。</w:t>
      </w:r>
      <w:r>
        <w:rPr>
          <w:rFonts w:ascii="Times New Roman"/>
          <w:bCs/>
          <w:color w:val="auto"/>
          <w:u w:val="none"/>
        </w:rPr>
        <w:t>慈善力量参与社会救助规模不大，未能满足社会救助服务巨大需求</w:t>
      </w:r>
      <w:r>
        <w:rPr>
          <w:rFonts w:hint="eastAsia" w:ascii="Times New Roman"/>
          <w:bCs/>
          <w:color w:val="auto"/>
          <w:u w:val="none"/>
          <w:lang w:eastAsia="zh-CN"/>
        </w:rPr>
        <w:t>。</w:t>
      </w:r>
      <w:r>
        <w:rPr>
          <w:rFonts w:ascii="Times New Roman"/>
          <w:bCs/>
          <w:color w:val="auto"/>
          <w:u w:val="none"/>
        </w:rPr>
        <w:t>慈善募捐形式和载体</w:t>
      </w:r>
      <w:r>
        <w:rPr>
          <w:rFonts w:hint="eastAsia" w:ascii="Times New Roman"/>
          <w:bCs/>
          <w:color w:val="auto"/>
          <w:u w:val="none"/>
          <w:lang w:val="en-US" w:eastAsia="zh-CN"/>
        </w:rPr>
        <w:t>单一，</w:t>
      </w:r>
      <w:r>
        <w:rPr>
          <w:rFonts w:ascii="Times New Roman"/>
          <w:bCs/>
          <w:color w:val="auto"/>
          <w:u w:val="none"/>
        </w:rPr>
        <w:t>慈善救助帮扶平台缺乏</w:t>
      </w:r>
      <w:r>
        <w:rPr>
          <w:rFonts w:hint="eastAsia" w:ascii="Times New Roman"/>
          <w:bCs/>
          <w:color w:val="auto"/>
          <w:u w:val="none"/>
          <w:lang w:eastAsia="zh-CN"/>
        </w:rPr>
        <w:t>。</w:t>
      </w:r>
      <w:r>
        <w:rPr>
          <w:rFonts w:hint="eastAsia" w:ascii="Times New Roman"/>
          <w:bCs/>
          <w:color w:val="auto"/>
          <w:u w:val="none"/>
          <w:lang w:val="en-US" w:eastAsia="zh-CN"/>
        </w:rPr>
        <w:t>慈善文化宣传力度不足，人人参与慈善的氛围有待提升。</w:t>
      </w:r>
      <w:r>
        <w:rPr>
          <w:rFonts w:ascii="Times New Roman"/>
          <w:bCs/>
          <w:color w:val="auto"/>
          <w:u w:val="none"/>
        </w:rPr>
        <w:t>现有慈善救助帮扶项目公信力、透明度不足，群众缺乏参与信心。</w:t>
      </w:r>
      <w:r>
        <w:rPr>
          <w:rFonts w:hint="eastAsia" w:ascii="Times New Roman"/>
          <w:bCs/>
          <w:color w:val="auto"/>
          <w:u w:val="none"/>
          <w:lang w:val="en-US" w:eastAsia="zh-CN"/>
        </w:rPr>
        <w:t>慈善事业管理水平仍不够高，慈善活动监管体系有待健全。</w:t>
      </w:r>
    </w:p>
    <w:p w14:paraId="4EB43596">
      <w:pPr>
        <w:pageBreakBefore w:val="0"/>
        <w:kinsoku/>
        <w:wordWrap/>
        <w:topLinePunct w:val="0"/>
        <w:bidi w:val="0"/>
        <w:snapToGrid w:val="0"/>
        <w:spacing w:line="600" w:lineRule="exact"/>
        <w:ind w:firstLine="624" w:firstLineChars="200"/>
        <w:textAlignment w:val="auto"/>
        <w:rPr>
          <w:rFonts w:ascii="Times New Roman"/>
          <w:bCs/>
          <w:color w:val="auto"/>
          <w:u w:val="none"/>
        </w:rPr>
      </w:pPr>
      <w:r>
        <w:rPr>
          <w:rFonts w:hint="eastAsia" w:ascii="Times New Roman"/>
          <w:b/>
          <w:color w:val="auto"/>
          <w:u w:val="none"/>
          <w:lang w:eastAsia="zh-CN"/>
        </w:rPr>
        <w:t>五</w:t>
      </w:r>
      <w:r>
        <w:rPr>
          <w:rFonts w:ascii="Times New Roman"/>
          <w:b/>
          <w:color w:val="auto"/>
          <w:u w:val="none"/>
        </w:rPr>
        <w:t>是</w:t>
      </w:r>
      <w:r>
        <w:rPr>
          <w:rFonts w:hint="eastAsia" w:ascii="Times New Roman"/>
          <w:b/>
          <w:color w:val="auto"/>
          <w:u w:val="none"/>
          <w:lang w:eastAsia="zh-CN"/>
        </w:rPr>
        <w:t>民政领域基层社会治理体系不够健全。</w:t>
      </w:r>
      <w:r>
        <w:rPr>
          <w:rFonts w:hint="eastAsia" w:ascii="Times New Roman"/>
          <w:b w:val="0"/>
          <w:bCs/>
          <w:color w:val="auto"/>
          <w:u w:val="none"/>
          <w:lang w:eastAsia="zh-CN"/>
        </w:rPr>
        <w:t>城乡社区服务设施有待加强，服务水平有待提升。</w:t>
      </w:r>
      <w:r>
        <w:rPr>
          <w:rFonts w:hint="eastAsia" w:ascii="仿宋_GB2312" w:hAnsi="Calibri" w:eastAsia="仿宋_GB2312" w:cs="宋体"/>
          <w:color w:val="auto"/>
          <w:sz w:val="32"/>
          <w:szCs w:val="32"/>
          <w:u w:val="none"/>
          <w:lang w:val="en-US" w:eastAsia="zh-CN" w:bidi="ar"/>
        </w:rPr>
        <w:t>社区工作者职业体系</w:t>
      </w:r>
      <w:r>
        <w:rPr>
          <w:rFonts w:hint="eastAsia" w:hAnsi="Calibri" w:cs="宋体"/>
          <w:color w:val="auto"/>
          <w:sz w:val="32"/>
          <w:szCs w:val="32"/>
          <w:u w:val="none"/>
          <w:lang w:val="en-US" w:eastAsia="zh-CN" w:bidi="ar"/>
        </w:rPr>
        <w:t>尚未成型，</w:t>
      </w:r>
      <w:r>
        <w:rPr>
          <w:rFonts w:hint="eastAsia" w:ascii="仿宋_GB2312" w:hAnsi="Calibri" w:eastAsia="仿宋_GB2312" w:cs="宋体"/>
          <w:color w:val="auto"/>
          <w:sz w:val="32"/>
          <w:szCs w:val="32"/>
          <w:u w:val="none"/>
          <w:lang w:val="en-US" w:eastAsia="zh-CN" w:bidi="ar"/>
        </w:rPr>
        <w:t>队伍规范化、专业化、职业化水平</w:t>
      </w:r>
      <w:r>
        <w:rPr>
          <w:rFonts w:hint="eastAsia" w:hAnsi="Calibri" w:cs="宋体"/>
          <w:color w:val="auto"/>
          <w:sz w:val="32"/>
          <w:szCs w:val="32"/>
          <w:u w:val="none"/>
          <w:lang w:val="en-US" w:eastAsia="zh-CN" w:bidi="ar"/>
        </w:rPr>
        <w:t>不高。</w:t>
      </w:r>
      <w:r>
        <w:rPr>
          <w:rFonts w:ascii="Times New Roman"/>
          <w:bCs/>
          <w:color w:val="auto"/>
          <w:u w:val="none"/>
        </w:rPr>
        <w:t>基本社会服务还存在短板，如</w:t>
      </w:r>
      <w:r>
        <w:rPr>
          <w:rFonts w:hint="eastAsia" w:ascii="Times New Roman"/>
          <w:bCs/>
          <w:color w:val="auto"/>
          <w:u w:val="none"/>
          <w:lang w:eastAsia="zh-CN"/>
        </w:rPr>
        <w:t>精神障碍患者社区康复服务设施不足、</w:t>
      </w:r>
      <w:r>
        <w:rPr>
          <w:rFonts w:ascii="Times New Roman"/>
          <w:bCs/>
          <w:color w:val="auto"/>
          <w:u w:val="none"/>
        </w:rPr>
        <w:t>殡仪馆的硬件</w:t>
      </w:r>
      <w:r>
        <w:rPr>
          <w:rFonts w:hint="eastAsia" w:ascii="Times New Roman"/>
          <w:bCs/>
          <w:color w:val="auto"/>
          <w:u w:val="none"/>
          <w:lang w:eastAsia="zh-CN"/>
        </w:rPr>
        <w:t>设施明显落后</w:t>
      </w:r>
      <w:r>
        <w:rPr>
          <w:rFonts w:ascii="Times New Roman"/>
          <w:bCs/>
          <w:color w:val="auto"/>
          <w:u w:val="none"/>
        </w:rPr>
        <w:t>。民政信息化建设较为滞后，缺乏大数据支撑，市镇信息对接不及时，部门数据不对称，影响了工作精准高效推进。</w:t>
      </w:r>
    </w:p>
    <w:p w14:paraId="600180A5">
      <w:pPr>
        <w:pStyle w:val="5"/>
        <w:pageBreakBefore w:val="0"/>
        <w:kinsoku/>
        <w:wordWrap/>
        <w:topLinePunct w:val="0"/>
        <w:bidi w:val="0"/>
        <w:snapToGrid w:val="0"/>
        <w:spacing w:line="600" w:lineRule="exact"/>
        <w:ind w:left="175" w:firstLine="626"/>
        <w:textAlignment w:val="auto"/>
        <w:rPr>
          <w:rFonts w:ascii="Times New Roman" w:hAnsi="Times New Roman"/>
          <w:color w:val="auto"/>
          <w:u w:val="none"/>
        </w:rPr>
      </w:pPr>
      <w:bookmarkStart w:id="23" w:name="_Toc86940093"/>
      <w:r>
        <w:rPr>
          <w:rFonts w:ascii="Times New Roman" w:hAnsi="Times New Roman"/>
          <w:color w:val="auto"/>
          <w:u w:val="none"/>
        </w:rPr>
        <w:t>（三）面临形势</w:t>
      </w:r>
      <w:bookmarkEnd w:id="23"/>
    </w:p>
    <w:p w14:paraId="0254508E">
      <w:pPr>
        <w:pageBreakBefore w:val="0"/>
        <w:kinsoku/>
        <w:wordWrap/>
        <w:topLinePunct w:val="0"/>
        <w:bidi w:val="0"/>
        <w:snapToGrid w:val="0"/>
        <w:spacing w:line="600" w:lineRule="exact"/>
        <w:ind w:firstLine="624" w:firstLineChars="200"/>
        <w:textAlignment w:val="auto"/>
        <w:rPr>
          <w:rFonts w:ascii="Times New Roman"/>
          <w:color w:val="auto"/>
          <w:u w:val="none"/>
        </w:rPr>
      </w:pPr>
      <w:r>
        <w:rPr>
          <w:rFonts w:ascii="Times New Roman"/>
          <w:color w:val="auto"/>
          <w:u w:val="none"/>
        </w:rPr>
        <w:t>“十四五”时期是我国开启全面建设社会主义现代化国家新征程、向第二个百年奋斗目标进军的首个关键五年</w:t>
      </w:r>
      <w:r>
        <w:rPr>
          <w:rFonts w:hint="eastAsia" w:ascii="Times New Roman"/>
          <w:color w:val="auto"/>
          <w:u w:val="none"/>
          <w:lang w:eastAsia="zh-CN"/>
        </w:rPr>
        <w:t>，</w:t>
      </w:r>
      <w:r>
        <w:rPr>
          <w:rFonts w:ascii="Times New Roman"/>
          <w:color w:val="auto"/>
          <w:u w:val="none"/>
        </w:rPr>
        <w:t>是中山奋力打造“</w:t>
      </w:r>
      <w:r>
        <w:rPr>
          <w:rFonts w:hint="eastAsia" w:ascii="Times New Roman"/>
          <w:color w:val="auto"/>
          <w:u w:val="none"/>
          <w:lang w:val="en-US" w:eastAsia="zh-CN"/>
        </w:rPr>
        <w:t>美丽</w:t>
      </w:r>
      <w:r>
        <w:rPr>
          <w:rFonts w:ascii="Times New Roman"/>
          <w:color w:val="auto"/>
          <w:u w:val="none"/>
        </w:rPr>
        <w:t>中山</w:t>
      </w:r>
      <w:r>
        <w:rPr>
          <w:rFonts w:hint="eastAsia" w:ascii="Times New Roman"/>
          <w:color w:val="auto"/>
          <w:u w:val="none"/>
          <w:lang w:eastAsia="zh-CN"/>
        </w:rPr>
        <w:t>、</w:t>
      </w:r>
      <w:r>
        <w:rPr>
          <w:rFonts w:hint="eastAsia" w:ascii="Times New Roman"/>
          <w:color w:val="auto"/>
          <w:u w:val="none"/>
          <w:lang w:val="en-US" w:eastAsia="zh-CN"/>
        </w:rPr>
        <w:t>投资热土</w:t>
      </w:r>
      <w:r>
        <w:rPr>
          <w:rFonts w:ascii="Times New Roman"/>
          <w:color w:val="auto"/>
          <w:u w:val="none"/>
        </w:rPr>
        <w:t>”，努力建设珠江东西两岸融合发展的支撑点、沿海经济带的枢纽城市、粤港澳大湾区的重要一极发展目标的跨越时期，中山民政事业发展必须迎接新挑战与新机遇</w:t>
      </w:r>
      <w:r>
        <w:rPr>
          <w:rFonts w:hint="eastAsia" w:ascii="Times New Roman"/>
          <w:color w:val="auto"/>
          <w:u w:val="none"/>
          <w:lang w:eastAsia="zh-CN"/>
        </w:rPr>
        <w:t>，</w:t>
      </w:r>
      <w:r>
        <w:rPr>
          <w:rFonts w:ascii="Times New Roman"/>
          <w:color w:val="auto"/>
          <w:u w:val="none"/>
        </w:rPr>
        <w:t>承担起新使命和新任务。</w:t>
      </w:r>
    </w:p>
    <w:p w14:paraId="6ECAA184">
      <w:pPr>
        <w:pageBreakBefore w:val="0"/>
        <w:kinsoku/>
        <w:wordWrap/>
        <w:topLinePunct w:val="0"/>
        <w:bidi w:val="0"/>
        <w:snapToGrid w:val="0"/>
        <w:spacing w:line="600" w:lineRule="exact"/>
        <w:ind w:firstLine="624" w:firstLineChars="200"/>
        <w:textAlignment w:val="auto"/>
        <w:rPr>
          <w:rFonts w:ascii="Times New Roman"/>
          <w:color w:val="auto"/>
          <w:u w:val="none"/>
        </w:rPr>
      </w:pPr>
      <w:r>
        <w:rPr>
          <w:rFonts w:ascii="Times New Roman"/>
          <w:color w:val="auto"/>
          <w:u w:val="none"/>
        </w:rPr>
        <w:t>1.党的十八大以来，习近平总书记就做好民生保障工作作出一系列重要指示，深刻指出民生是最大的政治，增进民生福祉是发展的根本目的，做民生工作要有为民情怀，要多谋民生之利、多解民生之忧，在发展中补齐民生短板、促进社会公平正义</w:t>
      </w:r>
      <w:r>
        <w:rPr>
          <w:rFonts w:hint="eastAsia" w:ascii="Times New Roman"/>
          <w:color w:val="auto"/>
          <w:u w:val="none"/>
          <w:lang w:eastAsia="zh-CN"/>
        </w:rPr>
        <w:t>，</w:t>
      </w:r>
      <w:r>
        <w:rPr>
          <w:rFonts w:ascii="Times New Roman"/>
          <w:color w:val="auto"/>
          <w:u w:val="none"/>
        </w:rPr>
        <w:t>强调“坚持在发展中保障和改善民生”，为新时代做好民生工作指明了方向，提供了</w:t>
      </w:r>
      <w:r>
        <w:rPr>
          <w:rFonts w:hint="eastAsia" w:ascii="Times New Roman"/>
          <w:color w:val="auto"/>
          <w:u w:val="none"/>
          <w:lang w:val="en-US" w:eastAsia="zh-CN"/>
        </w:rPr>
        <w:t>根本</w:t>
      </w:r>
      <w:r>
        <w:rPr>
          <w:rFonts w:ascii="Times New Roman"/>
          <w:color w:val="auto"/>
          <w:u w:val="none"/>
        </w:rPr>
        <w:t>遵循。</w:t>
      </w:r>
    </w:p>
    <w:p w14:paraId="529DE911">
      <w:pPr>
        <w:pageBreakBefore w:val="0"/>
        <w:widowControl/>
        <w:kinsoku/>
        <w:wordWrap/>
        <w:topLinePunct w:val="0"/>
        <w:bidi w:val="0"/>
        <w:snapToGrid w:val="0"/>
        <w:spacing w:line="600" w:lineRule="exact"/>
        <w:ind w:firstLine="624" w:firstLineChars="200"/>
        <w:textAlignment w:val="auto"/>
        <w:rPr>
          <w:rFonts w:ascii="Times New Roman"/>
          <w:color w:val="auto"/>
          <w:kern w:val="0"/>
          <w:u w:val="none"/>
        </w:rPr>
      </w:pPr>
      <w:r>
        <w:rPr>
          <w:rFonts w:ascii="Times New Roman"/>
          <w:color w:val="auto"/>
          <w:u w:val="none"/>
        </w:rPr>
        <w:t>2.在高质量发展中促进共同富裕，</w:t>
      </w:r>
      <w:r>
        <w:rPr>
          <w:rFonts w:ascii="Times New Roman"/>
          <w:color w:val="auto"/>
          <w:kern w:val="0"/>
          <w:u w:val="none"/>
        </w:rPr>
        <w:t>对加快提升基本民生兜底保障提出更高要求。</w:t>
      </w:r>
      <w:r>
        <w:rPr>
          <w:rFonts w:ascii="Times New Roman"/>
          <w:color w:val="auto"/>
          <w:u w:val="none"/>
        </w:rPr>
        <w:t>全面建成小康社会以后，绝对贫困已经消除，但相对贫困仍将长期存在。</w:t>
      </w:r>
      <w:r>
        <w:rPr>
          <w:rFonts w:ascii="Times New Roman"/>
          <w:color w:val="auto"/>
          <w:kern w:val="0"/>
          <w:u w:val="none"/>
        </w:rPr>
        <w:t>缩小群体之间收入分配差距，加快提高低收入群众收入水平，不让一个生活困难群众掉队，影响共同富裕进度和质量，不断扩大保障能力、持续提高救助水平，基本民生保障“兜底线、织密网”压力将持续加大。</w:t>
      </w:r>
    </w:p>
    <w:p w14:paraId="12DDE5E0">
      <w:pPr>
        <w:pageBreakBefore w:val="0"/>
        <w:widowControl/>
        <w:kinsoku/>
        <w:wordWrap/>
        <w:topLinePunct w:val="0"/>
        <w:bidi w:val="0"/>
        <w:snapToGrid w:val="0"/>
        <w:spacing w:line="600" w:lineRule="exact"/>
        <w:ind w:firstLine="624" w:firstLineChars="200"/>
        <w:textAlignment w:val="auto"/>
        <w:rPr>
          <w:rFonts w:ascii="Times New Roman"/>
          <w:color w:val="auto"/>
          <w:kern w:val="0"/>
          <w:u w:val="none"/>
        </w:rPr>
      </w:pPr>
      <w:r>
        <w:rPr>
          <w:rFonts w:ascii="Times New Roman"/>
          <w:color w:val="auto"/>
          <w:kern w:val="0"/>
          <w:u w:val="none"/>
        </w:rPr>
        <w:t>3.积极应对人口老龄化发展战略，对加快建立为老为小服务体系提出更高要求。保持人力资源禀赋，破解家庭小型化和空巢化，“低出生、低死亡”与“老龄化、高龄化”并存难题，加快完善基本养老服务体系，健全未成年人保护工作机制，促进人口结构优化，切实保障各类群体合法权益，任务十分繁重。</w:t>
      </w:r>
    </w:p>
    <w:p w14:paraId="39B1C3BB">
      <w:pPr>
        <w:pageBreakBefore w:val="0"/>
        <w:widowControl/>
        <w:kinsoku/>
        <w:wordWrap/>
        <w:topLinePunct w:val="0"/>
        <w:bidi w:val="0"/>
        <w:snapToGrid w:val="0"/>
        <w:spacing w:line="600" w:lineRule="exact"/>
        <w:ind w:firstLine="624" w:firstLineChars="200"/>
        <w:textAlignment w:val="auto"/>
        <w:rPr>
          <w:rFonts w:ascii="Times New Roman"/>
          <w:color w:val="auto"/>
          <w:kern w:val="0"/>
          <w:u w:val="none"/>
        </w:rPr>
      </w:pPr>
      <w:r>
        <w:rPr>
          <w:rFonts w:ascii="Times New Roman"/>
          <w:color w:val="auto"/>
          <w:kern w:val="0"/>
          <w:u w:val="none"/>
        </w:rPr>
        <w:t>4.实施新型城镇化乡村振兴战略，对加快缩小城乡服务供给差距提出更高要求。统筹促进城乡融合发展，针对农村地区社会救助、养老服务、社区服务等相对薄弱实际状况，对标中心城区，补短板、强弱项，促进城乡之间地区之间居民共同推动高质量发展、创造高品质生活，难度仍然较大。</w:t>
      </w:r>
    </w:p>
    <w:p w14:paraId="292E2433">
      <w:pPr>
        <w:pageBreakBefore w:val="0"/>
        <w:widowControl/>
        <w:kinsoku/>
        <w:wordWrap/>
        <w:topLinePunct w:val="0"/>
        <w:bidi w:val="0"/>
        <w:snapToGrid w:val="0"/>
        <w:spacing w:line="600" w:lineRule="exact"/>
        <w:ind w:firstLine="624" w:firstLineChars="200"/>
        <w:textAlignment w:val="auto"/>
        <w:rPr>
          <w:rFonts w:ascii="Times New Roman"/>
          <w:color w:val="auto"/>
          <w:kern w:val="0"/>
          <w:u w:val="none"/>
        </w:rPr>
      </w:pPr>
      <w:r>
        <w:rPr>
          <w:rFonts w:ascii="Times New Roman"/>
          <w:color w:val="auto"/>
          <w:kern w:val="0"/>
          <w:u w:val="none"/>
        </w:rPr>
        <w:t>5.落实“双区驱动”发展战略，对加快提高公共服务水平提出更高要求。协调推进粤港澳大湾区建设，满足群众公共服务需求转型升级，服务对象更大众、更全面、更普惠，加快缩小城乡、区域、群体之间公共服务差距，发挥区域辐射带动作用，需要加快制度政策创新步伐。</w:t>
      </w:r>
    </w:p>
    <w:p w14:paraId="6D614213">
      <w:pPr>
        <w:pageBreakBefore w:val="0"/>
        <w:widowControl/>
        <w:kinsoku/>
        <w:wordWrap/>
        <w:topLinePunct w:val="0"/>
        <w:bidi w:val="0"/>
        <w:snapToGrid w:val="0"/>
        <w:spacing w:line="600" w:lineRule="exact"/>
        <w:ind w:firstLine="624" w:firstLineChars="200"/>
        <w:textAlignment w:val="auto"/>
        <w:rPr>
          <w:rFonts w:ascii="Times New Roman"/>
          <w:color w:val="auto"/>
          <w:kern w:val="0"/>
          <w:u w:val="none"/>
        </w:rPr>
      </w:pPr>
      <w:r>
        <w:rPr>
          <w:rFonts w:ascii="Times New Roman"/>
          <w:color w:val="auto"/>
          <w:kern w:val="0"/>
          <w:u w:val="none"/>
        </w:rPr>
        <w:t>6.推进</w:t>
      </w:r>
      <w:r>
        <w:rPr>
          <w:rFonts w:hint="eastAsia" w:ascii="Times New Roman"/>
          <w:color w:val="auto"/>
          <w:kern w:val="0"/>
          <w:u w:val="none"/>
          <w:lang w:val="en-US" w:eastAsia="zh-CN"/>
        </w:rPr>
        <w:t>基层治理体系和治理能力</w:t>
      </w:r>
      <w:r>
        <w:rPr>
          <w:rFonts w:ascii="Times New Roman"/>
          <w:color w:val="auto"/>
          <w:kern w:val="0"/>
          <w:u w:val="none"/>
        </w:rPr>
        <w:t>现代化，对加强社区治理创新提出更高要求。社区治理必须破解社会参与率仍然不</w:t>
      </w:r>
      <w:r>
        <w:rPr>
          <w:rFonts w:hint="eastAsia" w:ascii="Times New Roman"/>
          <w:color w:val="auto"/>
          <w:kern w:val="0"/>
          <w:u w:val="none"/>
          <w:lang w:val="en-US" w:eastAsia="zh-CN"/>
        </w:rPr>
        <w:t>高</w:t>
      </w:r>
      <w:r>
        <w:rPr>
          <w:rFonts w:ascii="Times New Roman"/>
          <w:color w:val="auto"/>
          <w:kern w:val="0"/>
          <w:u w:val="none"/>
        </w:rPr>
        <w:t>现状，推动“重心下移、力量下沉、资源下沉”，加快形成共建共治共享基层治理新格局，提高守民生底线、防社会风险和应对疫情防控能力等，均提出更高要求。</w:t>
      </w:r>
    </w:p>
    <w:p w14:paraId="7DC29C65">
      <w:pPr>
        <w:pageBreakBefore w:val="0"/>
        <w:widowControl/>
        <w:kinsoku/>
        <w:wordWrap/>
        <w:topLinePunct w:val="0"/>
        <w:bidi w:val="0"/>
        <w:snapToGrid w:val="0"/>
        <w:spacing w:line="600" w:lineRule="exact"/>
        <w:ind w:firstLine="624" w:firstLineChars="200"/>
        <w:textAlignment w:val="auto"/>
        <w:rPr>
          <w:rFonts w:ascii="Times New Roman"/>
          <w:color w:val="auto"/>
          <w:kern w:val="0"/>
          <w:u w:val="none"/>
        </w:rPr>
      </w:pPr>
      <w:r>
        <w:rPr>
          <w:rFonts w:ascii="Times New Roman"/>
          <w:color w:val="auto"/>
          <w:kern w:val="0"/>
          <w:u w:val="none"/>
        </w:rPr>
        <w:t>7.适应新一轮科技革命深入发展，对加快智慧民政建设步伐提出更高要求。加快推进大数据、区块链、物联网、人工智能等信息技术与民政工作深度融合、在民生服务领域中广泛运用，全面推动民政工作数字化转型，以信息化、智慧化推进民政事业高质量发展。</w:t>
      </w:r>
    </w:p>
    <w:p w14:paraId="2954F30C">
      <w:pPr>
        <w:pageBreakBefore w:val="0"/>
        <w:kinsoku/>
        <w:wordWrap/>
        <w:topLinePunct w:val="0"/>
        <w:bidi w:val="0"/>
        <w:snapToGrid w:val="0"/>
        <w:spacing w:line="600" w:lineRule="exact"/>
        <w:ind w:firstLine="624" w:firstLineChars="200"/>
        <w:textAlignment w:val="auto"/>
        <w:rPr>
          <w:rFonts w:ascii="黑体" w:hAnsi="黑体" w:eastAsia="黑体"/>
          <w:color w:val="auto"/>
          <w:u w:val="none"/>
        </w:rPr>
      </w:pPr>
      <w:bookmarkStart w:id="24" w:name="_Toc21245"/>
      <w:bookmarkStart w:id="25" w:name="_Toc5844_WPSOffice_Level1"/>
      <w:bookmarkStart w:id="26" w:name="_Toc86940094"/>
      <w:bookmarkStart w:id="27" w:name="_Toc3529"/>
      <w:bookmarkStart w:id="28" w:name="_Toc1393"/>
      <w:r>
        <w:rPr>
          <w:rFonts w:ascii="黑体" w:hAnsi="黑体" w:eastAsia="黑体"/>
          <w:color w:val="auto"/>
          <w:u w:val="none"/>
        </w:rPr>
        <w:t>二、总体要求</w:t>
      </w:r>
      <w:bookmarkEnd w:id="24"/>
      <w:bookmarkEnd w:id="25"/>
      <w:bookmarkEnd w:id="26"/>
      <w:bookmarkEnd w:id="27"/>
      <w:bookmarkEnd w:id="28"/>
    </w:p>
    <w:p w14:paraId="79230DAA">
      <w:pPr>
        <w:pageBreakBefore w:val="0"/>
        <w:kinsoku/>
        <w:wordWrap/>
        <w:topLinePunct w:val="0"/>
        <w:bidi w:val="0"/>
        <w:snapToGrid w:val="0"/>
        <w:spacing w:line="600" w:lineRule="exact"/>
        <w:ind w:firstLine="624" w:firstLineChars="200"/>
        <w:textAlignment w:val="auto"/>
        <w:rPr>
          <w:rFonts w:ascii="楷体_GB2312" w:hAnsi="楷体_GB2312" w:eastAsia="楷体_GB2312"/>
          <w:b/>
          <w:bCs/>
          <w:color w:val="auto"/>
          <w:u w:val="none"/>
        </w:rPr>
      </w:pPr>
      <w:bookmarkStart w:id="29" w:name="_Toc86940095"/>
      <w:bookmarkStart w:id="30" w:name="_Toc2807"/>
      <w:bookmarkStart w:id="31" w:name="_Toc5989_WPSOffice_Level2"/>
      <w:bookmarkStart w:id="32" w:name="_Toc879"/>
      <w:bookmarkStart w:id="33" w:name="_Toc7853"/>
      <w:r>
        <w:rPr>
          <w:rFonts w:ascii="楷体_GB2312" w:hAnsi="楷体_GB2312" w:eastAsia="楷体_GB2312"/>
          <w:b/>
          <w:bCs/>
          <w:color w:val="auto"/>
          <w:u w:val="none"/>
        </w:rPr>
        <w:t>（一）指导思想</w:t>
      </w:r>
      <w:bookmarkEnd w:id="29"/>
      <w:bookmarkEnd w:id="30"/>
      <w:bookmarkEnd w:id="31"/>
      <w:bookmarkEnd w:id="32"/>
      <w:bookmarkEnd w:id="33"/>
    </w:p>
    <w:p w14:paraId="0214A276">
      <w:pPr>
        <w:pageBreakBefore w:val="0"/>
        <w:kinsoku/>
        <w:wordWrap/>
        <w:topLinePunct w:val="0"/>
        <w:bidi w:val="0"/>
        <w:snapToGrid w:val="0"/>
        <w:spacing w:line="600" w:lineRule="exact"/>
        <w:ind w:firstLine="624" w:firstLineChars="200"/>
        <w:textAlignment w:val="auto"/>
        <w:rPr>
          <w:rFonts w:ascii="Times New Roman"/>
          <w:color w:val="auto"/>
          <w:u w:val="none"/>
        </w:rPr>
      </w:pPr>
      <w:r>
        <w:rPr>
          <w:rFonts w:ascii="Times New Roman"/>
          <w:color w:val="auto"/>
          <w:u w:val="none"/>
        </w:rPr>
        <w:t>以习近平新时代中国特色社会主义思想为指导，全面贯彻党的十九大和十九届二中、三中、四中、五中</w:t>
      </w:r>
      <w:r>
        <w:rPr>
          <w:rFonts w:hint="eastAsia" w:ascii="Times New Roman"/>
          <w:color w:val="auto"/>
          <w:u w:val="none"/>
          <w:lang w:eastAsia="zh-CN"/>
        </w:rPr>
        <w:t>、六中</w:t>
      </w:r>
      <w:r>
        <w:rPr>
          <w:rFonts w:ascii="Times New Roman"/>
          <w:color w:val="auto"/>
          <w:u w:val="none"/>
        </w:rPr>
        <w:t>全会精神，深入落实习近平总书记关于民政工作和深入推进粤港澳大湾区建设重要指示精神，把握新发展阶段，贯彻新发展理念，构建新发展格局，围绕高质量发展主题，坚持以</w:t>
      </w:r>
      <w:r>
        <w:rPr>
          <w:rFonts w:hint="eastAsia" w:ascii="Times New Roman"/>
          <w:color w:val="auto"/>
          <w:u w:val="none"/>
          <w:lang w:val="en-US" w:eastAsia="zh-CN"/>
        </w:rPr>
        <w:t>满足</w:t>
      </w:r>
      <w:r>
        <w:rPr>
          <w:rFonts w:ascii="Times New Roman"/>
          <w:color w:val="auto"/>
          <w:u w:val="none"/>
        </w:rPr>
        <w:t>人民日益增长的美好生活需要为根本目的，以改革创新为根本动力，深化供给侧结构性改革为主线，按照国家、省市工作部署，稳中求进，聚焦巩固拓展脱贫攻坚兜底保障成果，聚焦特殊群体，聚焦群众关切，更好履行基本民生保障、基层社会治理、基本社会服务等职责，加快构建社会救助、养老服务、儿童保障、慈善发展、社会治理五大工作体系，切实发挥民政工作在社会建设中兜底性、基础性作用，为重振虎威、加快高质量崛起、建设“</w:t>
      </w:r>
      <w:r>
        <w:rPr>
          <w:rFonts w:hint="eastAsia" w:ascii="Times New Roman"/>
          <w:color w:val="auto"/>
          <w:u w:val="none"/>
          <w:lang w:val="en-US" w:eastAsia="zh-CN"/>
        </w:rPr>
        <w:t>美丽</w:t>
      </w:r>
      <w:r>
        <w:rPr>
          <w:rFonts w:ascii="Times New Roman"/>
          <w:color w:val="auto"/>
          <w:u w:val="none"/>
        </w:rPr>
        <w:t>中山</w:t>
      </w:r>
      <w:r>
        <w:rPr>
          <w:rFonts w:hint="eastAsia" w:ascii="Times New Roman"/>
          <w:color w:val="auto"/>
          <w:u w:val="none"/>
          <w:lang w:eastAsia="zh-CN"/>
        </w:rPr>
        <w:t>、</w:t>
      </w:r>
      <w:r>
        <w:rPr>
          <w:rFonts w:hint="eastAsia" w:ascii="Times New Roman"/>
          <w:color w:val="auto"/>
          <w:u w:val="none"/>
          <w:lang w:val="en-US" w:eastAsia="zh-CN"/>
        </w:rPr>
        <w:t>投资热土</w:t>
      </w:r>
      <w:r>
        <w:rPr>
          <w:rFonts w:ascii="Times New Roman"/>
          <w:color w:val="auto"/>
          <w:u w:val="none"/>
        </w:rPr>
        <w:t>”作出新的贡献。</w:t>
      </w:r>
    </w:p>
    <w:p w14:paraId="68DF79C7">
      <w:pPr>
        <w:pageBreakBefore w:val="0"/>
        <w:kinsoku/>
        <w:wordWrap/>
        <w:topLinePunct w:val="0"/>
        <w:bidi w:val="0"/>
        <w:snapToGrid w:val="0"/>
        <w:spacing w:line="600" w:lineRule="exact"/>
        <w:ind w:firstLine="624" w:firstLineChars="200"/>
        <w:textAlignment w:val="auto"/>
        <w:rPr>
          <w:rFonts w:ascii="楷体_GB2312" w:hAnsi="楷体_GB2312" w:eastAsia="楷体_GB2312"/>
          <w:b/>
          <w:bCs/>
          <w:color w:val="auto"/>
          <w:u w:val="none"/>
        </w:rPr>
      </w:pPr>
      <w:bookmarkStart w:id="34" w:name="_Toc28750"/>
      <w:bookmarkStart w:id="35" w:name="_Toc86940096"/>
      <w:bookmarkStart w:id="36" w:name="_Toc16778"/>
      <w:bookmarkStart w:id="37" w:name="_Toc5591_WPSOffice_Level2"/>
      <w:bookmarkStart w:id="38" w:name="_Toc22807"/>
      <w:r>
        <w:rPr>
          <w:rFonts w:ascii="楷体_GB2312" w:hAnsi="楷体_GB2312" w:eastAsia="楷体_GB2312"/>
          <w:b/>
          <w:bCs/>
          <w:color w:val="auto"/>
          <w:u w:val="none"/>
        </w:rPr>
        <w:t>（二）基本原则</w:t>
      </w:r>
      <w:bookmarkEnd w:id="34"/>
      <w:bookmarkEnd w:id="35"/>
      <w:bookmarkEnd w:id="36"/>
      <w:bookmarkEnd w:id="37"/>
      <w:bookmarkEnd w:id="38"/>
    </w:p>
    <w:p w14:paraId="79228DD8">
      <w:pPr>
        <w:pageBreakBefore w:val="0"/>
        <w:kinsoku/>
        <w:wordWrap/>
        <w:topLinePunct w:val="0"/>
        <w:bidi w:val="0"/>
        <w:snapToGrid w:val="0"/>
        <w:spacing w:line="600" w:lineRule="exact"/>
        <w:ind w:firstLine="624" w:firstLineChars="200"/>
        <w:textAlignment w:val="auto"/>
        <w:rPr>
          <w:rFonts w:ascii="Times New Roman"/>
          <w:b/>
          <w:bCs/>
          <w:color w:val="auto"/>
          <w:u w:val="none"/>
        </w:rPr>
      </w:pPr>
      <w:bookmarkStart w:id="39" w:name="_Toc18835"/>
      <w:bookmarkStart w:id="40" w:name="_Toc17201"/>
      <w:bookmarkStart w:id="41" w:name="_Toc86940097"/>
      <w:bookmarkStart w:id="42" w:name="_Toc31506"/>
      <w:r>
        <w:rPr>
          <w:rStyle w:val="22"/>
          <w:rFonts w:ascii="Times New Roman" w:hAnsi="Times New Roman"/>
          <w:b/>
          <w:bCs/>
          <w:color w:val="auto"/>
          <w:u w:val="none"/>
        </w:rPr>
        <w:t>——坚持党建引领</w:t>
      </w:r>
      <w:bookmarkEnd w:id="39"/>
      <w:bookmarkEnd w:id="40"/>
      <w:bookmarkEnd w:id="41"/>
      <w:bookmarkEnd w:id="42"/>
      <w:r>
        <w:rPr>
          <w:rStyle w:val="22"/>
          <w:rFonts w:hint="eastAsia" w:ascii="Times New Roman" w:hAnsi="Times New Roman"/>
          <w:b/>
          <w:bCs/>
          <w:color w:val="auto"/>
          <w:u w:val="none"/>
        </w:rPr>
        <w:t>。</w:t>
      </w:r>
      <w:r>
        <w:rPr>
          <w:rFonts w:ascii="Times New Roman"/>
          <w:color w:val="auto"/>
          <w:u w:val="none"/>
        </w:rPr>
        <w:t>坚持党对民政事业的统一领导，贯彻落实新时代党的建设总要求，坚持不懈推进全面从严治党，坚定不移加强党的领导，持续加强党的建设，将党建工作深度融入到为民服务全领域、全过程和全周期，为我市民政事业发展提供强大动力和坚强保障。</w:t>
      </w:r>
    </w:p>
    <w:p w14:paraId="49EF6965">
      <w:pPr>
        <w:pageBreakBefore w:val="0"/>
        <w:kinsoku/>
        <w:wordWrap/>
        <w:topLinePunct w:val="0"/>
        <w:bidi w:val="0"/>
        <w:snapToGrid w:val="0"/>
        <w:spacing w:line="600" w:lineRule="exact"/>
        <w:ind w:firstLine="624" w:firstLineChars="200"/>
        <w:textAlignment w:val="auto"/>
        <w:rPr>
          <w:rFonts w:ascii="Times New Roman"/>
          <w:b/>
          <w:bCs/>
          <w:color w:val="auto"/>
          <w:u w:val="none"/>
        </w:rPr>
      </w:pPr>
      <w:bookmarkStart w:id="43" w:name="_Toc86940098"/>
      <w:bookmarkStart w:id="44" w:name="_Toc13600"/>
      <w:bookmarkStart w:id="45" w:name="_Toc17078"/>
      <w:bookmarkStart w:id="46" w:name="_Toc3171"/>
      <w:r>
        <w:rPr>
          <w:rStyle w:val="22"/>
          <w:rFonts w:ascii="Times New Roman" w:hAnsi="Times New Roman"/>
          <w:b/>
          <w:bCs/>
          <w:color w:val="auto"/>
          <w:u w:val="none"/>
        </w:rPr>
        <w:t>——坚持以人为本</w:t>
      </w:r>
      <w:bookmarkEnd w:id="43"/>
      <w:r>
        <w:rPr>
          <w:rStyle w:val="22"/>
          <w:rFonts w:hint="eastAsia" w:ascii="Times New Roman" w:hAnsi="Times New Roman"/>
          <w:b/>
          <w:bCs/>
          <w:color w:val="auto"/>
          <w:u w:val="none"/>
        </w:rPr>
        <w:t>。</w:t>
      </w:r>
      <w:r>
        <w:rPr>
          <w:rFonts w:ascii="Times New Roman"/>
          <w:color w:val="auto"/>
          <w:u w:val="none"/>
        </w:rPr>
        <w:t>抓住人民最关心最直接最现实的利益问题，聚焦低收入者、老年人、残疾人、未成年人等社会群体需求，稳步提升服务保障标准，坚持利益向下、让利于民，在更高水平上实现“困有所助、幼有所育、老有所养、弱有所扶”。</w:t>
      </w:r>
    </w:p>
    <w:p w14:paraId="3F6A3E6D">
      <w:pPr>
        <w:pageBreakBefore w:val="0"/>
        <w:kinsoku/>
        <w:wordWrap/>
        <w:topLinePunct w:val="0"/>
        <w:bidi w:val="0"/>
        <w:snapToGrid w:val="0"/>
        <w:spacing w:line="600" w:lineRule="exact"/>
        <w:ind w:firstLine="624" w:firstLineChars="200"/>
        <w:textAlignment w:val="auto"/>
        <w:rPr>
          <w:rFonts w:ascii="Times New Roman"/>
          <w:b/>
          <w:bCs/>
          <w:color w:val="auto"/>
          <w:u w:val="none"/>
        </w:rPr>
      </w:pPr>
      <w:bookmarkStart w:id="47" w:name="_Toc86940099"/>
      <w:r>
        <w:rPr>
          <w:rStyle w:val="22"/>
          <w:rFonts w:ascii="Times New Roman" w:hAnsi="Times New Roman"/>
          <w:b/>
          <w:bCs/>
          <w:color w:val="auto"/>
          <w:u w:val="none"/>
        </w:rPr>
        <w:t>——坚持改革创新</w:t>
      </w:r>
      <w:bookmarkEnd w:id="47"/>
      <w:r>
        <w:rPr>
          <w:rStyle w:val="22"/>
          <w:rFonts w:hint="eastAsia" w:ascii="Times New Roman" w:hAnsi="Times New Roman"/>
          <w:b/>
          <w:bCs/>
          <w:color w:val="auto"/>
          <w:u w:val="none"/>
        </w:rPr>
        <w:t>。</w:t>
      </w:r>
      <w:r>
        <w:rPr>
          <w:rFonts w:ascii="Times New Roman"/>
          <w:color w:val="auto"/>
          <w:u w:val="none"/>
        </w:rPr>
        <w:t>把创新作为引领发展的第一动力，</w:t>
      </w:r>
      <w:r>
        <w:rPr>
          <w:rFonts w:hint="eastAsia" w:ascii="Times New Roman"/>
          <w:color w:val="auto"/>
          <w:u w:val="none"/>
          <w:lang w:val="en-US" w:eastAsia="zh-CN"/>
        </w:rPr>
        <w:t>着力</w:t>
      </w:r>
      <w:r>
        <w:rPr>
          <w:rFonts w:ascii="Times New Roman"/>
          <w:color w:val="auto"/>
          <w:u w:val="none"/>
        </w:rPr>
        <w:t>破除制约民政事业更好更快发展的观念障碍和体制障碍，深入推进民政重点领域和关键环节改革，用改革的办法和全局的视野不断开创民政事业发展新局面。</w:t>
      </w:r>
    </w:p>
    <w:p w14:paraId="1B5E510B">
      <w:pPr>
        <w:pageBreakBefore w:val="0"/>
        <w:kinsoku/>
        <w:wordWrap/>
        <w:topLinePunct w:val="0"/>
        <w:bidi w:val="0"/>
        <w:snapToGrid w:val="0"/>
        <w:spacing w:line="600" w:lineRule="exact"/>
        <w:ind w:firstLine="624" w:firstLineChars="200"/>
        <w:textAlignment w:val="auto"/>
        <w:rPr>
          <w:rFonts w:ascii="Times New Roman"/>
          <w:b/>
          <w:bCs/>
          <w:color w:val="auto"/>
          <w:u w:val="none"/>
        </w:rPr>
      </w:pPr>
      <w:bookmarkStart w:id="48" w:name="_Toc86940100"/>
      <w:r>
        <w:rPr>
          <w:rStyle w:val="22"/>
          <w:rFonts w:ascii="Times New Roman" w:hAnsi="Times New Roman"/>
          <w:b/>
          <w:bCs/>
          <w:color w:val="auto"/>
          <w:u w:val="none"/>
        </w:rPr>
        <w:t>——坚持底线思维</w:t>
      </w:r>
      <w:bookmarkEnd w:id="48"/>
      <w:r>
        <w:rPr>
          <w:rStyle w:val="22"/>
          <w:rFonts w:hint="eastAsia" w:ascii="Times New Roman" w:hAnsi="Times New Roman"/>
          <w:b/>
          <w:bCs/>
          <w:color w:val="auto"/>
          <w:u w:val="none"/>
        </w:rPr>
        <w:t>。</w:t>
      </w:r>
      <w:r>
        <w:rPr>
          <w:rFonts w:ascii="Times New Roman"/>
          <w:color w:val="auto"/>
          <w:u w:val="none"/>
        </w:rPr>
        <w:t>统筹发展和安全，增强忧患意识和风险意识，扎实守住民生保障的底线，时刻防范和化解风险，为社会提供扶危济困最基本的“安全网”，推进民政事业稳步向前，实现高质高效、公平</w:t>
      </w:r>
      <w:r>
        <w:rPr>
          <w:rFonts w:hint="eastAsia" w:ascii="Times New Roman"/>
          <w:color w:val="auto"/>
          <w:u w:val="none"/>
          <w:lang w:val="en-US" w:eastAsia="zh-CN"/>
        </w:rPr>
        <w:t>公正</w:t>
      </w:r>
      <w:r>
        <w:rPr>
          <w:rFonts w:ascii="Times New Roman"/>
          <w:color w:val="auto"/>
          <w:u w:val="none"/>
        </w:rPr>
        <w:t>、安全持续的发展。</w:t>
      </w:r>
    </w:p>
    <w:p w14:paraId="44A1C133">
      <w:pPr>
        <w:pageBreakBefore w:val="0"/>
        <w:kinsoku/>
        <w:wordWrap/>
        <w:topLinePunct w:val="0"/>
        <w:bidi w:val="0"/>
        <w:snapToGrid w:val="0"/>
        <w:spacing w:line="600" w:lineRule="exact"/>
        <w:ind w:firstLine="624" w:firstLineChars="200"/>
        <w:textAlignment w:val="auto"/>
        <w:rPr>
          <w:rFonts w:ascii="Times New Roman"/>
          <w:b/>
          <w:bCs/>
          <w:color w:val="auto"/>
          <w:u w:val="none"/>
        </w:rPr>
      </w:pPr>
      <w:bookmarkStart w:id="49" w:name="_Toc86940101"/>
      <w:r>
        <w:rPr>
          <w:rStyle w:val="22"/>
          <w:rFonts w:ascii="Times New Roman" w:hAnsi="Times New Roman"/>
          <w:b/>
          <w:bCs/>
          <w:color w:val="auto"/>
          <w:u w:val="none"/>
        </w:rPr>
        <w:t>——坚持服务大局</w:t>
      </w:r>
      <w:bookmarkEnd w:id="44"/>
      <w:bookmarkEnd w:id="45"/>
      <w:bookmarkEnd w:id="46"/>
      <w:bookmarkEnd w:id="49"/>
      <w:r>
        <w:rPr>
          <w:rStyle w:val="22"/>
          <w:rFonts w:hint="eastAsia" w:ascii="Times New Roman" w:hAnsi="Times New Roman"/>
          <w:b/>
          <w:bCs/>
          <w:color w:val="auto"/>
          <w:u w:val="none"/>
        </w:rPr>
        <w:t>。</w:t>
      </w:r>
      <w:r>
        <w:rPr>
          <w:rFonts w:ascii="Times New Roman"/>
          <w:color w:val="auto"/>
          <w:u w:val="none"/>
        </w:rPr>
        <w:t>坚持在发展中保障和改善民生，把民政事业融入服务国家改革发展稳定大局，服从服务于全市经济社会发展全局，将做好民政工作作为提高人民群众生活品质、彰显城市精神品格、推进城市治理能力现代化、实现高质量发展的重要环节。</w:t>
      </w:r>
    </w:p>
    <w:p w14:paraId="2A4095E3">
      <w:pPr>
        <w:pageBreakBefore w:val="0"/>
        <w:kinsoku/>
        <w:wordWrap/>
        <w:topLinePunct w:val="0"/>
        <w:bidi w:val="0"/>
        <w:snapToGrid w:val="0"/>
        <w:spacing w:line="600" w:lineRule="exact"/>
        <w:ind w:firstLine="624" w:firstLineChars="200"/>
        <w:textAlignment w:val="auto"/>
        <w:rPr>
          <w:rFonts w:ascii="Times New Roman"/>
          <w:b/>
          <w:bCs/>
          <w:color w:val="auto"/>
          <w:u w:val="none"/>
        </w:rPr>
      </w:pPr>
      <w:bookmarkStart w:id="50" w:name="_Toc86940102"/>
      <w:bookmarkStart w:id="51" w:name="_Toc12181"/>
      <w:bookmarkStart w:id="52" w:name="_Toc5573"/>
      <w:bookmarkStart w:id="53" w:name="_Toc13385"/>
      <w:r>
        <w:rPr>
          <w:rStyle w:val="22"/>
          <w:rFonts w:ascii="Times New Roman" w:hAnsi="Times New Roman"/>
          <w:b/>
          <w:bCs/>
          <w:color w:val="auto"/>
          <w:u w:val="none"/>
        </w:rPr>
        <w:t>——坚持共建共治</w:t>
      </w:r>
      <w:bookmarkEnd w:id="50"/>
      <w:bookmarkEnd w:id="51"/>
      <w:bookmarkEnd w:id="52"/>
      <w:bookmarkEnd w:id="53"/>
      <w:r>
        <w:rPr>
          <w:rStyle w:val="22"/>
          <w:rFonts w:hint="eastAsia" w:ascii="Times New Roman" w:hAnsi="Times New Roman"/>
          <w:b/>
          <w:bCs/>
          <w:color w:val="auto"/>
          <w:u w:val="none"/>
        </w:rPr>
        <w:t>。</w:t>
      </w:r>
      <w:r>
        <w:rPr>
          <w:rFonts w:ascii="Times New Roman"/>
          <w:color w:val="auto"/>
          <w:u w:val="none"/>
        </w:rPr>
        <w:t>坚持从人民最关心最直接最现实的利益问题出发，充分发挥市场在资源配置中的决定性作用，更好发挥政府作用，鼓励和吸引广大社会组织、社会工作者、志愿者和慈善组织等社会力量广泛参与民政事业。</w:t>
      </w:r>
    </w:p>
    <w:p w14:paraId="4B8B130F">
      <w:pPr>
        <w:pStyle w:val="5"/>
        <w:pageBreakBefore w:val="0"/>
        <w:kinsoku/>
        <w:wordWrap/>
        <w:topLinePunct w:val="0"/>
        <w:bidi w:val="0"/>
        <w:snapToGrid w:val="0"/>
        <w:spacing w:line="600" w:lineRule="exact"/>
        <w:ind w:firstLine="626"/>
        <w:textAlignment w:val="auto"/>
        <w:rPr>
          <w:rFonts w:ascii="Times New Roman" w:hAnsi="Times New Roman"/>
          <w:color w:val="auto"/>
          <w:u w:val="none"/>
        </w:rPr>
      </w:pPr>
      <w:bookmarkStart w:id="54" w:name="_Toc1551"/>
      <w:bookmarkStart w:id="55" w:name="_Toc20746"/>
      <w:bookmarkStart w:id="56" w:name="_Toc86940103"/>
      <w:bookmarkStart w:id="57" w:name="_Toc16832_WPSOffice_Level2"/>
      <w:bookmarkStart w:id="58" w:name="_Toc20842"/>
      <w:r>
        <w:rPr>
          <w:rFonts w:ascii="Times New Roman" w:hAnsi="Times New Roman"/>
          <w:color w:val="auto"/>
          <w:u w:val="none"/>
        </w:rPr>
        <w:t>（三）发展目标</w:t>
      </w:r>
      <w:bookmarkEnd w:id="54"/>
      <w:bookmarkEnd w:id="55"/>
      <w:bookmarkEnd w:id="56"/>
      <w:bookmarkEnd w:id="57"/>
      <w:bookmarkEnd w:id="58"/>
    </w:p>
    <w:p w14:paraId="60BB762F">
      <w:pPr>
        <w:keepNext w:val="0"/>
        <w:keepLines w:val="0"/>
        <w:pageBreakBefore w:val="0"/>
        <w:widowControl w:val="0"/>
        <w:kinsoku/>
        <w:wordWrap/>
        <w:topLinePunct w:val="0"/>
        <w:bidi w:val="0"/>
        <w:snapToGrid w:val="0"/>
        <w:spacing w:line="600" w:lineRule="exact"/>
        <w:ind w:firstLine="624" w:firstLineChars="200"/>
        <w:textAlignment w:val="auto"/>
        <w:rPr>
          <w:rFonts w:ascii="Times New Roman"/>
          <w:color w:val="auto"/>
          <w:u w:val="none"/>
        </w:rPr>
      </w:pPr>
      <w:r>
        <w:rPr>
          <w:rFonts w:hint="eastAsia" w:ascii="仿宋_GB2312" w:hAnsi="仿宋_GB2312" w:eastAsia="仿宋_GB2312" w:cs="仿宋_GB2312"/>
          <w:color w:val="auto"/>
          <w:u w:val="none"/>
        </w:rPr>
        <w:t>到2025年，民政系统党的建设进一步加强，民政相关制度更加成熟定型，兜底民</w:t>
      </w:r>
      <w:r>
        <w:rPr>
          <w:rFonts w:ascii="Times New Roman"/>
          <w:color w:val="auto"/>
          <w:u w:val="none"/>
        </w:rPr>
        <w:t>生保障更加有力，基本社会服务专业高效，基层社会治理健全有序，平台作用更加突出，民政领域治理体系和治理能力现代化水平全面提升，人民群众获得感、幸福感、安全感、认同感持续增强，普惠均等、共建共治共享的民政工作“中山模式”</w:t>
      </w:r>
      <w:r>
        <w:rPr>
          <w:rFonts w:hint="eastAsia" w:ascii="Times New Roman"/>
          <w:color w:val="auto"/>
          <w:u w:val="none"/>
          <w:lang w:val="en-US" w:eastAsia="zh-CN"/>
        </w:rPr>
        <w:t>更加完善</w:t>
      </w:r>
      <w:r>
        <w:rPr>
          <w:rFonts w:ascii="Times New Roman"/>
          <w:color w:val="auto"/>
          <w:u w:val="none"/>
        </w:rPr>
        <w:t>。</w:t>
      </w:r>
    </w:p>
    <w:p w14:paraId="15FFC33C">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954"/>
        </w:tabs>
        <w:kinsoku/>
        <w:wordWrap/>
        <w:overflowPunct w:val="0"/>
        <w:topLinePunct w:val="0"/>
        <w:autoSpaceDE w:val="0"/>
        <w:autoSpaceDN w:val="0"/>
        <w:bidi w:val="0"/>
        <w:adjustRightInd w:val="0"/>
        <w:snapToGrid w:val="0"/>
        <w:spacing w:line="600" w:lineRule="exact"/>
        <w:ind w:firstLine="624" w:firstLineChars="200"/>
        <w:textAlignment w:val="auto"/>
        <w:rPr>
          <w:rFonts w:ascii="Times New Roman"/>
          <w:color w:val="auto"/>
          <w:kern w:val="0"/>
          <w:u w:val="none"/>
        </w:rPr>
      </w:pPr>
      <w:r>
        <w:rPr>
          <w:rFonts w:ascii="Times New Roman"/>
          <w:b/>
          <w:bCs/>
          <w:color w:val="auto"/>
          <w:kern w:val="0"/>
          <w:u w:val="none"/>
        </w:rPr>
        <w:t>——</w:t>
      </w:r>
      <w:r>
        <w:rPr>
          <w:rFonts w:hint="eastAsia" w:ascii="Times New Roman"/>
          <w:b/>
          <w:bCs/>
          <w:color w:val="auto"/>
          <w:kern w:val="0"/>
          <w:u w:val="none"/>
          <w:lang w:eastAsia="zh-CN"/>
        </w:rPr>
        <w:t>社会</w:t>
      </w:r>
      <w:r>
        <w:rPr>
          <w:rFonts w:ascii="Times New Roman"/>
          <w:b/>
          <w:bCs/>
          <w:color w:val="auto"/>
          <w:kern w:val="0"/>
          <w:u w:val="none"/>
        </w:rPr>
        <w:t>救助体系更加健全。</w:t>
      </w:r>
      <w:r>
        <w:rPr>
          <w:rFonts w:ascii="Times New Roman"/>
          <w:color w:val="auto"/>
          <w:kern w:val="0"/>
          <w:u w:val="none"/>
        </w:rPr>
        <w:t>分层分类的社会救助体系健全完善，救助保障水平显著提高，救助服务面进一步拓宽，救助资源信息充分共享，救助供给能力稳步提升。“十四五”期间，城乡低保标准年度增速不低于居民上年度人均可支配收入实际增速。</w:t>
      </w:r>
    </w:p>
    <w:p w14:paraId="08E03774">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954"/>
        </w:tabs>
        <w:kinsoku/>
        <w:wordWrap/>
        <w:overflowPunct w:val="0"/>
        <w:topLinePunct w:val="0"/>
        <w:autoSpaceDE w:val="0"/>
        <w:autoSpaceDN w:val="0"/>
        <w:bidi w:val="0"/>
        <w:adjustRightInd w:val="0"/>
        <w:snapToGrid w:val="0"/>
        <w:spacing w:line="600" w:lineRule="exact"/>
        <w:ind w:firstLine="624" w:firstLineChars="200"/>
        <w:textAlignment w:val="auto"/>
        <w:rPr>
          <w:rFonts w:ascii="Times New Roman"/>
          <w:color w:val="auto"/>
          <w:kern w:val="0"/>
          <w:u w:val="none"/>
        </w:rPr>
      </w:pPr>
      <w:r>
        <w:rPr>
          <w:rFonts w:ascii="Times New Roman"/>
          <w:b/>
          <w:bCs/>
          <w:color w:val="auto"/>
          <w:kern w:val="0"/>
          <w:u w:val="none"/>
        </w:rPr>
        <w:t>——养老服务体系更加完善。</w:t>
      </w:r>
      <w:r>
        <w:rPr>
          <w:rFonts w:ascii="Times New Roman"/>
          <w:color w:val="auto"/>
          <w:kern w:val="0"/>
          <w:u w:val="none"/>
        </w:rPr>
        <w:t>居家社区机构养老协调推进、医养康养结合发展。</w:t>
      </w:r>
      <w:r>
        <w:rPr>
          <w:rFonts w:hint="eastAsia" w:ascii="仿宋_GB2312" w:hAnsi="仿宋_GB2312" w:eastAsia="仿宋_GB2312" w:cs="仿宋_GB2312"/>
          <w:color w:val="auto"/>
          <w:kern w:val="0"/>
          <w:u w:val="none"/>
        </w:rPr>
        <w:t>到2025年底，养老机构护理型床位占比达到55%以上，全市各镇街均建有具备综合功能的养老服务中心，养老服务供给能力和服务质量</w:t>
      </w:r>
      <w:r>
        <w:rPr>
          <w:rFonts w:ascii="Times New Roman"/>
          <w:color w:val="auto"/>
          <w:kern w:val="0"/>
          <w:u w:val="none"/>
        </w:rPr>
        <w:t>进一步增强。逐步形成兜底供养有保障、普惠养老能满足、中高端市场可选择的多层次养老服务供给机制，老年人多样化、多层次养老服务需求得到有效满足。</w:t>
      </w:r>
    </w:p>
    <w:p w14:paraId="29AC63D0">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954"/>
        </w:tabs>
        <w:kinsoku/>
        <w:wordWrap/>
        <w:overflowPunct w:val="0"/>
        <w:topLinePunct w:val="0"/>
        <w:autoSpaceDE w:val="0"/>
        <w:autoSpaceDN w:val="0"/>
        <w:bidi w:val="0"/>
        <w:adjustRightInd w:val="0"/>
        <w:snapToGrid w:val="0"/>
        <w:spacing w:line="600" w:lineRule="exact"/>
        <w:ind w:firstLine="624" w:firstLineChars="200"/>
        <w:textAlignment w:val="auto"/>
        <w:rPr>
          <w:rFonts w:ascii="Times New Roman"/>
          <w:color w:val="auto"/>
          <w:kern w:val="0"/>
          <w:u w:val="none"/>
        </w:rPr>
      </w:pPr>
      <w:r>
        <w:rPr>
          <w:rFonts w:ascii="Times New Roman"/>
          <w:b/>
          <w:bCs/>
          <w:color w:val="auto"/>
          <w:kern w:val="0"/>
          <w:u w:val="none"/>
        </w:rPr>
        <w:t>——儿童福利保障体系更加扎实。</w:t>
      </w:r>
      <w:r>
        <w:rPr>
          <w:rFonts w:ascii="Times New Roman"/>
          <w:color w:val="auto"/>
          <w:kern w:val="0"/>
          <w:u w:val="none"/>
        </w:rPr>
        <w:t>儿童福利和儿童保护的制度基础得到夯实，保障服务能力大幅提升，“十四五”期间，孤儿和事实无人抚养儿童生活保障标准提高至</w:t>
      </w:r>
      <w:r>
        <w:rPr>
          <w:rFonts w:hint="eastAsia" w:ascii="仿宋_GB2312" w:hAnsi="仿宋_GB2312" w:eastAsia="仿宋_GB2312" w:cs="仿宋_GB2312"/>
          <w:color w:val="auto"/>
          <w:kern w:val="0"/>
          <w:u w:val="none"/>
        </w:rPr>
        <w:t>低保标准的1.6倍并随本市低保标准同步调整。到2025年底，全市各镇街未成年人保护工作站覆盖率达100%。未成年人保护工作体系基</w:t>
      </w:r>
      <w:r>
        <w:rPr>
          <w:rFonts w:ascii="Times New Roman"/>
          <w:color w:val="auto"/>
          <w:kern w:val="0"/>
          <w:u w:val="none"/>
        </w:rPr>
        <w:t>本建立，儿童保障由兜底性、基础性向适度普惠型转变取得重要进展。</w:t>
      </w:r>
    </w:p>
    <w:p w14:paraId="5D61FE31">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954"/>
        </w:tabs>
        <w:kinsoku/>
        <w:wordWrap/>
        <w:overflowPunct w:val="0"/>
        <w:topLinePunct w:val="0"/>
        <w:autoSpaceDE w:val="0"/>
        <w:autoSpaceDN w:val="0"/>
        <w:bidi w:val="0"/>
        <w:adjustRightInd w:val="0"/>
        <w:snapToGrid w:val="0"/>
        <w:spacing w:line="600" w:lineRule="exact"/>
        <w:ind w:firstLine="624" w:firstLineChars="200"/>
        <w:textAlignment w:val="auto"/>
        <w:rPr>
          <w:rFonts w:ascii="Times New Roman"/>
          <w:color w:val="auto"/>
          <w:kern w:val="0"/>
          <w:u w:val="none"/>
        </w:rPr>
      </w:pPr>
      <w:r>
        <w:rPr>
          <w:rFonts w:ascii="Times New Roman"/>
          <w:b/>
          <w:bCs/>
          <w:color w:val="auto"/>
          <w:kern w:val="0"/>
          <w:u w:val="none"/>
        </w:rPr>
        <w:t>——慈善体系更加成熟。</w:t>
      </w:r>
      <w:r>
        <w:rPr>
          <w:rFonts w:ascii="Times New Roman"/>
          <w:color w:val="auto"/>
          <w:kern w:val="0"/>
          <w:u w:val="none"/>
        </w:rPr>
        <w:t>慈善事业保障机制不断完善，慈善参与渠道不断创新，慈善数据信息统筹更加全面，志愿服务水平持续提升，福利彩票销售健康持续发展。</w:t>
      </w:r>
      <w:r>
        <w:rPr>
          <w:rFonts w:hint="eastAsia" w:ascii="仿宋_GB2312" w:hAnsi="仿宋_GB2312" w:eastAsia="仿宋_GB2312" w:cs="仿宋_GB2312"/>
          <w:color w:val="auto"/>
          <w:kern w:val="0"/>
          <w:u w:val="none"/>
        </w:rPr>
        <w:t>慈善文化对社会风尚的引领作用更加明显，人民对慈善事业更加热心。到2025年底，志愿服务站点在社区综合服务设施中的覆盖率达到80%</w:t>
      </w:r>
      <w:r>
        <w:rPr>
          <w:rFonts w:ascii="Times New Roman"/>
          <w:color w:val="auto"/>
          <w:kern w:val="0"/>
          <w:u w:val="none"/>
        </w:rPr>
        <w:t>。</w:t>
      </w:r>
    </w:p>
    <w:p w14:paraId="304EA733">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954"/>
        </w:tabs>
        <w:kinsoku/>
        <w:wordWrap/>
        <w:overflowPunct w:val="0"/>
        <w:topLinePunct w:val="0"/>
        <w:autoSpaceDE w:val="0"/>
        <w:autoSpaceDN w:val="0"/>
        <w:bidi w:val="0"/>
        <w:adjustRightInd w:val="0"/>
        <w:snapToGrid w:val="0"/>
        <w:spacing w:line="600" w:lineRule="exact"/>
        <w:ind w:firstLine="624" w:firstLineChars="200"/>
        <w:textAlignment w:val="auto"/>
        <w:rPr>
          <w:rFonts w:ascii="Times New Roman"/>
          <w:color w:val="auto"/>
          <w:kern w:val="0"/>
          <w:u w:val="none"/>
        </w:rPr>
        <w:sectPr>
          <w:footerReference r:id="rId13" w:type="default"/>
          <w:footerReference r:id="rId14" w:type="even"/>
          <w:pgSz w:w="11906" w:h="16838"/>
          <w:pgMar w:top="2211" w:right="1531" w:bottom="1871" w:left="1531" w:header="851" w:footer="1361" w:gutter="0"/>
          <w:pgNumType w:fmt="numberInDash" w:start="1"/>
          <w:cols w:space="720" w:num="1"/>
          <w:docGrid w:type="linesAndChars" w:linePitch="574" w:charSpace="-1683"/>
        </w:sectPr>
      </w:pPr>
      <w:r>
        <w:rPr>
          <w:rFonts w:ascii="Times New Roman"/>
          <w:b/>
          <w:bCs/>
          <w:color w:val="auto"/>
          <w:kern w:val="0"/>
          <w:u w:val="none"/>
        </w:rPr>
        <w:t>——民政领域社会治理体系更加深化。</w:t>
      </w:r>
      <w:r>
        <w:rPr>
          <w:rFonts w:ascii="Times New Roman"/>
          <w:color w:val="auto"/>
          <w:kern w:val="0"/>
          <w:u w:val="none"/>
        </w:rPr>
        <w:t>社区治理体系更加完善、治理能力得到提升</w:t>
      </w:r>
      <w:r>
        <w:rPr>
          <w:rFonts w:hint="eastAsia" w:ascii="仿宋_GB2312" w:hAnsi="仿宋_GB2312" w:eastAsia="仿宋_GB2312" w:cs="仿宋_GB2312"/>
          <w:color w:val="auto"/>
          <w:kern w:val="0"/>
          <w:u w:val="none"/>
        </w:rPr>
        <w:t>。到2025年底，每百户居民拥有的城乡社区综合服务设施建筑面积达到32平方米，社区工作者队伍中持有社工资格证书的人员比例达30%。社会组织管理体制更加健全，形成结构合理、功能完善、作用显著、充满活力、规范有序的社会组织发展新格局。社会工作人才队伍结构更加合理、领域更加广泛、素质更加优良。到2025年底，社会工作专业人才总量</w:t>
      </w:r>
      <w:r>
        <w:rPr>
          <w:rFonts w:hint="eastAsia" w:ascii="仿宋_GB2312" w:hAnsi="仿宋_GB2312" w:eastAsia="仿宋_GB2312" w:cs="仿宋_GB2312"/>
          <w:color w:val="auto"/>
          <w:kern w:val="0"/>
          <w:u w:val="none"/>
          <w:lang w:eastAsia="zh-CN"/>
        </w:rPr>
        <w:t>不少于</w:t>
      </w:r>
      <w:r>
        <w:rPr>
          <w:rFonts w:hint="eastAsia" w:ascii="仿宋_GB2312" w:hAnsi="仿宋_GB2312" w:eastAsia="仿宋_GB2312" w:cs="仿宋_GB2312"/>
          <w:color w:val="auto"/>
          <w:kern w:val="0"/>
          <w:u w:val="none"/>
        </w:rPr>
        <w:t>7800人，镇（街）社会工作服务站覆盖率达到100%，困难群众和特殊群体社会工作服务覆盖率达到100%。婚姻管理更加完善，残疾人福利更有保障，殡葬管理持续加强，行</w:t>
      </w:r>
      <w:r>
        <w:rPr>
          <w:rFonts w:ascii="Times New Roman"/>
          <w:color w:val="auto"/>
          <w:kern w:val="0"/>
          <w:u w:val="none"/>
        </w:rPr>
        <w:t>政区划设置进一步优化，边界</w:t>
      </w:r>
      <w:r>
        <w:rPr>
          <w:rFonts w:hint="eastAsia" w:ascii="Times New Roman"/>
          <w:color w:val="auto"/>
          <w:kern w:val="0"/>
          <w:u w:val="none"/>
          <w:lang w:eastAsia="zh-CN"/>
        </w:rPr>
        <w:t>地区</w:t>
      </w:r>
      <w:r>
        <w:rPr>
          <w:rFonts w:ascii="Times New Roman"/>
          <w:color w:val="auto"/>
          <w:kern w:val="0"/>
          <w:u w:val="none"/>
        </w:rPr>
        <w:t>长期和谐稳定，地名管理服务水平不断提高。</w:t>
      </w:r>
    </w:p>
    <w:tbl>
      <w:tblPr>
        <w:tblStyle w:val="17"/>
        <w:tblpPr w:leftFromText="180" w:rightFromText="180" w:vertAnchor="text" w:tblpXSpec="center" w:tblpY="1"/>
        <w:tblOverlap w:val="never"/>
        <w:tblW w:w="13616" w:type="dxa"/>
        <w:tblInd w:w="-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848"/>
        <w:gridCol w:w="2610"/>
        <w:gridCol w:w="1246"/>
        <w:gridCol w:w="752"/>
        <w:gridCol w:w="1696"/>
        <w:gridCol w:w="1696"/>
        <w:gridCol w:w="1680"/>
        <w:gridCol w:w="1467"/>
        <w:gridCol w:w="839"/>
      </w:tblGrid>
      <w:tr w14:paraId="720E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616" w:type="dxa"/>
            <w:gridSpan w:val="10"/>
            <w:tcBorders>
              <w:top w:val="single" w:color="auto" w:sz="4" w:space="0"/>
              <w:left w:val="single" w:color="auto" w:sz="4" w:space="0"/>
              <w:bottom w:val="single" w:color="auto" w:sz="4" w:space="0"/>
              <w:right w:val="single" w:color="auto" w:sz="4" w:space="0"/>
            </w:tcBorders>
            <w:vAlign w:val="center"/>
          </w:tcPr>
          <w:p w14:paraId="2C6EE9F6">
            <w:pPr>
              <w:keepNext w:val="0"/>
              <w:keepLines w:val="0"/>
              <w:suppressLineNumbers w:val="0"/>
              <w:tabs>
                <w:tab w:val="left" w:pos="4395"/>
                <w:tab w:val="left" w:pos="5925"/>
              </w:tabs>
              <w:snapToGrid w:val="0"/>
              <w:spacing w:before="0" w:beforeAutospacing="0" w:after="0" w:afterAutospacing="0"/>
              <w:ind w:left="0" w:right="0"/>
              <w:jc w:val="center"/>
              <w:rPr>
                <w:rFonts w:hint="default" w:ascii="Times New Roman" w:eastAsia="楷体_GB2312"/>
                <w:b/>
                <w:color w:val="auto"/>
                <w:u w:val="none"/>
              </w:rPr>
            </w:pPr>
            <w:r>
              <w:rPr>
                <w:rFonts w:hint="default" w:ascii="Times New Roman" w:eastAsia="楷体_GB2312"/>
                <w:b/>
                <w:color w:val="auto"/>
                <w:u w:val="none"/>
              </w:rPr>
              <w:t>专栏1  中山市民政事业发展“十四五”规划主要指标</w:t>
            </w:r>
          </w:p>
        </w:tc>
      </w:tr>
      <w:tr w14:paraId="6BD1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82" w:type="dxa"/>
            <w:tcBorders>
              <w:top w:val="single" w:color="auto" w:sz="4" w:space="0"/>
              <w:left w:val="single" w:color="auto" w:sz="4" w:space="0"/>
              <w:bottom w:val="single" w:color="auto" w:sz="4" w:space="0"/>
              <w:right w:val="single" w:color="auto" w:sz="4" w:space="0"/>
            </w:tcBorders>
            <w:vAlign w:val="center"/>
          </w:tcPr>
          <w:p w14:paraId="72733316">
            <w:pPr>
              <w:keepNext w:val="0"/>
              <w:keepLines w:val="0"/>
              <w:suppressLineNumbers w:val="0"/>
              <w:snapToGrid w:val="0"/>
              <w:spacing w:before="0" w:beforeAutospacing="0" w:after="0" w:afterAutospacing="0"/>
              <w:ind w:left="0" w:right="0"/>
              <w:jc w:val="center"/>
              <w:rPr>
                <w:rFonts w:hint="default" w:ascii="Times New Roman"/>
                <w:b/>
                <w:bCs/>
                <w:color w:val="auto"/>
                <w:szCs w:val="21"/>
                <w:u w:val="none"/>
              </w:rPr>
            </w:pPr>
            <w:r>
              <w:rPr>
                <w:rFonts w:hint="default" w:ascii="Times New Roman"/>
                <w:b/>
                <w:bCs/>
                <w:color w:val="auto"/>
                <w:sz w:val="21"/>
                <w:szCs w:val="21"/>
                <w:u w:val="none"/>
                <w:lang w:bidi="ar"/>
              </w:rPr>
              <w:t>序号</w:t>
            </w:r>
          </w:p>
        </w:tc>
        <w:tc>
          <w:tcPr>
            <w:tcW w:w="848" w:type="dxa"/>
            <w:tcBorders>
              <w:top w:val="single" w:color="auto" w:sz="4" w:space="0"/>
              <w:left w:val="single" w:color="auto" w:sz="4" w:space="0"/>
              <w:bottom w:val="single" w:color="auto" w:sz="4" w:space="0"/>
              <w:right w:val="single" w:color="auto" w:sz="4" w:space="0"/>
            </w:tcBorders>
            <w:vAlign w:val="center"/>
          </w:tcPr>
          <w:p w14:paraId="03EF739C">
            <w:pPr>
              <w:keepNext w:val="0"/>
              <w:keepLines w:val="0"/>
              <w:suppressLineNumbers w:val="0"/>
              <w:snapToGrid w:val="0"/>
              <w:spacing w:before="0" w:beforeAutospacing="0" w:after="0" w:afterAutospacing="0"/>
              <w:ind w:left="0" w:right="0"/>
              <w:jc w:val="center"/>
              <w:rPr>
                <w:rFonts w:hint="default" w:ascii="Times New Roman"/>
                <w:b/>
                <w:bCs/>
                <w:color w:val="auto"/>
                <w:szCs w:val="21"/>
                <w:u w:val="none"/>
              </w:rPr>
            </w:pPr>
            <w:r>
              <w:rPr>
                <w:rFonts w:hint="default" w:ascii="Times New Roman"/>
                <w:b/>
                <w:bCs/>
                <w:color w:val="auto"/>
                <w:sz w:val="21"/>
                <w:szCs w:val="21"/>
                <w:u w:val="none"/>
                <w:lang w:bidi="ar"/>
              </w:rPr>
              <w:t>类别</w:t>
            </w:r>
          </w:p>
        </w:tc>
        <w:tc>
          <w:tcPr>
            <w:tcW w:w="3856" w:type="dxa"/>
            <w:gridSpan w:val="2"/>
            <w:tcBorders>
              <w:top w:val="single" w:color="auto" w:sz="4" w:space="0"/>
              <w:left w:val="single" w:color="auto" w:sz="4" w:space="0"/>
              <w:bottom w:val="single" w:color="auto" w:sz="4" w:space="0"/>
              <w:right w:val="single" w:color="auto" w:sz="4" w:space="0"/>
            </w:tcBorders>
            <w:vAlign w:val="center"/>
          </w:tcPr>
          <w:p w14:paraId="0EC62100">
            <w:pPr>
              <w:keepNext w:val="0"/>
              <w:keepLines w:val="0"/>
              <w:suppressLineNumbers w:val="0"/>
              <w:snapToGrid w:val="0"/>
              <w:spacing w:before="0" w:beforeAutospacing="0" w:after="0" w:afterAutospacing="0"/>
              <w:ind w:left="0" w:right="0"/>
              <w:jc w:val="center"/>
              <w:rPr>
                <w:rFonts w:hint="default" w:ascii="Times New Roman"/>
                <w:b/>
                <w:bCs/>
                <w:color w:val="auto"/>
                <w:szCs w:val="21"/>
                <w:u w:val="none"/>
              </w:rPr>
            </w:pPr>
            <w:r>
              <w:rPr>
                <w:rFonts w:hint="default" w:ascii="Times New Roman"/>
                <w:b/>
                <w:bCs/>
                <w:color w:val="auto"/>
                <w:sz w:val="21"/>
                <w:szCs w:val="21"/>
                <w:u w:val="none"/>
                <w:lang w:bidi="ar"/>
              </w:rPr>
              <w:t>指标名称</w:t>
            </w:r>
          </w:p>
        </w:tc>
        <w:tc>
          <w:tcPr>
            <w:tcW w:w="752" w:type="dxa"/>
            <w:tcBorders>
              <w:top w:val="single" w:color="auto" w:sz="4" w:space="0"/>
              <w:left w:val="single" w:color="auto" w:sz="4" w:space="0"/>
              <w:bottom w:val="single" w:color="auto" w:sz="4" w:space="0"/>
              <w:right w:val="single" w:color="auto" w:sz="4" w:space="0"/>
            </w:tcBorders>
            <w:vAlign w:val="center"/>
          </w:tcPr>
          <w:p w14:paraId="4DC4F162">
            <w:pPr>
              <w:keepNext w:val="0"/>
              <w:keepLines w:val="0"/>
              <w:suppressLineNumbers w:val="0"/>
              <w:snapToGrid w:val="0"/>
              <w:spacing w:before="0" w:beforeAutospacing="0" w:after="0" w:afterAutospacing="0"/>
              <w:ind w:left="0" w:right="0"/>
              <w:jc w:val="center"/>
              <w:rPr>
                <w:rFonts w:hint="default" w:ascii="Times New Roman"/>
                <w:b/>
                <w:bCs/>
                <w:color w:val="auto"/>
                <w:szCs w:val="21"/>
                <w:u w:val="none"/>
              </w:rPr>
            </w:pPr>
            <w:r>
              <w:rPr>
                <w:rFonts w:hint="default" w:ascii="Times New Roman"/>
                <w:b/>
                <w:bCs/>
                <w:color w:val="auto"/>
                <w:sz w:val="21"/>
                <w:szCs w:val="21"/>
                <w:u w:val="none"/>
                <w:lang w:bidi="ar"/>
              </w:rPr>
              <w:t>单位</w:t>
            </w:r>
          </w:p>
        </w:tc>
        <w:tc>
          <w:tcPr>
            <w:tcW w:w="1696" w:type="dxa"/>
            <w:tcBorders>
              <w:top w:val="single" w:color="auto" w:sz="4" w:space="0"/>
              <w:left w:val="single" w:color="auto" w:sz="4" w:space="0"/>
              <w:bottom w:val="single" w:color="auto" w:sz="4" w:space="0"/>
              <w:right w:val="single" w:color="auto" w:sz="4" w:space="0"/>
            </w:tcBorders>
            <w:vAlign w:val="center"/>
          </w:tcPr>
          <w:p w14:paraId="41487F92">
            <w:pPr>
              <w:keepNext w:val="0"/>
              <w:keepLines w:val="0"/>
              <w:suppressLineNumbers w:val="0"/>
              <w:snapToGrid w:val="0"/>
              <w:spacing w:before="0" w:beforeAutospacing="0" w:after="0" w:afterAutospacing="0"/>
              <w:ind w:left="0" w:right="0"/>
              <w:jc w:val="center"/>
              <w:rPr>
                <w:rFonts w:hint="default" w:ascii="Times New Roman"/>
                <w:b/>
                <w:bCs/>
                <w:color w:val="auto"/>
                <w:sz w:val="21"/>
                <w:szCs w:val="21"/>
                <w:u w:val="none"/>
                <w:lang w:bidi="ar"/>
              </w:rPr>
            </w:pPr>
            <w:r>
              <w:rPr>
                <w:rFonts w:hint="default" w:ascii="Times New Roman"/>
                <w:b/>
                <w:bCs/>
                <w:color w:val="auto"/>
                <w:sz w:val="21"/>
                <w:szCs w:val="21"/>
                <w:u w:val="none"/>
                <w:lang w:bidi="ar"/>
              </w:rPr>
              <w:t>2020年中山</w:t>
            </w:r>
          </w:p>
          <w:p w14:paraId="00D2E210">
            <w:pPr>
              <w:keepNext w:val="0"/>
              <w:keepLines w:val="0"/>
              <w:suppressLineNumbers w:val="0"/>
              <w:snapToGrid w:val="0"/>
              <w:spacing w:before="0" w:beforeAutospacing="0" w:after="0" w:afterAutospacing="0"/>
              <w:ind w:left="0" w:right="0"/>
              <w:jc w:val="center"/>
              <w:rPr>
                <w:rFonts w:hint="default" w:ascii="Times New Roman"/>
                <w:b/>
                <w:bCs/>
                <w:color w:val="auto"/>
                <w:szCs w:val="21"/>
                <w:u w:val="none"/>
              </w:rPr>
            </w:pPr>
            <w:r>
              <w:rPr>
                <w:rFonts w:hint="default" w:ascii="Times New Roman"/>
                <w:b/>
                <w:bCs/>
                <w:color w:val="auto"/>
                <w:sz w:val="21"/>
                <w:szCs w:val="21"/>
                <w:u w:val="none"/>
                <w:lang w:bidi="ar"/>
              </w:rPr>
              <w:t>实际值</w:t>
            </w:r>
          </w:p>
        </w:tc>
        <w:tc>
          <w:tcPr>
            <w:tcW w:w="1696" w:type="dxa"/>
            <w:tcBorders>
              <w:top w:val="single" w:color="auto" w:sz="4" w:space="0"/>
              <w:left w:val="single" w:color="auto" w:sz="4" w:space="0"/>
              <w:bottom w:val="single" w:color="auto" w:sz="4" w:space="0"/>
              <w:right w:val="single" w:color="auto" w:sz="4" w:space="0"/>
            </w:tcBorders>
            <w:vAlign w:val="center"/>
          </w:tcPr>
          <w:p w14:paraId="63859140">
            <w:pPr>
              <w:keepNext w:val="0"/>
              <w:keepLines w:val="0"/>
              <w:suppressLineNumbers w:val="0"/>
              <w:snapToGrid w:val="0"/>
              <w:spacing w:before="0" w:beforeAutospacing="0" w:after="0" w:afterAutospacing="0"/>
              <w:ind w:left="0" w:right="0"/>
              <w:jc w:val="center"/>
              <w:rPr>
                <w:rFonts w:hint="default" w:ascii="Times New Roman"/>
                <w:b/>
                <w:bCs/>
                <w:color w:val="auto"/>
                <w:sz w:val="21"/>
                <w:szCs w:val="21"/>
                <w:u w:val="none"/>
                <w:lang w:bidi="ar"/>
              </w:rPr>
            </w:pPr>
            <w:r>
              <w:rPr>
                <w:rFonts w:hint="default" w:ascii="Times New Roman"/>
                <w:b/>
                <w:bCs/>
                <w:color w:val="auto"/>
                <w:sz w:val="21"/>
                <w:szCs w:val="21"/>
                <w:u w:val="none"/>
                <w:lang w:bidi="ar"/>
              </w:rPr>
              <w:t>2023年中山</w:t>
            </w:r>
          </w:p>
          <w:p w14:paraId="732B1DA2">
            <w:pPr>
              <w:keepNext w:val="0"/>
              <w:keepLines w:val="0"/>
              <w:suppressLineNumbers w:val="0"/>
              <w:snapToGrid w:val="0"/>
              <w:spacing w:before="0" w:beforeAutospacing="0" w:after="0" w:afterAutospacing="0"/>
              <w:ind w:left="0" w:right="0"/>
              <w:jc w:val="center"/>
              <w:rPr>
                <w:rFonts w:hint="default" w:ascii="Times New Roman"/>
                <w:b/>
                <w:bCs/>
                <w:color w:val="auto"/>
                <w:szCs w:val="21"/>
                <w:u w:val="none"/>
              </w:rPr>
            </w:pPr>
            <w:r>
              <w:rPr>
                <w:rFonts w:hint="default" w:ascii="Times New Roman"/>
                <w:b/>
                <w:bCs/>
                <w:color w:val="auto"/>
                <w:sz w:val="21"/>
                <w:szCs w:val="21"/>
                <w:u w:val="none"/>
                <w:lang w:bidi="ar"/>
              </w:rPr>
              <w:t>目标值</w:t>
            </w:r>
          </w:p>
        </w:tc>
        <w:tc>
          <w:tcPr>
            <w:tcW w:w="1680" w:type="dxa"/>
            <w:tcBorders>
              <w:top w:val="single" w:color="auto" w:sz="4" w:space="0"/>
              <w:left w:val="single" w:color="auto" w:sz="4" w:space="0"/>
              <w:bottom w:val="single" w:color="auto" w:sz="4" w:space="0"/>
              <w:right w:val="single" w:color="auto" w:sz="4" w:space="0"/>
            </w:tcBorders>
            <w:vAlign w:val="center"/>
          </w:tcPr>
          <w:p w14:paraId="33323900">
            <w:pPr>
              <w:keepNext w:val="0"/>
              <w:keepLines w:val="0"/>
              <w:suppressLineNumbers w:val="0"/>
              <w:snapToGrid w:val="0"/>
              <w:spacing w:before="0" w:beforeAutospacing="0" w:after="0" w:afterAutospacing="0"/>
              <w:ind w:left="0" w:right="0"/>
              <w:jc w:val="center"/>
              <w:rPr>
                <w:rFonts w:hint="default" w:ascii="Times New Roman"/>
                <w:b/>
                <w:bCs/>
                <w:color w:val="auto"/>
                <w:sz w:val="21"/>
                <w:szCs w:val="21"/>
                <w:u w:val="none"/>
                <w:lang w:bidi="ar"/>
              </w:rPr>
            </w:pPr>
            <w:r>
              <w:rPr>
                <w:rFonts w:hint="default" w:ascii="Times New Roman"/>
                <w:b/>
                <w:bCs/>
                <w:color w:val="auto"/>
                <w:sz w:val="21"/>
                <w:szCs w:val="21"/>
                <w:u w:val="none"/>
                <w:lang w:bidi="ar"/>
              </w:rPr>
              <w:t>2025年中山</w:t>
            </w:r>
          </w:p>
          <w:p w14:paraId="480DE732">
            <w:pPr>
              <w:keepNext w:val="0"/>
              <w:keepLines w:val="0"/>
              <w:suppressLineNumbers w:val="0"/>
              <w:snapToGrid w:val="0"/>
              <w:spacing w:before="0" w:beforeAutospacing="0" w:after="0" w:afterAutospacing="0"/>
              <w:ind w:left="0" w:right="0"/>
              <w:jc w:val="center"/>
              <w:rPr>
                <w:rFonts w:hint="default" w:ascii="Times New Roman"/>
                <w:b/>
                <w:bCs/>
                <w:color w:val="auto"/>
                <w:szCs w:val="21"/>
                <w:u w:val="none"/>
              </w:rPr>
            </w:pPr>
            <w:r>
              <w:rPr>
                <w:rFonts w:hint="default" w:ascii="Times New Roman"/>
                <w:b/>
                <w:bCs/>
                <w:color w:val="auto"/>
                <w:sz w:val="21"/>
                <w:szCs w:val="21"/>
                <w:u w:val="none"/>
                <w:lang w:bidi="ar"/>
              </w:rPr>
              <w:t>目标值</w:t>
            </w:r>
          </w:p>
        </w:tc>
        <w:tc>
          <w:tcPr>
            <w:tcW w:w="1467" w:type="dxa"/>
            <w:tcBorders>
              <w:top w:val="single" w:color="auto" w:sz="4" w:space="0"/>
              <w:left w:val="single" w:color="auto" w:sz="4" w:space="0"/>
              <w:bottom w:val="single" w:color="auto" w:sz="4" w:space="0"/>
              <w:right w:val="single" w:color="auto" w:sz="4" w:space="0"/>
            </w:tcBorders>
            <w:vAlign w:val="center"/>
          </w:tcPr>
          <w:p w14:paraId="303A4F5D">
            <w:pPr>
              <w:keepNext w:val="0"/>
              <w:keepLines w:val="0"/>
              <w:suppressLineNumbers w:val="0"/>
              <w:snapToGrid w:val="0"/>
              <w:spacing w:before="0" w:beforeAutospacing="0" w:after="0" w:afterAutospacing="0"/>
              <w:ind w:left="0" w:right="0"/>
              <w:jc w:val="center"/>
              <w:rPr>
                <w:rFonts w:hint="default" w:ascii="Times New Roman"/>
                <w:b/>
                <w:bCs/>
                <w:color w:val="auto"/>
                <w:sz w:val="21"/>
                <w:szCs w:val="21"/>
                <w:u w:val="none"/>
                <w:lang w:bidi="ar"/>
              </w:rPr>
            </w:pPr>
            <w:r>
              <w:rPr>
                <w:rFonts w:hint="default" w:ascii="Times New Roman"/>
                <w:b/>
                <w:bCs/>
                <w:color w:val="auto"/>
                <w:sz w:val="21"/>
                <w:szCs w:val="21"/>
                <w:u w:val="none"/>
                <w:lang w:bidi="ar"/>
              </w:rPr>
              <w:t>2025年省</w:t>
            </w:r>
          </w:p>
          <w:p w14:paraId="7FA67CEF">
            <w:pPr>
              <w:keepNext w:val="0"/>
              <w:keepLines w:val="0"/>
              <w:suppressLineNumbers w:val="0"/>
              <w:snapToGrid w:val="0"/>
              <w:spacing w:before="0" w:beforeAutospacing="0" w:after="0" w:afterAutospacing="0"/>
              <w:ind w:left="0" w:right="0"/>
              <w:jc w:val="center"/>
              <w:rPr>
                <w:rFonts w:hint="default" w:ascii="Times New Roman"/>
                <w:b/>
                <w:bCs/>
                <w:color w:val="auto"/>
                <w:szCs w:val="21"/>
                <w:u w:val="none"/>
              </w:rPr>
            </w:pPr>
            <w:r>
              <w:rPr>
                <w:rFonts w:hint="default" w:ascii="Times New Roman"/>
                <w:b/>
                <w:bCs/>
                <w:color w:val="auto"/>
                <w:sz w:val="21"/>
                <w:szCs w:val="21"/>
                <w:u w:val="none"/>
                <w:lang w:bidi="ar"/>
              </w:rPr>
              <w:t>目标值</w:t>
            </w:r>
          </w:p>
        </w:tc>
        <w:tc>
          <w:tcPr>
            <w:tcW w:w="839" w:type="dxa"/>
            <w:tcBorders>
              <w:top w:val="single" w:color="auto" w:sz="4" w:space="0"/>
              <w:left w:val="single" w:color="auto" w:sz="4" w:space="0"/>
              <w:bottom w:val="single" w:color="auto" w:sz="4" w:space="0"/>
              <w:right w:val="single" w:color="auto" w:sz="4" w:space="0"/>
            </w:tcBorders>
            <w:vAlign w:val="center"/>
          </w:tcPr>
          <w:p w14:paraId="5E18C528">
            <w:pPr>
              <w:keepNext w:val="0"/>
              <w:keepLines w:val="0"/>
              <w:suppressLineNumbers w:val="0"/>
              <w:snapToGrid w:val="0"/>
              <w:spacing w:before="0" w:beforeAutospacing="0" w:after="0" w:afterAutospacing="0"/>
              <w:ind w:left="0" w:right="0"/>
              <w:jc w:val="center"/>
              <w:rPr>
                <w:rFonts w:hint="default" w:ascii="Times New Roman"/>
                <w:b/>
                <w:bCs/>
                <w:color w:val="auto"/>
                <w:szCs w:val="21"/>
                <w:u w:val="none"/>
              </w:rPr>
            </w:pPr>
            <w:r>
              <w:rPr>
                <w:rFonts w:hint="default" w:ascii="Times New Roman"/>
                <w:b/>
                <w:bCs/>
                <w:color w:val="auto"/>
                <w:sz w:val="21"/>
                <w:szCs w:val="21"/>
                <w:u w:val="none"/>
                <w:lang w:bidi="ar"/>
              </w:rPr>
              <w:t>指标</w:t>
            </w:r>
          </w:p>
          <w:p w14:paraId="463A3AF6">
            <w:pPr>
              <w:keepNext w:val="0"/>
              <w:keepLines w:val="0"/>
              <w:suppressLineNumbers w:val="0"/>
              <w:snapToGrid w:val="0"/>
              <w:spacing w:before="0" w:beforeAutospacing="0" w:after="0" w:afterAutospacing="0"/>
              <w:ind w:left="0" w:right="0"/>
              <w:jc w:val="center"/>
              <w:rPr>
                <w:rFonts w:hint="default" w:ascii="Times New Roman"/>
                <w:b/>
                <w:bCs/>
                <w:color w:val="auto"/>
                <w:szCs w:val="21"/>
                <w:u w:val="none"/>
              </w:rPr>
            </w:pPr>
            <w:r>
              <w:rPr>
                <w:rFonts w:hint="default" w:ascii="Times New Roman"/>
                <w:b/>
                <w:bCs/>
                <w:color w:val="auto"/>
                <w:sz w:val="21"/>
                <w:szCs w:val="21"/>
                <w:u w:val="none"/>
                <w:lang w:bidi="ar"/>
              </w:rPr>
              <w:t>属性</w:t>
            </w:r>
          </w:p>
        </w:tc>
      </w:tr>
      <w:tr w14:paraId="7C6C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Merge w:val="restart"/>
            <w:tcBorders>
              <w:top w:val="single" w:color="auto" w:sz="4" w:space="0"/>
              <w:left w:val="single" w:color="auto" w:sz="4" w:space="0"/>
              <w:bottom w:val="single" w:color="auto" w:sz="4" w:space="0"/>
              <w:right w:val="single" w:color="auto" w:sz="4" w:space="0"/>
            </w:tcBorders>
            <w:vAlign w:val="center"/>
          </w:tcPr>
          <w:p w14:paraId="2B2A94BB">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w:t>
            </w:r>
          </w:p>
        </w:tc>
        <w:tc>
          <w:tcPr>
            <w:tcW w:w="848" w:type="dxa"/>
            <w:vMerge w:val="restart"/>
            <w:tcBorders>
              <w:top w:val="single" w:color="auto" w:sz="4" w:space="0"/>
              <w:left w:val="single" w:color="auto" w:sz="4" w:space="0"/>
              <w:bottom w:val="single" w:color="auto" w:sz="4" w:space="0"/>
              <w:right w:val="single" w:color="auto" w:sz="4" w:space="0"/>
            </w:tcBorders>
            <w:vAlign w:val="center"/>
          </w:tcPr>
          <w:p w14:paraId="5CB1B55F">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社会</w:t>
            </w:r>
          </w:p>
          <w:p w14:paraId="69C11876">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救助</w:t>
            </w:r>
          </w:p>
        </w:tc>
        <w:tc>
          <w:tcPr>
            <w:tcW w:w="3856" w:type="dxa"/>
            <w:gridSpan w:val="2"/>
            <w:vMerge w:val="restart"/>
            <w:tcBorders>
              <w:top w:val="single" w:color="auto" w:sz="4" w:space="0"/>
              <w:left w:val="single" w:color="auto" w:sz="4" w:space="0"/>
              <w:bottom w:val="single" w:color="auto" w:sz="4" w:space="0"/>
              <w:right w:val="single" w:color="auto" w:sz="4" w:space="0"/>
            </w:tcBorders>
            <w:vAlign w:val="center"/>
          </w:tcPr>
          <w:p w14:paraId="513529B2">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城乡低保标准年度增速</w:t>
            </w:r>
          </w:p>
        </w:tc>
        <w:tc>
          <w:tcPr>
            <w:tcW w:w="752" w:type="dxa"/>
            <w:tcBorders>
              <w:top w:val="single" w:color="auto" w:sz="4" w:space="0"/>
              <w:left w:val="single" w:color="auto" w:sz="4" w:space="0"/>
              <w:bottom w:val="single" w:color="auto" w:sz="4" w:space="0"/>
              <w:right w:val="single" w:color="auto" w:sz="4" w:space="0"/>
            </w:tcBorders>
            <w:vAlign w:val="center"/>
          </w:tcPr>
          <w:p w14:paraId="67C3586A">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14:paraId="1A062A49">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城镇1.82%</w:t>
            </w:r>
          </w:p>
        </w:tc>
        <w:tc>
          <w:tcPr>
            <w:tcW w:w="1696" w:type="dxa"/>
            <w:tcBorders>
              <w:top w:val="single" w:color="auto" w:sz="4" w:space="0"/>
              <w:left w:val="single" w:color="auto" w:sz="4" w:space="0"/>
              <w:bottom w:val="single" w:color="auto" w:sz="4" w:space="0"/>
              <w:right w:val="single" w:color="auto" w:sz="4" w:space="0"/>
            </w:tcBorders>
            <w:vAlign w:val="center"/>
          </w:tcPr>
          <w:p w14:paraId="7B2D9B52">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不低于居民上年度人均</w:t>
            </w:r>
            <w:r>
              <w:rPr>
                <w:rFonts w:hint="eastAsia" w:ascii="Times New Roman"/>
                <w:color w:val="auto"/>
                <w:sz w:val="21"/>
                <w:szCs w:val="21"/>
                <w:u w:val="none"/>
                <w:lang w:val="en-US" w:eastAsia="zh-CN" w:bidi="ar"/>
              </w:rPr>
              <w:t>可支配收入实际</w:t>
            </w:r>
            <w:r>
              <w:rPr>
                <w:rFonts w:hint="default" w:ascii="Times New Roman"/>
                <w:color w:val="auto"/>
                <w:sz w:val="21"/>
                <w:szCs w:val="21"/>
                <w:u w:val="none"/>
                <w:lang w:bidi="ar"/>
              </w:rPr>
              <w:t>增速</w:t>
            </w:r>
          </w:p>
        </w:tc>
        <w:tc>
          <w:tcPr>
            <w:tcW w:w="1680" w:type="dxa"/>
            <w:tcBorders>
              <w:top w:val="single" w:color="auto" w:sz="4" w:space="0"/>
              <w:left w:val="single" w:color="auto" w:sz="4" w:space="0"/>
              <w:bottom w:val="single" w:color="auto" w:sz="4" w:space="0"/>
              <w:right w:val="single" w:color="auto" w:sz="4" w:space="0"/>
            </w:tcBorders>
            <w:vAlign w:val="center"/>
          </w:tcPr>
          <w:p w14:paraId="08116778">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不低于居民上年度人均</w:t>
            </w:r>
            <w:r>
              <w:rPr>
                <w:rFonts w:hint="eastAsia" w:ascii="Times New Roman"/>
                <w:color w:val="auto"/>
                <w:sz w:val="21"/>
                <w:szCs w:val="21"/>
                <w:u w:val="none"/>
                <w:lang w:val="en-US" w:eastAsia="zh-CN" w:bidi="ar"/>
              </w:rPr>
              <w:t>可支配收入实际</w:t>
            </w:r>
            <w:r>
              <w:rPr>
                <w:rFonts w:hint="default" w:ascii="Times New Roman"/>
                <w:color w:val="auto"/>
                <w:sz w:val="21"/>
                <w:szCs w:val="21"/>
                <w:u w:val="none"/>
                <w:lang w:bidi="ar"/>
              </w:rPr>
              <w:t>增速</w:t>
            </w:r>
          </w:p>
        </w:tc>
        <w:tc>
          <w:tcPr>
            <w:tcW w:w="1467" w:type="dxa"/>
            <w:tcBorders>
              <w:top w:val="single" w:color="auto" w:sz="4" w:space="0"/>
              <w:left w:val="single" w:color="auto" w:sz="4" w:space="0"/>
              <w:bottom w:val="single" w:color="auto" w:sz="4" w:space="0"/>
              <w:right w:val="single" w:color="auto" w:sz="4" w:space="0"/>
            </w:tcBorders>
            <w:vAlign w:val="center"/>
          </w:tcPr>
          <w:p w14:paraId="009BD4C2">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不低于居民上年度人均消费支出增速</w:t>
            </w:r>
          </w:p>
        </w:tc>
        <w:tc>
          <w:tcPr>
            <w:tcW w:w="839" w:type="dxa"/>
            <w:tcBorders>
              <w:top w:val="single" w:color="auto" w:sz="4" w:space="0"/>
              <w:left w:val="single" w:color="auto" w:sz="4" w:space="0"/>
              <w:bottom w:val="single" w:color="auto" w:sz="4" w:space="0"/>
              <w:right w:val="single" w:color="auto" w:sz="4" w:space="0"/>
            </w:tcBorders>
            <w:vAlign w:val="center"/>
          </w:tcPr>
          <w:p w14:paraId="45D0EF10">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14:paraId="2A4E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Merge w:val="continue"/>
            <w:tcBorders>
              <w:top w:val="single" w:color="auto" w:sz="4" w:space="0"/>
              <w:left w:val="single" w:color="auto" w:sz="4" w:space="0"/>
              <w:bottom w:val="single" w:color="auto" w:sz="4" w:space="0"/>
              <w:right w:val="single" w:color="auto" w:sz="4" w:space="0"/>
            </w:tcBorders>
            <w:vAlign w:val="center"/>
          </w:tcPr>
          <w:p w14:paraId="1FDA9678">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67A5E1EF">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vMerge w:val="continue"/>
            <w:tcBorders>
              <w:top w:val="single" w:color="auto" w:sz="4" w:space="0"/>
              <w:left w:val="single" w:color="auto" w:sz="4" w:space="0"/>
              <w:bottom w:val="single" w:color="auto" w:sz="4" w:space="0"/>
              <w:right w:val="single" w:color="auto" w:sz="4" w:space="0"/>
            </w:tcBorders>
            <w:vAlign w:val="center"/>
          </w:tcPr>
          <w:p w14:paraId="179A5A01">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752" w:type="dxa"/>
            <w:tcBorders>
              <w:top w:val="single" w:color="auto" w:sz="4" w:space="0"/>
              <w:left w:val="single" w:color="auto" w:sz="4" w:space="0"/>
              <w:bottom w:val="single" w:color="auto" w:sz="4" w:space="0"/>
              <w:right w:val="single" w:color="auto" w:sz="4" w:space="0"/>
            </w:tcBorders>
            <w:vAlign w:val="center"/>
          </w:tcPr>
          <w:p w14:paraId="126E7A1B">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14:paraId="782518AE">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农村1.82%</w:t>
            </w:r>
          </w:p>
        </w:tc>
        <w:tc>
          <w:tcPr>
            <w:tcW w:w="1696" w:type="dxa"/>
            <w:tcBorders>
              <w:top w:val="single" w:color="auto" w:sz="4" w:space="0"/>
              <w:left w:val="single" w:color="auto" w:sz="4" w:space="0"/>
              <w:bottom w:val="single" w:color="auto" w:sz="4" w:space="0"/>
              <w:right w:val="single" w:color="auto" w:sz="4" w:space="0"/>
            </w:tcBorders>
            <w:vAlign w:val="center"/>
          </w:tcPr>
          <w:p w14:paraId="3F4E3A93">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不低于居民上年度人均</w:t>
            </w:r>
            <w:r>
              <w:rPr>
                <w:rFonts w:hint="eastAsia" w:ascii="Times New Roman"/>
                <w:color w:val="auto"/>
                <w:sz w:val="21"/>
                <w:szCs w:val="21"/>
                <w:u w:val="none"/>
                <w:lang w:val="en-US" w:eastAsia="zh-CN" w:bidi="ar"/>
              </w:rPr>
              <w:t>可支配收入实际</w:t>
            </w:r>
            <w:r>
              <w:rPr>
                <w:rFonts w:hint="default" w:ascii="Times New Roman"/>
                <w:color w:val="auto"/>
                <w:sz w:val="21"/>
                <w:szCs w:val="21"/>
                <w:u w:val="none"/>
                <w:lang w:bidi="ar"/>
              </w:rPr>
              <w:t>增速</w:t>
            </w:r>
          </w:p>
        </w:tc>
        <w:tc>
          <w:tcPr>
            <w:tcW w:w="1680" w:type="dxa"/>
            <w:tcBorders>
              <w:top w:val="single" w:color="auto" w:sz="4" w:space="0"/>
              <w:left w:val="single" w:color="auto" w:sz="4" w:space="0"/>
              <w:bottom w:val="single" w:color="auto" w:sz="4" w:space="0"/>
              <w:right w:val="single" w:color="auto" w:sz="4" w:space="0"/>
            </w:tcBorders>
            <w:vAlign w:val="center"/>
          </w:tcPr>
          <w:p w14:paraId="5C5A3BDB">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不低于居民上年度人均</w:t>
            </w:r>
            <w:r>
              <w:rPr>
                <w:rFonts w:hint="eastAsia" w:ascii="Times New Roman"/>
                <w:color w:val="auto"/>
                <w:sz w:val="21"/>
                <w:szCs w:val="21"/>
                <w:u w:val="none"/>
                <w:lang w:val="en-US" w:eastAsia="zh-CN" w:bidi="ar"/>
              </w:rPr>
              <w:t>可支配收入实际</w:t>
            </w:r>
            <w:r>
              <w:rPr>
                <w:rFonts w:hint="default" w:ascii="Times New Roman"/>
                <w:color w:val="auto"/>
                <w:sz w:val="21"/>
                <w:szCs w:val="21"/>
                <w:u w:val="none"/>
                <w:lang w:bidi="ar"/>
              </w:rPr>
              <w:t>增速</w:t>
            </w:r>
          </w:p>
        </w:tc>
        <w:tc>
          <w:tcPr>
            <w:tcW w:w="1467" w:type="dxa"/>
            <w:tcBorders>
              <w:top w:val="single" w:color="auto" w:sz="4" w:space="0"/>
              <w:left w:val="single" w:color="auto" w:sz="4" w:space="0"/>
              <w:bottom w:val="single" w:color="auto" w:sz="4" w:space="0"/>
              <w:right w:val="single" w:color="auto" w:sz="4" w:space="0"/>
            </w:tcBorders>
            <w:vAlign w:val="center"/>
          </w:tcPr>
          <w:p w14:paraId="1DEFF5A7">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不低于居民上年度人均消费支出增速</w:t>
            </w:r>
          </w:p>
        </w:tc>
        <w:tc>
          <w:tcPr>
            <w:tcW w:w="839" w:type="dxa"/>
            <w:tcBorders>
              <w:top w:val="single" w:color="auto" w:sz="4" w:space="0"/>
              <w:left w:val="single" w:color="auto" w:sz="4" w:space="0"/>
              <w:bottom w:val="single" w:color="auto" w:sz="4" w:space="0"/>
              <w:right w:val="single" w:color="auto" w:sz="4" w:space="0"/>
            </w:tcBorders>
            <w:vAlign w:val="center"/>
          </w:tcPr>
          <w:p w14:paraId="17E858AE">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14:paraId="24A2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82" w:type="dxa"/>
            <w:tcBorders>
              <w:top w:val="single" w:color="auto" w:sz="4" w:space="0"/>
              <w:left w:val="single" w:color="auto" w:sz="4" w:space="0"/>
              <w:bottom w:val="single" w:color="auto" w:sz="4" w:space="0"/>
              <w:right w:val="single" w:color="auto" w:sz="4" w:space="0"/>
            </w:tcBorders>
            <w:vAlign w:val="center"/>
          </w:tcPr>
          <w:p w14:paraId="03C88603">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2</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27815917">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14:paraId="56909114">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农村低保标准占城市低保标准比例</w:t>
            </w:r>
          </w:p>
        </w:tc>
        <w:tc>
          <w:tcPr>
            <w:tcW w:w="752" w:type="dxa"/>
            <w:tcBorders>
              <w:top w:val="single" w:color="auto" w:sz="4" w:space="0"/>
              <w:left w:val="single" w:color="auto" w:sz="4" w:space="0"/>
              <w:bottom w:val="single" w:color="auto" w:sz="4" w:space="0"/>
              <w:right w:val="single" w:color="auto" w:sz="4" w:space="0"/>
            </w:tcBorders>
            <w:vAlign w:val="center"/>
          </w:tcPr>
          <w:p w14:paraId="7ED86B64">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14:paraId="578A2BD0">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696" w:type="dxa"/>
            <w:tcBorders>
              <w:top w:val="single" w:color="auto" w:sz="4" w:space="0"/>
              <w:left w:val="single" w:color="auto" w:sz="4" w:space="0"/>
              <w:bottom w:val="single" w:color="auto" w:sz="4" w:space="0"/>
              <w:right w:val="single" w:color="auto" w:sz="4" w:space="0"/>
            </w:tcBorders>
            <w:vAlign w:val="center"/>
          </w:tcPr>
          <w:p w14:paraId="61F4FA35">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680" w:type="dxa"/>
            <w:tcBorders>
              <w:top w:val="single" w:color="auto" w:sz="4" w:space="0"/>
              <w:left w:val="single" w:color="auto" w:sz="4" w:space="0"/>
              <w:bottom w:val="single" w:color="auto" w:sz="4" w:space="0"/>
              <w:right w:val="single" w:color="auto" w:sz="4" w:space="0"/>
            </w:tcBorders>
            <w:vAlign w:val="center"/>
          </w:tcPr>
          <w:p w14:paraId="334A4EA6">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467" w:type="dxa"/>
            <w:tcBorders>
              <w:top w:val="single" w:color="auto" w:sz="4" w:space="0"/>
              <w:left w:val="single" w:color="auto" w:sz="4" w:space="0"/>
              <w:bottom w:val="single" w:color="auto" w:sz="4" w:space="0"/>
              <w:right w:val="single" w:color="auto" w:sz="4" w:space="0"/>
            </w:tcBorders>
            <w:vAlign w:val="center"/>
          </w:tcPr>
          <w:p w14:paraId="6C724C5C">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&gt;80</w:t>
            </w:r>
          </w:p>
        </w:tc>
        <w:tc>
          <w:tcPr>
            <w:tcW w:w="839" w:type="dxa"/>
            <w:tcBorders>
              <w:top w:val="single" w:color="auto" w:sz="4" w:space="0"/>
              <w:left w:val="single" w:color="auto" w:sz="4" w:space="0"/>
              <w:bottom w:val="single" w:color="auto" w:sz="4" w:space="0"/>
              <w:right w:val="single" w:color="auto" w:sz="4" w:space="0"/>
            </w:tcBorders>
            <w:vAlign w:val="center"/>
          </w:tcPr>
          <w:p w14:paraId="3EE4B2EA">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14:paraId="54CE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tcBorders>
              <w:top w:val="single" w:color="auto" w:sz="4" w:space="0"/>
              <w:left w:val="single" w:color="auto" w:sz="4" w:space="0"/>
              <w:bottom w:val="single" w:color="auto" w:sz="4" w:space="0"/>
              <w:right w:val="single" w:color="auto" w:sz="4" w:space="0"/>
            </w:tcBorders>
            <w:vAlign w:val="center"/>
          </w:tcPr>
          <w:p w14:paraId="20A033FC">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3</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07AFFF2E">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14:paraId="7B611F39">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查明身份信息流浪乞讨受助人员接送返回率</w:t>
            </w:r>
          </w:p>
        </w:tc>
        <w:tc>
          <w:tcPr>
            <w:tcW w:w="752" w:type="dxa"/>
            <w:tcBorders>
              <w:top w:val="single" w:color="auto" w:sz="4" w:space="0"/>
              <w:left w:val="single" w:color="auto" w:sz="4" w:space="0"/>
              <w:bottom w:val="single" w:color="auto" w:sz="4" w:space="0"/>
              <w:right w:val="single" w:color="auto" w:sz="4" w:space="0"/>
            </w:tcBorders>
            <w:vAlign w:val="center"/>
          </w:tcPr>
          <w:p w14:paraId="7A2DC68E">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14:paraId="48080198">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696" w:type="dxa"/>
            <w:tcBorders>
              <w:top w:val="single" w:color="auto" w:sz="4" w:space="0"/>
              <w:left w:val="single" w:color="auto" w:sz="4" w:space="0"/>
              <w:bottom w:val="single" w:color="auto" w:sz="4" w:space="0"/>
              <w:right w:val="single" w:color="auto" w:sz="4" w:space="0"/>
            </w:tcBorders>
            <w:vAlign w:val="center"/>
          </w:tcPr>
          <w:p w14:paraId="286221E8">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680" w:type="dxa"/>
            <w:tcBorders>
              <w:top w:val="single" w:color="auto" w:sz="4" w:space="0"/>
              <w:left w:val="single" w:color="auto" w:sz="4" w:space="0"/>
              <w:bottom w:val="single" w:color="auto" w:sz="4" w:space="0"/>
              <w:right w:val="single" w:color="auto" w:sz="4" w:space="0"/>
            </w:tcBorders>
            <w:vAlign w:val="center"/>
          </w:tcPr>
          <w:p w14:paraId="6FFB9472">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467" w:type="dxa"/>
            <w:tcBorders>
              <w:top w:val="single" w:color="auto" w:sz="4" w:space="0"/>
              <w:left w:val="single" w:color="auto" w:sz="4" w:space="0"/>
              <w:bottom w:val="single" w:color="auto" w:sz="4" w:space="0"/>
              <w:right w:val="single" w:color="auto" w:sz="4" w:space="0"/>
            </w:tcBorders>
            <w:vAlign w:val="center"/>
          </w:tcPr>
          <w:p w14:paraId="262B2C70">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839" w:type="dxa"/>
            <w:tcBorders>
              <w:top w:val="single" w:color="auto" w:sz="4" w:space="0"/>
              <w:left w:val="single" w:color="auto" w:sz="4" w:space="0"/>
              <w:bottom w:val="single" w:color="auto" w:sz="4" w:space="0"/>
              <w:right w:val="single" w:color="auto" w:sz="4" w:space="0"/>
            </w:tcBorders>
            <w:vAlign w:val="center"/>
          </w:tcPr>
          <w:p w14:paraId="62C4E3F2">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p>
        </w:tc>
      </w:tr>
      <w:tr w14:paraId="1A9B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Merge w:val="restart"/>
            <w:tcBorders>
              <w:top w:val="single" w:color="auto" w:sz="4" w:space="0"/>
              <w:left w:val="single" w:color="auto" w:sz="4" w:space="0"/>
              <w:bottom w:val="single" w:color="auto" w:sz="4" w:space="0"/>
              <w:right w:val="single" w:color="auto" w:sz="4" w:space="0"/>
            </w:tcBorders>
            <w:vAlign w:val="center"/>
          </w:tcPr>
          <w:p w14:paraId="31A2F404">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4</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20D95C3B">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2610" w:type="dxa"/>
            <w:vMerge w:val="restart"/>
            <w:tcBorders>
              <w:top w:val="single" w:color="auto" w:sz="4" w:space="0"/>
              <w:left w:val="single" w:color="auto" w:sz="4" w:space="0"/>
              <w:bottom w:val="single" w:color="auto" w:sz="4" w:space="0"/>
              <w:right w:val="single" w:color="auto" w:sz="4" w:space="0"/>
            </w:tcBorders>
            <w:vAlign w:val="center"/>
          </w:tcPr>
          <w:p w14:paraId="6BA1AAAF">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特困人员基本生活供养标准</w:t>
            </w:r>
          </w:p>
        </w:tc>
        <w:tc>
          <w:tcPr>
            <w:tcW w:w="1246" w:type="dxa"/>
            <w:tcBorders>
              <w:top w:val="single" w:color="auto" w:sz="4" w:space="0"/>
              <w:left w:val="single" w:color="auto" w:sz="4" w:space="0"/>
              <w:bottom w:val="single" w:color="auto" w:sz="4" w:space="0"/>
              <w:right w:val="single" w:color="auto" w:sz="4" w:space="0"/>
            </w:tcBorders>
            <w:vAlign w:val="center"/>
          </w:tcPr>
          <w:p w14:paraId="0BAD88C9">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城镇</w:t>
            </w:r>
          </w:p>
        </w:tc>
        <w:tc>
          <w:tcPr>
            <w:tcW w:w="752" w:type="dxa"/>
            <w:tcBorders>
              <w:top w:val="single" w:color="auto" w:sz="4" w:space="0"/>
              <w:left w:val="single" w:color="auto" w:sz="4" w:space="0"/>
              <w:bottom w:val="single" w:color="auto" w:sz="4" w:space="0"/>
              <w:right w:val="single" w:color="auto" w:sz="4" w:space="0"/>
            </w:tcBorders>
            <w:vAlign w:val="center"/>
          </w:tcPr>
          <w:p w14:paraId="2BD79037">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元/人年</w:t>
            </w:r>
          </w:p>
        </w:tc>
        <w:tc>
          <w:tcPr>
            <w:tcW w:w="1696" w:type="dxa"/>
            <w:tcBorders>
              <w:top w:val="single" w:color="auto" w:sz="4" w:space="0"/>
              <w:left w:val="single" w:color="auto" w:sz="4" w:space="0"/>
              <w:bottom w:val="single" w:color="auto" w:sz="4" w:space="0"/>
              <w:right w:val="single" w:color="auto" w:sz="4" w:space="0"/>
            </w:tcBorders>
            <w:vAlign w:val="center"/>
          </w:tcPr>
          <w:p w14:paraId="756CD54B">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特困供养标准为低保标准的1.6倍</w:t>
            </w:r>
          </w:p>
        </w:tc>
        <w:tc>
          <w:tcPr>
            <w:tcW w:w="1696" w:type="dxa"/>
            <w:tcBorders>
              <w:top w:val="single" w:color="auto" w:sz="4" w:space="0"/>
              <w:left w:val="single" w:color="auto" w:sz="4" w:space="0"/>
              <w:bottom w:val="single" w:color="auto" w:sz="4" w:space="0"/>
              <w:right w:val="single" w:color="auto" w:sz="4" w:space="0"/>
            </w:tcBorders>
            <w:vAlign w:val="center"/>
          </w:tcPr>
          <w:p w14:paraId="21AAF59F">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特困供养标准为低保标准的1.6倍</w:t>
            </w:r>
          </w:p>
        </w:tc>
        <w:tc>
          <w:tcPr>
            <w:tcW w:w="1680" w:type="dxa"/>
            <w:tcBorders>
              <w:top w:val="single" w:color="auto" w:sz="4" w:space="0"/>
              <w:left w:val="single" w:color="auto" w:sz="4" w:space="0"/>
              <w:bottom w:val="single" w:color="auto" w:sz="4" w:space="0"/>
              <w:right w:val="single" w:color="auto" w:sz="4" w:space="0"/>
            </w:tcBorders>
            <w:vAlign w:val="center"/>
          </w:tcPr>
          <w:p w14:paraId="4B08616D">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特困供养标准为低保标准的1.6倍</w:t>
            </w:r>
          </w:p>
        </w:tc>
        <w:tc>
          <w:tcPr>
            <w:tcW w:w="1467" w:type="dxa"/>
            <w:vMerge w:val="restart"/>
            <w:tcBorders>
              <w:top w:val="single" w:color="auto" w:sz="4" w:space="0"/>
              <w:left w:val="single" w:color="auto" w:sz="4" w:space="0"/>
              <w:bottom w:val="single" w:color="auto" w:sz="4" w:space="0"/>
              <w:right w:val="single" w:color="auto" w:sz="4" w:space="0"/>
            </w:tcBorders>
            <w:vAlign w:val="center"/>
          </w:tcPr>
          <w:p w14:paraId="1A9AA150">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特困供养标准为当地最低生活保障标准的1.6倍</w:t>
            </w:r>
          </w:p>
        </w:tc>
        <w:tc>
          <w:tcPr>
            <w:tcW w:w="839" w:type="dxa"/>
            <w:tcBorders>
              <w:top w:val="single" w:color="auto" w:sz="4" w:space="0"/>
              <w:left w:val="single" w:color="auto" w:sz="4" w:space="0"/>
              <w:bottom w:val="single" w:color="auto" w:sz="4" w:space="0"/>
              <w:right w:val="single" w:color="auto" w:sz="4" w:space="0"/>
            </w:tcBorders>
            <w:vAlign w:val="center"/>
          </w:tcPr>
          <w:p w14:paraId="14F479A3">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p>
        </w:tc>
      </w:tr>
      <w:tr w14:paraId="7E67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82" w:type="dxa"/>
            <w:vMerge w:val="continue"/>
            <w:tcBorders>
              <w:top w:val="single" w:color="auto" w:sz="4" w:space="0"/>
              <w:left w:val="single" w:color="auto" w:sz="4" w:space="0"/>
              <w:bottom w:val="single" w:color="auto" w:sz="4" w:space="0"/>
              <w:right w:val="single" w:color="auto" w:sz="4" w:space="0"/>
            </w:tcBorders>
            <w:vAlign w:val="center"/>
          </w:tcPr>
          <w:p w14:paraId="5395B776">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2B9CB9B5">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14:paraId="04792F90">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12EE8A71">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农村</w:t>
            </w:r>
          </w:p>
        </w:tc>
        <w:tc>
          <w:tcPr>
            <w:tcW w:w="752" w:type="dxa"/>
            <w:tcBorders>
              <w:top w:val="single" w:color="auto" w:sz="4" w:space="0"/>
              <w:left w:val="single" w:color="auto" w:sz="4" w:space="0"/>
              <w:bottom w:val="single" w:color="auto" w:sz="4" w:space="0"/>
              <w:right w:val="single" w:color="auto" w:sz="4" w:space="0"/>
            </w:tcBorders>
            <w:vAlign w:val="center"/>
          </w:tcPr>
          <w:p w14:paraId="478161F2">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元/人年</w:t>
            </w:r>
          </w:p>
        </w:tc>
        <w:tc>
          <w:tcPr>
            <w:tcW w:w="1696" w:type="dxa"/>
            <w:tcBorders>
              <w:top w:val="single" w:color="auto" w:sz="4" w:space="0"/>
              <w:left w:val="single" w:color="auto" w:sz="4" w:space="0"/>
              <w:bottom w:val="single" w:color="auto" w:sz="4" w:space="0"/>
              <w:right w:val="single" w:color="auto" w:sz="4" w:space="0"/>
            </w:tcBorders>
            <w:vAlign w:val="center"/>
          </w:tcPr>
          <w:p w14:paraId="2F361007">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特困供养标准为低保标准的1.6倍</w:t>
            </w:r>
          </w:p>
        </w:tc>
        <w:tc>
          <w:tcPr>
            <w:tcW w:w="1696" w:type="dxa"/>
            <w:tcBorders>
              <w:top w:val="single" w:color="auto" w:sz="4" w:space="0"/>
              <w:left w:val="single" w:color="auto" w:sz="4" w:space="0"/>
              <w:bottom w:val="single" w:color="auto" w:sz="4" w:space="0"/>
              <w:right w:val="single" w:color="auto" w:sz="4" w:space="0"/>
            </w:tcBorders>
            <w:vAlign w:val="center"/>
          </w:tcPr>
          <w:p w14:paraId="7D762FE9">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特困供养标准为低保标准的1.6倍</w:t>
            </w:r>
          </w:p>
        </w:tc>
        <w:tc>
          <w:tcPr>
            <w:tcW w:w="1680" w:type="dxa"/>
            <w:tcBorders>
              <w:top w:val="single" w:color="auto" w:sz="4" w:space="0"/>
              <w:left w:val="single" w:color="auto" w:sz="4" w:space="0"/>
              <w:bottom w:val="single" w:color="auto" w:sz="4" w:space="0"/>
              <w:right w:val="single" w:color="auto" w:sz="4" w:space="0"/>
            </w:tcBorders>
            <w:vAlign w:val="center"/>
          </w:tcPr>
          <w:p w14:paraId="22EA7243">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特困供养标准为低保标准的1.6倍</w:t>
            </w: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4A3B8547">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58EB0488">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p>
        </w:tc>
      </w:tr>
      <w:tr w14:paraId="1387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82" w:type="dxa"/>
            <w:vMerge w:val="restart"/>
            <w:tcBorders>
              <w:top w:val="single" w:color="auto" w:sz="4" w:space="0"/>
              <w:left w:val="single" w:color="auto" w:sz="4" w:space="0"/>
              <w:bottom w:val="single" w:color="auto" w:sz="4" w:space="0"/>
              <w:right w:val="single" w:color="auto" w:sz="4" w:space="0"/>
            </w:tcBorders>
            <w:vAlign w:val="center"/>
          </w:tcPr>
          <w:p w14:paraId="6A50225A">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5</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198F89E8">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2610" w:type="dxa"/>
            <w:vMerge w:val="restart"/>
            <w:tcBorders>
              <w:top w:val="single" w:color="auto" w:sz="4" w:space="0"/>
              <w:left w:val="single" w:color="auto" w:sz="4" w:space="0"/>
              <w:bottom w:val="single" w:color="auto" w:sz="4" w:space="0"/>
              <w:right w:val="single" w:color="auto" w:sz="4" w:space="0"/>
            </w:tcBorders>
            <w:vAlign w:val="center"/>
          </w:tcPr>
          <w:p w14:paraId="5762B7C6">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特困人员照料护理标准</w:t>
            </w:r>
          </w:p>
        </w:tc>
        <w:tc>
          <w:tcPr>
            <w:tcW w:w="1246" w:type="dxa"/>
            <w:tcBorders>
              <w:top w:val="single" w:color="auto" w:sz="4" w:space="0"/>
              <w:left w:val="single" w:color="auto" w:sz="4" w:space="0"/>
              <w:bottom w:val="single" w:color="auto" w:sz="4" w:space="0"/>
              <w:right w:val="single" w:color="auto" w:sz="4" w:space="0"/>
            </w:tcBorders>
            <w:vAlign w:val="center"/>
          </w:tcPr>
          <w:p w14:paraId="131D4370">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全自理</w:t>
            </w:r>
          </w:p>
        </w:tc>
        <w:tc>
          <w:tcPr>
            <w:tcW w:w="752" w:type="dxa"/>
            <w:tcBorders>
              <w:top w:val="single" w:color="auto" w:sz="4" w:space="0"/>
              <w:left w:val="single" w:color="auto" w:sz="4" w:space="0"/>
              <w:bottom w:val="single" w:color="auto" w:sz="4" w:space="0"/>
              <w:right w:val="single" w:color="auto" w:sz="4" w:space="0"/>
            </w:tcBorders>
            <w:vAlign w:val="center"/>
          </w:tcPr>
          <w:p w14:paraId="51AB79D3">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14:paraId="24BC54D3">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不低于我市最低工资标准的5%</w:t>
            </w:r>
          </w:p>
        </w:tc>
        <w:tc>
          <w:tcPr>
            <w:tcW w:w="1696" w:type="dxa"/>
            <w:tcBorders>
              <w:top w:val="single" w:color="auto" w:sz="4" w:space="0"/>
              <w:left w:val="single" w:color="auto" w:sz="4" w:space="0"/>
              <w:bottom w:val="single" w:color="auto" w:sz="4" w:space="0"/>
              <w:right w:val="single" w:color="auto" w:sz="4" w:space="0"/>
            </w:tcBorders>
            <w:vAlign w:val="center"/>
          </w:tcPr>
          <w:p w14:paraId="2401259B">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不低于我市最低工资标准的5%</w:t>
            </w:r>
          </w:p>
        </w:tc>
        <w:tc>
          <w:tcPr>
            <w:tcW w:w="1680" w:type="dxa"/>
            <w:tcBorders>
              <w:top w:val="single" w:color="auto" w:sz="4" w:space="0"/>
              <w:left w:val="single" w:color="auto" w:sz="4" w:space="0"/>
              <w:bottom w:val="single" w:color="auto" w:sz="4" w:space="0"/>
              <w:right w:val="single" w:color="auto" w:sz="4" w:space="0"/>
            </w:tcBorders>
            <w:vAlign w:val="center"/>
          </w:tcPr>
          <w:p w14:paraId="3AACD60A">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不低于我市最低工资标准的5%</w:t>
            </w:r>
          </w:p>
        </w:tc>
        <w:tc>
          <w:tcPr>
            <w:tcW w:w="1467" w:type="dxa"/>
            <w:tcBorders>
              <w:top w:val="single" w:color="auto" w:sz="4" w:space="0"/>
              <w:left w:val="single" w:color="auto" w:sz="4" w:space="0"/>
              <w:bottom w:val="single" w:color="auto" w:sz="4" w:space="0"/>
              <w:right w:val="single" w:color="auto" w:sz="4" w:space="0"/>
            </w:tcBorders>
            <w:vAlign w:val="center"/>
          </w:tcPr>
          <w:p w14:paraId="6AE619E8">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不低于当地最低工资标准的2%</w:t>
            </w:r>
          </w:p>
        </w:tc>
        <w:tc>
          <w:tcPr>
            <w:tcW w:w="839" w:type="dxa"/>
            <w:tcBorders>
              <w:top w:val="single" w:color="auto" w:sz="4" w:space="0"/>
              <w:left w:val="single" w:color="auto" w:sz="4" w:space="0"/>
              <w:bottom w:val="single" w:color="auto" w:sz="4" w:space="0"/>
              <w:right w:val="single" w:color="auto" w:sz="4" w:space="0"/>
            </w:tcBorders>
            <w:vAlign w:val="center"/>
          </w:tcPr>
          <w:p w14:paraId="2BDD8C57">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p>
        </w:tc>
      </w:tr>
      <w:tr w14:paraId="2800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2" w:type="dxa"/>
            <w:vMerge w:val="continue"/>
            <w:tcBorders>
              <w:top w:val="single" w:color="auto" w:sz="4" w:space="0"/>
              <w:left w:val="single" w:color="auto" w:sz="4" w:space="0"/>
              <w:bottom w:val="single" w:color="auto" w:sz="4" w:space="0"/>
              <w:right w:val="single" w:color="auto" w:sz="4" w:space="0"/>
            </w:tcBorders>
            <w:vAlign w:val="center"/>
          </w:tcPr>
          <w:p w14:paraId="7A3DF33A">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054E5C7D">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14:paraId="7851FF11">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36E43F77">
            <w:pPr>
              <w:keepNext w:val="0"/>
              <w:keepLines w:val="0"/>
              <w:suppressLineNumbers w:val="0"/>
              <w:snapToGrid w:val="0"/>
              <w:spacing w:before="0" w:beforeAutospacing="0" w:after="0" w:afterAutospacing="0"/>
              <w:ind w:left="0" w:right="0"/>
              <w:jc w:val="center"/>
              <w:rPr>
                <w:rFonts w:hint="default" w:ascii="Times New Roman"/>
                <w:color w:val="auto"/>
                <w:sz w:val="21"/>
                <w:szCs w:val="21"/>
                <w:u w:val="none"/>
                <w:lang w:bidi="ar"/>
              </w:rPr>
            </w:pPr>
            <w:r>
              <w:rPr>
                <w:rFonts w:hint="default" w:ascii="Times New Roman"/>
                <w:color w:val="auto"/>
                <w:sz w:val="21"/>
                <w:szCs w:val="21"/>
                <w:u w:val="none"/>
                <w:lang w:bidi="ar"/>
              </w:rPr>
              <w:t>半自理</w:t>
            </w:r>
          </w:p>
          <w:p w14:paraId="63B989FC">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（半失能）</w:t>
            </w:r>
          </w:p>
        </w:tc>
        <w:tc>
          <w:tcPr>
            <w:tcW w:w="752" w:type="dxa"/>
            <w:tcBorders>
              <w:top w:val="single" w:color="auto" w:sz="4" w:space="0"/>
              <w:left w:val="single" w:color="auto" w:sz="4" w:space="0"/>
              <w:bottom w:val="single" w:color="auto" w:sz="4" w:space="0"/>
              <w:right w:val="single" w:color="auto" w:sz="4" w:space="0"/>
            </w:tcBorders>
            <w:vAlign w:val="center"/>
          </w:tcPr>
          <w:p w14:paraId="4871874F">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14:paraId="16C352BF">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不低于我市最低工资标准的60%</w:t>
            </w:r>
          </w:p>
        </w:tc>
        <w:tc>
          <w:tcPr>
            <w:tcW w:w="1696" w:type="dxa"/>
            <w:tcBorders>
              <w:top w:val="single" w:color="auto" w:sz="4" w:space="0"/>
              <w:left w:val="single" w:color="auto" w:sz="4" w:space="0"/>
              <w:bottom w:val="single" w:color="auto" w:sz="4" w:space="0"/>
              <w:right w:val="single" w:color="auto" w:sz="4" w:space="0"/>
            </w:tcBorders>
            <w:vAlign w:val="center"/>
          </w:tcPr>
          <w:p w14:paraId="7D60B151">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不低于我市最低工资标准的60%</w:t>
            </w:r>
          </w:p>
        </w:tc>
        <w:tc>
          <w:tcPr>
            <w:tcW w:w="1680" w:type="dxa"/>
            <w:tcBorders>
              <w:top w:val="single" w:color="auto" w:sz="4" w:space="0"/>
              <w:left w:val="single" w:color="auto" w:sz="4" w:space="0"/>
              <w:bottom w:val="single" w:color="auto" w:sz="4" w:space="0"/>
              <w:right w:val="single" w:color="auto" w:sz="4" w:space="0"/>
            </w:tcBorders>
            <w:vAlign w:val="center"/>
          </w:tcPr>
          <w:p w14:paraId="1B01D891">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不低于我市最低工资标准的60%</w:t>
            </w:r>
          </w:p>
        </w:tc>
        <w:tc>
          <w:tcPr>
            <w:tcW w:w="1467" w:type="dxa"/>
            <w:tcBorders>
              <w:top w:val="single" w:color="auto" w:sz="4" w:space="0"/>
              <w:left w:val="single" w:color="auto" w:sz="4" w:space="0"/>
              <w:bottom w:val="single" w:color="auto" w:sz="4" w:space="0"/>
              <w:right w:val="single" w:color="auto" w:sz="4" w:space="0"/>
            </w:tcBorders>
            <w:vAlign w:val="center"/>
          </w:tcPr>
          <w:p w14:paraId="6DD1CCB6">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不低于当地最低工资标准的30%</w:t>
            </w:r>
          </w:p>
        </w:tc>
        <w:tc>
          <w:tcPr>
            <w:tcW w:w="839" w:type="dxa"/>
            <w:tcBorders>
              <w:top w:val="single" w:color="auto" w:sz="4" w:space="0"/>
              <w:left w:val="single" w:color="auto" w:sz="4" w:space="0"/>
              <w:bottom w:val="single" w:color="auto" w:sz="4" w:space="0"/>
              <w:right w:val="single" w:color="auto" w:sz="4" w:space="0"/>
            </w:tcBorders>
            <w:vAlign w:val="center"/>
          </w:tcPr>
          <w:p w14:paraId="4CD0F6CF">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p>
        </w:tc>
      </w:tr>
      <w:tr w14:paraId="528E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2" w:type="dxa"/>
            <w:vMerge w:val="continue"/>
            <w:tcBorders>
              <w:top w:val="single" w:color="auto" w:sz="4" w:space="0"/>
              <w:left w:val="single" w:color="auto" w:sz="4" w:space="0"/>
              <w:bottom w:val="single" w:color="auto" w:sz="4" w:space="0"/>
              <w:right w:val="single" w:color="auto" w:sz="4" w:space="0"/>
            </w:tcBorders>
            <w:vAlign w:val="center"/>
          </w:tcPr>
          <w:p w14:paraId="21B753FF">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0C82012D">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14:paraId="00146085">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4B791A88">
            <w:pPr>
              <w:keepNext w:val="0"/>
              <w:keepLines w:val="0"/>
              <w:suppressLineNumbers w:val="0"/>
              <w:snapToGrid w:val="0"/>
              <w:spacing w:before="0" w:beforeAutospacing="0" w:after="0" w:afterAutospacing="0"/>
              <w:ind w:left="0" w:right="0"/>
              <w:jc w:val="center"/>
              <w:rPr>
                <w:rFonts w:hint="default" w:ascii="Times New Roman"/>
                <w:color w:val="auto"/>
                <w:sz w:val="21"/>
                <w:szCs w:val="21"/>
                <w:u w:val="none"/>
                <w:lang w:bidi="ar"/>
              </w:rPr>
            </w:pPr>
            <w:r>
              <w:rPr>
                <w:rFonts w:hint="default" w:ascii="Times New Roman"/>
                <w:color w:val="auto"/>
                <w:sz w:val="21"/>
                <w:szCs w:val="21"/>
                <w:u w:val="none"/>
                <w:lang w:bidi="ar"/>
              </w:rPr>
              <w:t>全护理</w:t>
            </w:r>
          </w:p>
          <w:p w14:paraId="06CA3E4C">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（失能）</w:t>
            </w:r>
          </w:p>
        </w:tc>
        <w:tc>
          <w:tcPr>
            <w:tcW w:w="752" w:type="dxa"/>
            <w:tcBorders>
              <w:top w:val="single" w:color="auto" w:sz="4" w:space="0"/>
              <w:left w:val="single" w:color="auto" w:sz="4" w:space="0"/>
              <w:bottom w:val="single" w:color="auto" w:sz="4" w:space="0"/>
              <w:right w:val="single" w:color="auto" w:sz="4" w:space="0"/>
            </w:tcBorders>
            <w:vAlign w:val="center"/>
          </w:tcPr>
          <w:p w14:paraId="5966D780">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14:paraId="7290BB24">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不低于我市最低工资标准的100%</w:t>
            </w:r>
          </w:p>
        </w:tc>
        <w:tc>
          <w:tcPr>
            <w:tcW w:w="1696" w:type="dxa"/>
            <w:tcBorders>
              <w:top w:val="single" w:color="auto" w:sz="4" w:space="0"/>
              <w:left w:val="single" w:color="auto" w:sz="4" w:space="0"/>
              <w:bottom w:val="single" w:color="auto" w:sz="4" w:space="0"/>
              <w:right w:val="single" w:color="auto" w:sz="4" w:space="0"/>
            </w:tcBorders>
            <w:vAlign w:val="center"/>
          </w:tcPr>
          <w:p w14:paraId="73B0FA00">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不低于我市最低工资标准的100%</w:t>
            </w:r>
          </w:p>
        </w:tc>
        <w:tc>
          <w:tcPr>
            <w:tcW w:w="1680" w:type="dxa"/>
            <w:tcBorders>
              <w:top w:val="single" w:color="auto" w:sz="4" w:space="0"/>
              <w:left w:val="single" w:color="auto" w:sz="4" w:space="0"/>
              <w:bottom w:val="single" w:color="auto" w:sz="4" w:space="0"/>
              <w:right w:val="single" w:color="auto" w:sz="4" w:space="0"/>
            </w:tcBorders>
            <w:vAlign w:val="center"/>
          </w:tcPr>
          <w:p w14:paraId="31937D82">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不低于我市最低工资标准的100%</w:t>
            </w:r>
          </w:p>
        </w:tc>
        <w:tc>
          <w:tcPr>
            <w:tcW w:w="1467" w:type="dxa"/>
            <w:tcBorders>
              <w:top w:val="single" w:color="auto" w:sz="4" w:space="0"/>
              <w:left w:val="single" w:color="auto" w:sz="4" w:space="0"/>
              <w:bottom w:val="single" w:color="auto" w:sz="4" w:space="0"/>
              <w:right w:val="single" w:color="auto" w:sz="4" w:space="0"/>
            </w:tcBorders>
            <w:vAlign w:val="center"/>
          </w:tcPr>
          <w:p w14:paraId="013E9CEC">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不低于当地最低工资标准的60%</w:t>
            </w:r>
          </w:p>
        </w:tc>
        <w:tc>
          <w:tcPr>
            <w:tcW w:w="839" w:type="dxa"/>
            <w:tcBorders>
              <w:top w:val="single" w:color="auto" w:sz="4" w:space="0"/>
              <w:left w:val="single" w:color="auto" w:sz="4" w:space="0"/>
              <w:bottom w:val="single" w:color="auto" w:sz="4" w:space="0"/>
              <w:right w:val="single" w:color="auto" w:sz="4" w:space="0"/>
            </w:tcBorders>
            <w:vAlign w:val="center"/>
          </w:tcPr>
          <w:p w14:paraId="21D55F71">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p>
        </w:tc>
      </w:tr>
      <w:tr w14:paraId="2BDC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82" w:type="dxa"/>
            <w:tcBorders>
              <w:top w:val="single" w:color="auto" w:sz="4" w:space="0"/>
              <w:left w:val="single" w:color="auto" w:sz="4" w:space="0"/>
              <w:bottom w:val="single" w:color="auto" w:sz="4" w:space="0"/>
              <w:right w:val="single" w:color="auto" w:sz="4" w:space="0"/>
            </w:tcBorders>
            <w:vAlign w:val="center"/>
          </w:tcPr>
          <w:p w14:paraId="28031A17">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6</w:t>
            </w:r>
          </w:p>
        </w:tc>
        <w:tc>
          <w:tcPr>
            <w:tcW w:w="848" w:type="dxa"/>
            <w:vMerge w:val="restart"/>
            <w:tcBorders>
              <w:top w:val="single" w:color="auto" w:sz="4" w:space="0"/>
              <w:left w:val="single" w:color="auto" w:sz="4" w:space="0"/>
              <w:bottom w:val="single" w:color="auto" w:sz="4" w:space="0"/>
              <w:right w:val="single" w:color="auto" w:sz="4" w:space="0"/>
            </w:tcBorders>
            <w:vAlign w:val="center"/>
          </w:tcPr>
          <w:p w14:paraId="22C829FE">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养老</w:t>
            </w:r>
          </w:p>
          <w:p w14:paraId="4C365C5C">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服务</w:t>
            </w:r>
          </w:p>
        </w:tc>
        <w:tc>
          <w:tcPr>
            <w:tcW w:w="3856" w:type="dxa"/>
            <w:gridSpan w:val="2"/>
            <w:tcBorders>
              <w:top w:val="single" w:color="auto" w:sz="4" w:space="0"/>
              <w:left w:val="single" w:color="auto" w:sz="4" w:space="0"/>
              <w:bottom w:val="single" w:color="auto" w:sz="4" w:space="0"/>
              <w:right w:val="single" w:color="auto" w:sz="4" w:space="0"/>
            </w:tcBorders>
            <w:vAlign w:val="center"/>
          </w:tcPr>
          <w:p w14:paraId="013FF4DA">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养老机构护理型床位占比</w:t>
            </w:r>
          </w:p>
        </w:tc>
        <w:tc>
          <w:tcPr>
            <w:tcW w:w="752" w:type="dxa"/>
            <w:tcBorders>
              <w:top w:val="single" w:color="auto" w:sz="4" w:space="0"/>
              <w:left w:val="single" w:color="auto" w:sz="4" w:space="0"/>
              <w:bottom w:val="single" w:color="auto" w:sz="4" w:space="0"/>
              <w:right w:val="single" w:color="auto" w:sz="4" w:space="0"/>
            </w:tcBorders>
            <w:vAlign w:val="center"/>
          </w:tcPr>
          <w:p w14:paraId="3C098513">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14:paraId="1E48F56C">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40</w:t>
            </w:r>
          </w:p>
        </w:tc>
        <w:tc>
          <w:tcPr>
            <w:tcW w:w="1696" w:type="dxa"/>
            <w:tcBorders>
              <w:top w:val="single" w:color="auto" w:sz="4" w:space="0"/>
              <w:left w:val="single" w:color="auto" w:sz="4" w:space="0"/>
              <w:bottom w:val="single" w:color="auto" w:sz="4" w:space="0"/>
              <w:right w:val="single" w:color="auto" w:sz="4" w:space="0"/>
            </w:tcBorders>
            <w:vAlign w:val="center"/>
          </w:tcPr>
          <w:p w14:paraId="26543577">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50</w:t>
            </w:r>
          </w:p>
        </w:tc>
        <w:tc>
          <w:tcPr>
            <w:tcW w:w="1680" w:type="dxa"/>
            <w:tcBorders>
              <w:top w:val="single" w:color="auto" w:sz="4" w:space="0"/>
              <w:left w:val="single" w:color="auto" w:sz="4" w:space="0"/>
              <w:bottom w:val="single" w:color="auto" w:sz="4" w:space="0"/>
              <w:right w:val="single" w:color="auto" w:sz="4" w:space="0"/>
            </w:tcBorders>
            <w:vAlign w:val="center"/>
          </w:tcPr>
          <w:p w14:paraId="4ED64256">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55</w:t>
            </w:r>
          </w:p>
        </w:tc>
        <w:tc>
          <w:tcPr>
            <w:tcW w:w="1467" w:type="dxa"/>
            <w:tcBorders>
              <w:top w:val="single" w:color="auto" w:sz="4" w:space="0"/>
              <w:left w:val="single" w:color="auto" w:sz="4" w:space="0"/>
              <w:bottom w:val="single" w:color="auto" w:sz="4" w:space="0"/>
              <w:right w:val="single" w:color="auto" w:sz="4" w:space="0"/>
            </w:tcBorders>
            <w:vAlign w:val="center"/>
          </w:tcPr>
          <w:p w14:paraId="3F424EE2">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55</w:t>
            </w:r>
          </w:p>
        </w:tc>
        <w:tc>
          <w:tcPr>
            <w:tcW w:w="839" w:type="dxa"/>
            <w:tcBorders>
              <w:top w:val="single" w:color="auto" w:sz="4" w:space="0"/>
              <w:left w:val="single" w:color="auto" w:sz="4" w:space="0"/>
              <w:bottom w:val="single" w:color="auto" w:sz="4" w:space="0"/>
              <w:right w:val="single" w:color="auto" w:sz="4" w:space="0"/>
            </w:tcBorders>
            <w:vAlign w:val="center"/>
          </w:tcPr>
          <w:p w14:paraId="67F0C504">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p>
        </w:tc>
      </w:tr>
      <w:tr w14:paraId="3494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tcBorders>
              <w:top w:val="single" w:color="auto" w:sz="4" w:space="0"/>
              <w:left w:val="single" w:color="auto" w:sz="4" w:space="0"/>
              <w:bottom w:val="single" w:color="auto" w:sz="4" w:space="0"/>
              <w:right w:val="single" w:color="auto" w:sz="4" w:space="0"/>
            </w:tcBorders>
            <w:vAlign w:val="center"/>
          </w:tcPr>
          <w:p w14:paraId="1AA1E8AD">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7</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16B89368">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14:paraId="5797BEEA">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乡镇（街道）范围具备综合功能的养老服务机构覆盖率</w:t>
            </w:r>
          </w:p>
        </w:tc>
        <w:tc>
          <w:tcPr>
            <w:tcW w:w="752" w:type="dxa"/>
            <w:tcBorders>
              <w:top w:val="single" w:color="auto" w:sz="4" w:space="0"/>
              <w:left w:val="single" w:color="auto" w:sz="4" w:space="0"/>
              <w:bottom w:val="single" w:color="auto" w:sz="4" w:space="0"/>
              <w:right w:val="single" w:color="auto" w:sz="4" w:space="0"/>
            </w:tcBorders>
            <w:vAlign w:val="center"/>
          </w:tcPr>
          <w:p w14:paraId="3CA90BC1">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14:paraId="1D9285D8">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14:paraId="4E09E3CB">
            <w:pPr>
              <w:keepNext w:val="0"/>
              <w:keepLines w:val="0"/>
              <w:suppressLineNumbers w:val="0"/>
              <w:snapToGrid w:val="0"/>
              <w:spacing w:before="0" w:beforeAutospacing="0" w:after="0" w:afterAutospacing="0"/>
              <w:ind w:left="0" w:right="0"/>
              <w:jc w:val="center"/>
              <w:rPr>
                <w:rFonts w:hint="default" w:ascii="Times New Roman" w:eastAsia="仿宋_GB2312"/>
                <w:color w:val="auto"/>
                <w:szCs w:val="21"/>
                <w:u w:val="none"/>
                <w:lang w:val="en-US" w:eastAsia="zh-CN"/>
              </w:rPr>
            </w:pPr>
            <w:r>
              <w:rPr>
                <w:rFonts w:hint="eastAsia" w:ascii="Times New Roman"/>
                <w:color w:val="auto"/>
                <w:sz w:val="21"/>
                <w:szCs w:val="21"/>
                <w:u w:val="none"/>
                <w:lang w:val="en-US" w:eastAsia="zh-CN" w:bidi="ar"/>
              </w:rPr>
              <w:t>100</w:t>
            </w:r>
          </w:p>
        </w:tc>
        <w:tc>
          <w:tcPr>
            <w:tcW w:w="1680" w:type="dxa"/>
            <w:tcBorders>
              <w:top w:val="single" w:color="auto" w:sz="4" w:space="0"/>
              <w:left w:val="single" w:color="auto" w:sz="4" w:space="0"/>
              <w:bottom w:val="single" w:color="auto" w:sz="4" w:space="0"/>
              <w:right w:val="single" w:color="auto" w:sz="4" w:space="0"/>
            </w:tcBorders>
            <w:vAlign w:val="center"/>
          </w:tcPr>
          <w:p w14:paraId="4C4B56B6">
            <w:pPr>
              <w:keepNext w:val="0"/>
              <w:keepLines w:val="0"/>
              <w:suppressLineNumbers w:val="0"/>
              <w:snapToGrid w:val="0"/>
              <w:spacing w:before="0" w:beforeAutospacing="0" w:after="0" w:afterAutospacing="0"/>
              <w:ind w:left="0" w:right="0"/>
              <w:jc w:val="center"/>
              <w:rPr>
                <w:rFonts w:hint="default" w:ascii="Times New Roman" w:eastAsia="仿宋_GB2312"/>
                <w:color w:val="auto"/>
                <w:szCs w:val="21"/>
                <w:u w:val="none"/>
                <w:lang w:val="en-US" w:eastAsia="zh-CN"/>
              </w:rPr>
            </w:pPr>
            <w:r>
              <w:rPr>
                <w:rFonts w:hint="eastAsia" w:ascii="Times New Roman"/>
                <w:color w:val="auto"/>
                <w:sz w:val="21"/>
                <w:szCs w:val="21"/>
                <w:u w:val="none"/>
                <w:lang w:val="en-US" w:eastAsia="zh-CN" w:bidi="ar"/>
              </w:rPr>
              <w:t>100</w:t>
            </w:r>
          </w:p>
        </w:tc>
        <w:tc>
          <w:tcPr>
            <w:tcW w:w="1467" w:type="dxa"/>
            <w:tcBorders>
              <w:top w:val="single" w:color="auto" w:sz="4" w:space="0"/>
              <w:left w:val="single" w:color="auto" w:sz="4" w:space="0"/>
              <w:bottom w:val="single" w:color="auto" w:sz="4" w:space="0"/>
              <w:right w:val="single" w:color="auto" w:sz="4" w:space="0"/>
            </w:tcBorders>
            <w:vAlign w:val="center"/>
          </w:tcPr>
          <w:p w14:paraId="197B157C">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60</w:t>
            </w:r>
          </w:p>
        </w:tc>
        <w:tc>
          <w:tcPr>
            <w:tcW w:w="839" w:type="dxa"/>
            <w:tcBorders>
              <w:top w:val="single" w:color="auto" w:sz="4" w:space="0"/>
              <w:left w:val="single" w:color="auto" w:sz="4" w:space="0"/>
              <w:bottom w:val="single" w:color="auto" w:sz="4" w:space="0"/>
              <w:right w:val="single" w:color="auto" w:sz="4" w:space="0"/>
            </w:tcBorders>
            <w:vAlign w:val="center"/>
          </w:tcPr>
          <w:p w14:paraId="48DD05BE">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14:paraId="6097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2" w:type="dxa"/>
            <w:tcBorders>
              <w:top w:val="single" w:color="auto" w:sz="4" w:space="0"/>
              <w:left w:val="single" w:color="auto" w:sz="4" w:space="0"/>
              <w:bottom w:val="single" w:color="auto" w:sz="4" w:space="0"/>
              <w:right w:val="single" w:color="auto" w:sz="4" w:space="0"/>
            </w:tcBorders>
            <w:vAlign w:val="center"/>
          </w:tcPr>
          <w:p w14:paraId="303BDAF7">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8</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75A496FA">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14:paraId="4D0AC400">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养老服务人员培训数量</w:t>
            </w:r>
          </w:p>
        </w:tc>
        <w:tc>
          <w:tcPr>
            <w:tcW w:w="752" w:type="dxa"/>
            <w:tcBorders>
              <w:top w:val="single" w:color="auto" w:sz="4" w:space="0"/>
              <w:left w:val="single" w:color="auto" w:sz="4" w:space="0"/>
              <w:bottom w:val="single" w:color="auto" w:sz="4" w:space="0"/>
              <w:right w:val="single" w:color="auto" w:sz="4" w:space="0"/>
            </w:tcBorders>
            <w:vAlign w:val="center"/>
          </w:tcPr>
          <w:p w14:paraId="15A24AF8">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万人次</w:t>
            </w:r>
          </w:p>
        </w:tc>
        <w:tc>
          <w:tcPr>
            <w:tcW w:w="1696" w:type="dxa"/>
            <w:tcBorders>
              <w:top w:val="single" w:color="auto" w:sz="4" w:space="0"/>
              <w:left w:val="single" w:color="auto" w:sz="4" w:space="0"/>
              <w:bottom w:val="single" w:color="auto" w:sz="4" w:space="0"/>
              <w:right w:val="single" w:color="auto" w:sz="4" w:space="0"/>
            </w:tcBorders>
            <w:vAlign w:val="center"/>
          </w:tcPr>
          <w:p w14:paraId="290FE80C">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0.3215</w:t>
            </w:r>
          </w:p>
        </w:tc>
        <w:tc>
          <w:tcPr>
            <w:tcW w:w="1696" w:type="dxa"/>
            <w:tcBorders>
              <w:top w:val="single" w:color="auto" w:sz="4" w:space="0"/>
              <w:left w:val="single" w:color="auto" w:sz="4" w:space="0"/>
              <w:bottom w:val="single" w:color="auto" w:sz="4" w:space="0"/>
              <w:right w:val="single" w:color="auto" w:sz="4" w:space="0"/>
            </w:tcBorders>
            <w:vAlign w:val="center"/>
          </w:tcPr>
          <w:p w14:paraId="0F402299">
            <w:pPr>
              <w:keepNext w:val="0"/>
              <w:keepLines w:val="0"/>
              <w:suppressLineNumbers w:val="0"/>
              <w:snapToGrid w:val="0"/>
              <w:spacing w:before="0" w:beforeAutospacing="0" w:after="0" w:afterAutospacing="0"/>
              <w:ind w:left="0" w:right="0"/>
              <w:jc w:val="center"/>
              <w:rPr>
                <w:rFonts w:hint="eastAsia" w:ascii="Times New Roman" w:eastAsia="仿宋_GB2312"/>
                <w:color w:val="auto"/>
                <w:szCs w:val="21"/>
                <w:u w:val="none"/>
                <w:lang w:eastAsia="zh-CN"/>
              </w:rPr>
            </w:pPr>
            <w:r>
              <w:rPr>
                <w:rFonts w:hint="default" w:ascii="Times New Roman"/>
                <w:color w:val="auto"/>
                <w:sz w:val="21"/>
                <w:szCs w:val="21"/>
                <w:u w:val="none"/>
                <w:lang w:bidi="ar"/>
              </w:rPr>
              <w:t>0.</w:t>
            </w:r>
            <w:r>
              <w:rPr>
                <w:rFonts w:hint="eastAsia" w:ascii="Times New Roman"/>
                <w:color w:val="auto"/>
                <w:sz w:val="21"/>
                <w:szCs w:val="21"/>
                <w:u w:val="none"/>
                <w:lang w:val="en-US" w:eastAsia="zh-CN" w:bidi="ar"/>
              </w:rPr>
              <w:t>6</w:t>
            </w:r>
          </w:p>
        </w:tc>
        <w:tc>
          <w:tcPr>
            <w:tcW w:w="1680" w:type="dxa"/>
            <w:tcBorders>
              <w:top w:val="single" w:color="auto" w:sz="4" w:space="0"/>
              <w:left w:val="single" w:color="auto" w:sz="4" w:space="0"/>
              <w:bottom w:val="single" w:color="auto" w:sz="4" w:space="0"/>
              <w:right w:val="single" w:color="auto" w:sz="4" w:space="0"/>
            </w:tcBorders>
            <w:vAlign w:val="center"/>
          </w:tcPr>
          <w:p w14:paraId="0184D1B0">
            <w:pPr>
              <w:keepNext w:val="0"/>
              <w:keepLines w:val="0"/>
              <w:suppressLineNumbers w:val="0"/>
              <w:snapToGrid w:val="0"/>
              <w:spacing w:before="0" w:beforeAutospacing="0" w:after="0" w:afterAutospacing="0"/>
              <w:ind w:left="0" w:right="0"/>
              <w:jc w:val="center"/>
              <w:rPr>
                <w:rFonts w:hint="eastAsia" w:ascii="Times New Roman" w:eastAsia="仿宋_GB2312"/>
                <w:color w:val="auto"/>
                <w:szCs w:val="21"/>
                <w:u w:val="none"/>
                <w:lang w:eastAsia="zh-CN"/>
              </w:rPr>
            </w:pPr>
            <w:r>
              <w:rPr>
                <w:rFonts w:hint="eastAsia" w:ascii="Times New Roman"/>
                <w:color w:val="auto"/>
                <w:sz w:val="21"/>
                <w:szCs w:val="21"/>
                <w:u w:val="none"/>
                <w:lang w:val="en-US" w:eastAsia="zh-CN" w:bidi="ar"/>
              </w:rPr>
              <w:t>1</w:t>
            </w:r>
          </w:p>
        </w:tc>
        <w:tc>
          <w:tcPr>
            <w:tcW w:w="1467" w:type="dxa"/>
            <w:tcBorders>
              <w:top w:val="single" w:color="auto" w:sz="4" w:space="0"/>
              <w:left w:val="single" w:color="auto" w:sz="4" w:space="0"/>
              <w:bottom w:val="single" w:color="auto" w:sz="4" w:space="0"/>
              <w:right w:val="single" w:color="auto" w:sz="4" w:space="0"/>
            </w:tcBorders>
            <w:vAlign w:val="center"/>
          </w:tcPr>
          <w:p w14:paraId="2AF783CC">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20</w:t>
            </w:r>
          </w:p>
        </w:tc>
        <w:tc>
          <w:tcPr>
            <w:tcW w:w="839" w:type="dxa"/>
            <w:tcBorders>
              <w:top w:val="single" w:color="auto" w:sz="4" w:space="0"/>
              <w:left w:val="single" w:color="auto" w:sz="4" w:space="0"/>
              <w:bottom w:val="single" w:color="auto" w:sz="4" w:space="0"/>
              <w:right w:val="single" w:color="auto" w:sz="4" w:space="0"/>
            </w:tcBorders>
            <w:vAlign w:val="center"/>
          </w:tcPr>
          <w:p w14:paraId="45A2D275">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14:paraId="1286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82" w:type="dxa"/>
            <w:vMerge w:val="restart"/>
            <w:tcBorders>
              <w:top w:val="single" w:color="auto" w:sz="4" w:space="0"/>
              <w:left w:val="single" w:color="auto" w:sz="4" w:space="0"/>
              <w:bottom w:val="single" w:color="auto" w:sz="4" w:space="0"/>
              <w:right w:val="single" w:color="auto" w:sz="4" w:space="0"/>
            </w:tcBorders>
            <w:vAlign w:val="center"/>
          </w:tcPr>
          <w:p w14:paraId="2F0B36C4">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9</w:t>
            </w:r>
          </w:p>
        </w:tc>
        <w:tc>
          <w:tcPr>
            <w:tcW w:w="848" w:type="dxa"/>
            <w:vMerge w:val="restart"/>
            <w:tcBorders>
              <w:top w:val="single" w:color="auto" w:sz="4" w:space="0"/>
              <w:left w:val="single" w:color="auto" w:sz="4" w:space="0"/>
              <w:bottom w:val="single" w:color="auto" w:sz="4" w:space="0"/>
              <w:right w:val="single" w:color="auto" w:sz="4" w:space="0"/>
            </w:tcBorders>
            <w:vAlign w:val="center"/>
          </w:tcPr>
          <w:p w14:paraId="548926A3">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儿童</w:t>
            </w:r>
          </w:p>
          <w:p w14:paraId="1FB3A474">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福利</w:t>
            </w:r>
          </w:p>
        </w:tc>
        <w:tc>
          <w:tcPr>
            <w:tcW w:w="2610" w:type="dxa"/>
            <w:vMerge w:val="restart"/>
            <w:tcBorders>
              <w:top w:val="single" w:color="auto" w:sz="4" w:space="0"/>
              <w:left w:val="single" w:color="auto" w:sz="4" w:space="0"/>
              <w:bottom w:val="single" w:color="auto" w:sz="4" w:space="0"/>
              <w:right w:val="single" w:color="auto" w:sz="4" w:space="0"/>
            </w:tcBorders>
            <w:vAlign w:val="center"/>
          </w:tcPr>
          <w:p w14:paraId="2A551CB4">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孤儿基本生活最低养育标准增长幅度</w:t>
            </w:r>
          </w:p>
        </w:tc>
        <w:tc>
          <w:tcPr>
            <w:tcW w:w="1246" w:type="dxa"/>
            <w:tcBorders>
              <w:top w:val="single" w:color="auto" w:sz="4" w:space="0"/>
              <w:left w:val="single" w:color="auto" w:sz="4" w:space="0"/>
              <w:bottom w:val="single" w:color="auto" w:sz="4" w:space="0"/>
              <w:right w:val="single" w:color="auto" w:sz="4" w:space="0"/>
            </w:tcBorders>
            <w:vAlign w:val="center"/>
          </w:tcPr>
          <w:p w14:paraId="3CB121DF">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集中养育</w:t>
            </w:r>
          </w:p>
        </w:tc>
        <w:tc>
          <w:tcPr>
            <w:tcW w:w="752" w:type="dxa"/>
            <w:vMerge w:val="restart"/>
            <w:tcBorders>
              <w:top w:val="single" w:color="auto" w:sz="4" w:space="0"/>
              <w:left w:val="single" w:color="auto" w:sz="4" w:space="0"/>
              <w:bottom w:val="single" w:color="auto" w:sz="4" w:space="0"/>
              <w:right w:val="single" w:color="auto" w:sz="4" w:space="0"/>
            </w:tcBorders>
            <w:vAlign w:val="center"/>
          </w:tcPr>
          <w:p w14:paraId="3F2AB821">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14:paraId="4CCA790C">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7</w:t>
            </w:r>
          </w:p>
        </w:tc>
        <w:tc>
          <w:tcPr>
            <w:tcW w:w="1696" w:type="dxa"/>
            <w:tcBorders>
              <w:top w:val="single" w:color="auto" w:sz="4" w:space="0"/>
              <w:left w:val="single" w:color="auto" w:sz="4" w:space="0"/>
              <w:bottom w:val="single" w:color="auto" w:sz="4" w:space="0"/>
              <w:right w:val="single" w:color="auto" w:sz="4" w:space="0"/>
            </w:tcBorders>
            <w:vAlign w:val="center"/>
          </w:tcPr>
          <w:p w14:paraId="676B0C6D">
            <w:pPr>
              <w:keepNext w:val="0"/>
              <w:keepLines w:val="0"/>
              <w:suppressLineNumbers w:val="0"/>
              <w:snapToGrid w:val="0"/>
              <w:spacing w:before="0" w:beforeAutospacing="0" w:after="0" w:afterAutospacing="0"/>
              <w:ind w:left="0" w:leftChars="0" w:right="0" w:rightChars="0"/>
              <w:jc w:val="center"/>
              <w:rPr>
                <w:rFonts w:hint="default" w:ascii="Times New Roman"/>
                <w:color w:val="auto"/>
                <w:szCs w:val="21"/>
                <w:u w:val="none"/>
              </w:rPr>
            </w:pPr>
            <w:r>
              <w:rPr>
                <w:rFonts w:hint="eastAsia" w:ascii="Times New Roman"/>
                <w:color w:val="auto"/>
                <w:sz w:val="21"/>
                <w:szCs w:val="21"/>
                <w:u w:val="none"/>
                <w:lang w:val="en-US" w:eastAsia="zh-CN" w:bidi="ar"/>
              </w:rPr>
              <w:t>参照低保标准调整幅度调增</w:t>
            </w:r>
          </w:p>
        </w:tc>
        <w:tc>
          <w:tcPr>
            <w:tcW w:w="1680" w:type="dxa"/>
            <w:tcBorders>
              <w:top w:val="single" w:color="auto" w:sz="4" w:space="0"/>
              <w:left w:val="single" w:color="auto" w:sz="4" w:space="0"/>
              <w:bottom w:val="single" w:color="auto" w:sz="4" w:space="0"/>
              <w:right w:val="single" w:color="auto" w:sz="4" w:space="0"/>
            </w:tcBorders>
            <w:vAlign w:val="center"/>
          </w:tcPr>
          <w:p w14:paraId="07DE1E0E">
            <w:pPr>
              <w:keepNext w:val="0"/>
              <w:keepLines w:val="0"/>
              <w:suppressLineNumbers w:val="0"/>
              <w:snapToGrid w:val="0"/>
              <w:spacing w:before="0" w:beforeAutospacing="0" w:after="0" w:afterAutospacing="0"/>
              <w:ind w:left="0" w:leftChars="0" w:right="0" w:rightChars="0"/>
              <w:jc w:val="center"/>
              <w:rPr>
                <w:rFonts w:hint="default" w:ascii="Times New Roman"/>
                <w:color w:val="auto"/>
                <w:szCs w:val="21"/>
                <w:u w:val="none"/>
              </w:rPr>
            </w:pPr>
            <w:r>
              <w:rPr>
                <w:rFonts w:hint="eastAsia" w:ascii="Times New Roman"/>
                <w:color w:val="auto"/>
                <w:sz w:val="21"/>
                <w:szCs w:val="21"/>
                <w:u w:val="none"/>
                <w:lang w:val="en-US" w:eastAsia="zh-CN" w:bidi="ar"/>
              </w:rPr>
              <w:t>参照低保标准调整幅度调增</w:t>
            </w:r>
          </w:p>
        </w:tc>
        <w:tc>
          <w:tcPr>
            <w:tcW w:w="1467" w:type="dxa"/>
            <w:vMerge w:val="restart"/>
            <w:tcBorders>
              <w:top w:val="single" w:color="auto" w:sz="4" w:space="0"/>
              <w:left w:val="single" w:color="auto" w:sz="4" w:space="0"/>
              <w:bottom w:val="single" w:color="auto" w:sz="4" w:space="0"/>
              <w:right w:val="single" w:color="auto" w:sz="4" w:space="0"/>
            </w:tcBorders>
            <w:vAlign w:val="center"/>
          </w:tcPr>
          <w:p w14:paraId="795B6EBF">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不低于上年度当地居民人均消费性支出增长幅度</w:t>
            </w:r>
          </w:p>
        </w:tc>
        <w:tc>
          <w:tcPr>
            <w:tcW w:w="839" w:type="dxa"/>
            <w:tcBorders>
              <w:top w:val="single" w:color="auto" w:sz="4" w:space="0"/>
              <w:left w:val="single" w:color="auto" w:sz="4" w:space="0"/>
              <w:bottom w:val="single" w:color="auto" w:sz="4" w:space="0"/>
              <w:right w:val="single" w:color="auto" w:sz="4" w:space="0"/>
            </w:tcBorders>
            <w:vAlign w:val="center"/>
          </w:tcPr>
          <w:p w14:paraId="23D63A6B">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r>
              <w:rPr>
                <w:rFonts w:hint="default" w:ascii="Times New Roman"/>
                <w:color w:val="auto"/>
                <w:sz w:val="21"/>
                <w:szCs w:val="21"/>
                <w:u w:val="none"/>
                <w:lang w:bidi="ar"/>
              </w:rPr>
              <mc:AlternateContent>
                <mc:Choice Requires="wps">
                  <w:drawing>
                    <wp:anchor distT="0" distB="0" distL="114300" distR="114300" simplePos="0" relativeHeight="251659264" behindDoc="1" locked="0" layoutInCell="1" allowOverlap="1">
                      <wp:simplePos x="0" y="0"/>
                      <wp:positionH relativeFrom="column">
                        <wp:posOffset>267335</wp:posOffset>
                      </wp:positionH>
                      <wp:positionV relativeFrom="paragraph">
                        <wp:posOffset>321945</wp:posOffset>
                      </wp:positionV>
                      <wp:extent cx="669290" cy="461645"/>
                      <wp:effectExtent l="0" t="0" r="16510" b="14605"/>
                      <wp:wrapNone/>
                      <wp:docPr id="7" name="矩形 7"/>
                      <wp:cNvGraphicFramePr/>
                      <a:graphic xmlns:a="http://schemas.openxmlformats.org/drawingml/2006/main">
                        <a:graphicData uri="http://schemas.microsoft.com/office/word/2010/wordprocessingShape">
                          <wps:wsp>
                            <wps:cNvSpPr/>
                            <wps:spPr>
                              <a:xfrm>
                                <a:off x="0" y="0"/>
                                <a:ext cx="669290" cy="461645"/>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05pt;margin-top:25.35pt;height:36.35pt;width:52.7pt;z-index:-251657216;v-text-anchor:middle;mso-width-relative:page;mso-height-relative:page;" fillcolor="#FFFFFF" filled="t" stroked="f" coordsize="21600,21600" o:gfxdata="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K46PE/ZAAAACQEAAA8AAAAAAAAAAQAgAAAAIgAAAGRycy9kb3du&#10;cmV2LnhtbFBLAQIUABQAAAAIAIdO4kBVbdCXcAIAANgEAAAOAAAAAAAAAAEAIAAAACgBAABkcnMv&#10;ZTJvRG9jLnhtbFBLBQYAAAAABgAGAFkBAAAKBgAAAAA=&#10;">
                      <v:fill on="t" focussize="0,0"/>
                      <v:stroke on="f" weight="1pt" miterlimit="8" joinstyle="miter"/>
                      <v:imagedata o:title=""/>
                      <o:lock v:ext="edit" aspectratio="f"/>
                    </v:rect>
                  </w:pict>
                </mc:Fallback>
              </mc:AlternateContent>
            </w:r>
          </w:p>
        </w:tc>
      </w:tr>
      <w:tr w14:paraId="76FD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2" w:type="dxa"/>
            <w:vMerge w:val="continue"/>
            <w:tcBorders>
              <w:top w:val="single" w:color="auto" w:sz="4" w:space="0"/>
              <w:left w:val="single" w:color="auto" w:sz="4" w:space="0"/>
              <w:bottom w:val="single" w:color="auto" w:sz="4" w:space="0"/>
              <w:right w:val="single" w:color="auto" w:sz="4" w:space="0"/>
            </w:tcBorders>
            <w:vAlign w:val="center"/>
          </w:tcPr>
          <w:p w14:paraId="38F52719">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23E6931A">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14:paraId="45165BB5">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1246" w:type="dxa"/>
            <w:tcBorders>
              <w:top w:val="single" w:color="auto" w:sz="4" w:space="0"/>
              <w:left w:val="single" w:color="auto" w:sz="4" w:space="0"/>
              <w:bottom w:val="single" w:color="auto" w:sz="4" w:space="0"/>
              <w:right w:val="single" w:color="auto" w:sz="4" w:space="0"/>
            </w:tcBorders>
            <w:vAlign w:val="center"/>
          </w:tcPr>
          <w:p w14:paraId="7938FB0D">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分散供养</w:t>
            </w:r>
          </w:p>
        </w:tc>
        <w:tc>
          <w:tcPr>
            <w:tcW w:w="752" w:type="dxa"/>
            <w:vMerge w:val="continue"/>
            <w:tcBorders>
              <w:top w:val="single" w:color="auto" w:sz="4" w:space="0"/>
              <w:left w:val="single" w:color="auto" w:sz="4" w:space="0"/>
              <w:bottom w:val="single" w:color="auto" w:sz="4" w:space="0"/>
              <w:right w:val="single" w:color="auto" w:sz="4" w:space="0"/>
            </w:tcBorders>
            <w:vAlign w:val="center"/>
          </w:tcPr>
          <w:p w14:paraId="553CF1F8">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1696" w:type="dxa"/>
            <w:tcBorders>
              <w:top w:val="single" w:color="auto" w:sz="4" w:space="0"/>
              <w:left w:val="single" w:color="auto" w:sz="4" w:space="0"/>
              <w:bottom w:val="single" w:color="auto" w:sz="4" w:space="0"/>
              <w:right w:val="single" w:color="auto" w:sz="4" w:space="0"/>
            </w:tcBorders>
            <w:vAlign w:val="center"/>
          </w:tcPr>
          <w:p w14:paraId="39906221">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4.7</w:t>
            </w:r>
          </w:p>
        </w:tc>
        <w:tc>
          <w:tcPr>
            <w:tcW w:w="1696" w:type="dxa"/>
            <w:tcBorders>
              <w:top w:val="single" w:color="auto" w:sz="4" w:space="0"/>
              <w:left w:val="single" w:color="auto" w:sz="4" w:space="0"/>
              <w:bottom w:val="single" w:color="auto" w:sz="4" w:space="0"/>
              <w:right w:val="single" w:color="auto" w:sz="4" w:space="0"/>
            </w:tcBorders>
            <w:vAlign w:val="center"/>
          </w:tcPr>
          <w:p w14:paraId="56395164">
            <w:pPr>
              <w:keepNext w:val="0"/>
              <w:keepLines w:val="0"/>
              <w:suppressLineNumbers w:val="0"/>
              <w:snapToGrid w:val="0"/>
              <w:spacing w:before="0" w:beforeAutospacing="0" w:after="0" w:afterAutospacing="0"/>
              <w:ind w:left="0" w:leftChars="0" w:right="0" w:rightChars="0"/>
              <w:jc w:val="center"/>
              <w:rPr>
                <w:rFonts w:hint="default" w:ascii="Times New Roman"/>
                <w:color w:val="auto"/>
                <w:szCs w:val="21"/>
                <w:u w:val="none"/>
              </w:rPr>
            </w:pPr>
            <w:r>
              <w:rPr>
                <w:rFonts w:hint="eastAsia" w:ascii="Times New Roman"/>
                <w:color w:val="auto"/>
                <w:sz w:val="21"/>
                <w:szCs w:val="21"/>
                <w:u w:val="none"/>
                <w:lang w:val="en-US" w:eastAsia="zh-CN" w:bidi="ar"/>
              </w:rPr>
              <w:t>参照低保标准调整幅度调增</w:t>
            </w:r>
          </w:p>
        </w:tc>
        <w:tc>
          <w:tcPr>
            <w:tcW w:w="1680" w:type="dxa"/>
            <w:tcBorders>
              <w:top w:val="single" w:color="auto" w:sz="4" w:space="0"/>
              <w:left w:val="single" w:color="auto" w:sz="4" w:space="0"/>
              <w:bottom w:val="single" w:color="auto" w:sz="4" w:space="0"/>
              <w:right w:val="single" w:color="auto" w:sz="4" w:space="0"/>
            </w:tcBorders>
            <w:vAlign w:val="center"/>
          </w:tcPr>
          <w:p w14:paraId="26377136">
            <w:pPr>
              <w:keepNext w:val="0"/>
              <w:keepLines w:val="0"/>
              <w:suppressLineNumbers w:val="0"/>
              <w:snapToGrid w:val="0"/>
              <w:spacing w:before="0" w:beforeAutospacing="0" w:after="0" w:afterAutospacing="0"/>
              <w:ind w:left="0" w:leftChars="0" w:right="0" w:rightChars="0"/>
              <w:jc w:val="center"/>
              <w:rPr>
                <w:rFonts w:hint="default" w:ascii="Times New Roman"/>
                <w:color w:val="auto"/>
                <w:szCs w:val="21"/>
                <w:u w:val="none"/>
              </w:rPr>
            </w:pPr>
            <w:r>
              <w:rPr>
                <w:rFonts w:hint="eastAsia" w:ascii="Times New Roman"/>
                <w:color w:val="auto"/>
                <w:sz w:val="21"/>
                <w:szCs w:val="21"/>
                <w:u w:val="none"/>
                <w:lang w:val="en-US" w:eastAsia="zh-CN" w:bidi="ar"/>
              </w:rPr>
              <w:t>参照低保标准调整幅度调增</w:t>
            </w:r>
          </w:p>
        </w:tc>
        <w:tc>
          <w:tcPr>
            <w:tcW w:w="1467" w:type="dxa"/>
            <w:vMerge w:val="continue"/>
            <w:tcBorders>
              <w:top w:val="single" w:color="auto" w:sz="4" w:space="0"/>
              <w:left w:val="single" w:color="auto" w:sz="4" w:space="0"/>
              <w:bottom w:val="single" w:color="auto" w:sz="4" w:space="0"/>
              <w:right w:val="single" w:color="auto" w:sz="4" w:space="0"/>
            </w:tcBorders>
            <w:vAlign w:val="center"/>
          </w:tcPr>
          <w:p w14:paraId="569712E5">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75B237BD">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p>
        </w:tc>
      </w:tr>
      <w:tr w14:paraId="2719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82" w:type="dxa"/>
            <w:tcBorders>
              <w:top w:val="single" w:color="auto" w:sz="4" w:space="0"/>
              <w:left w:val="single" w:color="auto" w:sz="4" w:space="0"/>
              <w:bottom w:val="single" w:color="auto" w:sz="4" w:space="0"/>
              <w:right w:val="single" w:color="auto" w:sz="4" w:space="0"/>
            </w:tcBorders>
            <w:vAlign w:val="center"/>
          </w:tcPr>
          <w:p w14:paraId="633E93EA">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2DA363EE">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14:paraId="292C7399">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事实无人抚养儿童生活保障标准</w:t>
            </w:r>
          </w:p>
        </w:tc>
        <w:tc>
          <w:tcPr>
            <w:tcW w:w="752" w:type="dxa"/>
            <w:tcBorders>
              <w:top w:val="single" w:color="auto" w:sz="4" w:space="0"/>
              <w:left w:val="single" w:color="auto" w:sz="4" w:space="0"/>
              <w:bottom w:val="single" w:color="auto" w:sz="4" w:space="0"/>
              <w:right w:val="single" w:color="auto" w:sz="4" w:space="0"/>
            </w:tcBorders>
            <w:vAlign w:val="center"/>
          </w:tcPr>
          <w:p w14:paraId="653AA7E4">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元/人/月</w:t>
            </w:r>
          </w:p>
        </w:tc>
        <w:tc>
          <w:tcPr>
            <w:tcW w:w="1696" w:type="dxa"/>
            <w:tcBorders>
              <w:top w:val="single" w:color="auto" w:sz="4" w:space="0"/>
              <w:left w:val="single" w:color="auto" w:sz="4" w:space="0"/>
              <w:bottom w:val="single" w:color="auto" w:sz="4" w:space="0"/>
              <w:right w:val="single" w:color="auto" w:sz="4" w:space="0"/>
            </w:tcBorders>
            <w:vAlign w:val="center"/>
          </w:tcPr>
          <w:p w14:paraId="6DCF44F7">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1550</w:t>
            </w:r>
          </w:p>
        </w:tc>
        <w:tc>
          <w:tcPr>
            <w:tcW w:w="1696" w:type="dxa"/>
            <w:tcBorders>
              <w:top w:val="single" w:color="auto" w:sz="4" w:space="0"/>
              <w:left w:val="single" w:color="auto" w:sz="4" w:space="0"/>
              <w:bottom w:val="single" w:color="auto" w:sz="4" w:space="0"/>
              <w:right w:val="single" w:color="auto" w:sz="4" w:space="0"/>
            </w:tcBorders>
            <w:vAlign w:val="center"/>
          </w:tcPr>
          <w:p w14:paraId="4DC270F8">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参照当年度分散供养孤儿生活保障标准</w:t>
            </w:r>
          </w:p>
        </w:tc>
        <w:tc>
          <w:tcPr>
            <w:tcW w:w="1680" w:type="dxa"/>
            <w:tcBorders>
              <w:top w:val="single" w:color="auto" w:sz="4" w:space="0"/>
              <w:left w:val="single" w:color="auto" w:sz="4" w:space="0"/>
              <w:bottom w:val="single" w:color="auto" w:sz="4" w:space="0"/>
              <w:right w:val="single" w:color="auto" w:sz="4" w:space="0"/>
            </w:tcBorders>
            <w:vAlign w:val="center"/>
          </w:tcPr>
          <w:p w14:paraId="20752D02">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参照当年度分散供养孤儿生活保障标准</w:t>
            </w:r>
          </w:p>
        </w:tc>
        <w:tc>
          <w:tcPr>
            <w:tcW w:w="1467" w:type="dxa"/>
            <w:tcBorders>
              <w:top w:val="single" w:color="auto" w:sz="4" w:space="0"/>
              <w:left w:val="single" w:color="auto" w:sz="4" w:space="0"/>
              <w:bottom w:val="single" w:color="auto" w:sz="4" w:space="0"/>
              <w:right w:val="single" w:color="auto" w:sz="4" w:space="0"/>
            </w:tcBorders>
            <w:vAlign w:val="center"/>
          </w:tcPr>
          <w:p w14:paraId="1E51B7F2">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参照当年度分散供养孤儿生活保障标准</w:t>
            </w:r>
          </w:p>
        </w:tc>
        <w:tc>
          <w:tcPr>
            <w:tcW w:w="839" w:type="dxa"/>
            <w:tcBorders>
              <w:top w:val="single" w:color="auto" w:sz="4" w:space="0"/>
              <w:left w:val="single" w:color="auto" w:sz="4" w:space="0"/>
              <w:bottom w:val="single" w:color="auto" w:sz="4" w:space="0"/>
              <w:right w:val="single" w:color="auto" w:sz="4" w:space="0"/>
            </w:tcBorders>
            <w:vAlign w:val="center"/>
          </w:tcPr>
          <w:p w14:paraId="1C522082">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p>
        </w:tc>
      </w:tr>
      <w:tr w14:paraId="199A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82" w:type="dxa"/>
            <w:tcBorders>
              <w:top w:val="single" w:color="auto" w:sz="4" w:space="0"/>
              <w:left w:val="single" w:color="auto" w:sz="4" w:space="0"/>
              <w:bottom w:val="single" w:color="auto" w:sz="4" w:space="0"/>
              <w:right w:val="single" w:color="auto" w:sz="4" w:space="0"/>
            </w:tcBorders>
            <w:vAlign w:val="center"/>
          </w:tcPr>
          <w:p w14:paraId="365A28A4">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11</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59F37878">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14:paraId="67F289D4">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乡镇（街道）人民政府未成年保护工作站覆盖率</w:t>
            </w:r>
          </w:p>
        </w:tc>
        <w:tc>
          <w:tcPr>
            <w:tcW w:w="752" w:type="dxa"/>
            <w:tcBorders>
              <w:top w:val="single" w:color="auto" w:sz="4" w:space="0"/>
              <w:left w:val="single" w:color="auto" w:sz="4" w:space="0"/>
              <w:bottom w:val="single" w:color="auto" w:sz="4" w:space="0"/>
              <w:right w:val="single" w:color="auto" w:sz="4" w:space="0"/>
            </w:tcBorders>
            <w:vAlign w:val="center"/>
          </w:tcPr>
          <w:p w14:paraId="4573125C">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14:paraId="39BB5A6A">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0</w:t>
            </w:r>
          </w:p>
        </w:tc>
        <w:tc>
          <w:tcPr>
            <w:tcW w:w="1696" w:type="dxa"/>
            <w:tcBorders>
              <w:top w:val="single" w:color="auto" w:sz="4" w:space="0"/>
              <w:left w:val="single" w:color="auto" w:sz="4" w:space="0"/>
              <w:bottom w:val="single" w:color="auto" w:sz="4" w:space="0"/>
              <w:right w:val="single" w:color="auto" w:sz="4" w:space="0"/>
            </w:tcBorders>
            <w:vAlign w:val="center"/>
          </w:tcPr>
          <w:p w14:paraId="59D90357">
            <w:pPr>
              <w:keepNext w:val="0"/>
              <w:keepLines w:val="0"/>
              <w:suppressLineNumbers w:val="0"/>
              <w:snapToGrid w:val="0"/>
              <w:spacing w:before="0" w:beforeAutospacing="0" w:after="0" w:afterAutospacing="0"/>
              <w:ind w:left="0" w:right="0"/>
              <w:jc w:val="center"/>
              <w:rPr>
                <w:rFonts w:hint="default" w:ascii="Times New Roman" w:eastAsia="仿宋_GB2312"/>
                <w:color w:val="auto"/>
                <w:szCs w:val="21"/>
                <w:u w:val="none"/>
                <w:lang w:val="en-US" w:eastAsia="zh-CN"/>
              </w:rPr>
            </w:pPr>
            <w:r>
              <w:rPr>
                <w:rFonts w:hint="eastAsia" w:ascii="Times New Roman"/>
                <w:color w:val="auto"/>
                <w:sz w:val="21"/>
                <w:szCs w:val="21"/>
                <w:u w:val="none"/>
                <w:lang w:val="en-US" w:eastAsia="zh-CN" w:bidi="ar"/>
              </w:rPr>
              <w:t>100</w:t>
            </w:r>
          </w:p>
        </w:tc>
        <w:tc>
          <w:tcPr>
            <w:tcW w:w="1680" w:type="dxa"/>
            <w:tcBorders>
              <w:top w:val="single" w:color="auto" w:sz="4" w:space="0"/>
              <w:left w:val="single" w:color="auto" w:sz="4" w:space="0"/>
              <w:bottom w:val="single" w:color="auto" w:sz="4" w:space="0"/>
              <w:right w:val="single" w:color="auto" w:sz="4" w:space="0"/>
            </w:tcBorders>
            <w:vAlign w:val="center"/>
          </w:tcPr>
          <w:p w14:paraId="1CC459AF">
            <w:pPr>
              <w:keepNext w:val="0"/>
              <w:keepLines w:val="0"/>
              <w:suppressLineNumbers w:val="0"/>
              <w:snapToGrid w:val="0"/>
              <w:spacing w:before="0" w:beforeAutospacing="0" w:after="0" w:afterAutospacing="0"/>
              <w:ind w:left="0" w:right="0"/>
              <w:jc w:val="center"/>
              <w:rPr>
                <w:rFonts w:hint="default" w:ascii="Times New Roman" w:eastAsia="仿宋_GB2312"/>
                <w:color w:val="auto"/>
                <w:szCs w:val="21"/>
                <w:u w:val="none"/>
                <w:lang w:val="en-US" w:eastAsia="zh-CN"/>
              </w:rPr>
            </w:pPr>
            <w:r>
              <w:rPr>
                <w:rFonts w:hint="eastAsia" w:ascii="Times New Roman"/>
                <w:color w:val="auto"/>
                <w:sz w:val="21"/>
                <w:szCs w:val="21"/>
                <w:u w:val="none"/>
                <w:lang w:val="en-US" w:eastAsia="zh-CN" w:bidi="ar"/>
              </w:rPr>
              <w:t>100</w:t>
            </w:r>
          </w:p>
        </w:tc>
        <w:tc>
          <w:tcPr>
            <w:tcW w:w="1467" w:type="dxa"/>
            <w:tcBorders>
              <w:top w:val="single" w:color="auto" w:sz="4" w:space="0"/>
              <w:left w:val="single" w:color="auto" w:sz="4" w:space="0"/>
              <w:bottom w:val="single" w:color="auto" w:sz="4" w:space="0"/>
              <w:right w:val="single" w:color="auto" w:sz="4" w:space="0"/>
            </w:tcBorders>
            <w:vAlign w:val="center"/>
          </w:tcPr>
          <w:p w14:paraId="6B2B61EC">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&gt;50</w:t>
            </w:r>
          </w:p>
        </w:tc>
        <w:tc>
          <w:tcPr>
            <w:tcW w:w="839" w:type="dxa"/>
            <w:tcBorders>
              <w:top w:val="single" w:color="auto" w:sz="4" w:space="0"/>
              <w:left w:val="single" w:color="auto" w:sz="4" w:space="0"/>
              <w:bottom w:val="single" w:color="auto" w:sz="4" w:space="0"/>
              <w:right w:val="single" w:color="auto" w:sz="4" w:space="0"/>
            </w:tcBorders>
            <w:vAlign w:val="center"/>
          </w:tcPr>
          <w:p w14:paraId="692AF0C6">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14:paraId="3581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82" w:type="dxa"/>
            <w:tcBorders>
              <w:top w:val="single" w:color="auto" w:sz="4" w:space="0"/>
              <w:left w:val="single" w:color="auto" w:sz="4" w:space="0"/>
              <w:bottom w:val="single" w:color="auto" w:sz="4" w:space="0"/>
              <w:right w:val="single" w:color="auto" w:sz="4" w:space="0"/>
            </w:tcBorders>
            <w:vAlign w:val="center"/>
          </w:tcPr>
          <w:p w14:paraId="4C3E3628">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12</w:t>
            </w:r>
          </w:p>
        </w:tc>
        <w:tc>
          <w:tcPr>
            <w:tcW w:w="848" w:type="dxa"/>
            <w:vMerge w:val="restart"/>
            <w:tcBorders>
              <w:top w:val="single" w:color="auto" w:sz="4" w:space="0"/>
              <w:left w:val="single" w:color="auto" w:sz="4" w:space="0"/>
              <w:bottom w:val="single" w:color="auto" w:sz="4" w:space="0"/>
              <w:right w:val="single" w:color="auto" w:sz="4" w:space="0"/>
            </w:tcBorders>
            <w:vAlign w:val="center"/>
          </w:tcPr>
          <w:p w14:paraId="78B30176">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慈善</w:t>
            </w:r>
          </w:p>
          <w:p w14:paraId="4A413A19">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事业</w:t>
            </w:r>
          </w:p>
        </w:tc>
        <w:tc>
          <w:tcPr>
            <w:tcW w:w="3856" w:type="dxa"/>
            <w:gridSpan w:val="2"/>
            <w:tcBorders>
              <w:top w:val="single" w:color="auto" w:sz="4" w:space="0"/>
              <w:left w:val="single" w:color="auto" w:sz="4" w:space="0"/>
              <w:bottom w:val="single" w:color="auto" w:sz="4" w:space="0"/>
              <w:right w:val="single" w:color="auto" w:sz="4" w:space="0"/>
            </w:tcBorders>
            <w:vAlign w:val="center"/>
          </w:tcPr>
          <w:p w14:paraId="7297307F">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慈善信托数量</w:t>
            </w:r>
          </w:p>
        </w:tc>
        <w:tc>
          <w:tcPr>
            <w:tcW w:w="752" w:type="dxa"/>
            <w:tcBorders>
              <w:top w:val="single" w:color="auto" w:sz="4" w:space="0"/>
              <w:left w:val="single" w:color="auto" w:sz="4" w:space="0"/>
              <w:bottom w:val="single" w:color="auto" w:sz="4" w:space="0"/>
              <w:right w:val="single" w:color="auto" w:sz="4" w:space="0"/>
            </w:tcBorders>
            <w:vAlign w:val="center"/>
          </w:tcPr>
          <w:p w14:paraId="5F0803E2">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个</w:t>
            </w:r>
          </w:p>
        </w:tc>
        <w:tc>
          <w:tcPr>
            <w:tcW w:w="1696" w:type="dxa"/>
            <w:tcBorders>
              <w:top w:val="single" w:color="auto" w:sz="4" w:space="0"/>
              <w:left w:val="single" w:color="auto" w:sz="4" w:space="0"/>
              <w:bottom w:val="single" w:color="auto" w:sz="4" w:space="0"/>
              <w:right w:val="single" w:color="auto" w:sz="4" w:space="0"/>
            </w:tcBorders>
            <w:vAlign w:val="center"/>
          </w:tcPr>
          <w:p w14:paraId="5EC09330">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0</w:t>
            </w:r>
          </w:p>
        </w:tc>
        <w:tc>
          <w:tcPr>
            <w:tcW w:w="1696" w:type="dxa"/>
            <w:tcBorders>
              <w:top w:val="single" w:color="auto" w:sz="4" w:space="0"/>
              <w:left w:val="single" w:color="auto" w:sz="4" w:space="0"/>
              <w:bottom w:val="single" w:color="auto" w:sz="4" w:space="0"/>
              <w:right w:val="single" w:color="auto" w:sz="4" w:space="0"/>
            </w:tcBorders>
            <w:vAlign w:val="center"/>
          </w:tcPr>
          <w:p w14:paraId="046B9529">
            <w:pPr>
              <w:keepNext w:val="0"/>
              <w:keepLines w:val="0"/>
              <w:suppressLineNumbers w:val="0"/>
              <w:snapToGrid w:val="0"/>
              <w:spacing w:before="0" w:beforeAutospacing="0" w:after="0" w:afterAutospacing="0"/>
              <w:ind w:left="0" w:right="0"/>
              <w:jc w:val="center"/>
              <w:rPr>
                <w:rFonts w:hint="eastAsia" w:ascii="Times New Roman" w:eastAsia="仿宋_GB2312"/>
                <w:color w:val="auto"/>
                <w:sz w:val="21"/>
                <w:szCs w:val="21"/>
                <w:u w:val="none"/>
                <w:lang w:val="en-US" w:eastAsia="zh-CN"/>
              </w:rPr>
            </w:pPr>
            <w:r>
              <w:rPr>
                <w:rFonts w:hint="eastAsia" w:ascii="Times New Roman"/>
                <w:color w:val="auto"/>
                <w:sz w:val="21"/>
                <w:szCs w:val="21"/>
                <w:u w:val="none"/>
                <w:lang w:val="en-US" w:eastAsia="zh-CN"/>
              </w:rPr>
              <w:t>5</w:t>
            </w:r>
          </w:p>
        </w:tc>
        <w:tc>
          <w:tcPr>
            <w:tcW w:w="1680" w:type="dxa"/>
            <w:tcBorders>
              <w:top w:val="single" w:color="auto" w:sz="4" w:space="0"/>
              <w:left w:val="single" w:color="auto" w:sz="4" w:space="0"/>
              <w:bottom w:val="single" w:color="auto" w:sz="4" w:space="0"/>
              <w:right w:val="single" w:color="auto" w:sz="4" w:space="0"/>
            </w:tcBorders>
            <w:vAlign w:val="center"/>
          </w:tcPr>
          <w:p w14:paraId="06BB7601">
            <w:pPr>
              <w:keepNext w:val="0"/>
              <w:keepLines w:val="0"/>
              <w:suppressLineNumbers w:val="0"/>
              <w:snapToGrid w:val="0"/>
              <w:spacing w:before="0" w:beforeAutospacing="0" w:after="0" w:afterAutospacing="0"/>
              <w:ind w:left="0" w:right="0"/>
              <w:jc w:val="center"/>
              <w:rPr>
                <w:rFonts w:hint="eastAsia" w:ascii="Times New Roman" w:eastAsia="仿宋_GB2312"/>
                <w:color w:val="auto"/>
                <w:sz w:val="21"/>
                <w:szCs w:val="21"/>
                <w:u w:val="none"/>
                <w:lang w:val="en-US" w:eastAsia="zh-CN"/>
              </w:rPr>
            </w:pPr>
            <w:r>
              <w:rPr>
                <w:rFonts w:hint="eastAsia" w:ascii="Times New Roman"/>
                <w:color w:val="auto"/>
                <w:sz w:val="21"/>
                <w:szCs w:val="21"/>
                <w:u w:val="none"/>
                <w:lang w:val="en-US" w:eastAsia="zh-CN"/>
              </w:rPr>
              <w:t>8</w:t>
            </w:r>
          </w:p>
        </w:tc>
        <w:tc>
          <w:tcPr>
            <w:tcW w:w="1467" w:type="dxa"/>
            <w:tcBorders>
              <w:top w:val="single" w:color="auto" w:sz="4" w:space="0"/>
              <w:left w:val="single" w:color="auto" w:sz="4" w:space="0"/>
              <w:bottom w:val="single" w:color="auto" w:sz="4" w:space="0"/>
              <w:right w:val="single" w:color="auto" w:sz="4" w:space="0"/>
            </w:tcBorders>
            <w:vAlign w:val="center"/>
          </w:tcPr>
          <w:p w14:paraId="497FFDC8">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110</w:t>
            </w:r>
          </w:p>
        </w:tc>
        <w:tc>
          <w:tcPr>
            <w:tcW w:w="839" w:type="dxa"/>
            <w:tcBorders>
              <w:top w:val="single" w:color="auto" w:sz="4" w:space="0"/>
              <w:left w:val="single" w:color="auto" w:sz="4" w:space="0"/>
              <w:bottom w:val="single" w:color="auto" w:sz="4" w:space="0"/>
              <w:right w:val="single" w:color="auto" w:sz="4" w:space="0"/>
            </w:tcBorders>
            <w:vAlign w:val="center"/>
          </w:tcPr>
          <w:p w14:paraId="588BBFAB">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14:paraId="59C1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82" w:type="dxa"/>
            <w:tcBorders>
              <w:top w:val="single" w:color="auto" w:sz="4" w:space="0"/>
              <w:left w:val="single" w:color="auto" w:sz="4" w:space="0"/>
              <w:bottom w:val="single" w:color="auto" w:sz="4" w:space="0"/>
              <w:right w:val="single" w:color="auto" w:sz="4" w:space="0"/>
            </w:tcBorders>
            <w:vAlign w:val="center"/>
          </w:tcPr>
          <w:p w14:paraId="66D3E22D">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13</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18C151FB">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14:paraId="15361EC2">
            <w:pPr>
              <w:keepNext w:val="0"/>
              <w:keepLines w:val="0"/>
              <w:suppressLineNumbers w:val="0"/>
              <w:snapToGrid w:val="0"/>
              <w:spacing w:before="0" w:beforeAutospacing="0" w:after="0" w:afterAutospacing="0"/>
              <w:ind w:left="0" w:right="0"/>
              <w:jc w:val="center"/>
              <w:rPr>
                <w:rFonts w:hint="default" w:ascii="Times New Roman"/>
                <w:color w:val="auto"/>
                <w:sz w:val="21"/>
                <w:szCs w:val="21"/>
                <w:u w:val="none"/>
                <w:lang w:bidi="ar"/>
              </w:rPr>
            </w:pPr>
            <w:r>
              <w:rPr>
                <w:rFonts w:hint="default" w:ascii="Times New Roman"/>
                <w:color w:val="auto"/>
                <w:sz w:val="21"/>
                <w:szCs w:val="21"/>
                <w:u w:val="none"/>
                <w:lang w:bidi="ar"/>
              </w:rPr>
              <w:t>志愿服务站点在社区综合服务设施中的</w:t>
            </w:r>
          </w:p>
          <w:p w14:paraId="70CE567F">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覆盖率</w:t>
            </w:r>
          </w:p>
        </w:tc>
        <w:tc>
          <w:tcPr>
            <w:tcW w:w="752" w:type="dxa"/>
            <w:tcBorders>
              <w:top w:val="single" w:color="auto" w:sz="4" w:space="0"/>
              <w:left w:val="single" w:color="auto" w:sz="4" w:space="0"/>
              <w:bottom w:val="single" w:color="auto" w:sz="4" w:space="0"/>
              <w:right w:val="single" w:color="auto" w:sz="4" w:space="0"/>
            </w:tcBorders>
            <w:vAlign w:val="center"/>
          </w:tcPr>
          <w:p w14:paraId="37CEFC14">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14:paraId="26A9BDF7">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50</w:t>
            </w:r>
          </w:p>
        </w:tc>
        <w:tc>
          <w:tcPr>
            <w:tcW w:w="1696" w:type="dxa"/>
            <w:tcBorders>
              <w:top w:val="single" w:color="auto" w:sz="4" w:space="0"/>
              <w:left w:val="single" w:color="auto" w:sz="4" w:space="0"/>
              <w:bottom w:val="single" w:color="auto" w:sz="4" w:space="0"/>
              <w:right w:val="single" w:color="auto" w:sz="4" w:space="0"/>
            </w:tcBorders>
            <w:vAlign w:val="center"/>
          </w:tcPr>
          <w:p w14:paraId="3604FD44">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65</w:t>
            </w:r>
          </w:p>
        </w:tc>
        <w:tc>
          <w:tcPr>
            <w:tcW w:w="1680" w:type="dxa"/>
            <w:tcBorders>
              <w:top w:val="single" w:color="auto" w:sz="4" w:space="0"/>
              <w:left w:val="single" w:color="auto" w:sz="4" w:space="0"/>
              <w:bottom w:val="single" w:color="auto" w:sz="4" w:space="0"/>
              <w:right w:val="single" w:color="auto" w:sz="4" w:space="0"/>
            </w:tcBorders>
            <w:vAlign w:val="center"/>
          </w:tcPr>
          <w:p w14:paraId="5E2A2661">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80</w:t>
            </w:r>
          </w:p>
        </w:tc>
        <w:tc>
          <w:tcPr>
            <w:tcW w:w="1467" w:type="dxa"/>
            <w:tcBorders>
              <w:top w:val="single" w:color="auto" w:sz="4" w:space="0"/>
              <w:left w:val="single" w:color="auto" w:sz="4" w:space="0"/>
              <w:bottom w:val="single" w:color="auto" w:sz="4" w:space="0"/>
              <w:right w:val="single" w:color="auto" w:sz="4" w:space="0"/>
            </w:tcBorders>
            <w:vAlign w:val="center"/>
          </w:tcPr>
          <w:p w14:paraId="110A6F38">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80</w:t>
            </w:r>
          </w:p>
        </w:tc>
        <w:tc>
          <w:tcPr>
            <w:tcW w:w="839" w:type="dxa"/>
            <w:tcBorders>
              <w:top w:val="single" w:color="auto" w:sz="4" w:space="0"/>
              <w:left w:val="single" w:color="auto" w:sz="4" w:space="0"/>
              <w:bottom w:val="single" w:color="auto" w:sz="4" w:space="0"/>
              <w:right w:val="single" w:color="auto" w:sz="4" w:space="0"/>
            </w:tcBorders>
            <w:vAlign w:val="center"/>
          </w:tcPr>
          <w:p w14:paraId="35C22DDF">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14:paraId="7CFA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82" w:type="dxa"/>
            <w:tcBorders>
              <w:top w:val="single" w:color="auto" w:sz="4" w:space="0"/>
              <w:left w:val="single" w:color="auto" w:sz="4" w:space="0"/>
              <w:bottom w:val="single" w:color="auto" w:sz="4" w:space="0"/>
              <w:right w:val="single" w:color="auto" w:sz="4" w:space="0"/>
            </w:tcBorders>
            <w:vAlign w:val="center"/>
          </w:tcPr>
          <w:p w14:paraId="57AAE3CC">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14</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74F2CFB6">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14:paraId="039BD3A7">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福利彩票销售网点数</w:t>
            </w:r>
          </w:p>
        </w:tc>
        <w:tc>
          <w:tcPr>
            <w:tcW w:w="752" w:type="dxa"/>
            <w:tcBorders>
              <w:top w:val="single" w:color="auto" w:sz="4" w:space="0"/>
              <w:left w:val="single" w:color="auto" w:sz="4" w:space="0"/>
              <w:bottom w:val="single" w:color="auto" w:sz="4" w:space="0"/>
              <w:right w:val="single" w:color="auto" w:sz="4" w:space="0"/>
            </w:tcBorders>
            <w:vAlign w:val="center"/>
          </w:tcPr>
          <w:p w14:paraId="3DBE716D">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万个</w:t>
            </w:r>
          </w:p>
        </w:tc>
        <w:tc>
          <w:tcPr>
            <w:tcW w:w="1696" w:type="dxa"/>
            <w:tcBorders>
              <w:top w:val="single" w:color="auto" w:sz="4" w:space="0"/>
              <w:left w:val="single" w:color="auto" w:sz="4" w:space="0"/>
              <w:bottom w:val="single" w:color="auto" w:sz="4" w:space="0"/>
              <w:right w:val="single" w:color="auto" w:sz="4" w:space="0"/>
            </w:tcBorders>
            <w:vAlign w:val="center"/>
          </w:tcPr>
          <w:p w14:paraId="202E4ACC">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0.0505</w:t>
            </w:r>
          </w:p>
        </w:tc>
        <w:tc>
          <w:tcPr>
            <w:tcW w:w="1696" w:type="dxa"/>
            <w:tcBorders>
              <w:top w:val="single" w:color="auto" w:sz="4" w:space="0"/>
              <w:left w:val="single" w:color="auto" w:sz="4" w:space="0"/>
              <w:bottom w:val="single" w:color="auto" w:sz="4" w:space="0"/>
              <w:right w:val="single" w:color="auto" w:sz="4" w:space="0"/>
            </w:tcBorders>
            <w:vAlign w:val="center"/>
          </w:tcPr>
          <w:p w14:paraId="7166BE27">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0.051</w:t>
            </w:r>
          </w:p>
        </w:tc>
        <w:tc>
          <w:tcPr>
            <w:tcW w:w="1680" w:type="dxa"/>
            <w:tcBorders>
              <w:top w:val="single" w:color="auto" w:sz="4" w:space="0"/>
              <w:left w:val="single" w:color="auto" w:sz="4" w:space="0"/>
              <w:bottom w:val="single" w:color="auto" w:sz="4" w:space="0"/>
              <w:right w:val="single" w:color="auto" w:sz="4" w:space="0"/>
            </w:tcBorders>
            <w:vAlign w:val="center"/>
          </w:tcPr>
          <w:p w14:paraId="006B3DB2">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0.0515</w:t>
            </w:r>
          </w:p>
        </w:tc>
        <w:tc>
          <w:tcPr>
            <w:tcW w:w="1467" w:type="dxa"/>
            <w:tcBorders>
              <w:top w:val="single" w:color="auto" w:sz="4" w:space="0"/>
              <w:left w:val="single" w:color="auto" w:sz="4" w:space="0"/>
              <w:bottom w:val="single" w:color="auto" w:sz="4" w:space="0"/>
              <w:right w:val="single" w:color="auto" w:sz="4" w:space="0"/>
            </w:tcBorders>
            <w:vAlign w:val="center"/>
          </w:tcPr>
          <w:p w14:paraId="23AD134F">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1.15</w:t>
            </w:r>
          </w:p>
        </w:tc>
        <w:tc>
          <w:tcPr>
            <w:tcW w:w="839" w:type="dxa"/>
            <w:tcBorders>
              <w:top w:val="single" w:color="auto" w:sz="4" w:space="0"/>
              <w:left w:val="single" w:color="auto" w:sz="4" w:space="0"/>
              <w:bottom w:val="single" w:color="auto" w:sz="4" w:space="0"/>
              <w:right w:val="single" w:color="auto" w:sz="4" w:space="0"/>
            </w:tcBorders>
            <w:vAlign w:val="center"/>
          </w:tcPr>
          <w:p w14:paraId="65E5A642">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14:paraId="282A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82" w:type="dxa"/>
            <w:tcBorders>
              <w:top w:val="single" w:color="auto" w:sz="4" w:space="0"/>
              <w:left w:val="single" w:color="auto" w:sz="4" w:space="0"/>
              <w:bottom w:val="single" w:color="auto" w:sz="4" w:space="0"/>
              <w:right w:val="single" w:color="auto" w:sz="4" w:space="0"/>
            </w:tcBorders>
            <w:vAlign w:val="center"/>
          </w:tcPr>
          <w:p w14:paraId="499D240C">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15</w:t>
            </w:r>
          </w:p>
        </w:tc>
        <w:tc>
          <w:tcPr>
            <w:tcW w:w="848" w:type="dxa"/>
            <w:vMerge w:val="restart"/>
            <w:tcBorders>
              <w:top w:val="single" w:color="auto" w:sz="4" w:space="0"/>
              <w:left w:val="single" w:color="auto" w:sz="4" w:space="0"/>
              <w:bottom w:val="single" w:color="auto" w:sz="4" w:space="0"/>
              <w:right w:val="single" w:color="auto" w:sz="4" w:space="0"/>
            </w:tcBorders>
            <w:vAlign w:val="center"/>
          </w:tcPr>
          <w:p w14:paraId="6B41A042">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社会</w:t>
            </w:r>
          </w:p>
          <w:p w14:paraId="72CE4F33">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治理</w:t>
            </w:r>
          </w:p>
        </w:tc>
        <w:tc>
          <w:tcPr>
            <w:tcW w:w="3856" w:type="dxa"/>
            <w:gridSpan w:val="2"/>
            <w:tcBorders>
              <w:top w:val="single" w:color="auto" w:sz="4" w:space="0"/>
              <w:left w:val="single" w:color="auto" w:sz="4" w:space="0"/>
              <w:bottom w:val="single" w:color="auto" w:sz="4" w:space="0"/>
              <w:right w:val="single" w:color="auto" w:sz="4" w:space="0"/>
            </w:tcBorders>
            <w:vAlign w:val="center"/>
          </w:tcPr>
          <w:p w14:paraId="6659FC36">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每百户居民拥有的城乡社区综合服务设施建筑面积</w:t>
            </w:r>
          </w:p>
        </w:tc>
        <w:tc>
          <w:tcPr>
            <w:tcW w:w="752" w:type="dxa"/>
            <w:tcBorders>
              <w:top w:val="single" w:color="auto" w:sz="4" w:space="0"/>
              <w:left w:val="single" w:color="auto" w:sz="4" w:space="0"/>
              <w:bottom w:val="single" w:color="auto" w:sz="4" w:space="0"/>
              <w:right w:val="single" w:color="auto" w:sz="4" w:space="0"/>
            </w:tcBorders>
            <w:vAlign w:val="center"/>
          </w:tcPr>
          <w:p w14:paraId="7BD4F2BC">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平方米</w:t>
            </w:r>
          </w:p>
        </w:tc>
        <w:tc>
          <w:tcPr>
            <w:tcW w:w="1696" w:type="dxa"/>
            <w:tcBorders>
              <w:top w:val="single" w:color="auto" w:sz="4" w:space="0"/>
              <w:left w:val="single" w:color="auto" w:sz="4" w:space="0"/>
              <w:bottom w:val="single" w:color="auto" w:sz="4" w:space="0"/>
              <w:right w:val="single" w:color="auto" w:sz="4" w:space="0"/>
            </w:tcBorders>
            <w:vAlign w:val="center"/>
          </w:tcPr>
          <w:p w14:paraId="5F2B47FD">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14:paraId="59452B21">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31</w:t>
            </w:r>
          </w:p>
        </w:tc>
        <w:tc>
          <w:tcPr>
            <w:tcW w:w="1680" w:type="dxa"/>
            <w:tcBorders>
              <w:top w:val="single" w:color="auto" w:sz="4" w:space="0"/>
              <w:left w:val="single" w:color="auto" w:sz="4" w:space="0"/>
              <w:bottom w:val="single" w:color="auto" w:sz="4" w:space="0"/>
              <w:right w:val="single" w:color="auto" w:sz="4" w:space="0"/>
            </w:tcBorders>
            <w:vAlign w:val="center"/>
          </w:tcPr>
          <w:p w14:paraId="0C29A227">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32</w:t>
            </w:r>
          </w:p>
        </w:tc>
        <w:tc>
          <w:tcPr>
            <w:tcW w:w="1467" w:type="dxa"/>
            <w:tcBorders>
              <w:top w:val="single" w:color="auto" w:sz="4" w:space="0"/>
              <w:left w:val="single" w:color="auto" w:sz="4" w:space="0"/>
              <w:bottom w:val="single" w:color="auto" w:sz="4" w:space="0"/>
              <w:right w:val="single" w:color="auto" w:sz="4" w:space="0"/>
            </w:tcBorders>
            <w:vAlign w:val="center"/>
          </w:tcPr>
          <w:p w14:paraId="0C7F8ADD">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32</w:t>
            </w:r>
          </w:p>
        </w:tc>
        <w:tc>
          <w:tcPr>
            <w:tcW w:w="839" w:type="dxa"/>
            <w:tcBorders>
              <w:top w:val="single" w:color="auto" w:sz="4" w:space="0"/>
              <w:left w:val="single" w:color="auto" w:sz="4" w:space="0"/>
              <w:bottom w:val="single" w:color="auto" w:sz="4" w:space="0"/>
              <w:right w:val="single" w:color="auto" w:sz="4" w:space="0"/>
            </w:tcBorders>
            <w:vAlign w:val="center"/>
          </w:tcPr>
          <w:p w14:paraId="609AF856">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14:paraId="2DDB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2" w:type="dxa"/>
            <w:tcBorders>
              <w:top w:val="single" w:color="auto" w:sz="4" w:space="0"/>
              <w:left w:val="single" w:color="auto" w:sz="4" w:space="0"/>
              <w:bottom w:val="single" w:color="auto" w:sz="4" w:space="0"/>
              <w:right w:val="single" w:color="auto" w:sz="4" w:space="0"/>
            </w:tcBorders>
            <w:vAlign w:val="center"/>
          </w:tcPr>
          <w:p w14:paraId="72FAF879">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16</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4B361A69">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14:paraId="554BB6D4">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每万名城镇常住人口拥有社区工作者</w:t>
            </w:r>
          </w:p>
        </w:tc>
        <w:tc>
          <w:tcPr>
            <w:tcW w:w="752" w:type="dxa"/>
            <w:tcBorders>
              <w:top w:val="single" w:color="auto" w:sz="4" w:space="0"/>
              <w:left w:val="single" w:color="auto" w:sz="4" w:space="0"/>
              <w:bottom w:val="single" w:color="auto" w:sz="4" w:space="0"/>
              <w:right w:val="single" w:color="auto" w:sz="4" w:space="0"/>
            </w:tcBorders>
            <w:vAlign w:val="center"/>
          </w:tcPr>
          <w:p w14:paraId="3DD53351">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人</w:t>
            </w:r>
          </w:p>
        </w:tc>
        <w:tc>
          <w:tcPr>
            <w:tcW w:w="1696" w:type="dxa"/>
            <w:tcBorders>
              <w:top w:val="single" w:color="auto" w:sz="4" w:space="0"/>
              <w:left w:val="single" w:color="auto" w:sz="4" w:space="0"/>
              <w:bottom w:val="single" w:color="auto" w:sz="4" w:space="0"/>
              <w:right w:val="single" w:color="auto" w:sz="4" w:space="0"/>
            </w:tcBorders>
            <w:vAlign w:val="center"/>
          </w:tcPr>
          <w:p w14:paraId="06F18175">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14:paraId="2A92C1BB">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16</w:t>
            </w:r>
          </w:p>
        </w:tc>
        <w:tc>
          <w:tcPr>
            <w:tcW w:w="1680" w:type="dxa"/>
            <w:tcBorders>
              <w:top w:val="single" w:color="auto" w:sz="4" w:space="0"/>
              <w:left w:val="single" w:color="auto" w:sz="4" w:space="0"/>
              <w:bottom w:val="single" w:color="auto" w:sz="4" w:space="0"/>
              <w:right w:val="single" w:color="auto" w:sz="4" w:space="0"/>
            </w:tcBorders>
            <w:vAlign w:val="center"/>
          </w:tcPr>
          <w:p w14:paraId="72CE6321">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18</w:t>
            </w:r>
          </w:p>
        </w:tc>
        <w:tc>
          <w:tcPr>
            <w:tcW w:w="1467" w:type="dxa"/>
            <w:tcBorders>
              <w:top w:val="single" w:color="auto" w:sz="4" w:space="0"/>
              <w:left w:val="single" w:color="auto" w:sz="4" w:space="0"/>
              <w:bottom w:val="single" w:color="auto" w:sz="4" w:space="0"/>
              <w:right w:val="single" w:color="auto" w:sz="4" w:space="0"/>
            </w:tcBorders>
            <w:vAlign w:val="center"/>
          </w:tcPr>
          <w:p w14:paraId="34C0408C">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18</w:t>
            </w:r>
          </w:p>
        </w:tc>
        <w:tc>
          <w:tcPr>
            <w:tcW w:w="839" w:type="dxa"/>
            <w:tcBorders>
              <w:top w:val="single" w:color="auto" w:sz="4" w:space="0"/>
              <w:left w:val="single" w:color="auto" w:sz="4" w:space="0"/>
              <w:bottom w:val="single" w:color="auto" w:sz="4" w:space="0"/>
              <w:right w:val="single" w:color="auto" w:sz="4" w:space="0"/>
            </w:tcBorders>
            <w:vAlign w:val="center"/>
          </w:tcPr>
          <w:p w14:paraId="5BCFE85E">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14:paraId="1C50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82" w:type="dxa"/>
            <w:tcBorders>
              <w:top w:val="single" w:color="auto" w:sz="4" w:space="0"/>
              <w:left w:val="single" w:color="auto" w:sz="4" w:space="0"/>
              <w:bottom w:val="single" w:color="auto" w:sz="4" w:space="0"/>
              <w:right w:val="single" w:color="auto" w:sz="4" w:space="0"/>
            </w:tcBorders>
            <w:vAlign w:val="center"/>
          </w:tcPr>
          <w:p w14:paraId="6304B9FF">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17</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53A2965B">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14:paraId="77AFE245">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枢纽型社区社会组织</w:t>
            </w:r>
          </w:p>
        </w:tc>
        <w:tc>
          <w:tcPr>
            <w:tcW w:w="752" w:type="dxa"/>
            <w:tcBorders>
              <w:top w:val="single" w:color="auto" w:sz="4" w:space="0"/>
              <w:left w:val="single" w:color="auto" w:sz="4" w:space="0"/>
              <w:bottom w:val="single" w:color="auto" w:sz="4" w:space="0"/>
              <w:right w:val="single" w:color="auto" w:sz="4" w:space="0"/>
            </w:tcBorders>
            <w:vAlign w:val="center"/>
          </w:tcPr>
          <w:p w14:paraId="20735FC0">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个</w:t>
            </w:r>
          </w:p>
        </w:tc>
        <w:tc>
          <w:tcPr>
            <w:tcW w:w="1696" w:type="dxa"/>
            <w:tcBorders>
              <w:top w:val="single" w:color="auto" w:sz="4" w:space="0"/>
              <w:left w:val="single" w:color="auto" w:sz="4" w:space="0"/>
              <w:bottom w:val="single" w:color="auto" w:sz="4" w:space="0"/>
              <w:right w:val="single" w:color="auto" w:sz="4" w:space="0"/>
            </w:tcBorders>
            <w:vAlign w:val="center"/>
          </w:tcPr>
          <w:p w14:paraId="62F8CF6B">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6</w:t>
            </w:r>
          </w:p>
        </w:tc>
        <w:tc>
          <w:tcPr>
            <w:tcW w:w="1696" w:type="dxa"/>
            <w:tcBorders>
              <w:top w:val="single" w:color="auto" w:sz="4" w:space="0"/>
              <w:left w:val="single" w:color="auto" w:sz="4" w:space="0"/>
              <w:bottom w:val="single" w:color="auto" w:sz="4" w:space="0"/>
              <w:right w:val="single" w:color="auto" w:sz="4" w:space="0"/>
            </w:tcBorders>
            <w:vAlign w:val="center"/>
          </w:tcPr>
          <w:p w14:paraId="629AB75A">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14</w:t>
            </w:r>
          </w:p>
        </w:tc>
        <w:tc>
          <w:tcPr>
            <w:tcW w:w="1680" w:type="dxa"/>
            <w:tcBorders>
              <w:top w:val="single" w:color="auto" w:sz="4" w:space="0"/>
              <w:left w:val="single" w:color="auto" w:sz="4" w:space="0"/>
              <w:bottom w:val="single" w:color="auto" w:sz="4" w:space="0"/>
              <w:right w:val="single" w:color="auto" w:sz="4" w:space="0"/>
            </w:tcBorders>
            <w:vAlign w:val="center"/>
          </w:tcPr>
          <w:p w14:paraId="4684CA7F">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23</w:t>
            </w:r>
          </w:p>
        </w:tc>
        <w:tc>
          <w:tcPr>
            <w:tcW w:w="1467" w:type="dxa"/>
            <w:tcBorders>
              <w:top w:val="single" w:color="auto" w:sz="4" w:space="0"/>
              <w:left w:val="single" w:color="auto" w:sz="4" w:space="0"/>
              <w:bottom w:val="single" w:color="auto" w:sz="4" w:space="0"/>
              <w:right w:val="single" w:color="auto" w:sz="4" w:space="0"/>
            </w:tcBorders>
            <w:vAlign w:val="center"/>
          </w:tcPr>
          <w:p w14:paraId="1698F8B6">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2000</w:t>
            </w:r>
          </w:p>
        </w:tc>
        <w:tc>
          <w:tcPr>
            <w:tcW w:w="839" w:type="dxa"/>
            <w:tcBorders>
              <w:top w:val="single" w:color="auto" w:sz="4" w:space="0"/>
              <w:left w:val="single" w:color="auto" w:sz="4" w:space="0"/>
              <w:bottom w:val="single" w:color="auto" w:sz="4" w:space="0"/>
              <w:right w:val="single" w:color="auto" w:sz="4" w:space="0"/>
            </w:tcBorders>
            <w:vAlign w:val="center"/>
          </w:tcPr>
          <w:p w14:paraId="4F128693">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14:paraId="358A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82" w:type="dxa"/>
            <w:tcBorders>
              <w:top w:val="single" w:color="auto" w:sz="4" w:space="0"/>
              <w:left w:val="single" w:color="auto" w:sz="4" w:space="0"/>
              <w:bottom w:val="single" w:color="auto" w:sz="4" w:space="0"/>
              <w:right w:val="single" w:color="auto" w:sz="4" w:space="0"/>
            </w:tcBorders>
            <w:vAlign w:val="center"/>
          </w:tcPr>
          <w:p w14:paraId="01DB6FDE">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18</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515593B0">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14:paraId="70CB898D">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社会组织专职工作人员数量</w:t>
            </w:r>
          </w:p>
        </w:tc>
        <w:tc>
          <w:tcPr>
            <w:tcW w:w="752" w:type="dxa"/>
            <w:tcBorders>
              <w:top w:val="single" w:color="auto" w:sz="4" w:space="0"/>
              <w:left w:val="single" w:color="auto" w:sz="4" w:space="0"/>
              <w:bottom w:val="single" w:color="auto" w:sz="4" w:space="0"/>
              <w:right w:val="single" w:color="auto" w:sz="4" w:space="0"/>
            </w:tcBorders>
            <w:vAlign w:val="center"/>
          </w:tcPr>
          <w:p w14:paraId="05E39F98">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万人</w:t>
            </w:r>
          </w:p>
        </w:tc>
        <w:tc>
          <w:tcPr>
            <w:tcW w:w="1696" w:type="dxa"/>
            <w:tcBorders>
              <w:top w:val="single" w:color="auto" w:sz="4" w:space="0"/>
              <w:left w:val="single" w:color="auto" w:sz="4" w:space="0"/>
              <w:bottom w:val="single" w:color="auto" w:sz="4" w:space="0"/>
              <w:right w:val="single" w:color="auto" w:sz="4" w:space="0"/>
            </w:tcBorders>
            <w:vAlign w:val="center"/>
          </w:tcPr>
          <w:p w14:paraId="3BD56302">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3.36</w:t>
            </w:r>
          </w:p>
        </w:tc>
        <w:tc>
          <w:tcPr>
            <w:tcW w:w="1696" w:type="dxa"/>
            <w:tcBorders>
              <w:top w:val="single" w:color="auto" w:sz="4" w:space="0"/>
              <w:left w:val="single" w:color="auto" w:sz="4" w:space="0"/>
              <w:bottom w:val="single" w:color="auto" w:sz="4" w:space="0"/>
              <w:right w:val="single" w:color="auto" w:sz="4" w:space="0"/>
            </w:tcBorders>
            <w:vAlign w:val="center"/>
          </w:tcPr>
          <w:p w14:paraId="7EB8987C">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3.76</w:t>
            </w:r>
          </w:p>
        </w:tc>
        <w:tc>
          <w:tcPr>
            <w:tcW w:w="1680" w:type="dxa"/>
            <w:tcBorders>
              <w:top w:val="single" w:color="auto" w:sz="4" w:space="0"/>
              <w:left w:val="single" w:color="auto" w:sz="4" w:space="0"/>
              <w:bottom w:val="single" w:color="auto" w:sz="4" w:space="0"/>
              <w:right w:val="single" w:color="auto" w:sz="4" w:space="0"/>
            </w:tcBorders>
            <w:vAlign w:val="center"/>
          </w:tcPr>
          <w:p w14:paraId="1B3BC68E">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4.06</w:t>
            </w:r>
          </w:p>
        </w:tc>
        <w:tc>
          <w:tcPr>
            <w:tcW w:w="1467" w:type="dxa"/>
            <w:tcBorders>
              <w:top w:val="single" w:color="auto" w:sz="4" w:space="0"/>
              <w:left w:val="single" w:color="auto" w:sz="4" w:space="0"/>
              <w:bottom w:val="single" w:color="auto" w:sz="4" w:space="0"/>
              <w:right w:val="single" w:color="auto" w:sz="4" w:space="0"/>
            </w:tcBorders>
            <w:vAlign w:val="center"/>
          </w:tcPr>
          <w:p w14:paraId="7069ACE5">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92.6</w:t>
            </w:r>
          </w:p>
        </w:tc>
        <w:tc>
          <w:tcPr>
            <w:tcW w:w="839" w:type="dxa"/>
            <w:tcBorders>
              <w:top w:val="single" w:color="auto" w:sz="4" w:space="0"/>
              <w:left w:val="single" w:color="auto" w:sz="4" w:space="0"/>
              <w:bottom w:val="single" w:color="auto" w:sz="4" w:space="0"/>
              <w:right w:val="single" w:color="auto" w:sz="4" w:space="0"/>
            </w:tcBorders>
            <w:vAlign w:val="center"/>
          </w:tcPr>
          <w:p w14:paraId="1E63CD98">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14:paraId="46D1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82" w:type="dxa"/>
            <w:tcBorders>
              <w:top w:val="single" w:color="auto" w:sz="4" w:space="0"/>
              <w:left w:val="single" w:color="auto" w:sz="4" w:space="0"/>
              <w:bottom w:val="single" w:color="auto" w:sz="4" w:space="0"/>
              <w:right w:val="single" w:color="auto" w:sz="4" w:space="0"/>
            </w:tcBorders>
            <w:vAlign w:val="center"/>
          </w:tcPr>
          <w:p w14:paraId="3CAF0785">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19</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24EE28C1">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14:paraId="45D16EDB">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“广东兜底民生服务社会工作双百工程”乡镇（街道)社工站覆盖率</w:t>
            </w:r>
          </w:p>
        </w:tc>
        <w:tc>
          <w:tcPr>
            <w:tcW w:w="752" w:type="dxa"/>
            <w:tcBorders>
              <w:top w:val="single" w:color="auto" w:sz="4" w:space="0"/>
              <w:left w:val="single" w:color="auto" w:sz="4" w:space="0"/>
              <w:bottom w:val="single" w:color="auto" w:sz="4" w:space="0"/>
              <w:right w:val="single" w:color="auto" w:sz="4" w:space="0"/>
            </w:tcBorders>
            <w:vAlign w:val="center"/>
          </w:tcPr>
          <w:p w14:paraId="4238A8B0">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14:paraId="772B5D64">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8.3</w:t>
            </w:r>
          </w:p>
        </w:tc>
        <w:tc>
          <w:tcPr>
            <w:tcW w:w="1696" w:type="dxa"/>
            <w:tcBorders>
              <w:top w:val="single" w:color="auto" w:sz="4" w:space="0"/>
              <w:left w:val="single" w:color="auto" w:sz="4" w:space="0"/>
              <w:bottom w:val="single" w:color="auto" w:sz="4" w:space="0"/>
              <w:right w:val="single" w:color="auto" w:sz="4" w:space="0"/>
            </w:tcBorders>
            <w:vAlign w:val="center"/>
          </w:tcPr>
          <w:p w14:paraId="0D89377C">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680" w:type="dxa"/>
            <w:tcBorders>
              <w:top w:val="single" w:color="auto" w:sz="4" w:space="0"/>
              <w:left w:val="single" w:color="auto" w:sz="4" w:space="0"/>
              <w:bottom w:val="single" w:color="auto" w:sz="4" w:space="0"/>
              <w:right w:val="single" w:color="auto" w:sz="4" w:space="0"/>
            </w:tcBorders>
            <w:vAlign w:val="center"/>
          </w:tcPr>
          <w:p w14:paraId="48C4E28F">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467" w:type="dxa"/>
            <w:tcBorders>
              <w:top w:val="single" w:color="auto" w:sz="4" w:space="0"/>
              <w:left w:val="single" w:color="auto" w:sz="4" w:space="0"/>
              <w:bottom w:val="single" w:color="auto" w:sz="4" w:space="0"/>
              <w:right w:val="single" w:color="auto" w:sz="4" w:space="0"/>
            </w:tcBorders>
            <w:vAlign w:val="center"/>
          </w:tcPr>
          <w:p w14:paraId="25DA4A08">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839" w:type="dxa"/>
            <w:tcBorders>
              <w:top w:val="single" w:color="auto" w:sz="4" w:space="0"/>
              <w:left w:val="single" w:color="auto" w:sz="4" w:space="0"/>
              <w:bottom w:val="single" w:color="auto" w:sz="4" w:space="0"/>
              <w:right w:val="single" w:color="auto" w:sz="4" w:space="0"/>
            </w:tcBorders>
            <w:vAlign w:val="center"/>
          </w:tcPr>
          <w:p w14:paraId="19DA5E59">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14:paraId="252C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82" w:type="dxa"/>
            <w:tcBorders>
              <w:top w:val="single" w:color="auto" w:sz="4" w:space="0"/>
              <w:left w:val="single" w:color="auto" w:sz="4" w:space="0"/>
              <w:bottom w:val="single" w:color="auto" w:sz="4" w:space="0"/>
              <w:right w:val="single" w:color="auto" w:sz="4" w:space="0"/>
            </w:tcBorders>
            <w:vAlign w:val="center"/>
          </w:tcPr>
          <w:p w14:paraId="7330D26B">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20</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22584B71">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14:paraId="2986A223">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社会工作专业人才总量</w:t>
            </w:r>
          </w:p>
        </w:tc>
        <w:tc>
          <w:tcPr>
            <w:tcW w:w="752" w:type="dxa"/>
            <w:tcBorders>
              <w:top w:val="single" w:color="auto" w:sz="4" w:space="0"/>
              <w:left w:val="single" w:color="auto" w:sz="4" w:space="0"/>
              <w:bottom w:val="single" w:color="auto" w:sz="4" w:space="0"/>
              <w:right w:val="single" w:color="auto" w:sz="4" w:space="0"/>
            </w:tcBorders>
            <w:vAlign w:val="center"/>
          </w:tcPr>
          <w:p w14:paraId="314942F8">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万人</w:t>
            </w:r>
          </w:p>
        </w:tc>
        <w:tc>
          <w:tcPr>
            <w:tcW w:w="1696" w:type="dxa"/>
            <w:tcBorders>
              <w:top w:val="single" w:color="auto" w:sz="4" w:space="0"/>
              <w:left w:val="single" w:color="auto" w:sz="4" w:space="0"/>
              <w:bottom w:val="single" w:color="auto" w:sz="4" w:space="0"/>
              <w:right w:val="single" w:color="auto" w:sz="4" w:space="0"/>
            </w:tcBorders>
            <w:vAlign w:val="center"/>
          </w:tcPr>
          <w:p w14:paraId="6D649E84">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0.5918</w:t>
            </w:r>
          </w:p>
        </w:tc>
        <w:tc>
          <w:tcPr>
            <w:tcW w:w="1696" w:type="dxa"/>
            <w:tcBorders>
              <w:top w:val="single" w:color="auto" w:sz="4" w:space="0"/>
              <w:left w:val="single" w:color="auto" w:sz="4" w:space="0"/>
              <w:bottom w:val="single" w:color="auto" w:sz="4" w:space="0"/>
              <w:right w:val="single" w:color="auto" w:sz="4" w:space="0"/>
            </w:tcBorders>
            <w:vAlign w:val="center"/>
          </w:tcPr>
          <w:p w14:paraId="4D4DF434">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0.6441</w:t>
            </w:r>
          </w:p>
        </w:tc>
        <w:tc>
          <w:tcPr>
            <w:tcW w:w="1680" w:type="dxa"/>
            <w:tcBorders>
              <w:top w:val="single" w:color="auto" w:sz="4" w:space="0"/>
              <w:left w:val="single" w:color="auto" w:sz="4" w:space="0"/>
              <w:bottom w:val="single" w:color="auto" w:sz="4" w:space="0"/>
              <w:right w:val="single" w:color="auto" w:sz="4" w:space="0"/>
            </w:tcBorders>
            <w:vAlign w:val="center"/>
          </w:tcPr>
          <w:p w14:paraId="33B5AA36">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0.7855</w:t>
            </w:r>
          </w:p>
        </w:tc>
        <w:tc>
          <w:tcPr>
            <w:tcW w:w="1467" w:type="dxa"/>
            <w:tcBorders>
              <w:top w:val="single" w:color="auto" w:sz="4" w:space="0"/>
              <w:left w:val="single" w:color="auto" w:sz="4" w:space="0"/>
              <w:bottom w:val="single" w:color="auto" w:sz="4" w:space="0"/>
              <w:right w:val="single" w:color="auto" w:sz="4" w:space="0"/>
            </w:tcBorders>
            <w:vAlign w:val="center"/>
          </w:tcPr>
          <w:p w14:paraId="671E2B2B">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15</w:t>
            </w:r>
          </w:p>
        </w:tc>
        <w:tc>
          <w:tcPr>
            <w:tcW w:w="839" w:type="dxa"/>
            <w:tcBorders>
              <w:top w:val="single" w:color="auto" w:sz="4" w:space="0"/>
              <w:left w:val="single" w:color="auto" w:sz="4" w:space="0"/>
              <w:bottom w:val="single" w:color="auto" w:sz="4" w:space="0"/>
              <w:right w:val="single" w:color="auto" w:sz="4" w:space="0"/>
            </w:tcBorders>
            <w:vAlign w:val="center"/>
          </w:tcPr>
          <w:p w14:paraId="6003E7BB">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14:paraId="204F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82" w:type="dxa"/>
            <w:tcBorders>
              <w:top w:val="single" w:color="auto" w:sz="4" w:space="0"/>
              <w:left w:val="single" w:color="auto" w:sz="4" w:space="0"/>
              <w:bottom w:val="single" w:color="auto" w:sz="4" w:space="0"/>
              <w:right w:val="single" w:color="auto" w:sz="4" w:space="0"/>
            </w:tcBorders>
            <w:vAlign w:val="center"/>
          </w:tcPr>
          <w:p w14:paraId="036FA2DE">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21</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5F399D46">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14:paraId="0903CE5E">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婚姻登记“跨省通办”实施率</w:t>
            </w:r>
          </w:p>
        </w:tc>
        <w:tc>
          <w:tcPr>
            <w:tcW w:w="752" w:type="dxa"/>
            <w:tcBorders>
              <w:top w:val="single" w:color="auto" w:sz="4" w:space="0"/>
              <w:left w:val="single" w:color="auto" w:sz="4" w:space="0"/>
              <w:bottom w:val="single" w:color="auto" w:sz="4" w:space="0"/>
              <w:right w:val="single" w:color="auto" w:sz="4" w:space="0"/>
            </w:tcBorders>
            <w:vAlign w:val="center"/>
          </w:tcPr>
          <w:p w14:paraId="62B50E9E">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14:paraId="632D8524">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14:paraId="4EECA5C1">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680" w:type="dxa"/>
            <w:tcBorders>
              <w:top w:val="single" w:color="auto" w:sz="4" w:space="0"/>
              <w:left w:val="single" w:color="auto" w:sz="4" w:space="0"/>
              <w:bottom w:val="single" w:color="auto" w:sz="4" w:space="0"/>
              <w:right w:val="single" w:color="auto" w:sz="4" w:space="0"/>
            </w:tcBorders>
            <w:vAlign w:val="center"/>
          </w:tcPr>
          <w:p w14:paraId="46606D2F">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467" w:type="dxa"/>
            <w:tcBorders>
              <w:top w:val="single" w:color="auto" w:sz="4" w:space="0"/>
              <w:left w:val="single" w:color="auto" w:sz="4" w:space="0"/>
              <w:bottom w:val="single" w:color="auto" w:sz="4" w:space="0"/>
              <w:right w:val="single" w:color="auto" w:sz="4" w:space="0"/>
            </w:tcBorders>
            <w:vAlign w:val="center"/>
          </w:tcPr>
          <w:p w14:paraId="30C36F15">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839" w:type="dxa"/>
            <w:tcBorders>
              <w:top w:val="single" w:color="auto" w:sz="4" w:space="0"/>
              <w:left w:val="single" w:color="auto" w:sz="4" w:space="0"/>
              <w:bottom w:val="single" w:color="auto" w:sz="4" w:space="0"/>
              <w:right w:val="single" w:color="auto" w:sz="4" w:space="0"/>
            </w:tcBorders>
            <w:vAlign w:val="center"/>
          </w:tcPr>
          <w:p w14:paraId="21EF57FF">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p>
        </w:tc>
      </w:tr>
      <w:tr w14:paraId="5A24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82" w:type="dxa"/>
            <w:tcBorders>
              <w:top w:val="single" w:color="auto" w:sz="4" w:space="0"/>
              <w:left w:val="single" w:color="auto" w:sz="4" w:space="0"/>
              <w:bottom w:val="single" w:color="auto" w:sz="4" w:space="0"/>
              <w:right w:val="single" w:color="auto" w:sz="4" w:space="0"/>
            </w:tcBorders>
            <w:vAlign w:val="center"/>
          </w:tcPr>
          <w:p w14:paraId="5D4E5C63">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22</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41E4CE5E">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14:paraId="0954729C">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节地生态安葬率</w:t>
            </w:r>
          </w:p>
        </w:tc>
        <w:tc>
          <w:tcPr>
            <w:tcW w:w="752" w:type="dxa"/>
            <w:tcBorders>
              <w:top w:val="single" w:color="auto" w:sz="4" w:space="0"/>
              <w:left w:val="single" w:color="auto" w:sz="4" w:space="0"/>
              <w:bottom w:val="single" w:color="auto" w:sz="4" w:space="0"/>
              <w:right w:val="single" w:color="auto" w:sz="4" w:space="0"/>
            </w:tcBorders>
            <w:vAlign w:val="center"/>
          </w:tcPr>
          <w:p w14:paraId="1A50E34D">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14:paraId="75C278A7">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92</w:t>
            </w:r>
          </w:p>
        </w:tc>
        <w:tc>
          <w:tcPr>
            <w:tcW w:w="1696" w:type="dxa"/>
            <w:tcBorders>
              <w:top w:val="single" w:color="auto" w:sz="4" w:space="0"/>
              <w:left w:val="single" w:color="auto" w:sz="4" w:space="0"/>
              <w:bottom w:val="single" w:color="auto" w:sz="4" w:space="0"/>
              <w:right w:val="single" w:color="auto" w:sz="4" w:space="0"/>
            </w:tcBorders>
            <w:vAlign w:val="center"/>
          </w:tcPr>
          <w:p w14:paraId="576325F0">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92.2</w:t>
            </w:r>
          </w:p>
        </w:tc>
        <w:tc>
          <w:tcPr>
            <w:tcW w:w="1680" w:type="dxa"/>
            <w:tcBorders>
              <w:top w:val="single" w:color="auto" w:sz="4" w:space="0"/>
              <w:left w:val="single" w:color="auto" w:sz="4" w:space="0"/>
              <w:bottom w:val="single" w:color="auto" w:sz="4" w:space="0"/>
              <w:right w:val="single" w:color="auto" w:sz="4" w:space="0"/>
            </w:tcBorders>
            <w:vAlign w:val="center"/>
          </w:tcPr>
          <w:p w14:paraId="75481FDA">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92.4</w:t>
            </w:r>
          </w:p>
        </w:tc>
        <w:tc>
          <w:tcPr>
            <w:tcW w:w="1467" w:type="dxa"/>
            <w:tcBorders>
              <w:top w:val="single" w:color="auto" w:sz="4" w:space="0"/>
              <w:left w:val="single" w:color="auto" w:sz="4" w:space="0"/>
              <w:bottom w:val="single" w:color="auto" w:sz="4" w:space="0"/>
              <w:right w:val="single" w:color="auto" w:sz="4" w:space="0"/>
            </w:tcBorders>
            <w:vAlign w:val="center"/>
          </w:tcPr>
          <w:p w14:paraId="53C0133E">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65</w:t>
            </w:r>
          </w:p>
        </w:tc>
        <w:tc>
          <w:tcPr>
            <w:tcW w:w="839" w:type="dxa"/>
            <w:tcBorders>
              <w:top w:val="single" w:color="auto" w:sz="4" w:space="0"/>
              <w:left w:val="single" w:color="auto" w:sz="4" w:space="0"/>
              <w:bottom w:val="single" w:color="auto" w:sz="4" w:space="0"/>
              <w:right w:val="single" w:color="auto" w:sz="4" w:space="0"/>
            </w:tcBorders>
            <w:vAlign w:val="center"/>
          </w:tcPr>
          <w:p w14:paraId="3E0A3BE7">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14:paraId="5C40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82" w:type="dxa"/>
            <w:tcBorders>
              <w:top w:val="single" w:color="auto" w:sz="4" w:space="0"/>
              <w:left w:val="single" w:color="auto" w:sz="4" w:space="0"/>
              <w:bottom w:val="single" w:color="auto" w:sz="4" w:space="0"/>
              <w:right w:val="single" w:color="auto" w:sz="4" w:space="0"/>
            </w:tcBorders>
            <w:vAlign w:val="center"/>
          </w:tcPr>
          <w:p w14:paraId="772E827D">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23</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1920BA65">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14:paraId="6834C4BA">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镇级城乡公益性安葬（放）设施覆盖率</w:t>
            </w:r>
          </w:p>
        </w:tc>
        <w:tc>
          <w:tcPr>
            <w:tcW w:w="752" w:type="dxa"/>
            <w:tcBorders>
              <w:top w:val="single" w:color="auto" w:sz="4" w:space="0"/>
              <w:left w:val="single" w:color="auto" w:sz="4" w:space="0"/>
              <w:bottom w:val="single" w:color="auto" w:sz="4" w:space="0"/>
              <w:right w:val="single" w:color="auto" w:sz="4" w:space="0"/>
            </w:tcBorders>
            <w:vAlign w:val="center"/>
          </w:tcPr>
          <w:p w14:paraId="49E1605C">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14:paraId="526129A3">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44.44</w:t>
            </w:r>
          </w:p>
        </w:tc>
        <w:tc>
          <w:tcPr>
            <w:tcW w:w="1696" w:type="dxa"/>
            <w:tcBorders>
              <w:top w:val="single" w:color="auto" w:sz="4" w:space="0"/>
              <w:left w:val="single" w:color="auto" w:sz="4" w:space="0"/>
              <w:bottom w:val="single" w:color="auto" w:sz="4" w:space="0"/>
              <w:right w:val="single" w:color="auto" w:sz="4" w:space="0"/>
            </w:tcBorders>
            <w:vAlign w:val="center"/>
          </w:tcPr>
          <w:p w14:paraId="03165896">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80</w:t>
            </w:r>
          </w:p>
        </w:tc>
        <w:tc>
          <w:tcPr>
            <w:tcW w:w="1680" w:type="dxa"/>
            <w:tcBorders>
              <w:top w:val="single" w:color="auto" w:sz="4" w:space="0"/>
              <w:left w:val="single" w:color="auto" w:sz="4" w:space="0"/>
              <w:bottom w:val="single" w:color="auto" w:sz="4" w:space="0"/>
              <w:right w:val="single" w:color="auto" w:sz="4" w:space="0"/>
            </w:tcBorders>
            <w:vAlign w:val="center"/>
          </w:tcPr>
          <w:p w14:paraId="05500C46">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467" w:type="dxa"/>
            <w:tcBorders>
              <w:top w:val="single" w:color="auto" w:sz="4" w:space="0"/>
              <w:left w:val="single" w:color="auto" w:sz="4" w:space="0"/>
              <w:bottom w:val="single" w:color="auto" w:sz="4" w:space="0"/>
              <w:right w:val="single" w:color="auto" w:sz="4" w:space="0"/>
            </w:tcBorders>
            <w:vAlign w:val="center"/>
          </w:tcPr>
          <w:p w14:paraId="605933D2">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839" w:type="dxa"/>
            <w:tcBorders>
              <w:top w:val="single" w:color="auto" w:sz="4" w:space="0"/>
              <w:left w:val="single" w:color="auto" w:sz="4" w:space="0"/>
              <w:bottom w:val="single" w:color="auto" w:sz="4" w:space="0"/>
              <w:right w:val="single" w:color="auto" w:sz="4" w:space="0"/>
            </w:tcBorders>
            <w:vAlign w:val="center"/>
          </w:tcPr>
          <w:p w14:paraId="7929E0F1">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p>
        </w:tc>
      </w:tr>
      <w:tr w14:paraId="1FC6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82" w:type="dxa"/>
            <w:tcBorders>
              <w:top w:val="single" w:color="auto" w:sz="4" w:space="0"/>
              <w:left w:val="single" w:color="auto" w:sz="4" w:space="0"/>
              <w:bottom w:val="single" w:color="auto" w:sz="4" w:space="0"/>
              <w:right w:val="single" w:color="auto" w:sz="4" w:space="0"/>
            </w:tcBorders>
            <w:vAlign w:val="center"/>
          </w:tcPr>
          <w:p w14:paraId="28E00855">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24</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3B170D1F">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14:paraId="7D027F06">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困难残疾人生活补贴覆盖率</w:t>
            </w:r>
          </w:p>
        </w:tc>
        <w:tc>
          <w:tcPr>
            <w:tcW w:w="752" w:type="dxa"/>
            <w:tcBorders>
              <w:top w:val="single" w:color="auto" w:sz="4" w:space="0"/>
              <w:left w:val="single" w:color="auto" w:sz="4" w:space="0"/>
              <w:bottom w:val="single" w:color="auto" w:sz="4" w:space="0"/>
              <w:right w:val="single" w:color="auto" w:sz="4" w:space="0"/>
            </w:tcBorders>
            <w:vAlign w:val="center"/>
          </w:tcPr>
          <w:p w14:paraId="4A340BDB">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14:paraId="577E1C92">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696" w:type="dxa"/>
            <w:tcBorders>
              <w:top w:val="single" w:color="auto" w:sz="4" w:space="0"/>
              <w:left w:val="single" w:color="auto" w:sz="4" w:space="0"/>
              <w:bottom w:val="single" w:color="auto" w:sz="4" w:space="0"/>
              <w:right w:val="single" w:color="auto" w:sz="4" w:space="0"/>
            </w:tcBorders>
            <w:vAlign w:val="center"/>
          </w:tcPr>
          <w:p w14:paraId="54BDBA37">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680" w:type="dxa"/>
            <w:tcBorders>
              <w:top w:val="single" w:color="auto" w:sz="4" w:space="0"/>
              <w:left w:val="single" w:color="auto" w:sz="4" w:space="0"/>
              <w:bottom w:val="single" w:color="auto" w:sz="4" w:space="0"/>
              <w:right w:val="single" w:color="auto" w:sz="4" w:space="0"/>
            </w:tcBorders>
            <w:vAlign w:val="center"/>
          </w:tcPr>
          <w:p w14:paraId="4FB22CCB">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467" w:type="dxa"/>
            <w:tcBorders>
              <w:top w:val="single" w:color="auto" w:sz="4" w:space="0"/>
              <w:left w:val="single" w:color="auto" w:sz="4" w:space="0"/>
              <w:bottom w:val="single" w:color="auto" w:sz="4" w:space="0"/>
              <w:right w:val="single" w:color="auto" w:sz="4" w:space="0"/>
            </w:tcBorders>
            <w:vAlign w:val="center"/>
          </w:tcPr>
          <w:p w14:paraId="2EA4333C">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839" w:type="dxa"/>
            <w:tcBorders>
              <w:top w:val="single" w:color="auto" w:sz="4" w:space="0"/>
              <w:left w:val="single" w:color="auto" w:sz="4" w:space="0"/>
              <w:bottom w:val="single" w:color="auto" w:sz="4" w:space="0"/>
              <w:right w:val="single" w:color="auto" w:sz="4" w:space="0"/>
            </w:tcBorders>
            <w:vAlign w:val="center"/>
          </w:tcPr>
          <w:p w14:paraId="5158B32E">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p>
        </w:tc>
      </w:tr>
      <w:tr w14:paraId="7395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82" w:type="dxa"/>
            <w:tcBorders>
              <w:top w:val="single" w:color="auto" w:sz="4" w:space="0"/>
              <w:left w:val="single" w:color="auto" w:sz="4" w:space="0"/>
              <w:bottom w:val="single" w:color="auto" w:sz="4" w:space="0"/>
              <w:right w:val="single" w:color="auto" w:sz="4" w:space="0"/>
            </w:tcBorders>
            <w:vAlign w:val="center"/>
          </w:tcPr>
          <w:p w14:paraId="3F472820">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25</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61B8693F">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14:paraId="13E9DDD6">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重度残疾人生活补贴覆盖率</w:t>
            </w:r>
          </w:p>
        </w:tc>
        <w:tc>
          <w:tcPr>
            <w:tcW w:w="752" w:type="dxa"/>
            <w:tcBorders>
              <w:top w:val="single" w:color="auto" w:sz="4" w:space="0"/>
              <w:left w:val="single" w:color="auto" w:sz="4" w:space="0"/>
              <w:bottom w:val="single" w:color="auto" w:sz="4" w:space="0"/>
              <w:right w:val="single" w:color="auto" w:sz="4" w:space="0"/>
            </w:tcBorders>
            <w:vAlign w:val="center"/>
          </w:tcPr>
          <w:p w14:paraId="102E2CB6">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14:paraId="7BD7751E">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696" w:type="dxa"/>
            <w:tcBorders>
              <w:top w:val="single" w:color="auto" w:sz="4" w:space="0"/>
              <w:left w:val="single" w:color="auto" w:sz="4" w:space="0"/>
              <w:bottom w:val="single" w:color="auto" w:sz="4" w:space="0"/>
              <w:right w:val="single" w:color="auto" w:sz="4" w:space="0"/>
            </w:tcBorders>
            <w:vAlign w:val="center"/>
          </w:tcPr>
          <w:p w14:paraId="673D5C6E">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680" w:type="dxa"/>
            <w:tcBorders>
              <w:top w:val="single" w:color="auto" w:sz="4" w:space="0"/>
              <w:left w:val="single" w:color="auto" w:sz="4" w:space="0"/>
              <w:bottom w:val="single" w:color="auto" w:sz="4" w:space="0"/>
              <w:right w:val="single" w:color="auto" w:sz="4" w:space="0"/>
            </w:tcBorders>
            <w:vAlign w:val="center"/>
          </w:tcPr>
          <w:p w14:paraId="7C688EB7">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467" w:type="dxa"/>
            <w:tcBorders>
              <w:top w:val="single" w:color="auto" w:sz="4" w:space="0"/>
              <w:left w:val="single" w:color="auto" w:sz="4" w:space="0"/>
              <w:bottom w:val="single" w:color="auto" w:sz="4" w:space="0"/>
              <w:right w:val="single" w:color="auto" w:sz="4" w:space="0"/>
            </w:tcBorders>
            <w:vAlign w:val="center"/>
          </w:tcPr>
          <w:p w14:paraId="1E27FD74">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839" w:type="dxa"/>
            <w:tcBorders>
              <w:top w:val="single" w:color="auto" w:sz="4" w:space="0"/>
              <w:left w:val="single" w:color="auto" w:sz="4" w:space="0"/>
              <w:bottom w:val="single" w:color="auto" w:sz="4" w:space="0"/>
              <w:right w:val="single" w:color="auto" w:sz="4" w:space="0"/>
            </w:tcBorders>
            <w:vAlign w:val="center"/>
          </w:tcPr>
          <w:p w14:paraId="54C68BE8">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p>
        </w:tc>
      </w:tr>
    </w:tbl>
    <w:p w14:paraId="71567C66">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rPr>
          <w:rFonts w:ascii="Times New Roman"/>
          <w:color w:val="auto"/>
          <w:kern w:val="0"/>
          <w:u w:val="none"/>
        </w:rPr>
      </w:pPr>
    </w:p>
    <w:p w14:paraId="67342E23">
      <w:pPr>
        <w:snapToGrid w:val="0"/>
        <w:rPr>
          <w:rFonts w:ascii="Times New Roman"/>
          <w:color w:val="auto"/>
          <w:u w:val="none"/>
        </w:rPr>
      </w:pPr>
    </w:p>
    <w:p w14:paraId="5E8F6F84">
      <w:pPr>
        <w:tabs>
          <w:tab w:val="left" w:pos="8424"/>
        </w:tabs>
        <w:rPr>
          <w:rFonts w:ascii="Times New Roman"/>
          <w:color w:val="auto"/>
          <w:u w:val="none"/>
        </w:rPr>
      </w:pPr>
      <w:r>
        <w:rPr>
          <w:rFonts w:ascii="Times New Roman"/>
          <w:color w:val="auto"/>
          <w:u w:val="none"/>
        </w:rPr>
        <w:tab/>
      </w:r>
    </w:p>
    <w:p w14:paraId="1FF265E3">
      <w:pPr>
        <w:rPr>
          <w:rFonts w:ascii="Times New Roman"/>
          <w:color w:val="auto"/>
          <w:u w:val="none"/>
        </w:rPr>
      </w:pPr>
    </w:p>
    <w:p w14:paraId="23F9E3F5">
      <w:pPr>
        <w:rPr>
          <w:rFonts w:ascii="Times New Roman"/>
          <w:color w:val="auto"/>
          <w:u w:val="none"/>
        </w:rPr>
        <w:sectPr>
          <w:headerReference r:id="rId15" w:type="default"/>
          <w:footerReference r:id="rId16" w:type="even"/>
          <w:pgSz w:w="16838" w:h="11906" w:orient="landscape"/>
          <w:pgMar w:top="1531" w:right="1871" w:bottom="1531" w:left="2211" w:header="851" w:footer="1361" w:gutter="0"/>
          <w:pgNumType w:fmt="numberInDash"/>
          <w:cols w:space="720" w:num="1"/>
          <w:docGrid w:type="linesAndChars" w:linePitch="574" w:charSpace="-1683"/>
        </w:sectPr>
      </w:pPr>
    </w:p>
    <w:p w14:paraId="3710B5BD">
      <w:pPr>
        <w:pStyle w:val="4"/>
        <w:keepNext w:val="0"/>
        <w:keepLines w:val="0"/>
        <w:pageBreakBefore w:val="0"/>
        <w:widowControl w:val="0"/>
        <w:kinsoku/>
        <w:wordWrap/>
        <w:overflowPunct/>
        <w:topLinePunct w:val="0"/>
        <w:autoSpaceDE/>
        <w:autoSpaceDN/>
        <w:bidi w:val="0"/>
        <w:adjustRightInd/>
        <w:snapToGrid w:val="0"/>
        <w:spacing w:line="600" w:lineRule="exact"/>
        <w:ind w:firstLine="0" w:firstLineChars="0"/>
        <w:textAlignment w:val="auto"/>
        <w:rPr>
          <w:rFonts w:ascii="Times New Roman" w:hAnsi="Times New Roman"/>
          <w:color w:val="auto"/>
          <w:u w:val="none"/>
        </w:rPr>
      </w:pPr>
      <w:r>
        <w:rPr>
          <w:rFonts w:ascii="Times New Roman" w:hAnsi="Times New Roman"/>
          <w:color w:val="auto"/>
          <w:u w:val="none"/>
        </w:rPr>
        <w:t xml:space="preserve">    </w:t>
      </w:r>
      <w:bookmarkStart w:id="59" w:name="_Toc4411_WPSOffice_Level1"/>
      <w:bookmarkStart w:id="60" w:name="_Toc25307"/>
      <w:bookmarkStart w:id="61" w:name="_Toc27143"/>
      <w:bookmarkStart w:id="62" w:name="_Toc86940104"/>
      <w:bookmarkStart w:id="63" w:name="_Toc7321"/>
      <w:r>
        <w:rPr>
          <w:rFonts w:ascii="Times New Roman" w:hAnsi="Times New Roman"/>
          <w:color w:val="auto"/>
          <w:u w:val="none"/>
        </w:rPr>
        <w:t>三、主要任务</w:t>
      </w:r>
      <w:bookmarkEnd w:id="59"/>
      <w:bookmarkEnd w:id="60"/>
      <w:bookmarkEnd w:id="61"/>
      <w:bookmarkEnd w:id="62"/>
      <w:bookmarkEnd w:id="63"/>
    </w:p>
    <w:p w14:paraId="71E19523">
      <w:pPr>
        <w:pStyle w:val="5"/>
        <w:keepNext w:val="0"/>
        <w:keepLines w:val="0"/>
        <w:pageBreakBefore w:val="0"/>
        <w:widowControl w:val="0"/>
        <w:kinsoku/>
        <w:wordWrap/>
        <w:overflowPunct/>
        <w:topLinePunct w:val="0"/>
        <w:autoSpaceDE/>
        <w:autoSpaceDN/>
        <w:bidi w:val="0"/>
        <w:adjustRightInd/>
        <w:snapToGrid w:val="0"/>
        <w:spacing w:line="600" w:lineRule="exact"/>
        <w:ind w:firstLine="634"/>
        <w:textAlignment w:val="auto"/>
        <w:rPr>
          <w:rFonts w:ascii="Times New Roman" w:hAnsi="Times New Roman"/>
          <w:color w:val="auto"/>
          <w:u w:val="none"/>
        </w:rPr>
      </w:pPr>
      <w:bookmarkStart w:id="64" w:name="_Toc16833"/>
      <w:bookmarkStart w:id="65" w:name="_Toc86940105"/>
      <w:bookmarkStart w:id="66" w:name="_Toc3667_WPSOffice_Level2"/>
      <w:bookmarkStart w:id="67" w:name="_Toc2033"/>
      <w:bookmarkStart w:id="68" w:name="_Toc9570"/>
      <w:bookmarkStart w:id="69" w:name="_Toc30542"/>
      <w:bookmarkStart w:id="70" w:name="_Toc32046"/>
      <w:bookmarkStart w:id="71" w:name="_Toc7186"/>
      <w:bookmarkStart w:id="72" w:name="_Toc12007"/>
      <w:bookmarkStart w:id="73" w:name="_Toc19197"/>
      <w:bookmarkStart w:id="74" w:name="_Toc25824_WPSOffice_Level2"/>
      <w:bookmarkStart w:id="75" w:name="_Toc176"/>
      <w:r>
        <w:rPr>
          <w:rFonts w:ascii="Times New Roman" w:hAnsi="Times New Roman"/>
          <w:color w:val="auto"/>
          <w:u w:val="none"/>
        </w:rPr>
        <w:t>（一）</w:t>
      </w:r>
      <w:r>
        <w:rPr>
          <w:rFonts w:hint="eastAsia" w:ascii="Times New Roman" w:hAnsi="Times New Roman"/>
          <w:color w:val="auto"/>
          <w:u w:val="none"/>
          <w:lang w:val="en-US" w:eastAsia="zh-CN"/>
        </w:rPr>
        <w:t>构建大救助体系</w:t>
      </w:r>
      <w:r>
        <w:rPr>
          <w:rFonts w:ascii="Times New Roman" w:hAnsi="Times New Roman"/>
          <w:color w:val="auto"/>
          <w:u w:val="none"/>
        </w:rPr>
        <w:t>，</w:t>
      </w:r>
      <w:r>
        <w:rPr>
          <w:rFonts w:hint="eastAsia" w:ascii="Times New Roman" w:hAnsi="Times New Roman"/>
          <w:color w:val="auto"/>
          <w:u w:val="none"/>
          <w:lang w:eastAsia="zh-CN"/>
        </w:rPr>
        <w:t>全</w:t>
      </w:r>
      <w:r>
        <w:rPr>
          <w:rFonts w:ascii="Times New Roman" w:hAnsi="Times New Roman"/>
          <w:color w:val="auto"/>
          <w:u w:val="none"/>
        </w:rPr>
        <w:t>力保障改善兜底民生</w:t>
      </w:r>
      <w:bookmarkEnd w:id="64"/>
      <w:bookmarkEnd w:id="65"/>
      <w:bookmarkEnd w:id="66"/>
      <w:bookmarkEnd w:id="67"/>
      <w:bookmarkEnd w:id="68"/>
    </w:p>
    <w:p w14:paraId="700F1494">
      <w:pPr>
        <w:pStyle w:val="6"/>
        <w:keepNext w:val="0"/>
        <w:keepLines w:val="0"/>
        <w:pageBreakBefore w:val="0"/>
        <w:widowControl w:val="0"/>
        <w:kinsoku/>
        <w:wordWrap/>
        <w:overflowPunct/>
        <w:topLinePunct w:val="0"/>
        <w:autoSpaceDE/>
        <w:autoSpaceDN/>
        <w:bidi w:val="0"/>
        <w:adjustRightInd/>
        <w:snapToGrid w:val="0"/>
        <w:spacing w:line="600" w:lineRule="exact"/>
        <w:ind w:firstLine="634"/>
        <w:textAlignment w:val="auto"/>
        <w:rPr>
          <w:rStyle w:val="22"/>
          <w:rFonts w:hint="eastAsia" w:ascii="Times New Roman" w:hAnsi="Times New Roman" w:eastAsia="仿宋_GB2312"/>
          <w:b/>
          <w:bCs/>
          <w:color w:val="auto"/>
          <w:u w:val="none"/>
          <w:lang w:eastAsia="zh-CN"/>
        </w:rPr>
      </w:pPr>
      <w:bookmarkStart w:id="76" w:name="_Toc15226"/>
      <w:bookmarkStart w:id="77" w:name="_Toc86940106"/>
      <w:bookmarkStart w:id="78" w:name="_Toc20019"/>
      <w:bookmarkStart w:id="79" w:name="_Toc23474"/>
      <w:r>
        <w:rPr>
          <w:rStyle w:val="22"/>
          <w:rFonts w:hint="eastAsia" w:ascii="Times New Roman" w:hAnsi="Times New Roman"/>
          <w:b w:val="0"/>
          <w:bCs w:val="0"/>
          <w:color w:val="auto"/>
          <w:u w:val="none"/>
          <w:lang w:eastAsia="zh-CN"/>
        </w:rPr>
        <w:t>坚持以人民为中心，按照“兜底线、织密网、建机制”总体要求，统筹推进社会救助综合改革，加快构建制度衔接、资源统筹、部门联动、社会参与、数据共享的综合救助格局，切实织密扎牢民生兜底保障安全网。</w:t>
      </w:r>
    </w:p>
    <w:p w14:paraId="1D16723B">
      <w:pPr>
        <w:pStyle w:val="6"/>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32" w:firstLineChars="200"/>
        <w:textAlignment w:val="auto"/>
        <w:rPr>
          <w:rFonts w:ascii="Times New Roman"/>
          <w:color w:val="auto"/>
          <w:u w:val="none"/>
        </w:rPr>
      </w:pPr>
      <w:r>
        <w:rPr>
          <w:rStyle w:val="22"/>
          <w:rFonts w:hint="eastAsia" w:ascii="Times New Roman" w:hAnsi="Times New Roman"/>
          <w:b/>
          <w:bCs/>
          <w:color w:val="auto"/>
          <w:u w:val="none"/>
          <w:lang w:val="en-US" w:eastAsia="zh-CN"/>
        </w:rPr>
        <w:t>1.</w:t>
      </w:r>
      <w:r>
        <w:rPr>
          <w:rStyle w:val="22"/>
          <w:rFonts w:ascii="Times New Roman" w:hAnsi="Times New Roman"/>
          <w:b/>
          <w:bCs/>
          <w:color w:val="auto"/>
          <w:u w:val="none"/>
        </w:rPr>
        <w:t>健全社会救助体系</w:t>
      </w:r>
      <w:bookmarkEnd w:id="76"/>
      <w:bookmarkEnd w:id="77"/>
      <w:bookmarkEnd w:id="78"/>
      <w:bookmarkEnd w:id="79"/>
      <w:r>
        <w:rPr>
          <w:rStyle w:val="22"/>
          <w:rFonts w:hint="eastAsia" w:ascii="Times New Roman" w:hAnsi="Times New Roman"/>
          <w:b/>
          <w:bCs/>
          <w:color w:val="auto"/>
          <w:u w:val="none"/>
          <w:lang w:eastAsia="zh-CN"/>
        </w:rPr>
        <w:t>。</w:t>
      </w:r>
      <w:bookmarkStart w:id="80" w:name="_Toc86940107"/>
      <w:r>
        <w:rPr>
          <w:rStyle w:val="22"/>
          <w:rFonts w:hint="eastAsia" w:ascii="Times New Roman"/>
          <w:color w:val="auto"/>
          <w:u w:val="none"/>
          <w:lang w:val="en-US" w:eastAsia="zh-CN"/>
        </w:rPr>
        <w:t>改革完善社会救助制度，</w:t>
      </w:r>
      <w:r>
        <w:rPr>
          <w:rStyle w:val="22"/>
          <w:rFonts w:ascii="Times New Roman" w:hAnsi="Times New Roman"/>
          <w:color w:val="auto"/>
          <w:u w:val="none"/>
        </w:rPr>
        <w:t>完善分层分类救助格局，</w:t>
      </w:r>
      <w:bookmarkEnd w:id="80"/>
      <w:r>
        <w:rPr>
          <w:rFonts w:ascii="Times New Roman"/>
          <w:color w:val="auto"/>
          <w:u w:val="none"/>
        </w:rPr>
        <w:t>统筹运用低保</w:t>
      </w:r>
      <w:r>
        <w:rPr>
          <w:rFonts w:hint="eastAsia" w:ascii="Times New Roman"/>
          <w:color w:val="auto"/>
          <w:u w:val="none"/>
          <w:lang w:eastAsia="zh-CN"/>
        </w:rPr>
        <w:t>、</w:t>
      </w:r>
      <w:r>
        <w:rPr>
          <w:rFonts w:hint="eastAsia" w:ascii="Times New Roman"/>
          <w:color w:val="auto"/>
          <w:u w:val="none"/>
          <w:lang w:val="en-US" w:eastAsia="zh-CN"/>
        </w:rPr>
        <w:t>特困</w:t>
      </w:r>
      <w:r>
        <w:rPr>
          <w:rFonts w:ascii="Times New Roman"/>
          <w:color w:val="auto"/>
          <w:u w:val="none"/>
        </w:rPr>
        <w:t>等基本生活救助、专项救助和临时救助政策，以最低生活保障、特困人员救助供养为基础，</w:t>
      </w:r>
      <w:r>
        <w:rPr>
          <w:rFonts w:ascii="Times New Roman"/>
          <w:color w:val="auto"/>
          <w:u w:val="none"/>
          <w:lang w:val="en-US" w:eastAsia="zh-CN"/>
        </w:rPr>
        <w:t>教育救助、医疗救助、住房救助、就业救</w:t>
      </w:r>
      <w:r>
        <w:rPr>
          <w:rFonts w:hint="eastAsia" w:ascii="Times New Roman"/>
          <w:color w:val="auto"/>
          <w:u w:val="none"/>
          <w:lang w:val="en-US" w:eastAsia="zh-CN"/>
        </w:rPr>
        <w:t>助、信访救助、法律援助、司法救助等</w:t>
      </w:r>
      <w:r>
        <w:rPr>
          <w:rFonts w:ascii="Times New Roman"/>
          <w:color w:val="auto"/>
          <w:u w:val="none"/>
        </w:rPr>
        <w:t>专项救助为支撑，临时救助为辅助，社会力量参与为补充，健全分层分类的梯度救助体系。</w:t>
      </w:r>
      <w:r>
        <w:rPr>
          <w:rFonts w:ascii="Times New Roman"/>
          <w:color w:val="auto"/>
          <w:u w:val="none"/>
          <w:lang w:val="en-US" w:eastAsia="zh-CN"/>
        </w:rPr>
        <w:t>社</w:t>
      </w:r>
      <w:r>
        <w:rPr>
          <w:rFonts w:hint="eastAsia" w:ascii="Times New Roman"/>
          <w:color w:val="auto"/>
          <w:u w:val="none"/>
          <w:lang w:val="en-US" w:eastAsia="zh-CN"/>
        </w:rPr>
        <w:t>会救助范围逐步从收入型困难对象扩大到支出型困难对象，实现困难群体全覆盖。</w:t>
      </w:r>
    </w:p>
    <w:p w14:paraId="09C9DBB1">
      <w:pPr>
        <w:pStyle w:val="6"/>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0" w:firstLine="632" w:firstLineChars="200"/>
        <w:textAlignment w:val="auto"/>
        <w:rPr>
          <w:rFonts w:ascii="Times New Roman"/>
          <w:color w:val="auto"/>
          <w:u w:val="none"/>
        </w:rPr>
      </w:pPr>
      <w:r>
        <w:rPr>
          <w:rStyle w:val="22"/>
          <w:rFonts w:hint="eastAsia" w:ascii="Times New Roman" w:hAnsi="Times New Roman" w:cs="Times New Roman"/>
          <w:b/>
          <w:bCs/>
          <w:color w:val="auto"/>
          <w:u w:val="none"/>
          <w:lang w:val="en-US" w:eastAsia="zh-CN"/>
        </w:rPr>
        <w:t>2.强化基本生活救助。</w:t>
      </w:r>
      <w:r>
        <w:rPr>
          <w:rFonts w:hint="eastAsia" w:ascii="Times New Roman"/>
          <w:b/>
          <w:bCs/>
          <w:color w:val="auto"/>
          <w:u w:val="none"/>
          <w:lang w:val="en-US" w:eastAsia="zh-CN"/>
        </w:rPr>
        <w:t>一是</w:t>
      </w:r>
      <w:r>
        <w:rPr>
          <w:rFonts w:ascii="Times New Roman"/>
          <w:color w:val="auto"/>
          <w:u w:val="none"/>
        </w:rPr>
        <w:t>完善最低生活保障</w:t>
      </w:r>
      <w:r>
        <w:rPr>
          <w:rStyle w:val="23"/>
          <w:rFonts w:hint="default" w:ascii="仿宋_GB2312" w:hAnsi="仿宋_GB2312" w:eastAsia="仿宋_GB2312" w:cs="仿宋_GB2312"/>
          <w:color w:val="auto"/>
          <w:spacing w:val="0"/>
          <w:kern w:val="0"/>
          <w:u w:val="none"/>
        </w:rPr>
        <w:t>及低收入家庭救助制度</w:t>
      </w:r>
      <w:r>
        <w:rPr>
          <w:rStyle w:val="23"/>
          <w:rFonts w:hint="eastAsia" w:hAnsi="仿宋_GB2312" w:cs="仿宋_GB2312"/>
          <w:color w:val="auto"/>
          <w:spacing w:val="0"/>
          <w:kern w:val="0"/>
          <w:u w:val="none"/>
        </w:rPr>
        <w:t>，</w:t>
      </w:r>
      <w:r>
        <w:rPr>
          <w:rFonts w:hint="eastAsia" w:eastAsia="仿宋_GB2312"/>
          <w:color w:val="auto"/>
          <w:spacing w:val="0"/>
          <w:kern w:val="0"/>
          <w:szCs w:val="32"/>
          <w:u w:val="none"/>
          <w:lang w:val="en-US" w:eastAsia="zh-CN"/>
        </w:rPr>
        <w:t>逐</w:t>
      </w:r>
      <w:r>
        <w:rPr>
          <w:rFonts w:eastAsia="仿宋_GB2312"/>
          <w:color w:val="auto"/>
          <w:spacing w:val="0"/>
          <w:kern w:val="0"/>
          <w:szCs w:val="32"/>
          <w:u w:val="none"/>
        </w:rPr>
        <w:t>步扩大救助覆盖群体</w:t>
      </w:r>
      <w:r>
        <w:rPr>
          <w:rFonts w:hint="eastAsia" w:eastAsia="仿宋_GB2312"/>
          <w:color w:val="auto"/>
          <w:spacing w:val="0"/>
          <w:kern w:val="0"/>
          <w:szCs w:val="32"/>
          <w:u w:val="none"/>
        </w:rPr>
        <w:t>，</w:t>
      </w:r>
      <w:r>
        <w:rPr>
          <w:rFonts w:hint="eastAsia" w:eastAsia="仿宋_GB2312"/>
          <w:color w:val="auto"/>
          <w:spacing w:val="0"/>
          <w:kern w:val="0"/>
          <w:szCs w:val="32"/>
          <w:u w:val="none"/>
          <w:lang w:val="en-US" w:eastAsia="zh-CN"/>
        </w:rPr>
        <w:t>探索</w:t>
      </w:r>
      <w:r>
        <w:rPr>
          <w:rFonts w:hint="eastAsia"/>
          <w:color w:val="auto"/>
          <w:spacing w:val="0"/>
          <w:kern w:val="0"/>
          <w:szCs w:val="32"/>
          <w:u w:val="none"/>
          <w:lang w:val="en-US" w:eastAsia="zh-CN"/>
        </w:rPr>
        <w:t>将</w:t>
      </w:r>
      <w:r>
        <w:rPr>
          <w:rFonts w:hint="eastAsia" w:eastAsia="仿宋_GB2312"/>
          <w:color w:val="auto"/>
          <w:spacing w:val="0"/>
          <w:kern w:val="0"/>
          <w:szCs w:val="32"/>
          <w:u w:val="none"/>
          <w:lang w:val="en-US" w:eastAsia="zh-CN"/>
        </w:rPr>
        <w:t>非户籍</w:t>
      </w:r>
      <w:r>
        <w:rPr>
          <w:rFonts w:hint="eastAsia"/>
          <w:color w:val="auto"/>
          <w:spacing w:val="0"/>
          <w:kern w:val="0"/>
          <w:szCs w:val="32"/>
          <w:u w:val="none"/>
          <w:lang w:val="en-US" w:eastAsia="zh-CN"/>
        </w:rPr>
        <w:t>困难</w:t>
      </w:r>
      <w:r>
        <w:rPr>
          <w:rFonts w:hint="eastAsia" w:eastAsia="仿宋_GB2312"/>
          <w:color w:val="auto"/>
          <w:spacing w:val="0"/>
          <w:kern w:val="0"/>
          <w:szCs w:val="32"/>
          <w:u w:val="none"/>
          <w:lang w:val="en-US" w:eastAsia="zh-CN"/>
        </w:rPr>
        <w:t>家庭成员纳入救助保障范围。</w:t>
      </w:r>
      <w:r>
        <w:rPr>
          <w:rFonts w:hint="eastAsia"/>
          <w:b/>
          <w:bCs/>
          <w:color w:val="auto"/>
          <w:spacing w:val="0"/>
          <w:kern w:val="0"/>
          <w:szCs w:val="32"/>
          <w:u w:val="none"/>
          <w:lang w:val="en-US" w:eastAsia="zh-CN"/>
        </w:rPr>
        <w:t>二是</w:t>
      </w:r>
      <w:r>
        <w:rPr>
          <w:rFonts w:ascii="Times New Roman"/>
          <w:color w:val="auto"/>
          <w:u w:val="none"/>
        </w:rPr>
        <w:t>完善特困人员救助供养</w:t>
      </w:r>
      <w:r>
        <w:rPr>
          <w:rFonts w:hint="eastAsia" w:ascii="Times New Roman"/>
          <w:color w:val="auto"/>
          <w:u w:val="none"/>
          <w:lang w:val="en-US" w:eastAsia="zh-CN"/>
        </w:rPr>
        <w:t>制度，</w:t>
      </w:r>
      <w:r>
        <w:rPr>
          <w:rFonts w:hint="eastAsia" w:ascii="仿宋_GB2312" w:hAnsi="仿宋_GB2312" w:eastAsia="仿宋_GB2312" w:cs="仿宋_GB2312"/>
          <w:color w:val="auto"/>
          <w:spacing w:val="0"/>
          <w:kern w:val="0"/>
          <w:szCs w:val="32"/>
          <w:u w:val="none"/>
        </w:rPr>
        <w:t>完善特困人员无劳动能力、无生活来源、法定义务人无履行义务能力的认定标准，</w:t>
      </w:r>
      <w:r>
        <w:rPr>
          <w:rFonts w:eastAsia="仿宋_GB2312"/>
          <w:color w:val="auto"/>
          <w:spacing w:val="0"/>
          <w:kern w:val="0"/>
          <w:szCs w:val="32"/>
          <w:u w:val="none"/>
        </w:rPr>
        <w:t>将特困</w:t>
      </w:r>
      <w:r>
        <w:rPr>
          <w:rFonts w:hint="eastAsia" w:eastAsia="仿宋_GB2312"/>
          <w:color w:val="auto"/>
          <w:spacing w:val="0"/>
          <w:kern w:val="0"/>
          <w:szCs w:val="32"/>
          <w:u w:val="none"/>
        </w:rPr>
        <w:t>救助供养</w:t>
      </w:r>
      <w:r>
        <w:rPr>
          <w:rFonts w:eastAsia="仿宋_GB2312"/>
          <w:color w:val="auto"/>
          <w:spacing w:val="0"/>
          <w:kern w:val="0"/>
          <w:szCs w:val="32"/>
          <w:u w:val="none"/>
        </w:rPr>
        <w:t>覆盖的未成年人年龄从16周岁延长至18周岁。</w:t>
      </w:r>
      <w:r>
        <w:rPr>
          <w:rFonts w:hint="eastAsia"/>
          <w:b/>
          <w:bCs/>
          <w:color w:val="auto"/>
          <w:spacing w:val="0"/>
          <w:kern w:val="0"/>
          <w:szCs w:val="32"/>
          <w:u w:val="none"/>
          <w:lang w:val="en-US" w:eastAsia="zh-CN"/>
        </w:rPr>
        <w:t>三是</w:t>
      </w:r>
      <w:r>
        <w:rPr>
          <w:rFonts w:hint="eastAsia" w:ascii="仿宋_GB2312" w:hAnsi="仿宋_GB2312" w:eastAsia="仿宋_GB2312" w:cs="仿宋_GB2312"/>
          <w:color w:val="auto"/>
          <w:spacing w:val="0"/>
          <w:kern w:val="0"/>
          <w:szCs w:val="32"/>
          <w:u w:val="none"/>
        </w:rPr>
        <w:t>建立支出型困难家庭救助制度</w:t>
      </w:r>
      <w:r>
        <w:rPr>
          <w:rFonts w:hint="eastAsia" w:hAnsi="仿宋_GB2312" w:cs="仿宋_GB2312"/>
          <w:color w:val="auto"/>
          <w:spacing w:val="0"/>
          <w:kern w:val="0"/>
          <w:szCs w:val="32"/>
          <w:u w:val="none"/>
          <w:lang w:eastAsia="zh-CN"/>
        </w:rPr>
        <w:t>，</w:t>
      </w:r>
      <w:r>
        <w:rPr>
          <w:rFonts w:hint="eastAsia" w:ascii="仿宋_GB2312" w:hAnsi="仿宋_GB2312" w:eastAsia="仿宋_GB2312" w:cs="仿宋_GB2312"/>
          <w:color w:val="auto"/>
          <w:spacing w:val="0"/>
          <w:kern w:val="0"/>
          <w:szCs w:val="32"/>
          <w:u w:val="none"/>
        </w:rPr>
        <w:t>将因医疗、教育、残疾康复或因灾、因意外事故等刚性支出达到或超过其家庭年可支配总收入一定比例的家庭，按规定认定为支出型困难家庭，参照</w:t>
      </w:r>
      <w:r>
        <w:rPr>
          <w:rFonts w:hint="eastAsia" w:hAnsi="仿宋_GB2312" w:cs="仿宋_GB2312"/>
          <w:color w:val="auto"/>
          <w:spacing w:val="0"/>
          <w:kern w:val="0"/>
          <w:szCs w:val="32"/>
          <w:u w:val="none"/>
          <w:lang w:val="en-US" w:eastAsia="zh-CN"/>
        </w:rPr>
        <w:t>低保</w:t>
      </w:r>
      <w:r>
        <w:rPr>
          <w:rFonts w:hint="eastAsia" w:ascii="仿宋_GB2312" w:hAnsi="仿宋_GB2312" w:eastAsia="仿宋_GB2312" w:cs="仿宋_GB2312"/>
          <w:color w:val="auto"/>
          <w:spacing w:val="0"/>
          <w:kern w:val="0"/>
          <w:szCs w:val="32"/>
          <w:u w:val="none"/>
        </w:rPr>
        <w:t>低收入家庭落实专项社会救助和临时救助</w:t>
      </w:r>
      <w:r>
        <w:rPr>
          <w:rFonts w:ascii="Times New Roman"/>
          <w:color w:val="auto"/>
          <w:u w:val="none"/>
        </w:rPr>
        <w:t>，提升救助保障的针对性和精准度，全方位保障好困难群众基本生活。</w:t>
      </w:r>
      <w:bookmarkStart w:id="81" w:name="_Toc20211"/>
      <w:bookmarkStart w:id="82" w:name="_Toc86940108"/>
      <w:bookmarkStart w:id="83" w:name="_Toc22927"/>
      <w:bookmarkStart w:id="84" w:name="_Toc25360"/>
    </w:p>
    <w:p w14:paraId="44CD354B">
      <w:pPr>
        <w:pStyle w:val="6"/>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0" w:firstLine="632" w:firstLineChars="200"/>
        <w:textAlignment w:val="auto"/>
        <w:rPr>
          <w:rFonts w:ascii="Times New Roman"/>
          <w:color w:val="auto"/>
          <w:u w:val="none"/>
        </w:rPr>
      </w:pPr>
      <w:r>
        <w:rPr>
          <w:rStyle w:val="22"/>
          <w:rFonts w:hint="eastAsia" w:ascii="Times New Roman" w:hAnsi="Times New Roman"/>
          <w:b/>
          <w:bCs/>
          <w:color w:val="auto"/>
          <w:u w:val="none"/>
          <w:lang w:val="en-US" w:eastAsia="zh-CN"/>
        </w:rPr>
        <w:t>3</w:t>
      </w:r>
      <w:r>
        <w:rPr>
          <w:rStyle w:val="22"/>
          <w:rFonts w:ascii="Times New Roman" w:hAnsi="Times New Roman"/>
          <w:b/>
          <w:bCs/>
          <w:color w:val="auto"/>
          <w:u w:val="none"/>
        </w:rPr>
        <w:t>.稳步提高救助水平</w:t>
      </w:r>
      <w:bookmarkEnd w:id="81"/>
      <w:bookmarkEnd w:id="82"/>
      <w:bookmarkEnd w:id="83"/>
      <w:bookmarkEnd w:id="84"/>
      <w:r>
        <w:rPr>
          <w:rStyle w:val="22"/>
          <w:rFonts w:hint="eastAsia" w:ascii="Times New Roman" w:hAnsi="Times New Roman"/>
          <w:b/>
          <w:bCs/>
          <w:color w:val="auto"/>
          <w:u w:val="none"/>
          <w:lang w:eastAsia="zh-CN"/>
        </w:rPr>
        <w:t>。</w:t>
      </w:r>
      <w:r>
        <w:rPr>
          <w:rFonts w:ascii="Times New Roman"/>
          <w:color w:val="auto"/>
          <w:u w:val="none"/>
        </w:rPr>
        <w:t>修订完善最低生活保障标准调整机制，稳步提高低保及相关困难群众基本生活保障水平</w:t>
      </w:r>
      <w:r>
        <w:rPr>
          <w:rFonts w:hint="eastAsia" w:ascii="仿宋_GB2312" w:hAnsi="仿宋_GB2312" w:eastAsia="仿宋_GB2312" w:cs="仿宋_GB2312"/>
          <w:color w:val="auto"/>
          <w:u w:val="none"/>
        </w:rPr>
        <w:t>。</w:t>
      </w:r>
      <w:r>
        <w:rPr>
          <w:rFonts w:hint="eastAsia" w:ascii="仿宋_GB2312" w:hAnsi="仿宋_GB2312" w:eastAsia="仿宋_GB2312" w:cs="仿宋_GB2312"/>
          <w:color w:val="auto"/>
          <w:u w:val="none"/>
          <w:lang w:eastAsia="zh-CN"/>
        </w:rPr>
        <w:t>力争</w:t>
      </w:r>
      <w:r>
        <w:rPr>
          <w:rFonts w:hint="eastAsia" w:ascii="仿宋_GB2312" w:hAnsi="仿宋_GB2312" w:eastAsia="仿宋_GB2312" w:cs="仿宋_GB2312"/>
          <w:color w:val="auto"/>
          <w:u w:val="none"/>
        </w:rPr>
        <w:t>到2022年低保标准提高至1150元以上，到2025年提高至1250元以上，相关低收入对象认定、特困人员救助供养标准、散居孤儿</w:t>
      </w:r>
      <w:r>
        <w:rPr>
          <w:rFonts w:ascii="Times New Roman"/>
          <w:color w:val="auto"/>
          <w:u w:val="none"/>
        </w:rPr>
        <w:t>养育标准等按比例逐步提高。加强与乡村振兴战略衔接，通过省低收入人口动态监测信息平台</w:t>
      </w:r>
      <w:r>
        <w:rPr>
          <w:rFonts w:hint="eastAsia" w:ascii="Times New Roman"/>
          <w:color w:val="auto"/>
          <w:u w:val="none"/>
        </w:rPr>
        <w:t>做好低收入</w:t>
      </w:r>
      <w:r>
        <w:rPr>
          <w:rFonts w:ascii="Times New Roman"/>
          <w:color w:val="auto"/>
          <w:u w:val="none"/>
        </w:rPr>
        <w:t>人口的动态</w:t>
      </w:r>
      <w:r>
        <w:rPr>
          <w:rFonts w:hint="eastAsia" w:ascii="Times New Roman"/>
          <w:color w:val="auto"/>
          <w:u w:val="none"/>
        </w:rPr>
        <w:t>管理</w:t>
      </w:r>
      <w:r>
        <w:rPr>
          <w:rFonts w:ascii="Times New Roman"/>
          <w:color w:val="auto"/>
          <w:u w:val="none"/>
        </w:rPr>
        <w:t>工作，</w:t>
      </w:r>
      <w:r>
        <w:rPr>
          <w:rFonts w:ascii="Times New Roman"/>
          <w:color w:val="auto"/>
          <w:kern w:val="0"/>
          <w:sz w:val="31"/>
          <w:szCs w:val="31"/>
          <w:u w:val="none"/>
          <w:lang w:bidi="ar"/>
        </w:rPr>
        <w:t>强化基本生活救助、专项救助和救助服务等措施的综合运用，</w:t>
      </w:r>
      <w:r>
        <w:rPr>
          <w:rFonts w:ascii="Times New Roman"/>
          <w:color w:val="auto"/>
          <w:u w:val="none"/>
        </w:rPr>
        <w:t>推进城</w:t>
      </w:r>
      <w:r>
        <w:rPr>
          <w:rFonts w:hint="eastAsia" w:ascii="Times New Roman"/>
          <w:color w:val="auto"/>
          <w:u w:val="none"/>
        </w:rPr>
        <w:t>乡低收入</w:t>
      </w:r>
      <w:r>
        <w:rPr>
          <w:rFonts w:ascii="Times New Roman"/>
          <w:color w:val="auto"/>
          <w:u w:val="none"/>
        </w:rPr>
        <w:t>人口脱困解困。</w:t>
      </w:r>
    </w:p>
    <w:p w14:paraId="2B15EAE7">
      <w:pPr>
        <w:pStyle w:val="6"/>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eastAsia="仿宋_GB2312"/>
          <w:color w:val="auto"/>
          <w:spacing w:val="0"/>
          <w:kern w:val="0"/>
          <w:szCs w:val="32"/>
          <w:u w:val="none"/>
        </w:rPr>
      </w:pPr>
      <w:bookmarkStart w:id="85" w:name="_Toc5375"/>
      <w:bookmarkStart w:id="86" w:name="_Toc18725"/>
      <w:bookmarkStart w:id="87" w:name="_Toc1187"/>
      <w:bookmarkStart w:id="88" w:name="_Toc86940109"/>
      <w:r>
        <w:rPr>
          <w:rStyle w:val="22"/>
          <w:rFonts w:hint="eastAsia" w:ascii="Times New Roman" w:hAnsi="Times New Roman" w:cs="Times New Roman"/>
          <w:b/>
          <w:bCs/>
          <w:color w:val="auto"/>
          <w:u w:val="none"/>
          <w:lang w:val="en-US" w:eastAsia="zh-CN"/>
        </w:rPr>
        <w:t>4.</w:t>
      </w:r>
      <w:r>
        <w:rPr>
          <w:rStyle w:val="22"/>
          <w:rFonts w:hint="default" w:ascii="Times New Roman" w:hAnsi="Times New Roman" w:cs="Times New Roman"/>
          <w:b/>
          <w:bCs/>
          <w:color w:val="auto"/>
          <w:u w:val="none"/>
        </w:rPr>
        <w:t>完善急难社会救助</w:t>
      </w:r>
      <w:r>
        <w:rPr>
          <w:rStyle w:val="22"/>
          <w:rFonts w:hint="eastAsia" w:ascii="Times New Roman" w:hAnsi="Times New Roman" w:cs="Times New Roman"/>
          <w:b/>
          <w:bCs/>
          <w:color w:val="auto"/>
          <w:u w:val="none"/>
          <w:lang w:eastAsia="zh-CN"/>
        </w:rPr>
        <w:t>。</w:t>
      </w:r>
      <w:r>
        <w:rPr>
          <w:rFonts w:hint="eastAsia"/>
          <w:b/>
          <w:bCs/>
          <w:color w:val="auto"/>
          <w:u w:val="none"/>
          <w:lang w:val="en-US" w:eastAsia="zh-CN"/>
        </w:rPr>
        <w:t>一是</w:t>
      </w:r>
      <w:r>
        <w:rPr>
          <w:rFonts w:hint="eastAsia" w:ascii="仿宋_GB2312" w:hAnsi="仿宋_GB2312" w:eastAsia="仿宋_GB2312" w:cs="仿宋_GB2312"/>
          <w:color w:val="auto"/>
          <w:spacing w:val="0"/>
          <w:kern w:val="0"/>
          <w:szCs w:val="32"/>
          <w:u w:val="none"/>
        </w:rPr>
        <w:t>完善临时救助制度</w:t>
      </w:r>
      <w:r>
        <w:rPr>
          <w:rFonts w:hint="eastAsia" w:hAnsi="仿宋_GB2312" w:cs="仿宋_GB2312"/>
          <w:color w:val="auto"/>
          <w:spacing w:val="0"/>
          <w:kern w:val="0"/>
          <w:szCs w:val="32"/>
          <w:u w:val="none"/>
          <w:lang w:eastAsia="zh-CN"/>
        </w:rPr>
        <w:t>，</w:t>
      </w:r>
      <w:r>
        <w:rPr>
          <w:rFonts w:ascii="仿宋_GB2312" w:hAnsi="楷体" w:eastAsia="仿宋_GB2312" w:cs="楷体"/>
          <w:color w:val="auto"/>
          <w:spacing w:val="0"/>
          <w:kern w:val="0"/>
          <w:szCs w:val="32"/>
          <w:u w:val="none"/>
        </w:rPr>
        <w:t>加强急难型救助和支出型救助</w:t>
      </w:r>
      <w:r>
        <w:rPr>
          <w:rFonts w:hint="eastAsia" w:ascii="仿宋_GB2312" w:hAnsi="楷体" w:eastAsia="仿宋_GB2312" w:cs="楷体"/>
          <w:color w:val="auto"/>
          <w:spacing w:val="0"/>
          <w:kern w:val="0"/>
          <w:szCs w:val="32"/>
          <w:u w:val="none"/>
        </w:rPr>
        <w:t>，对急难型救助实行“先行救助”</w:t>
      </w:r>
      <w:r>
        <w:rPr>
          <w:rFonts w:hint="eastAsia" w:ascii="仿宋_GB2312" w:hAnsi="楷体" w:eastAsia="仿宋_GB2312" w:cs="楷体"/>
          <w:color w:val="auto"/>
          <w:spacing w:val="0"/>
          <w:kern w:val="0"/>
          <w:szCs w:val="32"/>
          <w:u w:val="none"/>
          <w:lang w:val="en-US" w:eastAsia="zh-CN"/>
        </w:rPr>
        <w:t>后补手续</w:t>
      </w:r>
      <w:r>
        <w:rPr>
          <w:rFonts w:hint="eastAsia" w:ascii="仿宋_GB2312" w:hAnsi="楷体" w:eastAsia="仿宋_GB2312" w:cs="楷体"/>
          <w:color w:val="auto"/>
          <w:spacing w:val="0"/>
          <w:kern w:val="0"/>
          <w:szCs w:val="32"/>
          <w:u w:val="none"/>
        </w:rPr>
        <w:t>；</w:t>
      </w:r>
      <w:r>
        <w:rPr>
          <w:rFonts w:eastAsia="仿宋_GB2312"/>
          <w:color w:val="auto"/>
          <w:spacing w:val="0"/>
          <w:kern w:val="0"/>
          <w:szCs w:val="32"/>
          <w:u w:val="none"/>
        </w:rPr>
        <w:t>对支出型临时救助</w:t>
      </w:r>
      <w:r>
        <w:rPr>
          <w:rFonts w:hint="eastAsia" w:eastAsia="仿宋_GB2312"/>
          <w:color w:val="auto"/>
          <w:spacing w:val="0"/>
          <w:kern w:val="0"/>
          <w:szCs w:val="32"/>
          <w:u w:val="none"/>
          <w:lang w:val="en-US" w:eastAsia="zh-CN"/>
        </w:rPr>
        <w:t>进一步规范审核审批程序</w:t>
      </w:r>
      <w:r>
        <w:rPr>
          <w:rFonts w:eastAsia="仿宋_GB2312"/>
          <w:color w:val="auto"/>
          <w:spacing w:val="0"/>
          <w:kern w:val="0"/>
          <w:szCs w:val="32"/>
          <w:u w:val="none"/>
        </w:rPr>
        <w:t>。</w:t>
      </w:r>
      <w:r>
        <w:rPr>
          <w:rFonts w:hint="eastAsia" w:ascii="仿宋_GB2312" w:hAnsi="楷体" w:eastAsia="仿宋_GB2312" w:cs="楷体"/>
          <w:color w:val="auto"/>
          <w:spacing w:val="0"/>
          <w:kern w:val="0"/>
          <w:szCs w:val="32"/>
          <w:u w:val="none"/>
        </w:rPr>
        <w:t>根据救助对象困难程度分类实施</w:t>
      </w:r>
      <w:r>
        <w:rPr>
          <w:rFonts w:hint="eastAsia" w:eastAsia="仿宋_GB2312"/>
          <w:color w:val="auto"/>
          <w:spacing w:val="0"/>
          <w:kern w:val="0"/>
          <w:szCs w:val="32"/>
          <w:u w:val="none"/>
        </w:rPr>
        <w:t>普通临时救助、小额临时救助、特殊临时救助。</w:t>
      </w:r>
      <w:r>
        <w:rPr>
          <w:rFonts w:eastAsia="仿宋_GB2312"/>
          <w:color w:val="auto"/>
          <w:spacing w:val="0"/>
          <w:kern w:val="0"/>
          <w:szCs w:val="32"/>
          <w:u w:val="none"/>
        </w:rPr>
        <w:t>建立健全快速响应、个案会商“救急难”工作机制，在镇街全面建立临时救助备用金制度。</w:t>
      </w:r>
      <w:r>
        <w:rPr>
          <w:rFonts w:hint="eastAsia"/>
          <w:b/>
          <w:bCs/>
          <w:color w:val="auto"/>
          <w:spacing w:val="0"/>
          <w:kern w:val="0"/>
          <w:szCs w:val="32"/>
          <w:u w:val="none"/>
          <w:lang w:val="en-US" w:eastAsia="zh-CN"/>
        </w:rPr>
        <w:t>二是</w:t>
      </w:r>
      <w:r>
        <w:rPr>
          <w:rFonts w:hint="eastAsia" w:ascii="仿宋_GB2312" w:hAnsi="仿宋_GB2312" w:eastAsia="仿宋_GB2312" w:cs="仿宋_GB2312"/>
          <w:color w:val="auto"/>
          <w:spacing w:val="0"/>
          <w:kern w:val="0"/>
          <w:szCs w:val="32"/>
          <w:u w:val="none"/>
        </w:rPr>
        <w:t>加强和改进生活无着流浪乞讨人员救助管理</w:t>
      </w:r>
      <w:r>
        <w:rPr>
          <w:rFonts w:hint="eastAsia" w:hAnsi="仿宋_GB2312" w:cs="仿宋_GB2312"/>
          <w:color w:val="auto"/>
          <w:spacing w:val="0"/>
          <w:kern w:val="0"/>
          <w:szCs w:val="32"/>
          <w:u w:val="none"/>
          <w:lang w:eastAsia="zh-CN"/>
        </w:rPr>
        <w:t>，</w:t>
      </w:r>
      <w:r>
        <w:rPr>
          <w:rFonts w:eastAsia="仿宋_GB2312"/>
          <w:color w:val="auto"/>
          <w:spacing w:val="0"/>
          <w:kern w:val="0"/>
          <w:szCs w:val="32"/>
          <w:u w:val="none"/>
        </w:rPr>
        <w:t>强化属地责任，</w:t>
      </w:r>
      <w:r>
        <w:rPr>
          <w:rFonts w:hint="eastAsia" w:eastAsia="仿宋_GB2312"/>
          <w:color w:val="auto"/>
          <w:spacing w:val="0"/>
          <w:kern w:val="0"/>
          <w:szCs w:val="32"/>
          <w:u w:val="none"/>
        </w:rPr>
        <w:t>明确部门职责分工</w:t>
      </w:r>
      <w:r>
        <w:rPr>
          <w:rFonts w:eastAsia="仿宋_GB2312"/>
          <w:color w:val="auto"/>
          <w:spacing w:val="0"/>
          <w:kern w:val="0"/>
          <w:szCs w:val="32"/>
          <w:u w:val="none"/>
        </w:rPr>
        <w:t>。做好长期滞留人员安置落户工作，为符合条件人员落实社会保障政策。完善源头治理和回归稳固机制</w:t>
      </w:r>
      <w:r>
        <w:rPr>
          <w:rFonts w:hint="eastAsia" w:eastAsia="仿宋_GB2312"/>
          <w:color w:val="auto"/>
          <w:spacing w:val="0"/>
          <w:kern w:val="0"/>
          <w:szCs w:val="32"/>
          <w:u w:val="none"/>
        </w:rPr>
        <w:t>。</w:t>
      </w:r>
      <w:r>
        <w:rPr>
          <w:rFonts w:eastAsia="仿宋_GB2312"/>
          <w:color w:val="auto"/>
          <w:spacing w:val="0"/>
          <w:kern w:val="0"/>
          <w:szCs w:val="32"/>
          <w:u w:val="none"/>
        </w:rPr>
        <w:t>积极为走失、务工不着、家庭暴力受害人等离家在外的临时遇困人员提供救助。加强社会监督，建立特邀监督员制度。</w:t>
      </w:r>
    </w:p>
    <w:p w14:paraId="02F14D2A">
      <w:pPr>
        <w:pStyle w:val="6"/>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ascii="Times New Roman"/>
          <w:color w:val="auto"/>
          <w:u w:val="none"/>
        </w:rPr>
      </w:pPr>
      <w:r>
        <w:rPr>
          <w:rStyle w:val="22"/>
          <w:rFonts w:hint="eastAsia" w:ascii="Times New Roman" w:hAnsi="Times New Roman"/>
          <w:b/>
          <w:bCs/>
          <w:color w:val="auto"/>
          <w:u w:val="none"/>
          <w:lang w:val="en-US" w:eastAsia="zh-CN"/>
        </w:rPr>
        <w:t>5</w:t>
      </w:r>
      <w:r>
        <w:rPr>
          <w:rStyle w:val="22"/>
          <w:rFonts w:ascii="Times New Roman" w:hAnsi="Times New Roman"/>
          <w:b/>
          <w:bCs/>
          <w:color w:val="auto"/>
          <w:u w:val="none"/>
        </w:rPr>
        <w:t>.</w:t>
      </w:r>
      <w:bookmarkEnd w:id="85"/>
      <w:bookmarkEnd w:id="86"/>
      <w:bookmarkEnd w:id="87"/>
      <w:r>
        <w:rPr>
          <w:rFonts w:ascii="Times New Roman"/>
          <w:b/>
          <w:bCs/>
          <w:color w:val="auto"/>
          <w:u w:val="none"/>
        </w:rPr>
        <w:t>建立社会救助信息共享机制</w:t>
      </w:r>
      <w:bookmarkEnd w:id="88"/>
      <w:r>
        <w:rPr>
          <w:rFonts w:hint="eastAsia" w:ascii="Times New Roman"/>
          <w:b/>
          <w:bCs/>
          <w:color w:val="auto"/>
          <w:u w:val="none"/>
          <w:lang w:eastAsia="zh-CN"/>
        </w:rPr>
        <w:t>。</w:t>
      </w:r>
      <w:bookmarkStart w:id="89" w:name="_Toc86940110"/>
      <w:r>
        <w:rPr>
          <w:rStyle w:val="22"/>
          <w:rFonts w:ascii="Times New Roman" w:hAnsi="Times New Roman"/>
          <w:color w:val="auto"/>
          <w:u w:val="none"/>
        </w:rPr>
        <w:t>推进“互联网+救助”平台建设，</w:t>
      </w:r>
      <w:bookmarkEnd w:id="89"/>
      <w:r>
        <w:rPr>
          <w:rFonts w:ascii="Times New Roman"/>
          <w:color w:val="auto"/>
          <w:u w:val="none"/>
        </w:rPr>
        <w:t>运用现代信息技术逐步推进救助信息聚合，强化部门协同联动，提升救助效率，有效实现救助制度、救助对象、救助资源等互联共通、精准对接。进一步构建“功能完善、统筹衔接、务实管用、兜底有力”的新时代社会救助体系，强化社会救助政策之间、社会救助与其他社会保障制度之间的有效衔接，把“最后一道防线”筑牢筑实。</w:t>
      </w:r>
    </w:p>
    <w:p w14:paraId="3E16FA69">
      <w:pPr>
        <w:pStyle w:val="6"/>
        <w:keepNext w:val="0"/>
        <w:keepLines w:val="0"/>
        <w:pageBreakBefore w:val="0"/>
        <w:widowControl w:val="0"/>
        <w:kinsoku/>
        <w:wordWrap/>
        <w:overflowPunct/>
        <w:topLinePunct w:val="0"/>
        <w:autoSpaceDE/>
        <w:autoSpaceDN/>
        <w:bidi w:val="0"/>
        <w:adjustRightInd/>
        <w:snapToGrid w:val="0"/>
        <w:spacing w:line="600" w:lineRule="exact"/>
        <w:ind w:firstLine="634"/>
        <w:textAlignment w:val="auto"/>
        <w:rPr>
          <w:rFonts w:hint="eastAsia" w:ascii="Times New Roman" w:eastAsia="仿宋_GB2312"/>
          <w:color w:val="auto"/>
          <w:u w:val="none"/>
          <w:lang w:eastAsia="zh-CN"/>
        </w:rPr>
      </w:pPr>
      <w:bookmarkStart w:id="90" w:name="_Toc86940111"/>
      <w:r>
        <w:rPr>
          <w:rFonts w:hint="eastAsia" w:ascii="Times New Roman"/>
          <w:b/>
          <w:bCs/>
          <w:color w:val="auto"/>
          <w:u w:val="none"/>
          <w:lang w:val="en-US" w:eastAsia="zh-CN"/>
        </w:rPr>
        <w:t>6</w:t>
      </w:r>
      <w:r>
        <w:rPr>
          <w:rFonts w:ascii="Times New Roman"/>
          <w:b/>
          <w:bCs/>
          <w:color w:val="auto"/>
          <w:u w:val="none"/>
        </w:rPr>
        <w:t>.创新社会救助方式</w:t>
      </w:r>
      <w:bookmarkEnd w:id="90"/>
      <w:r>
        <w:rPr>
          <w:rFonts w:hint="eastAsia" w:ascii="Times New Roman"/>
          <w:b/>
          <w:bCs/>
          <w:color w:val="auto"/>
          <w:u w:val="none"/>
          <w:lang w:eastAsia="zh-CN"/>
        </w:rPr>
        <w:t>。</w:t>
      </w:r>
      <w:r>
        <w:rPr>
          <w:rFonts w:ascii="Times New Roman"/>
          <w:color w:val="auto"/>
          <w:u w:val="none"/>
        </w:rPr>
        <w:t>实施“党建+社会救助”，建立党员干部结对帮扶制度，针对我市民政兜底保障对象中的老年人、残疾人、单亲家庭、困境儿童、重病患者等困难群体全面开展党员干部结对帮扶，定期进行入户走访探视。完善“主动发现+报告”机制，建立相对困难对象主动发现及精准救助帮扶长效机制，通过部门数据比对加强主动监测，同时拓展基层服务功能，广泛动员基层干部、社工等定期走访辖区住户，及时识别可能陷入贫困境遇的家庭</w:t>
      </w:r>
      <w:r>
        <w:rPr>
          <w:rFonts w:hint="eastAsia" w:ascii="Times New Roman"/>
          <w:color w:val="auto"/>
          <w:u w:val="none"/>
          <w:lang w:eastAsia="zh-CN"/>
        </w:rPr>
        <w:t>，</w:t>
      </w:r>
      <w:r>
        <w:rPr>
          <w:rFonts w:hint="eastAsia" w:ascii="Times New Roman" w:hAnsi="Times New Roman" w:eastAsia="仿宋_GB2312" w:cs="Times New Roman"/>
          <w:color w:val="auto"/>
          <w:spacing w:val="0"/>
          <w:kern w:val="0"/>
          <w:sz w:val="32"/>
          <w:szCs w:val="32"/>
          <w:u w:val="none"/>
        </w:rPr>
        <w:t>推动</w:t>
      </w:r>
      <w:r>
        <w:rPr>
          <w:rFonts w:hint="eastAsia" w:ascii="Times New Roman" w:hAnsi="Times New Roman" w:eastAsia="仿宋_GB2312" w:cs="Times New Roman"/>
          <w:color w:val="auto"/>
          <w:spacing w:val="0"/>
          <w:kern w:val="0"/>
          <w:szCs w:val="32"/>
          <w:u w:val="none"/>
        </w:rPr>
        <w:t>我市新时期社会救助工作从</w:t>
      </w:r>
      <w:r>
        <w:rPr>
          <w:rFonts w:hint="eastAsia" w:ascii="Times New Roman" w:hAnsi="Times New Roman" w:eastAsia="仿宋_GB2312" w:cs="Times New Roman"/>
          <w:color w:val="auto"/>
          <w:spacing w:val="0"/>
          <w:kern w:val="0"/>
          <w:szCs w:val="32"/>
          <w:u w:val="none"/>
          <w:lang w:eastAsia="zh-CN"/>
        </w:rPr>
        <w:t>“</w:t>
      </w:r>
      <w:r>
        <w:rPr>
          <w:rFonts w:hint="eastAsia" w:ascii="Times New Roman" w:hAnsi="Times New Roman" w:eastAsia="仿宋_GB2312" w:cs="Times New Roman"/>
          <w:color w:val="auto"/>
          <w:spacing w:val="0"/>
          <w:kern w:val="0"/>
          <w:szCs w:val="32"/>
          <w:u w:val="none"/>
          <w:lang w:val="en-US" w:eastAsia="zh-CN"/>
        </w:rPr>
        <w:t>人找政策”向“政策找人”</w:t>
      </w:r>
      <w:r>
        <w:rPr>
          <w:rFonts w:hint="eastAsia" w:ascii="Times New Roman" w:hAnsi="Times New Roman" w:eastAsia="仿宋_GB2312" w:cs="Times New Roman"/>
          <w:color w:val="auto"/>
          <w:spacing w:val="0"/>
          <w:kern w:val="0"/>
          <w:szCs w:val="32"/>
          <w:u w:val="none"/>
        </w:rPr>
        <w:t>转变。</w:t>
      </w:r>
    </w:p>
    <w:p w14:paraId="04290CC5">
      <w:pPr>
        <w:pStyle w:val="6"/>
        <w:keepNext w:val="0"/>
        <w:keepLines w:val="0"/>
        <w:pageBreakBefore w:val="0"/>
        <w:widowControl w:val="0"/>
        <w:kinsoku/>
        <w:wordWrap/>
        <w:overflowPunct/>
        <w:topLinePunct w:val="0"/>
        <w:autoSpaceDE/>
        <w:autoSpaceDN/>
        <w:bidi w:val="0"/>
        <w:adjustRightInd/>
        <w:snapToGrid w:val="0"/>
        <w:spacing w:line="600" w:lineRule="exact"/>
        <w:ind w:firstLine="634"/>
        <w:textAlignment w:val="auto"/>
        <w:rPr>
          <w:rFonts w:ascii="Times New Roman"/>
          <w:color w:val="auto"/>
          <w:u w:val="none"/>
        </w:rPr>
      </w:pPr>
      <w:r>
        <w:rPr>
          <w:rFonts w:hint="eastAsia" w:ascii="Times New Roman"/>
          <w:b/>
          <w:bCs/>
          <w:color w:val="auto"/>
          <w:u w:val="none"/>
          <w:lang w:val="en-US" w:eastAsia="zh-CN"/>
        </w:rPr>
        <w:t>7</w:t>
      </w:r>
      <w:r>
        <w:rPr>
          <w:rFonts w:ascii="Times New Roman"/>
          <w:b/>
          <w:bCs/>
          <w:color w:val="auto"/>
          <w:u w:val="none"/>
        </w:rPr>
        <w:t>.</w:t>
      </w:r>
      <w:r>
        <w:rPr>
          <w:rFonts w:hint="eastAsia" w:ascii="Times New Roman"/>
          <w:b/>
          <w:bCs/>
          <w:color w:val="auto"/>
          <w:u w:val="none"/>
          <w:lang w:eastAsia="zh-CN"/>
        </w:rPr>
        <w:t>积极参与</w:t>
      </w:r>
      <w:r>
        <w:rPr>
          <w:rFonts w:ascii="Times New Roman"/>
          <w:b/>
          <w:bCs/>
          <w:color w:val="auto"/>
          <w:u w:val="none"/>
        </w:rPr>
        <w:t>推进粤港澳大湾区社会救助统筹发展</w:t>
      </w:r>
      <w:r>
        <w:rPr>
          <w:rFonts w:hint="eastAsia" w:ascii="Times New Roman"/>
          <w:b/>
          <w:bCs/>
          <w:color w:val="auto"/>
          <w:u w:val="none"/>
          <w:lang w:eastAsia="zh-CN"/>
        </w:rPr>
        <w:t>。</w:t>
      </w:r>
      <w:r>
        <w:rPr>
          <w:rFonts w:ascii="Times New Roman"/>
          <w:color w:val="auto"/>
          <w:u w:val="none"/>
        </w:rPr>
        <w:t>高质量推进粤港澳大湾区社会救助沟通协调机制，探索推进区域民政服务标准互认互通，重点探索推进深圳、珠海、中山三市社会救助信息互联共享和区域内社会救助政策统筹衔接，推进对象认定、救助标准、帮扶服务、监督管理等方面合作共享、协同发展，为做好大湾区社会救助政策趋于统筹改革提供经验借鉴。</w:t>
      </w:r>
    </w:p>
    <w:p w14:paraId="4CAD4428">
      <w:pPr>
        <w:pageBreakBefore w:val="0"/>
        <w:kinsoku/>
        <w:wordWrap/>
        <w:topLinePunct w:val="0"/>
        <w:bidi w:val="0"/>
        <w:spacing w:line="600" w:lineRule="exact"/>
        <w:ind w:firstLine="632" w:firstLineChars="200"/>
        <w:textAlignment w:val="auto"/>
        <w:rPr>
          <w:color w:val="auto"/>
          <w:u w:val="none"/>
        </w:rPr>
      </w:pPr>
      <w:r>
        <w:rPr>
          <w:rFonts w:hint="eastAsia" w:ascii="Times New Roman" w:hAnsi="仿宋_GB2312"/>
          <w:b/>
          <w:bCs/>
          <w:color w:val="auto"/>
          <w:u w:val="none"/>
        </w:rPr>
        <w:t>8. 提升基层救助经办服务</w:t>
      </w:r>
      <w:r>
        <w:rPr>
          <w:rFonts w:ascii="Times New Roman" w:hAnsi="仿宋_GB2312"/>
          <w:b/>
          <w:bCs/>
          <w:color w:val="auto"/>
          <w:u w:val="none"/>
        </w:rPr>
        <w:t>能力。</w:t>
      </w:r>
      <w:r>
        <w:rPr>
          <w:rFonts w:hint="eastAsia"/>
          <w:color w:val="auto"/>
          <w:u w:val="none"/>
        </w:rPr>
        <w:t>结合广东兜底民生服务社会工作“双百工程”，</w:t>
      </w:r>
      <w:r>
        <w:rPr>
          <w:color w:val="auto"/>
          <w:u w:val="none"/>
        </w:rPr>
        <w:t>实施基层社会救助经办服务能力提升工程</w:t>
      </w:r>
      <w:r>
        <w:rPr>
          <w:rFonts w:hint="eastAsia"/>
          <w:color w:val="auto"/>
          <w:u w:val="none"/>
        </w:rPr>
        <w:t>。综合社会救助服务事项、服务范围、对象数量等因素，通过政府购买服务解决社会救助工作力量不足问题。加大</w:t>
      </w:r>
      <w:r>
        <w:rPr>
          <w:color w:val="auto"/>
          <w:u w:val="none"/>
        </w:rPr>
        <w:t>对基层经办服务人员社会救助综合能力培训力度</w:t>
      </w:r>
      <w:r>
        <w:rPr>
          <w:rFonts w:hint="eastAsia"/>
          <w:color w:val="auto"/>
          <w:u w:val="none"/>
        </w:rPr>
        <w:t>，</w:t>
      </w:r>
      <w:r>
        <w:rPr>
          <w:color w:val="auto"/>
          <w:u w:val="none"/>
        </w:rPr>
        <w:t>提升基层工作人员政策理解能力和业务熟练程度，打造一支政治过硬、</w:t>
      </w:r>
      <w:r>
        <w:rPr>
          <w:rFonts w:hint="eastAsia"/>
          <w:color w:val="auto"/>
          <w:u w:val="none"/>
        </w:rPr>
        <w:t>业务素质高</w:t>
      </w:r>
      <w:r>
        <w:rPr>
          <w:color w:val="auto"/>
          <w:u w:val="none"/>
        </w:rPr>
        <w:t>、对困难群众有感情的社会救助干部队伍。</w:t>
      </w:r>
    </w:p>
    <w:p w14:paraId="54DE8739">
      <w:pPr>
        <w:pageBreakBefore w:val="0"/>
        <w:kinsoku/>
        <w:wordWrap/>
        <w:topLinePunct w:val="0"/>
        <w:bidi w:val="0"/>
        <w:spacing w:line="600" w:lineRule="exact"/>
        <w:ind w:firstLine="632" w:firstLineChars="200"/>
        <w:textAlignment w:val="auto"/>
        <w:rPr>
          <w:color w:val="auto"/>
          <w:u w:val="none"/>
        </w:rPr>
      </w:pPr>
      <w:r>
        <w:rPr>
          <w:rFonts w:hint="eastAsia" w:ascii="Times New Roman" w:hAnsi="仿宋_GB2312"/>
          <w:b/>
          <w:bCs/>
          <w:color w:val="auto"/>
          <w:u w:val="none"/>
        </w:rPr>
        <w:t>9.</w:t>
      </w:r>
      <w:r>
        <w:rPr>
          <w:rFonts w:ascii="Times New Roman" w:hAnsi="仿宋_GB2312"/>
          <w:b/>
          <w:bCs/>
          <w:color w:val="auto"/>
          <w:u w:val="none"/>
        </w:rPr>
        <w:t xml:space="preserve"> 健全智慧救助体系。</w:t>
      </w:r>
      <w:r>
        <w:rPr>
          <w:rFonts w:hint="eastAsia"/>
          <w:color w:val="auto"/>
          <w:u w:val="none"/>
        </w:rPr>
        <w:t>依托中山市政务大数据中心，汇聚各政府部门、群团组织、社会力量等救助帮扶相关数据，推动系统协同、部门协同、政社协同，通过对数据进行关联治理，形成救助帮扶专题库。同时，进一步推动救助帮扶专题库应用，增强主动发现和预警功能，通过信息化手段发现和帮助困难群众。</w:t>
      </w:r>
      <w:bookmarkEnd w:id="69"/>
      <w:bookmarkEnd w:id="70"/>
      <w:bookmarkEnd w:id="71"/>
    </w:p>
    <w:p w14:paraId="65ACD94F">
      <w:pPr>
        <w:pStyle w:val="5"/>
        <w:keepNext w:val="0"/>
        <w:keepLines w:val="0"/>
        <w:pageBreakBefore w:val="0"/>
        <w:widowControl w:val="0"/>
        <w:kinsoku/>
        <w:wordWrap/>
        <w:overflowPunct/>
        <w:topLinePunct w:val="0"/>
        <w:autoSpaceDE w:val="0"/>
        <w:autoSpaceDN w:val="0"/>
        <w:bidi w:val="0"/>
        <w:adjustRightInd/>
        <w:snapToGrid/>
        <w:spacing w:line="600" w:lineRule="exact"/>
        <w:ind w:left="0" w:leftChars="0" w:firstLine="632" w:firstLineChars="200"/>
        <w:jc w:val="both"/>
        <w:textAlignment w:val="auto"/>
        <w:rPr>
          <w:rFonts w:hint="eastAsia"/>
          <w:color w:val="auto"/>
          <w:spacing w:val="0"/>
          <w:w w:val="100"/>
          <w:u w:val="none"/>
          <w:lang w:val="en-US" w:eastAsia="zh-CN"/>
        </w:rPr>
      </w:pPr>
      <w:bookmarkStart w:id="91" w:name="_Toc86940113"/>
      <w:r>
        <w:rPr>
          <w:rFonts w:hint="eastAsia"/>
          <w:color w:val="auto"/>
          <w:spacing w:val="0"/>
          <w:w w:val="100"/>
          <w:u w:val="none"/>
          <w:lang w:eastAsia="zh-CN"/>
        </w:rPr>
        <w:t>（二）</w:t>
      </w:r>
      <w:r>
        <w:rPr>
          <w:rFonts w:hint="eastAsia"/>
          <w:color w:val="auto"/>
          <w:spacing w:val="0"/>
          <w:w w:val="100"/>
          <w:u w:val="none"/>
          <w:lang w:val="en-US" w:eastAsia="zh-CN"/>
        </w:rPr>
        <w:t>构建大养老服务体系，积极应对人口老龄化</w:t>
      </w:r>
    </w:p>
    <w:p w14:paraId="423D6731">
      <w:pPr>
        <w:keepNext w:val="0"/>
        <w:keepLines w:val="0"/>
        <w:pageBreakBefore w:val="0"/>
        <w:widowControl/>
        <w:suppressLineNumbers w:val="0"/>
        <w:kinsoku/>
        <w:wordWrap/>
        <w:topLinePunct w:val="0"/>
        <w:bidi w:val="0"/>
        <w:spacing w:line="600" w:lineRule="exact"/>
        <w:ind w:firstLine="632" w:firstLineChars="200"/>
        <w:jc w:val="left"/>
        <w:textAlignment w:val="auto"/>
        <w:rPr>
          <w:rFonts w:hint="default"/>
          <w:color w:val="auto"/>
          <w:u w:val="none"/>
          <w:lang w:val="en-US" w:eastAsia="zh-CN"/>
        </w:rPr>
      </w:pPr>
      <w:r>
        <w:rPr>
          <w:rFonts w:hint="eastAsia" w:ascii="仿宋_GB2312" w:hAnsi="仿宋_GB2312" w:eastAsia="仿宋_GB2312" w:cs="仿宋_GB2312"/>
          <w:color w:val="auto"/>
          <w:sz w:val="32"/>
          <w:szCs w:val="32"/>
          <w:highlight w:val="none"/>
          <w:u w:val="none"/>
        </w:rPr>
        <w:t>深入实施积极应对人口老龄化国家战略</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把积极老龄观、健康老龄化理念融入经济社会发展全过程，</w:t>
      </w:r>
      <w:r>
        <w:rPr>
          <w:rFonts w:hint="eastAsia" w:ascii="仿宋_GB2312" w:hAnsi="仿宋_GB2312" w:eastAsia="仿宋_GB2312" w:cs="仿宋_GB2312"/>
          <w:color w:val="auto"/>
          <w:sz w:val="32"/>
          <w:szCs w:val="32"/>
          <w:highlight w:val="none"/>
          <w:u w:val="none"/>
        </w:rPr>
        <w:t>加快建立健全相关政策体系和制度框架，大力弘扬中华民族孝亲敬老传统美德，促进老年人养老服务、健康服务、社会保障、社会参与、权益保障等统筹发展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全方位构建完善我市养老服务体系。</w:t>
      </w:r>
    </w:p>
    <w:p w14:paraId="1709C741">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12" w:firstLineChars="200"/>
        <w:jc w:val="left"/>
        <w:textAlignment w:val="auto"/>
        <w:rPr>
          <w:rFonts w:hint="eastAsia" w:ascii="仿宋_GB2312" w:hAnsi="仿宋_GB2312" w:eastAsia="仿宋_GB2312" w:cs="仿宋_GB2312"/>
          <w:color w:val="auto"/>
          <w:spacing w:val="0"/>
          <w:w w:val="100"/>
          <w:u w:val="none"/>
        </w:rPr>
      </w:pPr>
      <w:r>
        <w:rPr>
          <w:rFonts w:hint="eastAsia" w:ascii="楷体_GB2312" w:hAnsi="楷体_GB2312" w:eastAsia="楷体_GB2312" w:cs="楷体_GB2312"/>
          <w:b/>
          <w:bCs/>
          <w:color w:val="auto"/>
          <w:kern w:val="0"/>
          <w:sz w:val="31"/>
          <w:szCs w:val="31"/>
          <w:u w:val="none"/>
          <w:lang w:val="en-US" w:eastAsia="zh-CN" w:bidi="ar"/>
        </w:rPr>
        <w:t>1.</w:t>
      </w:r>
      <w:r>
        <w:rPr>
          <w:rFonts w:ascii="楷体_GB2312" w:hAnsi="楷体_GB2312" w:eastAsia="楷体_GB2312" w:cs="楷体_GB2312"/>
          <w:b/>
          <w:bCs/>
          <w:color w:val="auto"/>
          <w:kern w:val="0"/>
          <w:sz w:val="31"/>
          <w:szCs w:val="31"/>
          <w:u w:val="none"/>
          <w:lang w:val="en-US" w:eastAsia="zh-CN" w:bidi="ar"/>
        </w:rPr>
        <w:t>强化基本养老服务保障</w:t>
      </w:r>
      <w:r>
        <w:rPr>
          <w:rFonts w:hint="eastAsia" w:ascii="楷体_GB2312" w:hAnsi="楷体_GB2312" w:eastAsia="楷体_GB2312" w:cs="楷体_GB2312"/>
          <w:b/>
          <w:bCs/>
          <w:color w:val="auto"/>
          <w:kern w:val="0"/>
          <w:sz w:val="31"/>
          <w:szCs w:val="31"/>
          <w:u w:val="none"/>
          <w:lang w:val="en-US" w:eastAsia="zh-CN" w:bidi="ar"/>
        </w:rPr>
        <w:t>。一是</w:t>
      </w:r>
      <w:r>
        <w:rPr>
          <w:rFonts w:hint="eastAsia" w:ascii="仿宋_GB2312" w:hAnsi="仿宋_GB2312" w:eastAsia="仿宋_GB2312" w:cs="仿宋_GB2312"/>
          <w:b w:val="0"/>
          <w:bCs/>
          <w:color w:val="auto"/>
          <w:spacing w:val="0"/>
          <w:w w:val="100"/>
          <w:u w:val="none"/>
        </w:rPr>
        <w:t>建立健全养老服务制度。</w:t>
      </w:r>
      <w:r>
        <w:rPr>
          <w:rFonts w:hint="eastAsia" w:ascii="仿宋_GB2312" w:hAnsi="仿宋_GB2312" w:eastAsia="仿宋_GB2312" w:cs="仿宋_GB2312"/>
          <w:color w:val="auto"/>
          <w:sz w:val="32"/>
          <w:szCs w:val="32"/>
          <w:highlight w:val="none"/>
          <w:u w:val="none"/>
          <w:lang w:val="en-US" w:eastAsia="zh-CN"/>
        </w:rPr>
        <w:t>制定基本养老服务清单，对健康、失能、经济困难等不同老年人群体分类提供养老保障、生活照料、康复照护、社会救助等适宜服务。明确基本养老服务对象、服务内容、服务标准和支出责任，并根据经济社会发展和科技进步动态调整。</w:t>
      </w:r>
      <w:r>
        <w:rPr>
          <w:rFonts w:hint="eastAsia" w:ascii="仿宋_GB2312" w:hAnsi="仿宋_GB2312" w:eastAsia="仿宋_GB2312" w:cs="仿宋_GB2312"/>
          <w:color w:val="auto"/>
          <w:spacing w:val="0"/>
          <w:w w:val="100"/>
          <w:u w:val="none"/>
          <w:lang w:val="en-US" w:eastAsia="zh-CN"/>
        </w:rPr>
        <w:t>制定居家养老服务管理制度，</w:t>
      </w:r>
      <w:r>
        <w:rPr>
          <w:rFonts w:hint="eastAsia" w:ascii="仿宋_GB2312" w:hAnsi="仿宋_GB2312" w:eastAsia="仿宋_GB2312" w:cs="仿宋_GB2312"/>
          <w:color w:val="auto"/>
          <w:spacing w:val="0"/>
          <w:w w:val="100"/>
          <w:u w:val="none"/>
        </w:rPr>
        <w:t>完善</w:t>
      </w:r>
      <w:r>
        <w:rPr>
          <w:rFonts w:hint="eastAsia" w:ascii="仿宋_GB2312" w:hAnsi="仿宋_GB2312" w:eastAsia="仿宋_GB2312" w:cs="仿宋_GB2312"/>
          <w:color w:val="auto"/>
          <w:spacing w:val="0"/>
          <w:w w:val="100"/>
          <w:u w:val="none"/>
          <w:lang w:val="en-US" w:eastAsia="zh-CN"/>
        </w:rPr>
        <w:t>高龄</w:t>
      </w:r>
      <w:r>
        <w:rPr>
          <w:rFonts w:hint="eastAsia" w:ascii="仿宋_GB2312" w:hAnsi="仿宋_GB2312" w:eastAsia="仿宋_GB2312" w:cs="仿宋_GB2312"/>
          <w:color w:val="auto"/>
          <w:spacing w:val="0"/>
          <w:w w:val="100"/>
          <w:u w:val="none"/>
        </w:rPr>
        <w:t>老年津贴制度，推动与残疾人两项补贴、社会救助等政策进一步衔接。建立健全老年人能力与需求综合评估制度，提高老年人津补贴的精准度和有效性。</w:t>
      </w:r>
      <w:r>
        <w:rPr>
          <w:rFonts w:hint="eastAsia" w:hAnsi="仿宋_GB2312" w:cs="仿宋_GB2312"/>
          <w:color w:val="auto"/>
          <w:spacing w:val="0"/>
          <w:w w:val="100"/>
          <w:u w:val="none"/>
          <w:lang w:eastAsia="zh-CN"/>
        </w:rPr>
        <w:t>制定普惠性养老服务机构扶持办法，对收费不高于上年度城镇居民人均可支配收入</w:t>
      </w:r>
      <w:r>
        <w:rPr>
          <w:rFonts w:hint="eastAsia" w:hAnsi="仿宋_GB2312" w:cs="仿宋_GB2312"/>
          <w:color w:val="auto"/>
          <w:spacing w:val="0"/>
          <w:w w:val="100"/>
          <w:u w:val="none"/>
          <w:lang w:val="en-US" w:eastAsia="zh-CN"/>
        </w:rPr>
        <w:t>150%的，纳入扶持范围，综合星级评定、入住老人数量、服务质量等因素给予开办补助和运营资助，</w:t>
      </w:r>
      <w:r>
        <w:rPr>
          <w:rFonts w:hint="eastAsia" w:ascii="仿宋_GB2312" w:hAnsi="仿宋_GB2312" w:eastAsia="仿宋_GB2312" w:cs="仿宋_GB2312"/>
          <w:color w:val="auto"/>
          <w:sz w:val="32"/>
          <w:szCs w:val="32"/>
          <w:highlight w:val="none"/>
          <w:u w:val="none"/>
          <w:lang w:val="en-US" w:eastAsia="zh-CN"/>
        </w:rPr>
        <w:t>同时拓展对社区养老服务机构资助，扶持发展社区嵌入式养老服务机构和日间照料机构，</w:t>
      </w:r>
      <w:r>
        <w:rPr>
          <w:rFonts w:hint="eastAsia" w:ascii="仿宋_GB2312" w:hAnsi="仿宋_GB2312" w:eastAsia="仿宋_GB2312" w:cs="仿宋_GB2312"/>
          <w:b w:val="0"/>
          <w:bCs w:val="0"/>
          <w:i w:val="0"/>
          <w:iCs w:val="0"/>
          <w:color w:val="auto"/>
          <w:sz w:val="32"/>
          <w:szCs w:val="32"/>
          <w:highlight w:val="none"/>
          <w:u w:val="none"/>
          <w:lang w:val="en-US" w:eastAsia="zh-CN"/>
        </w:rPr>
        <w:t>扶持养老服务机构提供家庭养老床位服务。</w:t>
      </w:r>
      <w:r>
        <w:rPr>
          <w:rFonts w:hint="eastAsia" w:hAnsi="仿宋_GB2312" w:cs="仿宋_GB2312"/>
          <w:b/>
          <w:bCs/>
          <w:color w:val="auto"/>
          <w:spacing w:val="0"/>
          <w:w w:val="100"/>
          <w:u w:val="none"/>
          <w:lang w:eastAsia="zh-CN"/>
        </w:rPr>
        <w:t>二是</w:t>
      </w:r>
      <w:r>
        <w:rPr>
          <w:rFonts w:hint="eastAsia" w:ascii="仿宋_GB2312" w:hAnsi="仿宋_GB2312" w:eastAsia="仿宋_GB2312" w:cs="仿宋_GB2312"/>
          <w:b w:val="0"/>
          <w:bCs/>
          <w:color w:val="auto"/>
          <w:spacing w:val="0"/>
          <w:w w:val="100"/>
          <w:u w:val="none"/>
        </w:rPr>
        <w:t>强化公办养老机构兜底保障能力。</w:t>
      </w:r>
      <w:r>
        <w:rPr>
          <w:rFonts w:hint="eastAsia" w:ascii="仿宋_GB2312" w:hAnsi="仿宋_GB2312" w:eastAsia="仿宋_GB2312" w:cs="仿宋_GB2312"/>
          <w:color w:val="auto"/>
          <w:spacing w:val="0"/>
          <w:w w:val="100"/>
          <w:u w:val="none"/>
        </w:rPr>
        <w:t>坚持公办（公建民营）养老机构兜底保障核心功能，</w:t>
      </w:r>
      <w:r>
        <w:rPr>
          <w:rFonts w:hint="eastAsia" w:ascii="仿宋_GB2312" w:hAnsi="仿宋_GB2312" w:eastAsia="仿宋_GB2312" w:cs="仿宋_GB2312"/>
          <w:color w:val="auto"/>
          <w:u w:val="none"/>
        </w:rPr>
        <w:t>加大对现有公办养老机构设施改造、扩建、转型升级</w:t>
      </w:r>
      <w:r>
        <w:rPr>
          <w:rFonts w:hint="eastAsia" w:ascii="仿宋_GB2312" w:hAnsi="仿宋_GB2312" w:eastAsia="仿宋_GB2312" w:cs="仿宋_GB2312"/>
          <w:color w:val="auto"/>
          <w:spacing w:val="0"/>
          <w:w w:val="100"/>
          <w:u w:val="none"/>
        </w:rPr>
        <w:t>和消防安全达标工程</w:t>
      </w:r>
      <w:r>
        <w:rPr>
          <w:rFonts w:hint="eastAsia" w:ascii="仿宋_GB2312" w:hAnsi="仿宋_GB2312" w:eastAsia="仿宋_GB2312" w:cs="仿宋_GB2312"/>
          <w:color w:val="auto"/>
          <w:u w:val="none"/>
        </w:rPr>
        <w:t>，</w:t>
      </w:r>
      <w:r>
        <w:rPr>
          <w:rFonts w:hint="eastAsia" w:ascii="仿宋_GB2312" w:hAnsi="仿宋_GB2312" w:eastAsia="仿宋_GB2312" w:cs="仿宋_GB2312"/>
          <w:color w:val="auto"/>
          <w:spacing w:val="0"/>
          <w:w w:val="100"/>
          <w:u w:val="none"/>
        </w:rPr>
        <w:t>提升养老机构突发事件应急处置能力，</w:t>
      </w:r>
      <w:r>
        <w:rPr>
          <w:rFonts w:hint="eastAsia" w:ascii="仿宋_GB2312" w:hAnsi="仿宋_GB2312" w:eastAsia="仿宋_GB2312" w:cs="仿宋_GB2312"/>
          <w:color w:val="auto"/>
          <w:sz w:val="32"/>
          <w:szCs w:val="32"/>
          <w:highlight w:val="none"/>
          <w:u w:val="none"/>
          <w:lang w:val="en-US" w:eastAsia="zh-CN"/>
        </w:rPr>
        <w:t>重点保障特困老人，经济困难的独居、孤寡、重残、失能、失智、高龄老人，计划生育特殊家庭老人，为社会作出重要贡献的老年人等的养老需求</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pacing w:val="0"/>
          <w:w w:val="100"/>
          <w:u w:val="none"/>
        </w:rPr>
        <w:t>深化公办养老机构改革，</w:t>
      </w:r>
      <w:r>
        <w:rPr>
          <w:rFonts w:hint="eastAsia" w:ascii="仿宋_GB2312" w:hAnsi="仿宋_GB2312" w:eastAsia="仿宋_GB2312" w:cs="仿宋_GB2312"/>
          <w:color w:val="auto"/>
          <w:u w:val="none"/>
        </w:rPr>
        <w:t>完善公建民营养老机构管理制度办法，</w:t>
      </w:r>
      <w:r>
        <w:rPr>
          <w:rFonts w:hint="eastAsia" w:ascii="仿宋_GB2312" w:hAnsi="仿宋_GB2312" w:eastAsia="仿宋_GB2312" w:cs="仿宋_GB2312"/>
          <w:color w:val="auto"/>
          <w:spacing w:val="0"/>
          <w:w w:val="100"/>
          <w:u w:val="none"/>
        </w:rPr>
        <w:t>进一步盘活养老床位存量，</w:t>
      </w:r>
      <w:r>
        <w:rPr>
          <w:rFonts w:hint="eastAsia" w:ascii="仿宋_GB2312" w:hAnsi="仿宋_GB2312" w:eastAsia="仿宋_GB2312" w:cs="仿宋_GB2312"/>
          <w:color w:val="auto"/>
          <w:u w:val="none"/>
        </w:rPr>
        <w:t>推动公建民营模式</w:t>
      </w:r>
      <w:r>
        <w:rPr>
          <w:rFonts w:hint="eastAsia" w:hAnsi="仿宋_GB2312" w:cs="仿宋_GB2312"/>
          <w:color w:val="auto"/>
          <w:u w:val="none"/>
          <w:lang w:val="en-US" w:eastAsia="zh-CN"/>
        </w:rPr>
        <w:t>规范化</w:t>
      </w:r>
      <w:r>
        <w:rPr>
          <w:rFonts w:hint="eastAsia" w:ascii="仿宋_GB2312" w:hAnsi="仿宋_GB2312" w:eastAsia="仿宋_GB2312" w:cs="仿宋_GB2312"/>
          <w:color w:val="auto"/>
          <w:u w:val="none"/>
        </w:rPr>
        <w:t>、制度化。</w:t>
      </w:r>
      <w:r>
        <w:rPr>
          <w:rFonts w:hint="eastAsia" w:hAnsi="仿宋_GB2312" w:cs="仿宋_GB2312"/>
          <w:color w:val="auto"/>
          <w:u w:val="none"/>
          <w:lang w:eastAsia="zh-CN"/>
        </w:rPr>
        <w:t>支持各级党政机关和国有企业事业单位所属培训疗养机构转型发展健康养老服务。</w:t>
      </w:r>
      <w:r>
        <w:rPr>
          <w:rFonts w:hint="eastAsia" w:hAnsi="仿宋_GB2312" w:cs="仿宋_GB2312"/>
          <w:b/>
          <w:bCs/>
          <w:color w:val="auto"/>
          <w:u w:val="none"/>
          <w:lang w:eastAsia="zh-CN"/>
        </w:rPr>
        <w:t>三是</w:t>
      </w:r>
      <w:r>
        <w:rPr>
          <w:rFonts w:hint="eastAsia"/>
          <w:b w:val="0"/>
          <w:bCs w:val="0"/>
          <w:color w:val="auto"/>
          <w:spacing w:val="0"/>
          <w:w w:val="100"/>
          <w:u w:val="none"/>
          <w:lang w:val="en-US" w:eastAsia="zh-CN"/>
        </w:rPr>
        <w:t>提升医养康养结合服务能力。</w:t>
      </w:r>
      <w:r>
        <w:rPr>
          <w:rFonts w:hint="eastAsia" w:ascii="Times New Roman"/>
          <w:b w:val="0"/>
          <w:bCs w:val="0"/>
          <w:color w:val="auto"/>
          <w:u w:val="none"/>
          <w:lang w:val="en-US" w:eastAsia="zh-CN"/>
        </w:rPr>
        <w:t>与卫生健康部门共同推动</w:t>
      </w:r>
      <w:r>
        <w:rPr>
          <w:rFonts w:hint="eastAsia" w:ascii="Times New Roman"/>
          <w:b w:val="0"/>
          <w:bCs w:val="0"/>
          <w:color w:val="auto"/>
          <w:u w:val="none"/>
        </w:rPr>
        <w:t>完</w:t>
      </w:r>
      <w:r>
        <w:rPr>
          <w:rFonts w:hint="eastAsia" w:ascii="Times New Roman"/>
          <w:color w:val="auto"/>
          <w:u w:val="none"/>
        </w:rPr>
        <w:t>善医养康养结合体制机制，大力支持举办医养结合机构，鼓励各类养老机构与各级医疗机构开展多种形式合作，推动基层医疗卫生服务与居家社区养老服务深度融合，建设覆盖家庭、社区和机构的健康养老服务网络。</w:t>
      </w:r>
      <w:r>
        <w:rPr>
          <w:rFonts w:hint="eastAsia" w:ascii="Times New Roman"/>
          <w:color w:val="auto"/>
          <w:u w:val="none"/>
          <w:lang w:eastAsia="zh-CN"/>
        </w:rPr>
        <w:t>对符合条件的养老机构设立（内设）医疗机构按规定纳入基本医保定点医疗机构管理范围，鼓励职业医生到养老机构设置的医疗机构多点执业，鼓励专业人员在养老服务机构开展疾病防控、营养调理、中医养生等非诊疗行为的健康服务</w:t>
      </w:r>
      <w:r>
        <w:rPr>
          <w:rFonts w:hint="eastAsia" w:ascii="Times New Roman"/>
          <w:color w:val="auto"/>
          <w:u w:val="none"/>
        </w:rPr>
        <w:t>。</w:t>
      </w:r>
      <w:r>
        <w:rPr>
          <w:rFonts w:hint="eastAsia" w:ascii="Times New Roman"/>
          <w:b/>
          <w:bCs/>
          <w:color w:val="auto"/>
          <w:u w:val="none"/>
          <w:lang w:eastAsia="zh-CN"/>
        </w:rPr>
        <w:t>四是</w:t>
      </w:r>
      <w:r>
        <w:rPr>
          <w:rFonts w:hint="eastAsia" w:ascii="仿宋_GB2312" w:hAnsi="仿宋_GB2312" w:eastAsia="仿宋_GB2312" w:cs="仿宋_GB2312"/>
          <w:b w:val="0"/>
          <w:bCs/>
          <w:color w:val="auto"/>
          <w:spacing w:val="0"/>
          <w:w w:val="100"/>
          <w:u w:val="none"/>
        </w:rPr>
        <w:t>加强特殊困难老年人关爱。</w:t>
      </w:r>
      <w:r>
        <w:rPr>
          <w:rFonts w:hint="eastAsia" w:ascii="仿宋_GB2312" w:hAnsi="仿宋_GB2312" w:eastAsia="仿宋_GB2312" w:cs="仿宋_GB2312"/>
          <w:color w:val="auto"/>
          <w:spacing w:val="0"/>
          <w:w w:val="100"/>
          <w:u w:val="none"/>
        </w:rPr>
        <w:t>进一步健全</w:t>
      </w:r>
      <w:r>
        <w:rPr>
          <w:rFonts w:hint="eastAsia" w:ascii="仿宋_GB2312" w:hAnsi="仿宋_GB2312" w:eastAsia="仿宋_GB2312" w:cs="仿宋_GB2312"/>
          <w:color w:val="auto"/>
          <w:spacing w:val="0"/>
          <w:w w:val="100"/>
          <w:u w:val="none"/>
          <w:lang w:val="en-US" w:eastAsia="zh-CN"/>
        </w:rPr>
        <w:t>困难</w:t>
      </w:r>
      <w:r>
        <w:rPr>
          <w:rFonts w:hint="eastAsia" w:ascii="仿宋_GB2312" w:hAnsi="仿宋_GB2312" w:eastAsia="仿宋_GB2312" w:cs="仿宋_GB2312"/>
          <w:color w:val="auto"/>
          <w:spacing w:val="0"/>
          <w:w w:val="100"/>
          <w:u w:val="none"/>
        </w:rPr>
        <w:t>老年人关爱服务体系，完善农村留守老年人</w:t>
      </w:r>
      <w:r>
        <w:rPr>
          <w:rFonts w:hint="eastAsia" w:ascii="仿宋_GB2312" w:hAnsi="仿宋_GB2312" w:eastAsia="仿宋_GB2312" w:cs="仿宋_GB2312"/>
          <w:color w:val="auto"/>
          <w:spacing w:val="0"/>
          <w:w w:val="100"/>
          <w:u w:val="none"/>
          <w:lang w:eastAsia="zh-CN"/>
        </w:rPr>
        <w:t>、</w:t>
      </w:r>
      <w:r>
        <w:rPr>
          <w:rFonts w:hint="eastAsia" w:ascii="仿宋_GB2312" w:hAnsi="仿宋_GB2312" w:eastAsia="仿宋_GB2312" w:cs="仿宋_GB2312"/>
          <w:color w:val="auto"/>
          <w:spacing w:val="0"/>
          <w:w w:val="100"/>
          <w:u w:val="none"/>
          <w:lang w:val="en-US" w:eastAsia="zh-CN"/>
        </w:rPr>
        <w:t>特困老年人、双低家庭老年人等困难老年人</w:t>
      </w:r>
      <w:r>
        <w:rPr>
          <w:rFonts w:hint="eastAsia" w:ascii="仿宋_GB2312" w:hAnsi="仿宋_GB2312" w:eastAsia="仿宋_GB2312" w:cs="仿宋_GB2312"/>
          <w:color w:val="auto"/>
          <w:spacing w:val="0"/>
          <w:w w:val="100"/>
          <w:u w:val="none"/>
        </w:rPr>
        <w:t>基础数据库，创新关爱服务方式，充分发挥镇（街道）、村（居）社会工作服务站（点）作用，依托社区养老服务设施，因地制宜开展多样化</w:t>
      </w:r>
      <w:r>
        <w:rPr>
          <w:rFonts w:hint="eastAsia" w:ascii="仿宋_GB2312" w:hAnsi="仿宋_GB2312" w:eastAsia="仿宋_GB2312" w:cs="仿宋_GB2312"/>
          <w:color w:val="auto"/>
          <w:spacing w:val="0"/>
          <w:w w:val="100"/>
          <w:u w:val="none"/>
          <w:lang w:val="en-US" w:eastAsia="zh-CN"/>
        </w:rPr>
        <w:t>困难</w:t>
      </w:r>
      <w:r>
        <w:rPr>
          <w:rFonts w:hint="eastAsia" w:ascii="仿宋_GB2312" w:hAnsi="仿宋_GB2312" w:eastAsia="仿宋_GB2312" w:cs="仿宋_GB2312"/>
          <w:color w:val="auto"/>
          <w:spacing w:val="0"/>
          <w:w w:val="100"/>
          <w:u w:val="none"/>
        </w:rPr>
        <w:t>老人关爱服务活动。重视防范和及时发现居家老年人意外风险，重点关注空巢、留守、失能、重残、计划生育特殊家庭等特殊困难老年人。到 2025 年底，全面建立居家社区探访制度，特殊困难老年人月探访率达到 100%。</w:t>
      </w:r>
    </w:p>
    <w:p w14:paraId="70D49FC6">
      <w:pPr>
        <w:pStyle w:val="5"/>
        <w:keepNext w:val="0"/>
        <w:keepLines w:val="0"/>
        <w:pageBreakBefore w:val="0"/>
        <w:widowControl w:val="0"/>
        <w:kinsoku/>
        <w:wordWrap/>
        <w:overflowPunct/>
        <w:topLinePunct w:val="0"/>
        <w:autoSpaceDE w:val="0"/>
        <w:autoSpaceDN w:val="0"/>
        <w:bidi w:val="0"/>
        <w:adjustRightInd/>
        <w:snapToGrid/>
        <w:spacing w:before="16" w:line="600" w:lineRule="exact"/>
        <w:ind w:left="0" w:leftChars="0" w:firstLine="632" w:firstLineChars="200"/>
        <w:jc w:val="both"/>
        <w:textAlignment w:val="auto"/>
        <w:rPr>
          <w:rFonts w:hint="eastAsia" w:ascii="仿宋_GB2312" w:hAnsi="仿宋_GB2312" w:eastAsia="仿宋_GB2312" w:cs="仿宋_GB2312"/>
          <w:b w:val="0"/>
          <w:bCs w:val="0"/>
          <w:color w:val="auto"/>
          <w:spacing w:val="0"/>
          <w:w w:val="100"/>
          <w:u w:val="none"/>
        </w:rPr>
      </w:pPr>
      <w:bookmarkStart w:id="92" w:name="_TOC_250015"/>
      <w:bookmarkEnd w:id="92"/>
      <w:r>
        <w:rPr>
          <w:rFonts w:hint="eastAsia" w:ascii="仿宋_GB2312" w:hAnsi="仿宋_GB2312" w:eastAsia="仿宋_GB2312" w:cs="仿宋_GB2312"/>
          <w:b/>
          <w:bCs/>
          <w:color w:val="auto"/>
          <w:spacing w:val="0"/>
          <w:w w:val="100"/>
          <w:u w:val="none"/>
          <w:lang w:val="en-US" w:eastAsia="zh-CN"/>
        </w:rPr>
        <w:t>2.</w:t>
      </w:r>
      <w:r>
        <w:rPr>
          <w:rFonts w:hint="eastAsia" w:ascii="仿宋_GB2312" w:hAnsi="仿宋_GB2312" w:eastAsia="仿宋_GB2312" w:cs="仿宋_GB2312"/>
          <w:b/>
          <w:bCs/>
          <w:color w:val="auto"/>
          <w:spacing w:val="0"/>
          <w:w w:val="100"/>
          <w:u w:val="none"/>
        </w:rPr>
        <w:t>健全养老服务网络</w:t>
      </w:r>
      <w:r>
        <w:rPr>
          <w:rFonts w:hint="eastAsia" w:ascii="仿宋_GB2312" w:hAnsi="仿宋_GB2312" w:eastAsia="仿宋_GB2312" w:cs="仿宋_GB2312"/>
          <w:b/>
          <w:bCs/>
          <w:color w:val="auto"/>
          <w:spacing w:val="0"/>
          <w:w w:val="100"/>
          <w:u w:val="none"/>
          <w:lang w:eastAsia="zh-CN"/>
        </w:rPr>
        <w:t>。一是</w:t>
      </w:r>
      <w:r>
        <w:rPr>
          <w:rFonts w:hint="eastAsia" w:ascii="仿宋_GB2312" w:hAnsi="仿宋_GB2312" w:eastAsia="仿宋_GB2312" w:cs="仿宋_GB2312"/>
          <w:b w:val="0"/>
          <w:bCs w:val="0"/>
          <w:color w:val="auto"/>
          <w:spacing w:val="0"/>
          <w:w w:val="100"/>
          <w:sz w:val="32"/>
          <w:u w:val="none"/>
          <w:lang w:val="en-US" w:eastAsia="zh-CN"/>
        </w:rPr>
        <w:t>加强</w:t>
      </w:r>
      <w:r>
        <w:rPr>
          <w:rFonts w:hint="eastAsia" w:ascii="仿宋_GB2312" w:hAnsi="仿宋_GB2312" w:eastAsia="仿宋_GB2312" w:cs="仿宋_GB2312"/>
          <w:b w:val="0"/>
          <w:bCs w:val="0"/>
          <w:color w:val="auto"/>
          <w:spacing w:val="0"/>
          <w:w w:val="100"/>
          <w:sz w:val="32"/>
          <w:u w:val="none"/>
        </w:rPr>
        <w:t>养老服务设施建设。</w:t>
      </w:r>
      <w:r>
        <w:rPr>
          <w:rFonts w:hint="eastAsia" w:ascii="仿宋_GB2312" w:hAnsi="仿宋_GB2312" w:eastAsia="仿宋_GB2312" w:cs="仿宋_GB2312"/>
          <w:b w:val="0"/>
          <w:bCs w:val="0"/>
          <w:color w:val="auto"/>
          <w:spacing w:val="0"/>
          <w:w w:val="100"/>
          <w:sz w:val="32"/>
          <w:szCs w:val="32"/>
          <w:u w:val="none"/>
          <w:lang w:val="zh-CN" w:eastAsia="zh-CN" w:bidi="zh-CN"/>
        </w:rPr>
        <w:t>编制养老服务设施专项规划，分区分级规划养老服务设施。</w:t>
      </w:r>
      <w:r>
        <w:rPr>
          <w:rFonts w:hint="eastAsia" w:ascii="仿宋_GB2312" w:hAnsi="仿宋_GB2312" w:eastAsia="仿宋_GB2312" w:cs="仿宋_GB2312"/>
          <w:b w:val="0"/>
          <w:bCs w:val="0"/>
          <w:color w:val="auto"/>
          <w:sz w:val="32"/>
          <w:szCs w:val="32"/>
          <w:highlight w:val="none"/>
          <w:u w:val="none"/>
        </w:rPr>
        <w:t>建立健全新建住宅小区与配套养老服务设施“四同步”（同步规划、同步建设、同步验收、同步交付）工作机制，</w:t>
      </w:r>
      <w:r>
        <w:rPr>
          <w:rFonts w:hint="eastAsia" w:ascii="仿宋_GB2312" w:hAnsi="仿宋_GB2312" w:eastAsia="仿宋_GB2312" w:cs="仿宋_GB2312"/>
          <w:b w:val="0"/>
          <w:bCs w:val="0"/>
          <w:color w:val="auto"/>
          <w:sz w:val="32"/>
          <w:szCs w:val="32"/>
          <w:highlight w:val="none"/>
          <w:u w:val="none"/>
          <w:lang w:val="en-US" w:eastAsia="zh-CN"/>
        </w:rPr>
        <w:t>落实新建城区</w:t>
      </w:r>
      <w:r>
        <w:rPr>
          <w:rFonts w:hint="eastAsia" w:ascii="仿宋_GB2312" w:hAnsi="仿宋_GB2312" w:eastAsia="仿宋_GB2312" w:cs="仿宋_GB2312"/>
          <w:b w:val="0"/>
          <w:bCs w:val="0"/>
          <w:color w:val="auto"/>
          <w:sz w:val="32"/>
          <w:szCs w:val="32"/>
          <w:highlight w:val="none"/>
          <w:u w:val="none"/>
        </w:rPr>
        <w:t>建设和新建住宅小区按每百户不低于20m</w:t>
      </w:r>
      <w:r>
        <w:rPr>
          <w:rFonts w:hint="eastAsia" w:ascii="仿宋_GB2312" w:hAnsi="仿宋_GB2312" w:eastAsia="仿宋_GB2312" w:cs="仿宋_GB2312"/>
          <w:b w:val="0"/>
          <w:bCs w:val="0"/>
          <w:color w:val="auto"/>
          <w:sz w:val="32"/>
          <w:szCs w:val="32"/>
          <w:highlight w:val="none"/>
          <w:u w:val="none"/>
          <w:vertAlign w:val="superscript"/>
        </w:rPr>
        <w:t>2</w:t>
      </w:r>
      <w:r>
        <w:rPr>
          <w:rFonts w:hint="eastAsia" w:ascii="仿宋_GB2312" w:hAnsi="仿宋_GB2312" w:eastAsia="仿宋_GB2312" w:cs="仿宋_GB2312"/>
          <w:b w:val="0"/>
          <w:bCs w:val="0"/>
          <w:color w:val="auto"/>
          <w:sz w:val="32"/>
          <w:szCs w:val="32"/>
          <w:highlight w:val="none"/>
          <w:u w:val="none"/>
        </w:rPr>
        <w:t>的标准配套建设养老服务设施</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老城区和已建成居住区结合城镇老旧小区改造、居住区建设补短板行动等通过改建、购置、置换和租赁等方式补建一批养老服务设施，逐步完善“一刻钟”居家养老服务圈</w:t>
      </w:r>
      <w:r>
        <w:rPr>
          <w:rFonts w:hint="eastAsia" w:ascii="仿宋_GB2312" w:eastAsia="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eastAsia="zh-CN"/>
        </w:rPr>
        <w:t>通过新建、改造、租赁等方式，提升社区养老服务能力，着力发展</w:t>
      </w:r>
      <w:r>
        <w:rPr>
          <w:rFonts w:hint="eastAsia" w:ascii="仿宋_GB2312" w:hAnsi="仿宋_GB2312" w:eastAsia="仿宋_GB2312" w:cs="仿宋_GB2312"/>
          <w:b w:val="0"/>
          <w:bCs w:val="0"/>
          <w:color w:val="auto"/>
          <w:sz w:val="32"/>
          <w:szCs w:val="32"/>
          <w:highlight w:val="none"/>
          <w:u w:val="none"/>
          <w:lang w:val="en-US" w:eastAsia="zh-CN"/>
        </w:rPr>
        <w:t>镇（</w:t>
      </w:r>
      <w:r>
        <w:rPr>
          <w:rFonts w:hint="eastAsia" w:ascii="仿宋_GB2312" w:hAnsi="仿宋_GB2312" w:eastAsia="仿宋_GB2312" w:cs="仿宋_GB2312"/>
          <w:b w:val="0"/>
          <w:bCs w:val="0"/>
          <w:color w:val="auto"/>
          <w:sz w:val="32"/>
          <w:szCs w:val="32"/>
          <w:highlight w:val="none"/>
          <w:u w:val="none"/>
          <w:lang w:eastAsia="zh-CN"/>
        </w:rPr>
        <w:t>街道</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eastAsia="zh-CN"/>
        </w:rPr>
        <w:t>、城乡社区两级养老服务网络，依托社区发展以居家为基础的</w:t>
      </w:r>
      <w:r>
        <w:rPr>
          <w:rFonts w:hint="eastAsia" w:ascii="仿宋_GB2312" w:hAnsi="仿宋_GB2312" w:eastAsia="仿宋_GB2312" w:cs="仿宋_GB2312"/>
          <w:b w:val="0"/>
          <w:bCs w:val="0"/>
          <w:color w:val="auto"/>
          <w:sz w:val="32"/>
          <w:szCs w:val="32"/>
          <w:highlight w:val="none"/>
          <w:u w:val="none"/>
        </w:rPr>
        <w:t>日间托管和上门</w:t>
      </w:r>
      <w:r>
        <w:rPr>
          <w:rFonts w:hint="eastAsia" w:ascii="仿宋_GB2312" w:hAnsi="仿宋_GB2312" w:eastAsia="仿宋_GB2312" w:cs="仿宋_GB2312"/>
          <w:b w:val="0"/>
          <w:bCs w:val="0"/>
          <w:color w:val="auto"/>
          <w:sz w:val="32"/>
          <w:szCs w:val="32"/>
          <w:highlight w:val="none"/>
          <w:u w:val="none"/>
          <w:lang w:val="en-US" w:eastAsia="zh-CN"/>
        </w:rPr>
        <w:t>照护等</w:t>
      </w:r>
      <w:r>
        <w:rPr>
          <w:rFonts w:hint="eastAsia" w:ascii="仿宋_GB2312" w:hAnsi="仿宋_GB2312" w:eastAsia="仿宋_GB2312" w:cs="仿宋_GB2312"/>
          <w:b w:val="0"/>
          <w:bCs w:val="0"/>
          <w:color w:val="auto"/>
          <w:sz w:val="32"/>
          <w:szCs w:val="32"/>
          <w:highlight w:val="none"/>
          <w:u w:val="none"/>
          <w:lang w:eastAsia="zh-CN"/>
        </w:rPr>
        <w:t>多样化养老服务。</w:t>
      </w:r>
      <w:r>
        <w:rPr>
          <w:rFonts w:hint="eastAsia" w:ascii="仿宋_GB2312" w:hAnsi="仿宋_GB2312" w:eastAsia="仿宋_GB2312" w:cs="仿宋_GB2312"/>
          <w:b w:val="0"/>
          <w:bCs w:val="0"/>
          <w:color w:val="auto"/>
          <w:spacing w:val="0"/>
          <w:w w:val="100"/>
          <w:sz w:val="32"/>
          <w:szCs w:val="32"/>
          <w:u w:val="none"/>
          <w:lang w:val="en-US" w:eastAsia="zh-CN" w:bidi="zh-CN"/>
        </w:rPr>
        <w:t>支持将社区养老服务设施低偿或无偿用于发展普惠型养老服务</w:t>
      </w:r>
      <w:r>
        <w:rPr>
          <w:rFonts w:hint="eastAsia" w:ascii="仿宋_GB2312" w:hAnsi="仿宋_GB2312" w:eastAsia="仿宋_GB2312" w:cs="仿宋_GB2312"/>
          <w:b w:val="0"/>
          <w:bCs w:val="0"/>
          <w:color w:val="auto"/>
          <w:spacing w:val="0"/>
          <w:w w:val="100"/>
          <w:sz w:val="32"/>
          <w:szCs w:val="32"/>
          <w:u w:val="none"/>
          <w:lang w:val="zh-CN" w:eastAsia="zh-CN" w:bidi="zh-CN"/>
        </w:rPr>
        <w:t>。在镇（街道）范围建设具备全托、日托、上门服务、协调指导等功能的综合养老服务机构（中心），发挥中心示范引导作用，将公共配套物业和社区闲置物业资源，无偿或低偿提供给社会力量兴建运营社区养老服务设施，推动发展社区嵌入式多功能养老服务。到2025年底，全市各社区（村）养老服务设施覆盖率达到100%，各镇街新建住宅小区配套建设养老服务设施100%达标。</w:t>
      </w:r>
      <w:r>
        <w:rPr>
          <w:rFonts w:hint="eastAsia" w:ascii="仿宋_GB2312" w:hAnsi="仿宋_GB2312" w:eastAsia="仿宋_GB2312" w:cs="仿宋_GB2312"/>
          <w:b/>
          <w:bCs/>
          <w:color w:val="auto"/>
          <w:spacing w:val="0"/>
          <w:w w:val="100"/>
          <w:sz w:val="32"/>
          <w:szCs w:val="32"/>
          <w:u w:val="none"/>
          <w:lang w:val="zh-CN" w:eastAsia="zh-CN" w:bidi="zh-CN"/>
        </w:rPr>
        <w:t>二是</w:t>
      </w:r>
      <w:r>
        <w:rPr>
          <w:rFonts w:hint="eastAsia" w:ascii="仿宋_GB2312" w:hAnsi="仿宋_GB2312" w:eastAsia="仿宋_GB2312" w:cs="仿宋_GB2312"/>
          <w:b w:val="0"/>
          <w:bCs w:val="0"/>
          <w:color w:val="auto"/>
          <w:spacing w:val="0"/>
          <w:w w:val="100"/>
          <w:u w:val="none"/>
        </w:rPr>
        <w:t>丰富社区养老服务功能。加快发展嵌入式养老服务机构或日间照料中心，为居家老年人提供生活照料、家政服务、精神慰藉、护理保健、辅具配置、紧急救援等专业化和个性化服务。加快居家社区养老服务信息化建设，</w:t>
      </w:r>
      <w:r>
        <w:rPr>
          <w:rFonts w:hint="eastAsia" w:ascii="仿宋_GB2312" w:hAnsi="仿宋_GB2312" w:eastAsia="仿宋_GB2312" w:cs="仿宋_GB2312"/>
          <w:b w:val="0"/>
          <w:bCs w:val="0"/>
          <w:color w:val="auto"/>
          <w:spacing w:val="0"/>
          <w:w w:val="100"/>
          <w:u w:val="none"/>
          <w:lang w:eastAsia="zh-CN"/>
        </w:rPr>
        <w:t>推动互联网与养老服务的深度融合，汇聚线上线下资源，精准对接需求与供给，为老年人提供“点菜式”就近便捷养老服务</w:t>
      </w:r>
      <w:r>
        <w:rPr>
          <w:rFonts w:hint="eastAsia" w:ascii="仿宋_GB2312" w:hAnsi="仿宋_GB2312" w:eastAsia="仿宋_GB2312" w:cs="仿宋_GB2312"/>
          <w:b w:val="0"/>
          <w:bCs w:val="0"/>
          <w:color w:val="auto"/>
          <w:spacing w:val="0"/>
          <w:w w:val="100"/>
          <w:u w:val="none"/>
        </w:rPr>
        <w:t>。引导社会力量积极参与居家社区养老服务，鼓励养老服务机构连锁化、品牌化运营。</w:t>
      </w:r>
      <w:r>
        <w:rPr>
          <w:rFonts w:hint="eastAsia" w:ascii="仿宋_GB2312" w:hAnsi="仿宋_GB2312" w:eastAsia="仿宋_GB2312" w:cs="仿宋_GB2312"/>
          <w:b w:val="0"/>
          <w:bCs w:val="0"/>
          <w:color w:val="auto"/>
          <w:u w:val="none"/>
        </w:rPr>
        <w:t>探索“</w:t>
      </w:r>
      <w:r>
        <w:rPr>
          <w:rFonts w:hint="eastAsia" w:ascii="仿宋_GB2312" w:hAnsi="仿宋_GB2312" w:eastAsia="仿宋_GB2312" w:cs="仿宋_GB2312"/>
          <w:b w:val="0"/>
          <w:bCs w:val="0"/>
          <w:color w:val="auto"/>
          <w:u w:val="none"/>
          <w:lang w:val="en-US" w:eastAsia="zh-CN"/>
        </w:rPr>
        <w:t>社区+</w:t>
      </w:r>
      <w:r>
        <w:rPr>
          <w:rFonts w:hint="eastAsia" w:ascii="仿宋_GB2312" w:hAnsi="仿宋_GB2312" w:eastAsia="仿宋_GB2312" w:cs="仿宋_GB2312"/>
          <w:b w:val="0"/>
          <w:bCs w:val="0"/>
          <w:color w:val="auto"/>
          <w:u w:val="none"/>
        </w:rPr>
        <w:t>物业+养老服务”模式，支持物业服务企业开展老年供餐、定期巡访等形式多样的养老服务。</w:t>
      </w:r>
      <w:r>
        <w:rPr>
          <w:rFonts w:hint="eastAsia" w:ascii="仿宋_GB2312" w:hAnsi="仿宋_GB2312" w:eastAsia="仿宋_GB2312" w:cs="仿宋_GB2312"/>
          <w:b w:val="0"/>
          <w:bCs w:val="0"/>
          <w:color w:val="auto"/>
          <w:u w:val="none"/>
          <w:lang w:val="en-US" w:eastAsia="zh-CN"/>
        </w:rPr>
        <w:t>鼓励发展互助式养老服务。</w:t>
      </w:r>
      <w:r>
        <w:rPr>
          <w:rFonts w:hint="eastAsia" w:ascii="仿宋_GB2312" w:hAnsi="仿宋_GB2312" w:eastAsia="仿宋_GB2312" w:cs="仿宋_GB2312"/>
          <w:b/>
          <w:bCs/>
          <w:color w:val="auto"/>
          <w:u w:val="none"/>
          <w:lang w:eastAsia="zh-CN"/>
        </w:rPr>
        <w:t>三是</w:t>
      </w:r>
      <w:r>
        <w:rPr>
          <w:rFonts w:hint="eastAsia" w:ascii="仿宋_GB2312" w:hAnsi="仿宋_GB2312" w:eastAsia="仿宋_GB2312" w:cs="仿宋_GB2312"/>
          <w:b w:val="0"/>
          <w:bCs w:val="0"/>
          <w:color w:val="auto"/>
          <w:spacing w:val="0"/>
          <w:w w:val="100"/>
          <w:u w:val="none"/>
        </w:rPr>
        <w:t>加大居家养老服务支持。支持养老服务机构运营社区养老服务设施，大力</w:t>
      </w:r>
      <w:r>
        <w:rPr>
          <w:rFonts w:hint="eastAsia" w:ascii="仿宋_GB2312" w:hAnsi="仿宋_GB2312" w:eastAsia="仿宋_GB2312" w:cs="仿宋_GB2312"/>
          <w:b w:val="0"/>
          <w:bCs w:val="0"/>
          <w:color w:val="auto"/>
          <w:spacing w:val="0"/>
          <w:w w:val="100"/>
          <w:u w:val="none"/>
          <w:lang w:val="en-US" w:eastAsia="zh-CN"/>
        </w:rPr>
        <w:t>支持</w:t>
      </w:r>
      <w:r>
        <w:rPr>
          <w:rFonts w:hint="eastAsia" w:ascii="仿宋_GB2312" w:hAnsi="仿宋_GB2312" w:eastAsia="仿宋_GB2312" w:cs="仿宋_GB2312"/>
          <w:b w:val="0"/>
          <w:bCs w:val="0"/>
          <w:color w:val="auto"/>
          <w:spacing w:val="0"/>
          <w:w w:val="100"/>
          <w:u w:val="none"/>
        </w:rPr>
        <w:t>发展家庭养老床位，将专业化服务延伸至家庭，向居家老年人及其家庭成员提供居家上门、生活照料、家务料理、康复护理、培训支持、精神慰藉等服务，推动失能失智和高龄老年人家庭成员照护培训纳入政府购买养老服务目录。</w:t>
      </w:r>
      <w:bookmarkStart w:id="93" w:name="_TOC_250014"/>
      <w:bookmarkEnd w:id="93"/>
      <w:r>
        <w:rPr>
          <w:rFonts w:hint="eastAsia" w:ascii="仿宋_GB2312" w:eastAsia="仿宋_GB2312"/>
          <w:b w:val="0"/>
          <w:bCs w:val="0"/>
          <w:color w:val="auto"/>
          <w:sz w:val="32"/>
          <w:szCs w:val="32"/>
          <w:highlight w:val="none"/>
          <w:u w:val="none"/>
          <w:lang w:val="en-US" w:eastAsia="zh-CN"/>
        </w:rPr>
        <w:t>加快推进居家适老化改造，</w:t>
      </w:r>
      <w:r>
        <w:rPr>
          <w:rFonts w:hint="eastAsia" w:ascii="仿宋_GB2312" w:hAnsi="仿宋_GB2312" w:eastAsia="仿宋_GB2312" w:cs="仿宋_GB2312"/>
          <w:b w:val="0"/>
          <w:bCs w:val="0"/>
          <w:color w:val="auto"/>
          <w:sz w:val="32"/>
          <w:szCs w:val="32"/>
          <w:highlight w:val="none"/>
          <w:u w:val="none"/>
          <w:lang w:val="en-US" w:eastAsia="zh-CN"/>
        </w:rPr>
        <w:t>持续</w:t>
      </w:r>
      <w:r>
        <w:rPr>
          <w:rFonts w:hint="eastAsia" w:ascii="仿宋_GB2312" w:hAnsi="仿宋_GB2312" w:eastAsia="仿宋_GB2312" w:cs="仿宋_GB2312"/>
          <w:b w:val="0"/>
          <w:bCs w:val="0"/>
          <w:color w:val="auto"/>
          <w:sz w:val="32"/>
          <w:szCs w:val="32"/>
          <w:highlight w:val="none"/>
          <w:u w:val="none"/>
          <w:lang w:eastAsia="zh-CN"/>
        </w:rPr>
        <w:t>对经济困难的失能、残疾、高龄等老年人家庭实施无障碍和适老化改造，配备生活辅助器具，</w:t>
      </w:r>
      <w:r>
        <w:rPr>
          <w:rFonts w:hint="eastAsia" w:ascii="仿宋_GB2312" w:hAnsi="仿宋_GB2312" w:eastAsia="仿宋_GB2312" w:cs="仿宋_GB2312"/>
          <w:b w:val="0"/>
          <w:bCs w:val="0"/>
          <w:color w:val="auto"/>
          <w:sz w:val="32"/>
          <w:szCs w:val="32"/>
          <w:highlight w:val="none"/>
          <w:u w:val="none"/>
          <w:lang w:val="en-US" w:eastAsia="zh-CN"/>
        </w:rPr>
        <w:t>开展定期探访，</w:t>
      </w:r>
      <w:r>
        <w:rPr>
          <w:rFonts w:hint="eastAsia" w:ascii="仿宋_GB2312" w:eastAsia="仿宋_GB2312"/>
          <w:b w:val="0"/>
          <w:bCs w:val="0"/>
          <w:color w:val="auto"/>
          <w:sz w:val="32"/>
          <w:szCs w:val="32"/>
          <w:highlight w:val="none"/>
          <w:u w:val="none"/>
          <w:lang w:val="en-US" w:eastAsia="zh-CN"/>
        </w:rPr>
        <w:t>加大居家健康监测设备推广应用，</w:t>
      </w:r>
      <w:r>
        <w:rPr>
          <w:rFonts w:hint="eastAsia" w:ascii="仿宋_GB2312" w:hAnsi="仿宋_GB2312" w:eastAsia="仿宋_GB2312" w:cs="仿宋_GB2312"/>
          <w:b w:val="0"/>
          <w:bCs w:val="0"/>
          <w:color w:val="auto"/>
          <w:sz w:val="32"/>
          <w:szCs w:val="32"/>
          <w:highlight w:val="none"/>
          <w:u w:val="none"/>
          <w:lang w:val="en-US" w:eastAsia="zh-CN"/>
        </w:rPr>
        <w:t>为全市独居老人安装生命体征监测设备，提供紧急预警和援助服务。</w:t>
      </w:r>
      <w:r>
        <w:rPr>
          <w:rFonts w:hint="eastAsia" w:ascii="仿宋_GB2312" w:hAnsi="仿宋_GB2312" w:eastAsia="仿宋_GB2312" w:cs="仿宋_GB2312"/>
          <w:b/>
          <w:bCs/>
          <w:color w:val="auto"/>
          <w:spacing w:val="0"/>
          <w:w w:val="100"/>
          <w:u w:val="none"/>
          <w:lang w:eastAsia="zh-CN"/>
        </w:rPr>
        <w:t>四是</w:t>
      </w:r>
      <w:r>
        <w:rPr>
          <w:rFonts w:hint="eastAsia" w:ascii="仿宋_GB2312" w:hAnsi="仿宋_GB2312" w:eastAsia="仿宋_GB2312" w:cs="仿宋_GB2312"/>
          <w:b w:val="0"/>
          <w:bCs w:val="0"/>
          <w:color w:val="auto"/>
          <w:spacing w:val="0"/>
          <w:w w:val="100"/>
          <w:u w:val="none"/>
        </w:rPr>
        <w:t>加强从业人员队伍建设。</w:t>
      </w:r>
      <w:r>
        <w:rPr>
          <w:rFonts w:hint="eastAsia" w:ascii="仿宋_GB2312" w:hAnsi="仿宋_GB2312" w:eastAsia="仿宋_GB2312" w:cs="仿宋_GB2312"/>
          <w:b w:val="0"/>
          <w:bCs w:val="0"/>
          <w:color w:val="auto"/>
          <w:spacing w:val="0"/>
          <w:w w:val="100"/>
          <w:u w:val="none"/>
          <w:lang w:val="en-US" w:eastAsia="zh-CN"/>
        </w:rPr>
        <w:t>制定公办养老机构护理人员薪酬待遇指导意见，探索设立养老护理员岗位补贴，拓宽养老服务专业人员职业发展空间。提升养老护理员薪资与福利待遇，提升养老护理员社会地位</w:t>
      </w:r>
      <w:r>
        <w:rPr>
          <w:rFonts w:hint="eastAsia" w:ascii="仿宋_GB2312" w:hAnsi="仿宋_GB2312" w:eastAsia="仿宋_GB2312" w:cs="仿宋_GB2312"/>
          <w:b w:val="0"/>
          <w:bCs w:val="0"/>
          <w:color w:val="auto"/>
          <w:spacing w:val="0"/>
          <w:w w:val="100"/>
          <w:u w:val="none"/>
        </w:rPr>
        <w:t>。</w:t>
      </w:r>
      <w:r>
        <w:rPr>
          <w:rFonts w:hint="eastAsia" w:ascii="仿宋_GB2312" w:hAnsi="仿宋_GB2312" w:eastAsia="仿宋_GB2312" w:cs="仿宋_GB2312"/>
          <w:b w:val="0"/>
          <w:bCs w:val="0"/>
          <w:color w:val="auto"/>
          <w:spacing w:val="0"/>
          <w:w w:val="100"/>
          <w:u w:val="none"/>
          <w:lang w:val="en-US" w:eastAsia="zh-CN"/>
        </w:rPr>
        <w:t>培育</w:t>
      </w:r>
      <w:r>
        <w:rPr>
          <w:rFonts w:hint="eastAsia" w:ascii="仿宋_GB2312" w:hAnsi="仿宋_GB2312" w:eastAsia="仿宋_GB2312" w:cs="仿宋_GB2312"/>
          <w:b w:val="0"/>
          <w:bCs w:val="0"/>
          <w:color w:val="auto"/>
          <w:spacing w:val="0"/>
          <w:w w:val="100"/>
          <w:u w:val="none"/>
        </w:rPr>
        <w:t>养老护理职业技能培训机构，推进“南粤家政”养老服务培训项目，组织养老护理员职业技能竞赛，全面提升养老服务从业人员职业化、专业化、规范化的技能水平。加强养老服务机构社会工作岗位开发与设置，将养老服务纳入政府采购社会工作服务项目，大力培养为老年人服务的社会工作者队伍，推动“社工+志愿者”联动为老服务。</w:t>
      </w:r>
    </w:p>
    <w:p w14:paraId="5793343F">
      <w:pPr>
        <w:pStyle w:val="5"/>
        <w:keepNext w:val="0"/>
        <w:keepLines w:val="0"/>
        <w:pageBreakBefore w:val="0"/>
        <w:widowControl w:val="0"/>
        <w:kinsoku/>
        <w:wordWrap/>
        <w:overflowPunct/>
        <w:topLinePunct w:val="0"/>
        <w:autoSpaceDE w:val="0"/>
        <w:autoSpaceDN w:val="0"/>
        <w:bidi w:val="0"/>
        <w:adjustRightInd/>
        <w:snapToGrid/>
        <w:spacing w:before="14" w:line="600" w:lineRule="exact"/>
        <w:jc w:val="both"/>
        <w:textAlignment w:val="auto"/>
        <w:rPr>
          <w:rFonts w:hint="eastAsia" w:ascii="仿宋_GB2312" w:hAnsi="仿宋_GB2312" w:eastAsia="仿宋_GB2312" w:cs="仿宋_GB2312"/>
          <w:b w:val="0"/>
          <w:bCs w:val="0"/>
          <w:color w:val="auto"/>
          <w:spacing w:val="0"/>
          <w:w w:val="100"/>
          <w:u w:val="none"/>
          <w:lang w:val="en-US" w:eastAsia="zh-CN"/>
        </w:rPr>
      </w:pPr>
      <w:bookmarkStart w:id="94" w:name="_TOC_250013"/>
      <w:bookmarkEnd w:id="94"/>
      <w:r>
        <w:rPr>
          <w:rFonts w:hint="eastAsia" w:ascii="仿宋_GB2312" w:hAnsi="仿宋_GB2312" w:eastAsia="仿宋_GB2312" w:cs="仿宋_GB2312"/>
          <w:b/>
          <w:bCs/>
          <w:color w:val="auto"/>
          <w:spacing w:val="0"/>
          <w:w w:val="100"/>
          <w:u w:val="none"/>
          <w:lang w:val="en-US" w:eastAsia="zh-CN"/>
        </w:rPr>
        <w:t>3.</w:t>
      </w:r>
      <w:r>
        <w:rPr>
          <w:rFonts w:hint="eastAsia" w:ascii="仿宋_GB2312" w:hAnsi="仿宋_GB2312" w:eastAsia="仿宋_GB2312" w:cs="仿宋_GB2312"/>
          <w:b/>
          <w:bCs/>
          <w:color w:val="auto"/>
          <w:spacing w:val="0"/>
          <w:w w:val="100"/>
          <w:u w:val="none"/>
        </w:rPr>
        <w:t>促进养老服务行业规范发展</w:t>
      </w:r>
      <w:r>
        <w:rPr>
          <w:rFonts w:hint="eastAsia" w:ascii="仿宋_GB2312" w:hAnsi="仿宋_GB2312" w:eastAsia="仿宋_GB2312" w:cs="仿宋_GB2312"/>
          <w:b/>
          <w:bCs/>
          <w:color w:val="auto"/>
          <w:spacing w:val="0"/>
          <w:w w:val="100"/>
          <w:u w:val="none"/>
          <w:lang w:eastAsia="zh-CN"/>
        </w:rPr>
        <w:t>。一是</w:t>
      </w:r>
      <w:r>
        <w:rPr>
          <w:rFonts w:hint="eastAsia" w:ascii="仿宋_GB2312" w:hAnsi="仿宋_GB2312" w:eastAsia="仿宋_GB2312" w:cs="仿宋_GB2312"/>
          <w:b w:val="0"/>
          <w:bCs w:val="0"/>
          <w:color w:val="auto"/>
          <w:spacing w:val="0"/>
          <w:w w:val="100"/>
          <w:u w:val="none"/>
        </w:rPr>
        <w:t>提升养老服务标准化智慧化水平。建立健全养老服务标准</w:t>
      </w:r>
      <w:r>
        <w:rPr>
          <w:rFonts w:hint="eastAsia" w:ascii="仿宋_GB2312" w:hAnsi="仿宋_GB2312" w:eastAsia="仿宋_GB2312" w:cs="仿宋_GB2312"/>
          <w:b w:val="0"/>
          <w:bCs w:val="0"/>
          <w:color w:val="auto"/>
          <w:spacing w:val="0"/>
          <w:w w:val="100"/>
          <w:u w:val="none"/>
          <w:lang w:val="en-US" w:eastAsia="zh-CN"/>
        </w:rPr>
        <w:t>和评价</w:t>
      </w:r>
      <w:r>
        <w:rPr>
          <w:rFonts w:hint="eastAsia" w:ascii="仿宋_GB2312" w:hAnsi="仿宋_GB2312" w:eastAsia="仿宋_GB2312" w:cs="仿宋_GB2312"/>
          <w:b w:val="0"/>
          <w:bCs w:val="0"/>
          <w:color w:val="auto"/>
          <w:spacing w:val="0"/>
          <w:w w:val="100"/>
          <w:u w:val="none"/>
        </w:rPr>
        <w:t>体系，</w:t>
      </w:r>
      <w:r>
        <w:rPr>
          <w:rFonts w:hint="eastAsia" w:ascii="仿宋_GB2312" w:hAnsi="仿宋_GB2312" w:eastAsia="仿宋_GB2312" w:cs="仿宋_GB2312"/>
          <w:b w:val="0"/>
          <w:bCs w:val="0"/>
          <w:color w:val="auto"/>
          <w:spacing w:val="0"/>
          <w:w w:val="100"/>
          <w:u w:val="none"/>
          <w:lang w:val="en-US" w:eastAsia="zh-CN"/>
        </w:rPr>
        <w:t>加强对养老机构建设和运营的监管，</w:t>
      </w:r>
      <w:r>
        <w:rPr>
          <w:rFonts w:hint="eastAsia" w:ascii="仿宋_GB2312" w:hAnsi="仿宋_GB2312" w:eastAsia="仿宋_GB2312" w:cs="仿宋_GB2312"/>
          <w:b w:val="0"/>
          <w:bCs w:val="0"/>
          <w:color w:val="auto"/>
          <w:sz w:val="32"/>
          <w:szCs w:val="32"/>
          <w:highlight w:val="none"/>
          <w:u w:val="none"/>
        </w:rPr>
        <w:t>围绕居家养老、社区养老、机构养老和医养结合，建立健全覆盖养老服务通用基础、养老机构建设、养老服务质量规范、养老服务评价、</w:t>
      </w:r>
      <w:r>
        <w:rPr>
          <w:rFonts w:hint="eastAsia" w:ascii="仿宋_GB2312" w:hAnsi="仿宋_GB2312" w:eastAsia="仿宋_GB2312" w:cs="仿宋_GB2312"/>
          <w:b w:val="0"/>
          <w:bCs w:val="0"/>
          <w:color w:val="auto"/>
          <w:sz w:val="32"/>
          <w:szCs w:val="32"/>
          <w:highlight w:val="none"/>
          <w:u w:val="none"/>
          <w:lang w:val="en-US" w:eastAsia="zh-CN"/>
        </w:rPr>
        <w:t>养老服务风险防范等</w:t>
      </w:r>
      <w:r>
        <w:rPr>
          <w:rFonts w:hint="eastAsia" w:ascii="仿宋_GB2312" w:hAnsi="仿宋_GB2312" w:eastAsia="仿宋_GB2312" w:cs="仿宋_GB2312"/>
          <w:b w:val="0"/>
          <w:bCs w:val="0"/>
          <w:color w:val="auto"/>
          <w:sz w:val="32"/>
          <w:szCs w:val="32"/>
          <w:highlight w:val="none"/>
          <w:u w:val="none"/>
        </w:rPr>
        <w:t>养老服务标准体系</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建立养老服务标准实施、监督评价</w:t>
      </w:r>
      <w:r>
        <w:rPr>
          <w:rFonts w:hint="eastAsia" w:ascii="仿宋_GB2312" w:hAnsi="仿宋_GB2312" w:eastAsia="仿宋_GB2312" w:cs="仿宋_GB2312"/>
          <w:b w:val="0"/>
          <w:bCs w:val="0"/>
          <w:color w:val="auto"/>
          <w:sz w:val="32"/>
          <w:szCs w:val="32"/>
          <w:highlight w:val="none"/>
          <w:u w:val="none"/>
          <w:lang w:val="en-US" w:eastAsia="zh-CN"/>
        </w:rPr>
        <w:t>和奖补</w:t>
      </w:r>
      <w:r>
        <w:rPr>
          <w:rFonts w:hint="eastAsia" w:ascii="仿宋_GB2312" w:hAnsi="仿宋_GB2312" w:eastAsia="仿宋_GB2312" w:cs="仿宋_GB2312"/>
          <w:b w:val="0"/>
          <w:bCs w:val="0"/>
          <w:color w:val="auto"/>
          <w:sz w:val="32"/>
          <w:szCs w:val="32"/>
          <w:highlight w:val="none"/>
          <w:u w:val="none"/>
        </w:rPr>
        <w:t>机制</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通过组织标准宣贯培训、实施效果监督评价、出台标准化实施奖励政策等措施</w:t>
      </w:r>
      <w:r>
        <w:rPr>
          <w:rFonts w:hint="eastAsia" w:ascii="仿宋_GB2312" w:hAnsi="仿宋_GB2312" w:eastAsia="仿宋_GB2312" w:cs="仿宋_GB2312"/>
          <w:b w:val="0"/>
          <w:bCs w:val="0"/>
          <w:color w:val="auto"/>
          <w:sz w:val="32"/>
          <w:szCs w:val="32"/>
          <w:highlight w:val="none"/>
          <w:u w:val="none"/>
        </w:rPr>
        <w:t>推动养老</w:t>
      </w:r>
      <w:r>
        <w:rPr>
          <w:rFonts w:hint="eastAsia" w:ascii="仿宋_GB2312" w:hAnsi="仿宋_GB2312" w:eastAsia="仿宋_GB2312" w:cs="仿宋_GB2312"/>
          <w:b w:val="0"/>
          <w:bCs w:val="0"/>
          <w:color w:val="auto"/>
          <w:sz w:val="32"/>
          <w:szCs w:val="32"/>
          <w:highlight w:val="none"/>
          <w:u w:val="none"/>
          <w:lang w:val="en-US" w:eastAsia="zh-CN"/>
        </w:rPr>
        <w:t>服务</w:t>
      </w:r>
      <w:r>
        <w:rPr>
          <w:rFonts w:hint="eastAsia" w:ascii="仿宋_GB2312" w:hAnsi="仿宋_GB2312" w:eastAsia="仿宋_GB2312" w:cs="仿宋_GB2312"/>
          <w:b w:val="0"/>
          <w:bCs w:val="0"/>
          <w:color w:val="auto"/>
          <w:sz w:val="32"/>
          <w:szCs w:val="32"/>
          <w:highlight w:val="none"/>
          <w:u w:val="none"/>
        </w:rPr>
        <w:t>机构组织实施标准化管理</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全面提升养老服务质量。</w:t>
      </w:r>
      <w:r>
        <w:rPr>
          <w:rFonts w:hint="eastAsia" w:ascii="仿宋_GB2312" w:hAnsi="仿宋_GB2312" w:eastAsia="仿宋_GB2312" w:cs="仿宋_GB2312"/>
          <w:b w:val="0"/>
          <w:bCs w:val="0"/>
          <w:color w:val="auto"/>
          <w:spacing w:val="0"/>
          <w:w w:val="100"/>
          <w:u w:val="none"/>
        </w:rPr>
        <w:t>积极推行“互联网+智慧养老”，坚持传统服务与智能化服务创新</w:t>
      </w:r>
      <w:r>
        <w:rPr>
          <w:rFonts w:hint="eastAsia" w:ascii="仿宋_GB2312" w:hAnsi="仿宋_GB2312" w:eastAsia="仿宋_GB2312" w:cs="仿宋_GB2312"/>
          <w:b w:val="0"/>
          <w:bCs w:val="0"/>
          <w:color w:val="auto"/>
          <w:spacing w:val="0"/>
          <w:w w:val="100"/>
          <w:u w:val="none"/>
          <w:lang w:val="en-US" w:eastAsia="zh-CN"/>
        </w:rPr>
        <w:t>结合</w:t>
      </w:r>
      <w:r>
        <w:rPr>
          <w:rFonts w:hint="eastAsia" w:ascii="仿宋_GB2312" w:hAnsi="仿宋_GB2312" w:eastAsia="仿宋_GB2312" w:cs="仿宋_GB2312"/>
          <w:b w:val="0"/>
          <w:bCs w:val="0"/>
          <w:color w:val="auto"/>
          <w:spacing w:val="0"/>
          <w:w w:val="100"/>
          <w:u w:val="none"/>
        </w:rPr>
        <w:t>，线上服务便利老年人使用，线下渠道优化手续流程。</w:t>
      </w:r>
      <w:r>
        <w:rPr>
          <w:rFonts w:hint="eastAsia" w:ascii="仿宋_GB2312" w:hAnsi="仿宋_GB2312" w:eastAsia="仿宋_GB2312" w:cs="仿宋_GB2312"/>
          <w:b/>
          <w:bCs/>
          <w:color w:val="auto"/>
          <w:spacing w:val="0"/>
          <w:w w:val="100"/>
          <w:u w:val="none"/>
          <w:lang w:eastAsia="zh-CN"/>
        </w:rPr>
        <w:t>二是</w:t>
      </w:r>
      <w:r>
        <w:rPr>
          <w:rFonts w:hint="eastAsia" w:ascii="仿宋_GB2312" w:hAnsi="仿宋_GB2312" w:eastAsia="仿宋_GB2312" w:cs="仿宋_GB2312"/>
          <w:b w:val="0"/>
          <w:bCs w:val="0"/>
          <w:color w:val="auto"/>
          <w:spacing w:val="0"/>
          <w:w w:val="100"/>
          <w:sz w:val="32"/>
          <w:szCs w:val="32"/>
          <w:u w:val="none"/>
          <w:lang w:val="zh-CN" w:eastAsia="zh-CN" w:bidi="zh-CN"/>
        </w:rPr>
        <w:t>全面加强养老服务综合监管。</w:t>
      </w:r>
      <w:r>
        <w:rPr>
          <w:rFonts w:hint="eastAsia" w:ascii="仿宋_GB2312" w:hAnsi="仿宋_GB2312" w:eastAsia="仿宋_GB2312" w:cs="仿宋_GB2312"/>
          <w:b w:val="0"/>
          <w:bCs w:val="0"/>
          <w:color w:val="auto"/>
          <w:spacing w:val="0"/>
          <w:w w:val="100"/>
          <w:u w:val="none"/>
          <w:lang w:val="en-US" w:eastAsia="zh-CN"/>
        </w:rPr>
        <w:t>落实</w:t>
      </w:r>
      <w:r>
        <w:rPr>
          <w:rFonts w:hint="eastAsia" w:ascii="仿宋_GB2312" w:hAnsi="仿宋_GB2312" w:eastAsia="仿宋_GB2312" w:cs="仿宋_GB2312"/>
          <w:b w:val="0"/>
          <w:bCs w:val="0"/>
          <w:color w:val="auto"/>
          <w:spacing w:val="0"/>
          <w:w w:val="100"/>
          <w:u w:val="none"/>
        </w:rPr>
        <w:t>《养老机构管理办法》，完善养老机构管理相关制度规范，加强居家社区养老服务机构业务指导和规范管理。建立健全政府主导、机构主责、部门协同、行业自律、社会监督的养老服务综合监管制度，全面加强养老服务设施建设用地、运营秩序、质量安全、从业人员、涉及资金等方面监管。构建以“双随机、一公开”监管为基本手段、以重点监管为补充、以信用监管为基础的新型监管机制</w:t>
      </w:r>
      <w:r>
        <w:rPr>
          <w:rFonts w:hint="eastAsia" w:ascii="仿宋_GB2312" w:hAnsi="仿宋_GB2312" w:eastAsia="仿宋_GB2312" w:cs="仿宋_GB2312"/>
          <w:b w:val="0"/>
          <w:bCs w:val="0"/>
          <w:color w:val="auto"/>
          <w:spacing w:val="0"/>
          <w:w w:val="100"/>
          <w:u w:val="none"/>
          <w:lang w:eastAsia="zh-CN"/>
        </w:rPr>
        <w:t>。</w:t>
      </w:r>
      <w:r>
        <w:rPr>
          <w:rFonts w:hint="eastAsia" w:ascii="仿宋_GB2312" w:hAnsi="仿宋_GB2312" w:eastAsia="仿宋_GB2312" w:cs="仿宋_GB2312"/>
          <w:b w:val="0"/>
          <w:bCs w:val="0"/>
          <w:color w:val="auto"/>
          <w:spacing w:val="0"/>
          <w:w w:val="100"/>
          <w:u w:val="none"/>
        </w:rPr>
        <w:t>建立健全守信联合激励和失信联合惩戒机制</w:t>
      </w:r>
      <w:r>
        <w:rPr>
          <w:rFonts w:hint="eastAsia" w:ascii="仿宋_GB2312" w:hAnsi="仿宋_GB2312" w:eastAsia="仿宋_GB2312" w:cs="仿宋_GB2312"/>
          <w:b w:val="0"/>
          <w:bCs w:val="0"/>
          <w:color w:val="auto"/>
          <w:spacing w:val="0"/>
          <w:w w:val="100"/>
          <w:u w:val="none"/>
          <w:lang w:eastAsia="zh-CN"/>
        </w:rPr>
        <w:t>，</w:t>
      </w:r>
      <w:r>
        <w:rPr>
          <w:rFonts w:hint="eastAsia" w:ascii="仿宋_GB2312" w:hAnsi="仿宋_GB2312" w:eastAsia="仿宋_GB2312" w:cs="仿宋_GB2312"/>
          <w:b w:val="0"/>
          <w:bCs w:val="0"/>
          <w:color w:val="auto"/>
          <w:spacing w:val="0"/>
          <w:w w:val="100"/>
          <w:u w:val="none"/>
        </w:rPr>
        <w:t>引导和激励养老服务机构诚信守法经营、积极转型升级、持续优化服务。</w:t>
      </w:r>
      <w:r>
        <w:rPr>
          <w:rFonts w:hint="eastAsia" w:ascii="仿宋_GB2312" w:hAnsi="仿宋_GB2312" w:eastAsia="仿宋_GB2312" w:cs="仿宋_GB2312"/>
          <w:b/>
          <w:bCs/>
          <w:color w:val="auto"/>
          <w:spacing w:val="0"/>
          <w:w w:val="100"/>
          <w:u w:val="none"/>
          <w:lang w:eastAsia="zh-CN"/>
        </w:rPr>
        <w:t>三是</w:t>
      </w:r>
      <w:r>
        <w:rPr>
          <w:rFonts w:hint="eastAsia" w:ascii="仿宋_GB2312" w:hAnsi="仿宋_GB2312" w:eastAsia="仿宋_GB2312" w:cs="仿宋_GB2312"/>
          <w:b w:val="0"/>
          <w:bCs w:val="0"/>
          <w:color w:val="auto"/>
          <w:spacing w:val="0"/>
          <w:w w:val="100"/>
          <w:sz w:val="32"/>
          <w:szCs w:val="32"/>
          <w:u w:val="none"/>
          <w:lang w:val="en-US" w:eastAsia="zh-CN" w:bidi="zh-CN"/>
        </w:rPr>
        <w:t>加强养老服务风险防控与应急救援机制建设。</w:t>
      </w:r>
      <w:r>
        <w:rPr>
          <w:rFonts w:hint="eastAsia" w:ascii="仿宋_GB2312" w:hAnsi="仿宋_GB2312" w:eastAsia="仿宋_GB2312" w:cs="仿宋_GB2312"/>
          <w:b w:val="0"/>
          <w:bCs w:val="0"/>
          <w:color w:val="auto"/>
          <w:spacing w:val="0"/>
          <w:w w:val="100"/>
          <w:u w:val="none"/>
          <w:lang w:val="en-US" w:eastAsia="zh-CN"/>
        </w:rPr>
        <w:t>建立健全养老服务领域安全风险分级管控和隐患排查治理制度机制，加强消防安全、食品药品、非法集资等风险排查、监测预警和协同处置，提升养老服务机构安全生产整体防控能力。建立健全养老服务突发事件应急管理机制，全面提升养老服务领域突发事件应急管理能力。</w:t>
      </w:r>
    </w:p>
    <w:p w14:paraId="62819D9F">
      <w:pPr>
        <w:rPr>
          <w:rFonts w:hint="eastAsia"/>
          <w:color w:val="auto"/>
          <w:u w:val="none"/>
          <w:lang w:val="en-US" w:eastAsia="zh-CN"/>
        </w:rPr>
      </w:pPr>
    </w:p>
    <w:tbl>
      <w:tblPr>
        <w:tblStyle w:val="17"/>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1"/>
      </w:tblGrid>
      <w:tr w14:paraId="09E4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1" w:type="dxa"/>
            <w:vAlign w:val="center"/>
          </w:tcPr>
          <w:p w14:paraId="5C2E7A0A">
            <w:pPr>
              <w:keepNext w:val="0"/>
              <w:keepLines w:val="0"/>
              <w:pageBreakBefore w:val="0"/>
              <w:suppressLineNumbers w:val="0"/>
              <w:kinsoku/>
              <w:wordWrap/>
              <w:topLinePunct w:val="0"/>
              <w:bidi w:val="0"/>
              <w:snapToGrid w:val="0"/>
              <w:spacing w:before="0" w:beforeAutospacing="0" w:after="0" w:afterAutospacing="0" w:line="600" w:lineRule="exact"/>
              <w:ind w:left="0" w:right="0"/>
              <w:jc w:val="center"/>
              <w:textAlignment w:val="auto"/>
              <w:rPr>
                <w:rFonts w:hint="default" w:ascii="Times New Roman" w:eastAsia="楷体_GB2312"/>
                <w:color w:val="auto"/>
                <w:u w:val="none"/>
              </w:rPr>
            </w:pPr>
            <w:r>
              <w:rPr>
                <w:rFonts w:hint="default" w:ascii="Times New Roman" w:eastAsia="楷体_GB2312"/>
                <w:b/>
                <w:color w:val="auto"/>
                <w:u w:val="none"/>
              </w:rPr>
              <w:t>专栏</w:t>
            </w:r>
            <w:r>
              <w:rPr>
                <w:rFonts w:hint="eastAsia" w:ascii="Times New Roman" w:eastAsia="楷体_GB2312"/>
                <w:b/>
                <w:color w:val="auto"/>
                <w:u w:val="none"/>
                <w:lang w:val="en-US" w:eastAsia="zh-CN"/>
              </w:rPr>
              <w:t>2</w:t>
            </w:r>
            <w:r>
              <w:rPr>
                <w:rFonts w:hint="default" w:ascii="Times New Roman" w:eastAsia="楷体_GB2312"/>
                <w:b/>
                <w:color w:val="auto"/>
                <w:u w:val="none"/>
              </w:rPr>
              <w:t xml:space="preserve">  养老服务体系建设工程</w:t>
            </w:r>
          </w:p>
        </w:tc>
      </w:tr>
      <w:tr w14:paraId="2A46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0" w:hRule="atLeast"/>
          <w:jc w:val="center"/>
        </w:trPr>
        <w:tc>
          <w:tcPr>
            <w:tcW w:w="9211" w:type="dxa"/>
            <w:vAlign w:val="center"/>
          </w:tcPr>
          <w:p w14:paraId="6C10DEF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552" w:firstLineChars="200"/>
              <w:textAlignment w:val="auto"/>
              <w:rPr>
                <w:rFonts w:hint="default" w:ascii="Times New Roman"/>
                <w:color w:val="auto"/>
                <w:sz w:val="28"/>
                <w:szCs w:val="28"/>
                <w:u w:val="none"/>
              </w:rPr>
            </w:pPr>
            <w:r>
              <w:rPr>
                <w:rFonts w:hint="default" w:ascii="Times New Roman"/>
                <w:b/>
                <w:bCs/>
                <w:color w:val="auto"/>
                <w:sz w:val="28"/>
                <w:szCs w:val="28"/>
                <w:u w:val="none"/>
              </w:rPr>
              <w:t>1.居家社区养老服务提升工程。</w:t>
            </w:r>
            <w:r>
              <w:rPr>
                <w:rFonts w:hint="default" w:ascii="Times New Roman"/>
                <w:color w:val="auto"/>
                <w:sz w:val="28"/>
                <w:szCs w:val="28"/>
                <w:u w:val="none"/>
              </w:rPr>
              <w:t>加强社区养老服务设施建设，各镇街新建城区、新建住宅（小）区按每百户不低于20平方米的标准配套建设养老服务设施，村（社区）居家养老服务站全覆盖；全市各镇街均建有具备综合功能的养老服务中心。聚焦高龄、失能、残疾老年人需求，对特殊困难老年人家庭实施适老化改造。</w:t>
            </w:r>
          </w:p>
          <w:p w14:paraId="4E13747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552" w:firstLineChars="200"/>
              <w:textAlignment w:val="auto"/>
              <w:rPr>
                <w:rFonts w:hint="default" w:ascii="Times New Roman"/>
                <w:color w:val="auto"/>
                <w:sz w:val="28"/>
                <w:szCs w:val="28"/>
                <w:u w:val="none"/>
              </w:rPr>
            </w:pPr>
            <w:r>
              <w:rPr>
                <w:rFonts w:hint="default" w:ascii="Times New Roman"/>
                <w:b/>
                <w:bCs/>
                <w:color w:val="auto"/>
                <w:sz w:val="28"/>
                <w:szCs w:val="28"/>
                <w:u w:val="none"/>
              </w:rPr>
              <w:t>2.特困人员供养服务设施改造提升工程。</w:t>
            </w:r>
            <w:r>
              <w:rPr>
                <w:rFonts w:hint="default" w:ascii="Times New Roman"/>
                <w:color w:val="auto"/>
                <w:sz w:val="28"/>
                <w:szCs w:val="28"/>
                <w:u w:val="none"/>
              </w:rPr>
              <w:t>加强特困人员供养服务设施建设，增设失能人员生活服务及医疗护理、康复服务等照护单元，重点增强长期照护功能。到2022年，全市特困供养机构基本满足辖区内所有生活不能自理特困人员专业照护需求。到2025年底，特困人员供养机构兜底保障服务水平进一步提升。</w:t>
            </w:r>
          </w:p>
          <w:p w14:paraId="6E04289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552" w:firstLineChars="200"/>
              <w:textAlignment w:val="auto"/>
              <w:rPr>
                <w:rFonts w:hint="default" w:ascii="Times New Roman"/>
                <w:color w:val="auto"/>
                <w:u w:val="none"/>
              </w:rPr>
            </w:pPr>
            <w:r>
              <w:rPr>
                <w:rFonts w:hint="default" w:ascii="Times New Roman"/>
                <w:b/>
                <w:bCs/>
                <w:color w:val="auto"/>
                <w:sz w:val="28"/>
                <w:szCs w:val="28"/>
                <w:u w:val="none"/>
              </w:rPr>
              <w:t>3.养老服务人才建设工程。</w:t>
            </w:r>
            <w:r>
              <w:rPr>
                <w:rFonts w:hint="default" w:ascii="Times New Roman"/>
                <w:color w:val="auto"/>
                <w:sz w:val="28"/>
                <w:szCs w:val="28"/>
                <w:u w:val="none"/>
              </w:rPr>
              <w:t>实施康养职业技能培训计划，推进多层次养老服务人才培养，发展养老服务相关专业，扩大居家养老日常护理技能培训规模。全市</w:t>
            </w:r>
            <w:r>
              <w:rPr>
                <w:rFonts w:hint="eastAsia" w:ascii="Times New Roman"/>
                <w:color w:val="auto"/>
                <w:sz w:val="28"/>
                <w:szCs w:val="28"/>
                <w:u w:val="none"/>
                <w:lang w:eastAsia="zh-CN"/>
              </w:rPr>
              <w:t>年均</w:t>
            </w:r>
            <w:r>
              <w:rPr>
                <w:rFonts w:hint="default" w:ascii="Times New Roman"/>
                <w:color w:val="auto"/>
                <w:sz w:val="28"/>
                <w:szCs w:val="28"/>
                <w:u w:val="none"/>
              </w:rPr>
              <w:t>培训</w:t>
            </w:r>
            <w:r>
              <w:rPr>
                <w:rFonts w:hint="eastAsia" w:ascii="Times New Roman"/>
                <w:color w:val="auto"/>
                <w:sz w:val="28"/>
                <w:szCs w:val="28"/>
                <w:u w:val="none"/>
                <w:lang w:val="en-US" w:eastAsia="zh-CN"/>
              </w:rPr>
              <w:t>20</w:t>
            </w:r>
            <w:r>
              <w:rPr>
                <w:rFonts w:hint="default" w:ascii="Times New Roman"/>
                <w:color w:val="auto"/>
                <w:sz w:val="28"/>
                <w:szCs w:val="28"/>
                <w:u w:val="none"/>
              </w:rPr>
              <w:t>00名养老护理员及养老管理人员。到2025年，全市养老服务人员培训数量达到</w:t>
            </w:r>
            <w:r>
              <w:rPr>
                <w:rFonts w:hint="eastAsia" w:ascii="Times New Roman"/>
                <w:color w:val="auto"/>
                <w:sz w:val="28"/>
                <w:szCs w:val="28"/>
                <w:u w:val="none"/>
                <w:lang w:val="en-US" w:eastAsia="zh-CN"/>
              </w:rPr>
              <w:t>1万</w:t>
            </w:r>
            <w:r>
              <w:rPr>
                <w:rFonts w:hint="default" w:ascii="Times New Roman"/>
                <w:color w:val="auto"/>
                <w:sz w:val="28"/>
                <w:szCs w:val="28"/>
                <w:u w:val="none"/>
              </w:rPr>
              <w:t>人次，养老服务人才队伍职业化、专业化水平全面提高。</w:t>
            </w:r>
          </w:p>
        </w:tc>
      </w:tr>
    </w:tbl>
    <w:p w14:paraId="3356DD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32" w:firstLineChars="200"/>
        <w:jc w:val="left"/>
        <w:textAlignment w:val="auto"/>
        <w:rPr>
          <w:rFonts w:hint="eastAsia"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kern w:val="0"/>
          <w:sz w:val="32"/>
          <w:szCs w:val="32"/>
          <w:u w:val="none"/>
          <w:lang w:val="en-US" w:eastAsia="zh-CN" w:bidi="ar"/>
        </w:rPr>
        <w:t xml:space="preserve">（三）构建大儿童保障体系，推进儿童福利事业高质量发展 </w:t>
      </w:r>
    </w:p>
    <w:p w14:paraId="2CA321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32" w:firstLineChars="200"/>
        <w:jc w:val="left"/>
        <w:textAlignment w:val="auto"/>
        <w:rPr>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按照</w:t>
      </w:r>
      <w:r>
        <w:rPr>
          <w:rFonts w:hint="default" w:ascii="Times New Roman" w:hAnsi="Times New Roman" w:eastAsia="宋体" w:cs="Times New Roman"/>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t>兜住底线、夯实基础、建强体系、创新发展</w:t>
      </w:r>
      <w:r>
        <w:rPr>
          <w:rFonts w:hint="default" w:ascii="Times New Roman" w:hAnsi="Times New Roman" w:eastAsia="宋体" w:cs="Times New Roman"/>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t>的思路，推进儿童保障由补缺型向适度普惠型转变，儿童保护由农村留守儿童和困境儿童拓展到所有未成年人，不断提升</w:t>
      </w:r>
      <w:r>
        <w:rPr>
          <w:rFonts w:hint="default" w:ascii="Times New Roman" w:hAnsi="Times New Roman" w:eastAsia="宋体" w:cs="Times New Roman"/>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t>大儿童保障</w:t>
      </w:r>
      <w:r>
        <w:rPr>
          <w:rFonts w:hint="default" w:ascii="Times New Roman" w:hAnsi="Times New Roman" w:eastAsia="宋体" w:cs="Times New Roman"/>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t xml:space="preserve">体系建设水平。 </w:t>
      </w:r>
    </w:p>
    <w:p w14:paraId="4A82BC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32"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color w:val="auto"/>
          <w:kern w:val="0"/>
          <w:sz w:val="32"/>
          <w:szCs w:val="32"/>
          <w:u w:val="none"/>
          <w:lang w:val="en-US" w:eastAsia="zh-CN" w:bidi="ar"/>
        </w:rPr>
        <w:t>1.健全儿童保护体制机制。</w:t>
      </w:r>
      <w:r>
        <w:rPr>
          <w:rFonts w:hint="eastAsia" w:ascii="仿宋_GB2312" w:hAnsi="仿宋_GB2312" w:eastAsia="仿宋_GB2312" w:cs="仿宋_GB2312"/>
          <w:b/>
          <w:bCs w:val="0"/>
          <w:color w:val="auto"/>
          <w:kern w:val="0"/>
          <w:sz w:val="32"/>
          <w:szCs w:val="32"/>
          <w:u w:val="none"/>
          <w:lang w:val="en-US" w:eastAsia="zh-CN" w:bidi="ar"/>
        </w:rPr>
        <w:t>一是</w:t>
      </w:r>
      <w:r>
        <w:rPr>
          <w:rFonts w:hint="eastAsia" w:ascii="仿宋_GB2312" w:hAnsi="仿宋_GB2312" w:eastAsia="仿宋_GB2312" w:cs="仿宋_GB2312"/>
          <w:b w:val="0"/>
          <w:bCs/>
          <w:color w:val="auto"/>
          <w:kern w:val="0"/>
          <w:sz w:val="32"/>
          <w:szCs w:val="32"/>
          <w:u w:val="none"/>
          <w:lang w:val="en-US" w:eastAsia="zh-CN" w:bidi="ar"/>
        </w:rPr>
        <w:t>构建儿童保护体制机制。强化市未成年人保护领导小组</w:t>
      </w:r>
      <w:r>
        <w:rPr>
          <w:rFonts w:hint="eastAsia" w:hAnsi="仿宋_GB2312" w:cs="仿宋_GB2312"/>
          <w:b w:val="0"/>
          <w:bCs/>
          <w:color w:val="auto"/>
          <w:kern w:val="0"/>
          <w:sz w:val="32"/>
          <w:szCs w:val="32"/>
          <w:u w:val="none"/>
          <w:lang w:val="en-US" w:eastAsia="zh-CN" w:bidi="ar"/>
        </w:rPr>
        <w:t>办公室</w:t>
      </w:r>
      <w:r>
        <w:rPr>
          <w:rFonts w:hint="eastAsia" w:ascii="仿宋_GB2312" w:hAnsi="仿宋_GB2312" w:eastAsia="仿宋_GB2312" w:cs="仿宋_GB2312"/>
          <w:b w:val="0"/>
          <w:bCs/>
          <w:color w:val="auto"/>
          <w:kern w:val="0"/>
          <w:sz w:val="32"/>
          <w:szCs w:val="32"/>
          <w:u w:val="none"/>
          <w:lang w:val="en-US" w:eastAsia="zh-CN" w:bidi="ar"/>
        </w:rPr>
        <w:t>和市未成年人救助保护中心职责，协调有关部门制定家庭保护、学校保护、社会保护、政府保护、网络保护和司法保护的政策办法。推动镇街建立未成年人保护工作站，统筹、协调、督促和指导有关部门落实未成年人保护工作职责，构建发现报告、应急处置、评估帮扶、监护干预的未成年人保护联动响应机制。</w:t>
      </w:r>
      <w:r>
        <w:rPr>
          <w:rFonts w:hint="eastAsia" w:ascii="仿宋_GB2312" w:hAnsi="仿宋_GB2312" w:eastAsia="仿宋_GB2312" w:cs="仿宋_GB2312"/>
          <w:b/>
          <w:bCs w:val="0"/>
          <w:color w:val="auto"/>
          <w:kern w:val="0"/>
          <w:sz w:val="32"/>
          <w:szCs w:val="32"/>
          <w:u w:val="none"/>
          <w:lang w:val="en-US" w:eastAsia="zh-CN" w:bidi="ar"/>
        </w:rPr>
        <w:t>二是</w:t>
      </w:r>
      <w:r>
        <w:rPr>
          <w:rFonts w:hint="eastAsia" w:ascii="仿宋_GB2312" w:hAnsi="仿宋_GB2312" w:eastAsia="仿宋_GB2312" w:cs="仿宋_GB2312"/>
          <w:b w:val="0"/>
          <w:bCs/>
          <w:color w:val="auto"/>
          <w:kern w:val="0"/>
          <w:sz w:val="32"/>
          <w:szCs w:val="32"/>
          <w:u w:val="none"/>
          <w:lang w:val="en-US" w:eastAsia="zh-CN" w:bidi="ar"/>
        </w:rPr>
        <w:t>完善困境儿童保障政策。健全孤儿基本生活调整机制，确保保障标准与经济社会发展水平相匹配、与相关社会福利标准相衔接，推动事实无人抚养儿童与孤儿享受同等社会福利保障政策。协调相关部门加强对困境儿童教育、医疗、康复、安置等服务保障。继续实施“福彩圆梦孤儿助学工程”，优化“孤儿医疗康复明天计划”项目，逐步扩大资助范围。</w:t>
      </w:r>
      <w:r>
        <w:rPr>
          <w:rFonts w:hint="eastAsia" w:ascii="仿宋_GB2312" w:hAnsi="仿宋_GB2312" w:eastAsia="仿宋_GB2312" w:cs="仿宋_GB2312"/>
          <w:b/>
          <w:bCs w:val="0"/>
          <w:color w:val="auto"/>
          <w:kern w:val="0"/>
          <w:sz w:val="32"/>
          <w:szCs w:val="32"/>
          <w:u w:val="none"/>
          <w:lang w:val="en-US" w:eastAsia="zh-CN" w:bidi="ar"/>
        </w:rPr>
        <w:t>三是</w:t>
      </w:r>
      <w:r>
        <w:rPr>
          <w:rFonts w:hint="eastAsia" w:ascii="仿宋_GB2312" w:hAnsi="仿宋_GB2312" w:eastAsia="仿宋_GB2312" w:cs="仿宋_GB2312"/>
          <w:b w:val="0"/>
          <w:bCs/>
          <w:color w:val="auto"/>
          <w:kern w:val="0"/>
          <w:sz w:val="32"/>
          <w:szCs w:val="32"/>
          <w:u w:val="none"/>
          <w:lang w:val="en-US" w:eastAsia="zh-CN" w:bidi="ar"/>
        </w:rPr>
        <w:t>改革完善收养登记</w:t>
      </w:r>
      <w:r>
        <w:rPr>
          <w:rFonts w:hint="eastAsia" w:hAnsi="仿宋_GB2312" w:cs="仿宋_GB2312"/>
          <w:b w:val="0"/>
          <w:bCs/>
          <w:color w:val="auto"/>
          <w:kern w:val="0"/>
          <w:sz w:val="32"/>
          <w:szCs w:val="32"/>
          <w:u w:val="none"/>
          <w:lang w:val="en-US" w:eastAsia="zh-CN" w:bidi="ar"/>
        </w:rPr>
        <w:t>机制</w:t>
      </w:r>
      <w:r>
        <w:rPr>
          <w:rFonts w:hint="eastAsia" w:ascii="仿宋_GB2312" w:hAnsi="仿宋_GB2312" w:eastAsia="仿宋_GB2312" w:cs="仿宋_GB2312"/>
          <w:b w:val="0"/>
          <w:bCs/>
          <w:color w:val="auto"/>
          <w:kern w:val="0"/>
          <w:sz w:val="32"/>
          <w:szCs w:val="32"/>
          <w:u w:val="none"/>
          <w:lang w:val="en-US" w:eastAsia="zh-CN" w:bidi="ar"/>
        </w:rPr>
        <w:t>。优化和改进收养登记管理，调整相关工作程序，推进减证便民等服务，全面推进实施收养评估制度，逐步建立完善收养评估标准体系。开展收养普法宣传，提高</w:t>
      </w:r>
      <w:r>
        <w:rPr>
          <w:rFonts w:hint="eastAsia" w:ascii="仿宋_GB2312" w:hAnsi="仿宋_GB2312" w:eastAsia="仿宋_GB2312" w:cs="仿宋_GB2312"/>
          <w:color w:val="auto"/>
          <w:kern w:val="0"/>
          <w:sz w:val="32"/>
          <w:szCs w:val="32"/>
          <w:u w:val="none"/>
          <w:lang w:val="en-US" w:eastAsia="zh-CN" w:bidi="ar"/>
        </w:rPr>
        <w:t xml:space="preserve">民众收养法治意识。加强收养登记队伍培训和档案管理，推进收养登记工作信息化建设，促进收养登记规范化。 </w:t>
      </w:r>
    </w:p>
    <w:p w14:paraId="5B0853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32"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color w:val="auto"/>
          <w:kern w:val="0"/>
          <w:sz w:val="32"/>
          <w:szCs w:val="32"/>
          <w:u w:val="none"/>
          <w:lang w:val="en-US" w:eastAsia="zh-CN" w:bidi="ar"/>
        </w:rPr>
        <w:t>2.夯实儿童保障工作基础。</w:t>
      </w:r>
      <w:r>
        <w:rPr>
          <w:rFonts w:hint="eastAsia" w:ascii="仿宋_GB2312" w:hAnsi="仿宋_GB2312" w:eastAsia="仿宋_GB2312" w:cs="仿宋_GB2312"/>
          <w:b/>
          <w:bCs w:val="0"/>
          <w:color w:val="auto"/>
          <w:kern w:val="0"/>
          <w:sz w:val="32"/>
          <w:szCs w:val="32"/>
          <w:u w:val="none"/>
          <w:lang w:val="en-US" w:eastAsia="zh-CN" w:bidi="ar"/>
        </w:rPr>
        <w:t>一是</w:t>
      </w:r>
      <w:r>
        <w:rPr>
          <w:rFonts w:hint="eastAsia" w:ascii="仿宋_GB2312" w:hAnsi="仿宋_GB2312" w:eastAsia="仿宋_GB2312" w:cs="仿宋_GB2312"/>
          <w:b w:val="0"/>
          <w:bCs/>
          <w:color w:val="auto"/>
          <w:kern w:val="0"/>
          <w:sz w:val="32"/>
          <w:szCs w:val="32"/>
          <w:u w:val="none"/>
          <w:lang w:val="en-US" w:eastAsia="zh-CN" w:bidi="ar"/>
        </w:rPr>
        <w:t>推进儿童福利机构优化提质。完善儿童福利机构养育、医疗、特教、康复及开展家庭式养育等所需的设施设备。按照《儿童福利机构管理办法》推进儿童福利机构服务管理规范化，加强内部制度建设，规范服务流程，提升信息化管理水平，研究制定一批服务保障标准，促进服务保障水平整体提升。加大机构内社工、医疗、护理、特教等专业技术岗位开发力度，提高服务保障专业化水</w:t>
      </w:r>
      <w:r>
        <w:rPr>
          <w:rFonts w:hint="eastAsia" w:hAnsi="仿宋_GB2312" w:cs="仿宋_GB2312"/>
          <w:b w:val="0"/>
          <w:bCs/>
          <w:color w:val="auto"/>
          <w:kern w:val="0"/>
          <w:sz w:val="32"/>
          <w:szCs w:val="32"/>
          <w:u w:val="none"/>
          <w:lang w:val="en-US" w:eastAsia="zh-CN" w:bidi="ar"/>
        </w:rPr>
        <w:t>平</w:t>
      </w:r>
      <w:r>
        <w:rPr>
          <w:rFonts w:hint="eastAsia" w:ascii="仿宋_GB2312" w:hAnsi="仿宋_GB2312" w:eastAsia="仿宋_GB2312" w:cs="仿宋_GB2312"/>
          <w:b w:val="0"/>
          <w:bCs/>
          <w:color w:val="auto"/>
          <w:kern w:val="0"/>
          <w:sz w:val="32"/>
          <w:szCs w:val="32"/>
          <w:u w:val="none"/>
          <w:lang w:val="en-US" w:eastAsia="zh-CN" w:bidi="ar"/>
        </w:rPr>
        <w:t>。</w:t>
      </w:r>
      <w:r>
        <w:rPr>
          <w:rFonts w:hint="eastAsia" w:ascii="仿宋_GB2312" w:hAnsi="仿宋_GB2312" w:eastAsia="仿宋_GB2312" w:cs="仿宋_GB2312"/>
          <w:b/>
          <w:bCs w:val="0"/>
          <w:color w:val="auto"/>
          <w:kern w:val="0"/>
          <w:sz w:val="32"/>
          <w:szCs w:val="32"/>
          <w:u w:val="none"/>
          <w:lang w:val="en-US" w:eastAsia="zh-CN" w:bidi="ar"/>
        </w:rPr>
        <w:t>二是</w:t>
      </w:r>
      <w:r>
        <w:rPr>
          <w:rFonts w:hint="eastAsia" w:ascii="仿宋_GB2312" w:hAnsi="仿宋_GB2312" w:eastAsia="仿宋_GB2312" w:cs="仿宋_GB2312"/>
          <w:b w:val="0"/>
          <w:bCs/>
          <w:color w:val="auto"/>
          <w:kern w:val="0"/>
          <w:sz w:val="32"/>
          <w:szCs w:val="32"/>
          <w:u w:val="none"/>
          <w:lang w:val="en-US" w:eastAsia="zh-CN" w:bidi="ar"/>
        </w:rPr>
        <w:t>加强儿童服务保障人才队伍建设。开展孤残儿童护理员入职培训和定期培训，建立健全孤残儿童护理员职业技能等级认定制度，推动儿童护理员职业技能等级与薪酬待遇挂钩。配齐配强镇（街）儿童督导员、村（居）儿童主任，明晰相关职责，落实强制报告制度，加强业务指导和培训，提高儿童福利保障服务工作水平。</w:t>
      </w:r>
      <w:r>
        <w:rPr>
          <w:rFonts w:hint="eastAsia" w:ascii="仿宋_GB2312" w:hAnsi="仿宋_GB2312" w:eastAsia="仿宋_GB2312" w:cs="仿宋_GB2312"/>
          <w:b/>
          <w:bCs w:val="0"/>
          <w:color w:val="auto"/>
          <w:kern w:val="0"/>
          <w:sz w:val="32"/>
          <w:szCs w:val="32"/>
          <w:u w:val="none"/>
          <w:lang w:val="en-US" w:eastAsia="zh-CN" w:bidi="ar"/>
        </w:rPr>
        <w:t>三是</w:t>
      </w:r>
      <w:r>
        <w:rPr>
          <w:rFonts w:hint="eastAsia" w:ascii="仿宋_GB2312" w:hAnsi="仿宋_GB2312" w:eastAsia="仿宋_GB2312" w:cs="仿宋_GB2312"/>
          <w:b w:val="0"/>
          <w:bCs/>
          <w:color w:val="auto"/>
          <w:kern w:val="0"/>
          <w:sz w:val="32"/>
          <w:szCs w:val="32"/>
          <w:u w:val="none"/>
          <w:lang w:val="en-US" w:eastAsia="zh-CN" w:bidi="ar"/>
        </w:rPr>
        <w:t>营造社会关爱良好氛围。加强《中华人民共和国未成年人保护法》普法宣传，开展未成年人关爱保护“政策宣讲进村（居）”活动，积极营造全社会共同关爱的良好氛围。开展农村留守妇女关爱行动，加强精神关爱和家庭教育支</w:t>
      </w:r>
      <w:r>
        <w:rPr>
          <w:rFonts w:hint="eastAsia" w:ascii="仿宋_GB2312" w:hAnsi="仿宋_GB2312" w:eastAsia="仿宋_GB2312" w:cs="仿宋_GB2312"/>
          <w:color w:val="auto"/>
          <w:kern w:val="0"/>
          <w:sz w:val="32"/>
          <w:szCs w:val="32"/>
          <w:u w:val="none"/>
          <w:lang w:val="en-US" w:eastAsia="zh-CN" w:bidi="ar"/>
        </w:rPr>
        <w:t xml:space="preserve">持，提升农村留守妇女履行家庭监护主体责任的能力。开展走近留守和困境儿童“牵手行动”，培育引导儿童服务类志愿组织，积极引导社会力量参与广泛开展关爱服务活动。 </w:t>
      </w:r>
    </w:p>
    <w:p w14:paraId="1EE24A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32" w:firstLineChars="200"/>
        <w:jc w:val="left"/>
        <w:textAlignment w:val="auto"/>
        <w:rPr>
          <w:color w:val="auto"/>
          <w:sz w:val="32"/>
          <w:szCs w:val="32"/>
          <w:u w:val="none"/>
        </w:rPr>
      </w:pPr>
      <w:r>
        <w:rPr>
          <w:rFonts w:hint="eastAsia" w:ascii="仿宋_GB2312" w:hAnsi="仿宋_GB2312" w:eastAsia="仿宋_GB2312" w:cs="仿宋_GB2312"/>
          <w:b/>
          <w:color w:val="auto"/>
          <w:kern w:val="0"/>
          <w:sz w:val="32"/>
          <w:szCs w:val="32"/>
          <w:u w:val="none"/>
          <w:lang w:val="en-US" w:eastAsia="zh-CN" w:bidi="ar"/>
        </w:rPr>
        <w:t>3.强化儿童监护能力建设。</w:t>
      </w:r>
      <w:r>
        <w:rPr>
          <w:rFonts w:hint="eastAsia" w:ascii="仿宋_GB2312" w:hAnsi="仿宋_GB2312" w:eastAsia="仿宋_GB2312" w:cs="仿宋_GB2312"/>
          <w:b/>
          <w:bCs w:val="0"/>
          <w:color w:val="auto"/>
          <w:kern w:val="0"/>
          <w:sz w:val="32"/>
          <w:szCs w:val="32"/>
          <w:u w:val="none"/>
          <w:lang w:val="en-US" w:eastAsia="zh-CN" w:bidi="ar"/>
        </w:rPr>
        <w:t>一是</w:t>
      </w:r>
      <w:r>
        <w:rPr>
          <w:rFonts w:hint="eastAsia" w:ascii="仿宋_GB2312" w:hAnsi="仿宋_GB2312" w:eastAsia="仿宋_GB2312" w:cs="仿宋_GB2312"/>
          <w:b w:val="0"/>
          <w:bCs/>
          <w:color w:val="auto"/>
          <w:kern w:val="0"/>
          <w:sz w:val="32"/>
          <w:szCs w:val="32"/>
          <w:u w:val="none"/>
          <w:lang w:val="en-US" w:eastAsia="zh-CN" w:bidi="ar"/>
        </w:rPr>
        <w:t>完善未成年人监护体系。建立完善监护评估、监督机制，加强危机干预，联动妇联、教育等部门加强对困境儿童及其家庭的教育指导和培训帮扶。推进开展对弃养或失信父母实施失信联合惩戒，进一步完善因突发事件影响造成监护缺失儿童救助保护措施。加强对父母或其他监护人的法治宣传、监护监督和照料指导，提高家庭监护能力，依法履行监护职责和抚养义务。</w:t>
      </w:r>
      <w:r>
        <w:rPr>
          <w:rFonts w:hint="eastAsia" w:ascii="仿宋_GB2312" w:hAnsi="仿宋_GB2312" w:eastAsia="仿宋_GB2312" w:cs="仿宋_GB2312"/>
          <w:b/>
          <w:bCs w:val="0"/>
          <w:color w:val="auto"/>
          <w:kern w:val="0"/>
          <w:sz w:val="32"/>
          <w:szCs w:val="32"/>
          <w:u w:val="none"/>
          <w:lang w:val="en-US" w:eastAsia="zh-CN" w:bidi="ar"/>
        </w:rPr>
        <w:t>二是</w:t>
      </w:r>
      <w:r>
        <w:rPr>
          <w:rFonts w:hint="eastAsia" w:ascii="仿宋_GB2312" w:hAnsi="仿宋_GB2312" w:eastAsia="仿宋_GB2312" w:cs="仿宋_GB2312"/>
          <w:b w:val="0"/>
          <w:bCs/>
          <w:color w:val="auto"/>
          <w:kern w:val="0"/>
          <w:sz w:val="32"/>
          <w:szCs w:val="32"/>
          <w:u w:val="none"/>
          <w:lang w:val="en-US" w:eastAsia="zh-CN" w:bidi="ar"/>
        </w:rPr>
        <w:t>依法履行兜底监护职责。落实《中华人民共和国民法典》要求，研究制定民政部门同意监护、指定监护、临时监护、长期监护、申请撤销监护人资格等事项的办法和程序。完善机构临时监护、长期监护的接收程序和管理细则，依法承担临时监护和长期监护的职责。发挥未成年人救助保护机构的枢纽作用，在政策宣传、业务培训、监护监督、心理关爱和法律援助等方面增强力度，提升未成年人救助保护水平。</w:t>
      </w:r>
      <w:r>
        <w:rPr>
          <w:rFonts w:hint="eastAsia" w:ascii="仿宋_GB2312" w:hAnsi="仿宋_GB2312" w:eastAsia="仿宋_GB2312" w:cs="仿宋_GB2312"/>
          <w:b/>
          <w:bCs w:val="0"/>
          <w:color w:val="auto"/>
          <w:kern w:val="0"/>
          <w:sz w:val="32"/>
          <w:szCs w:val="32"/>
          <w:u w:val="none"/>
          <w:lang w:val="en-US" w:eastAsia="zh-CN" w:bidi="ar"/>
        </w:rPr>
        <w:t>三是</w:t>
      </w:r>
      <w:r>
        <w:rPr>
          <w:rFonts w:hint="eastAsia" w:ascii="仿宋_GB2312" w:hAnsi="仿宋_GB2312" w:eastAsia="仿宋_GB2312" w:cs="仿宋_GB2312"/>
          <w:b w:val="0"/>
          <w:bCs/>
          <w:color w:val="auto"/>
          <w:kern w:val="2"/>
          <w:sz w:val="32"/>
          <w:szCs w:val="32"/>
          <w:u w:val="none"/>
          <w:lang w:val="en-US" w:eastAsia="zh-CN" w:bidi="ar"/>
        </w:rPr>
        <w:t>加强儿童福利信息化建设。</w:t>
      </w:r>
      <w:r>
        <w:rPr>
          <w:rFonts w:hint="eastAsia" w:ascii="仿宋_GB2312" w:hAnsi="仿宋_GB2312" w:eastAsia="仿宋_GB2312" w:cs="仿宋_GB2312"/>
          <w:color w:val="auto"/>
          <w:kern w:val="2"/>
          <w:sz w:val="32"/>
          <w:szCs w:val="32"/>
          <w:u w:val="none"/>
          <w:lang w:val="en-US" w:eastAsia="zh-CN" w:bidi="ar"/>
        </w:rPr>
        <w:t xml:space="preserve">加强信息数据整合，实现儿童福利信息动态更新、数据共享、实时掌控，努力构建困境儿童主动发现机制，实现儿童保障从人找政策向政策找人转变。探索依托“粤省事”平台实现孤儿基本生活保障、事实无人抚养儿童基本生活保障线上办理。 </w:t>
      </w:r>
    </w:p>
    <w:tbl>
      <w:tblPr>
        <w:tblStyle w:val="1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5290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0" w:type="dxa"/>
            <w:vAlign w:val="center"/>
          </w:tcPr>
          <w:p w14:paraId="048F24B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jc w:val="center"/>
              <w:textAlignment w:val="auto"/>
              <w:rPr>
                <w:rFonts w:hint="default" w:ascii="Times New Roman" w:eastAsia="楷体_GB2312"/>
                <w:color w:val="auto"/>
                <w:u w:val="none"/>
              </w:rPr>
            </w:pPr>
            <w:r>
              <w:rPr>
                <w:rFonts w:hint="default" w:ascii="Times New Roman" w:eastAsia="楷体_GB2312"/>
                <w:b/>
                <w:color w:val="auto"/>
                <w:u w:val="none"/>
              </w:rPr>
              <w:t>专栏</w:t>
            </w:r>
            <w:r>
              <w:rPr>
                <w:rFonts w:hint="eastAsia" w:ascii="Times New Roman" w:eastAsia="楷体_GB2312"/>
                <w:b/>
                <w:color w:val="auto"/>
                <w:u w:val="none"/>
                <w:lang w:val="en-US" w:eastAsia="zh-CN"/>
              </w:rPr>
              <w:t>3</w:t>
            </w:r>
            <w:r>
              <w:rPr>
                <w:rFonts w:hint="default" w:ascii="Times New Roman" w:eastAsia="楷体_GB2312"/>
                <w:b/>
                <w:color w:val="auto"/>
                <w:u w:val="none"/>
              </w:rPr>
              <w:t xml:space="preserve">  儿童福利保障体系建设工程</w:t>
            </w:r>
          </w:p>
        </w:tc>
      </w:tr>
      <w:tr w14:paraId="5A40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9060" w:type="dxa"/>
            <w:vAlign w:val="center"/>
          </w:tcPr>
          <w:p w14:paraId="21322A4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552" w:firstLineChars="200"/>
              <w:textAlignment w:val="auto"/>
              <w:rPr>
                <w:rFonts w:hint="default" w:ascii="Times New Roman"/>
                <w:color w:val="auto"/>
                <w:sz w:val="28"/>
                <w:szCs w:val="28"/>
                <w:u w:val="none"/>
              </w:rPr>
            </w:pPr>
            <w:r>
              <w:rPr>
                <w:rFonts w:hint="default" w:ascii="Times New Roman"/>
                <w:b/>
                <w:bCs/>
                <w:color w:val="auto"/>
                <w:sz w:val="28"/>
                <w:szCs w:val="28"/>
                <w:u w:val="none"/>
              </w:rPr>
              <w:t>1.未成年人保护建设工程。</w:t>
            </w:r>
            <w:r>
              <w:rPr>
                <w:rFonts w:hint="default" w:ascii="Times New Roman"/>
                <w:color w:val="auto"/>
                <w:sz w:val="28"/>
                <w:szCs w:val="28"/>
                <w:u w:val="none"/>
              </w:rPr>
              <w:t>推进镇（街道）设立未成年人保护工作站，覆盖率达到 100%；指导村（居）民委员会设立专职专岗做好未成年人保护工作，实现儿童主任专人专岗，参训率达到100%。推进儿童福利机构优化转型，力争到 2025 年底，儿童福利机构优化提质和转型发展全面完成，未成年人保护体系基本建成。</w:t>
            </w:r>
          </w:p>
          <w:p w14:paraId="214BED5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552" w:firstLineChars="200"/>
              <w:textAlignment w:val="auto"/>
              <w:rPr>
                <w:rFonts w:hint="default" w:ascii="Times New Roman"/>
                <w:color w:val="auto"/>
                <w:u w:val="none"/>
              </w:rPr>
            </w:pPr>
            <w:r>
              <w:rPr>
                <w:rFonts w:hint="default" w:ascii="Times New Roman"/>
                <w:b/>
                <w:bCs/>
                <w:color w:val="auto"/>
                <w:sz w:val="28"/>
                <w:szCs w:val="28"/>
                <w:u w:val="none"/>
              </w:rPr>
              <w:t>2.儿童福利机构标准化建设示范工程。</w:t>
            </w:r>
            <w:r>
              <w:rPr>
                <w:rFonts w:hint="default" w:ascii="Times New Roman"/>
                <w:color w:val="auto"/>
                <w:sz w:val="28"/>
                <w:szCs w:val="28"/>
                <w:u w:val="none"/>
              </w:rPr>
              <w:t>在市儿童福利院实施标准化建设，从儿童福利机构的设施设备、工作队伍、服务质量、内部管理等方面，探索建立儿童福利机构的标准体系，促进管理服务水平提升。</w:t>
            </w:r>
          </w:p>
        </w:tc>
      </w:tr>
    </w:tbl>
    <w:p w14:paraId="5849C5A9">
      <w:pPr>
        <w:pStyle w:val="6"/>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32" w:firstLineChars="200"/>
        <w:textAlignment w:val="auto"/>
        <w:rPr>
          <w:rFonts w:hint="eastAsia" w:ascii="楷体_GB2312" w:hAnsi="楷体_GB2312" w:eastAsia="楷体_GB2312" w:cs="楷体_GB2312"/>
          <w:b/>
          <w:bCs/>
          <w:color w:val="auto"/>
          <w:u w:val="none"/>
          <w:lang w:val="en-US"/>
        </w:rPr>
      </w:pPr>
      <w:r>
        <w:rPr>
          <w:rStyle w:val="22"/>
          <w:rFonts w:hint="eastAsia" w:ascii="楷体_GB2312" w:hAnsi="楷体_GB2312" w:eastAsia="楷体_GB2312" w:cs="楷体_GB2312"/>
          <w:b/>
          <w:bCs/>
          <w:color w:val="auto"/>
          <w:u w:val="none"/>
          <w:lang w:eastAsia="zh-CN"/>
        </w:rPr>
        <w:t>（四）</w:t>
      </w:r>
      <w:r>
        <w:rPr>
          <w:rStyle w:val="22"/>
          <w:rFonts w:hint="eastAsia" w:ascii="楷体_GB2312" w:hAnsi="楷体_GB2312" w:eastAsia="楷体_GB2312" w:cs="楷体_GB2312"/>
          <w:b/>
          <w:bCs/>
          <w:color w:val="auto"/>
          <w:u w:val="none"/>
          <w:lang w:val="en-US" w:eastAsia="zh-CN"/>
        </w:rPr>
        <w:t>构建大慈善体系，推动慈善事业健康规范发展</w:t>
      </w:r>
    </w:p>
    <w:p w14:paraId="29059ABF">
      <w:pPr>
        <w:pStyle w:val="6"/>
        <w:keepNext w:val="0"/>
        <w:keepLines w:val="0"/>
        <w:pageBreakBefore w:val="0"/>
        <w:widowControl w:val="0"/>
        <w:kinsoku/>
        <w:wordWrap/>
        <w:overflowPunct/>
        <w:topLinePunct w:val="0"/>
        <w:autoSpaceDE/>
        <w:autoSpaceDN/>
        <w:bidi w:val="0"/>
        <w:adjustRightInd/>
        <w:snapToGrid w:val="0"/>
        <w:spacing w:line="600" w:lineRule="exact"/>
        <w:ind w:firstLine="634"/>
        <w:textAlignment w:val="auto"/>
        <w:rPr>
          <w:rStyle w:val="22"/>
          <w:rFonts w:hint="eastAsia" w:ascii="Times New Roman" w:hAnsi="Times New Roman" w:cs="Times New Roman"/>
          <w:b w:val="0"/>
          <w:bCs w:val="0"/>
          <w:color w:val="auto"/>
          <w:u w:val="none"/>
          <w:lang w:val="en-US" w:eastAsia="zh-CN"/>
        </w:rPr>
      </w:pPr>
      <w:r>
        <w:rPr>
          <w:rStyle w:val="22"/>
          <w:rFonts w:hint="eastAsia" w:ascii="Times New Roman" w:hAnsi="Times New Roman" w:cs="Times New Roman"/>
          <w:b w:val="0"/>
          <w:bCs w:val="0"/>
          <w:color w:val="auto"/>
          <w:u w:val="none"/>
          <w:lang w:val="en-US" w:eastAsia="zh-CN"/>
        </w:rPr>
        <w:t>立足新时代慈善事业发展新形势新要求，着力健全慈善事业发展体制机制，创新慈善参与渠道，提升慈善事业管理水平，</w:t>
      </w:r>
      <w:r>
        <w:rPr>
          <w:rStyle w:val="25"/>
          <w:rFonts w:hint="eastAsia" w:ascii="Times New Roman" w:hAnsi="Times New Roman"/>
          <w:color w:val="auto"/>
          <w:u w:val="none"/>
        </w:rPr>
        <w:t>重视</w:t>
      </w:r>
      <w:r>
        <w:rPr>
          <w:rFonts w:ascii="Times New Roman" w:hAnsi="Times New Roman"/>
          <w:color w:val="auto"/>
          <w:u w:val="none"/>
        </w:rPr>
        <w:t>慈善事业在第三次分配中促进共同富裕</w:t>
      </w:r>
      <w:r>
        <w:rPr>
          <w:rStyle w:val="25"/>
          <w:rFonts w:hint="eastAsia" w:ascii="Times New Roman" w:hAnsi="Times New Roman"/>
          <w:color w:val="auto"/>
          <w:u w:val="none"/>
        </w:rPr>
        <w:t>的积极作用，</w:t>
      </w:r>
      <w:r>
        <w:rPr>
          <w:rFonts w:hint="eastAsia" w:ascii="Times New Roman" w:hAnsi="Times New Roman"/>
          <w:color w:val="auto"/>
          <w:u w:val="none"/>
        </w:rPr>
        <w:t>推进</w:t>
      </w:r>
      <w:r>
        <w:rPr>
          <w:rStyle w:val="25"/>
          <w:rFonts w:hint="eastAsia" w:ascii="Times New Roman" w:hAnsi="Times New Roman"/>
          <w:color w:val="auto"/>
          <w:u w:val="none"/>
        </w:rPr>
        <w:t>慈善事业健康规范发展，</w:t>
      </w:r>
      <w:r>
        <w:rPr>
          <w:rFonts w:hint="eastAsia" w:ascii="Times New Roman" w:hAnsi="Times New Roman"/>
          <w:color w:val="auto"/>
          <w:u w:val="none"/>
        </w:rPr>
        <w:t>着力打造全社会崇善行善、网络慈善便捷透明、慈善组织专业高效、慈善行业自律规范、慈善事业蓬勃发展的先行示范区</w:t>
      </w:r>
      <w:r>
        <w:rPr>
          <w:rStyle w:val="22"/>
          <w:rFonts w:hint="eastAsia" w:ascii="Times New Roman" w:hAnsi="Times New Roman" w:cs="Times New Roman"/>
          <w:b w:val="0"/>
          <w:bCs w:val="0"/>
          <w:color w:val="auto"/>
          <w:u w:val="none"/>
          <w:lang w:val="en-US" w:eastAsia="zh-CN"/>
        </w:rPr>
        <w:t>。</w:t>
      </w:r>
    </w:p>
    <w:p w14:paraId="702F3323">
      <w:pPr>
        <w:pStyle w:val="6"/>
        <w:keepNext w:val="0"/>
        <w:keepLines w:val="0"/>
        <w:pageBreakBefore w:val="0"/>
        <w:widowControl w:val="0"/>
        <w:kinsoku/>
        <w:wordWrap/>
        <w:overflowPunct/>
        <w:topLinePunct w:val="0"/>
        <w:autoSpaceDE/>
        <w:autoSpaceDN/>
        <w:bidi w:val="0"/>
        <w:adjustRightInd/>
        <w:snapToGrid w:val="0"/>
        <w:spacing w:line="600" w:lineRule="exact"/>
        <w:ind w:firstLine="634"/>
        <w:textAlignment w:val="auto"/>
        <w:rPr>
          <w:rFonts w:ascii="Times New Roman"/>
          <w:color w:val="auto"/>
          <w:u w:val="none"/>
        </w:rPr>
      </w:pPr>
      <w:r>
        <w:rPr>
          <w:rStyle w:val="22"/>
          <w:rFonts w:hint="eastAsia" w:ascii="Times New Roman" w:hAnsi="Times New Roman" w:cs="Times New Roman"/>
          <w:b/>
          <w:bCs/>
          <w:color w:val="auto"/>
          <w:u w:val="none"/>
          <w:lang w:val="en-US" w:eastAsia="zh-CN"/>
        </w:rPr>
        <w:t>1.健全慈善事业发展体制机制。</w:t>
      </w:r>
      <w:r>
        <w:rPr>
          <w:rFonts w:ascii="Times New Roman"/>
          <w:color w:val="auto"/>
          <w:u w:val="none"/>
        </w:rPr>
        <w:t>深入贯彻落实慈善法，形成依法开展、制度完善、管理规范、作用显著、健康有序的慈善事业发展格局。建立健全慈善工作组织协调机制，加强政府对各类慈善事业主体的培育、指导和监管。推动形成慈善行业规范和标准，加强慈善组织能力建设，发挥慈善组织在筹集慈善资源的主体作用。促进社会慈善与社会救助、社会福利、社会服务在政策、信息、资源等方面的对接，充分发挥其对政府救助、扶贫济困的补充作用。</w:t>
      </w:r>
    </w:p>
    <w:p w14:paraId="53927C1F">
      <w:pPr>
        <w:pStyle w:val="6"/>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ascii="Times New Roman"/>
          <w:color w:val="auto"/>
          <w:u w:val="none"/>
        </w:rPr>
      </w:pPr>
      <w:r>
        <w:rPr>
          <w:rStyle w:val="22"/>
          <w:rFonts w:hint="eastAsia" w:ascii="Times New Roman" w:hAnsi="Times New Roman" w:cs="Times New Roman"/>
          <w:b/>
          <w:bCs/>
          <w:color w:val="auto"/>
          <w:u w:val="none"/>
          <w:lang w:val="en-US" w:eastAsia="zh-CN"/>
        </w:rPr>
        <w:t>2.创新慈善参与渠道。</w:t>
      </w:r>
      <w:r>
        <w:rPr>
          <w:rFonts w:ascii="Times New Roman"/>
          <w:color w:val="auto"/>
          <w:u w:val="none"/>
        </w:rPr>
        <w:t>创新慈善募捐形式和载体，</w:t>
      </w:r>
      <w:r>
        <w:rPr>
          <w:rFonts w:eastAsia="仿宋_GB2312"/>
          <w:color w:val="auto"/>
          <w:spacing w:val="0"/>
          <w:kern w:val="0"/>
          <w:szCs w:val="32"/>
          <w:u w:val="none"/>
        </w:rPr>
        <w:t>鼓励和支持自然人、法人及其他组织以</w:t>
      </w:r>
      <w:r>
        <w:rPr>
          <w:rFonts w:hint="eastAsia" w:eastAsia="仿宋_GB2312"/>
          <w:color w:val="auto"/>
          <w:spacing w:val="0"/>
          <w:kern w:val="0"/>
          <w:szCs w:val="32"/>
          <w:u w:val="none"/>
        </w:rPr>
        <w:t>设立</w:t>
      </w:r>
      <w:r>
        <w:rPr>
          <w:rFonts w:eastAsia="仿宋_GB2312"/>
          <w:color w:val="auto"/>
          <w:spacing w:val="0"/>
          <w:kern w:val="0"/>
          <w:szCs w:val="32"/>
          <w:u w:val="none"/>
        </w:rPr>
        <w:t>冠名基金、专项基金</w:t>
      </w:r>
      <w:r>
        <w:rPr>
          <w:rFonts w:hint="eastAsia" w:eastAsia="仿宋_GB2312"/>
          <w:color w:val="auto"/>
          <w:spacing w:val="0"/>
          <w:kern w:val="0"/>
          <w:szCs w:val="32"/>
          <w:u w:val="none"/>
        </w:rPr>
        <w:t>、</w:t>
      </w:r>
      <w:r>
        <w:rPr>
          <w:rFonts w:eastAsia="仿宋_GB2312"/>
          <w:color w:val="auto"/>
          <w:spacing w:val="0"/>
          <w:kern w:val="0"/>
          <w:szCs w:val="32"/>
          <w:u w:val="none"/>
        </w:rPr>
        <w:t>慈善信托等方式，</w:t>
      </w:r>
      <w:r>
        <w:rPr>
          <w:rFonts w:hint="eastAsia" w:eastAsia="仿宋_GB2312"/>
          <w:color w:val="auto"/>
          <w:spacing w:val="0"/>
          <w:kern w:val="0"/>
          <w:szCs w:val="32"/>
          <w:u w:val="none"/>
        </w:rPr>
        <w:t>积极</w:t>
      </w:r>
      <w:r>
        <w:rPr>
          <w:rFonts w:eastAsia="仿宋_GB2312"/>
          <w:color w:val="auto"/>
          <w:spacing w:val="0"/>
          <w:kern w:val="0"/>
          <w:szCs w:val="32"/>
          <w:u w:val="none"/>
        </w:rPr>
        <w:t>开展慈善活动</w:t>
      </w:r>
      <w:r>
        <w:rPr>
          <w:rFonts w:ascii="Times New Roman"/>
          <w:color w:val="auto"/>
          <w:u w:val="none"/>
        </w:rPr>
        <w:t>。</w:t>
      </w:r>
      <w:r>
        <w:rPr>
          <w:rFonts w:hint="eastAsia" w:ascii="Times New Roman"/>
          <w:color w:val="auto"/>
          <w:u w:val="none"/>
        </w:rPr>
        <w:t>大力发展社区</w:t>
      </w:r>
      <w:r>
        <w:rPr>
          <w:rFonts w:ascii="Times New Roman"/>
          <w:color w:val="auto"/>
          <w:u w:val="none"/>
        </w:rPr>
        <w:t>慈善</w:t>
      </w:r>
      <w:r>
        <w:rPr>
          <w:rFonts w:hint="eastAsia" w:ascii="Times New Roman"/>
          <w:color w:val="auto"/>
          <w:u w:val="none"/>
        </w:rPr>
        <w:t>，持续开展慈善示范社区创建活动，积极推动社区、社会工作者、社区志愿者、社区社会组织、社区公益慈善资源的“五社联动”慈善模式。</w:t>
      </w:r>
      <w:r>
        <w:rPr>
          <w:rFonts w:hint="eastAsia" w:eastAsia="仿宋_GB2312"/>
          <w:color w:val="auto"/>
          <w:spacing w:val="0"/>
          <w:kern w:val="0"/>
          <w:szCs w:val="32"/>
          <w:u w:val="none"/>
        </w:rPr>
        <w:t>探索建立慈善广场、慈善街道，形成各具特色、内涵丰富、人人可参与的便利慈善平台。</w:t>
      </w:r>
      <w:r>
        <w:rPr>
          <w:rFonts w:eastAsia="仿宋_GB2312"/>
          <w:color w:val="auto"/>
          <w:spacing w:val="0"/>
          <w:kern w:val="0"/>
          <w:szCs w:val="32"/>
          <w:u w:val="none"/>
        </w:rPr>
        <w:t>建立政府救助与慈善救助衔接机制，持续打造“大病帮扶”“教育帮扶”“危房改造</w:t>
      </w:r>
      <w:r>
        <w:rPr>
          <w:rFonts w:hint="eastAsia" w:eastAsia="仿宋_GB2312"/>
          <w:color w:val="auto"/>
          <w:spacing w:val="0"/>
          <w:kern w:val="0"/>
          <w:szCs w:val="32"/>
          <w:u w:val="none"/>
          <w:lang w:val="en-US" w:eastAsia="zh-CN"/>
        </w:rPr>
        <w:t>帮扶</w:t>
      </w:r>
      <w:r>
        <w:rPr>
          <w:rFonts w:eastAsia="仿宋_GB2312"/>
          <w:color w:val="auto"/>
          <w:spacing w:val="0"/>
          <w:kern w:val="0"/>
          <w:szCs w:val="32"/>
          <w:u w:val="none"/>
        </w:rPr>
        <w:t>”三大帮扶中心，破解困难群众看病</w:t>
      </w:r>
      <w:r>
        <w:rPr>
          <w:rFonts w:hint="eastAsia" w:eastAsia="仿宋_GB2312"/>
          <w:color w:val="auto"/>
          <w:spacing w:val="0"/>
          <w:kern w:val="0"/>
          <w:szCs w:val="32"/>
          <w:u w:val="none"/>
        </w:rPr>
        <w:t>、</w:t>
      </w:r>
      <w:r>
        <w:rPr>
          <w:rFonts w:eastAsia="仿宋_GB2312"/>
          <w:color w:val="auto"/>
          <w:spacing w:val="0"/>
          <w:kern w:val="0"/>
          <w:szCs w:val="32"/>
          <w:u w:val="none"/>
        </w:rPr>
        <w:t>读书和住房难题</w:t>
      </w:r>
      <w:r>
        <w:rPr>
          <w:rFonts w:hint="eastAsia" w:eastAsia="仿宋_GB2312"/>
          <w:color w:val="auto"/>
          <w:spacing w:val="0"/>
          <w:kern w:val="0"/>
          <w:szCs w:val="32"/>
          <w:u w:val="none"/>
        </w:rPr>
        <w:t>。完善</w:t>
      </w:r>
      <w:r>
        <w:rPr>
          <w:rFonts w:eastAsia="仿宋_GB2312"/>
          <w:color w:val="auto"/>
          <w:spacing w:val="0"/>
          <w:kern w:val="0"/>
          <w:szCs w:val="32"/>
          <w:u w:val="none"/>
        </w:rPr>
        <w:t>“红心筹”“红心愿”“红公益”三大慈善平台</w:t>
      </w:r>
      <w:r>
        <w:rPr>
          <w:rFonts w:hint="eastAsia" w:eastAsia="仿宋_GB2312"/>
          <w:color w:val="auto"/>
          <w:spacing w:val="0"/>
          <w:kern w:val="0"/>
          <w:szCs w:val="32"/>
          <w:u w:val="none"/>
        </w:rPr>
        <w:t>，</w:t>
      </w:r>
      <w:r>
        <w:rPr>
          <w:rFonts w:hint="eastAsia" w:eastAsia="仿宋_GB2312"/>
          <w:color w:val="auto"/>
          <w:spacing w:val="0"/>
          <w:kern w:val="0"/>
          <w:szCs w:val="32"/>
          <w:u w:val="none"/>
          <w:lang w:val="en-US" w:eastAsia="zh-CN"/>
        </w:rPr>
        <w:t>打造中山网络大病众筹、社会物资捐助、公益项目创投等慈善品牌</w:t>
      </w:r>
      <w:r>
        <w:rPr>
          <w:rFonts w:ascii="Times New Roman"/>
          <w:color w:val="auto"/>
          <w:u w:val="none"/>
        </w:rPr>
        <w:t>。</w:t>
      </w:r>
    </w:p>
    <w:p w14:paraId="294FED2D">
      <w:pPr>
        <w:pStyle w:val="6"/>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hint="eastAsia" w:ascii="Times New Roman"/>
          <w:color w:val="auto"/>
          <w:u w:val="none"/>
          <w:lang w:eastAsia="zh-CN"/>
        </w:rPr>
      </w:pPr>
      <w:r>
        <w:rPr>
          <w:rStyle w:val="22"/>
          <w:rFonts w:hint="eastAsia" w:ascii="Times New Roman" w:hAnsi="Times New Roman" w:cs="Times New Roman"/>
          <w:b/>
          <w:bCs/>
          <w:color w:val="auto"/>
          <w:u w:val="none"/>
          <w:lang w:val="en-US" w:eastAsia="zh-CN"/>
        </w:rPr>
        <w:t>3.提升慈善事业管理水平。</w:t>
      </w:r>
      <w:r>
        <w:rPr>
          <w:rFonts w:hint="eastAsia" w:ascii="Times New Roman"/>
          <w:b/>
          <w:bCs/>
          <w:color w:val="auto"/>
          <w:u w:val="none"/>
          <w:lang w:val="en-US" w:eastAsia="zh-CN"/>
        </w:rPr>
        <w:t>一是</w:t>
      </w:r>
      <w:r>
        <w:rPr>
          <w:rFonts w:hint="eastAsia" w:ascii="Times New Roman"/>
          <w:color w:val="auto"/>
          <w:u w:val="none"/>
          <w:lang w:val="en-US" w:eastAsia="zh-CN"/>
        </w:rPr>
        <w:t>加强慈善活动监管。严格执行慈善组织登记认定、年度报告和信息公开制度，规范慈善组织公开募捐等活动。加强慈善活动监督，规范慈善主体行为。</w:t>
      </w:r>
      <w:r>
        <w:rPr>
          <w:rFonts w:ascii="Times New Roman"/>
          <w:color w:val="auto"/>
          <w:u w:val="none"/>
        </w:rPr>
        <w:t>通过建立第三方评估机制、完善信息公开制度等，建立健全政府监管、社会监督和行业自律相结合的慈善综合监管体系。</w:t>
      </w:r>
      <w:r>
        <w:rPr>
          <w:rFonts w:hint="eastAsia" w:ascii="Times New Roman"/>
          <w:b/>
          <w:bCs/>
          <w:color w:val="auto"/>
          <w:u w:val="none"/>
          <w:lang w:val="en-US" w:eastAsia="zh-CN"/>
        </w:rPr>
        <w:t>二是</w:t>
      </w:r>
      <w:r>
        <w:rPr>
          <w:rFonts w:ascii="Times New Roman"/>
          <w:color w:val="auto"/>
          <w:u w:val="none"/>
        </w:rPr>
        <w:t>规范福利彩票销售管理，严格贯彻落实《彩票管理条例》及其实施细则等法规规章，深入推进制度建设，有效履行销售机构法定职责，提升依法治</w:t>
      </w:r>
      <w:r>
        <w:rPr>
          <w:rFonts w:hint="eastAsia" w:ascii="Times New Roman"/>
          <w:color w:val="auto"/>
          <w:u w:val="none"/>
          <w:lang w:eastAsia="zh-CN"/>
        </w:rPr>
        <w:t>国</w:t>
      </w:r>
      <w:r>
        <w:rPr>
          <w:rFonts w:ascii="Times New Roman"/>
          <w:color w:val="auto"/>
          <w:u w:val="none"/>
        </w:rPr>
        <w:t>能力，加强销售场所规范化、精细化管理和建设，增强站点服务能力，提升福彩销售管理精细化水平。增强福利彩票技术支撑</w:t>
      </w:r>
      <w:r>
        <w:rPr>
          <w:rFonts w:hint="eastAsia" w:ascii="Times New Roman"/>
          <w:color w:val="auto"/>
          <w:u w:val="none"/>
          <w:lang w:val="en-US" w:eastAsia="zh-CN"/>
        </w:rPr>
        <w:t>和</w:t>
      </w:r>
      <w:r>
        <w:rPr>
          <w:rFonts w:ascii="Times New Roman"/>
          <w:color w:val="auto"/>
          <w:u w:val="none"/>
        </w:rPr>
        <w:t>信息化、智能化应用，全面提高风险防控和科学管理服务水平。</w:t>
      </w:r>
      <w:r>
        <w:rPr>
          <w:rFonts w:hint="eastAsia" w:ascii="Times New Roman"/>
          <w:b/>
          <w:bCs/>
          <w:color w:val="auto"/>
          <w:u w:val="none"/>
          <w:lang w:eastAsia="zh-CN"/>
        </w:rPr>
        <w:t>三是</w:t>
      </w:r>
      <w:r>
        <w:rPr>
          <w:rFonts w:hint="eastAsia" w:ascii="Times New Roman"/>
          <w:color w:val="auto"/>
          <w:u w:val="none"/>
          <w:lang w:eastAsia="zh-CN"/>
        </w:rPr>
        <w:t>健全志愿服务体系。做好志愿服务组织登记管理，依法规范志愿服务活动。推动镇街、城乡社区依托社区综合服务设施、“双百”社工站（点）等建设志愿服务站点，畅通群众参加和接受志愿服务的渠道，广泛开展志愿服务关爱行动，营造全民志愿服务氛围。</w:t>
      </w:r>
    </w:p>
    <w:p w14:paraId="2E65FA0A">
      <w:pPr>
        <w:pageBreakBefore w:val="0"/>
        <w:kinsoku/>
        <w:wordWrap/>
        <w:topLinePunct w:val="0"/>
        <w:bidi w:val="0"/>
        <w:spacing w:line="600" w:lineRule="exact"/>
        <w:ind w:firstLine="632" w:firstLineChars="200"/>
        <w:textAlignment w:val="auto"/>
        <w:rPr>
          <w:rFonts w:hint="eastAsia"/>
          <w:color w:val="auto"/>
          <w:u w:val="none"/>
        </w:rPr>
      </w:pPr>
      <w:r>
        <w:rPr>
          <w:rStyle w:val="22"/>
          <w:rFonts w:hint="eastAsia" w:ascii="Times New Roman" w:hAnsi="Times New Roman"/>
          <w:b/>
          <w:bCs/>
          <w:color w:val="auto"/>
          <w:u w:val="none"/>
        </w:rPr>
        <w:t>4.提升公益慈善专业人才培养发展水平。</w:t>
      </w:r>
      <w:r>
        <w:rPr>
          <w:rFonts w:hint="eastAsia"/>
          <w:color w:val="auto"/>
          <w:u w:val="none"/>
        </w:rPr>
        <w:t>探索联合高校开设</w:t>
      </w:r>
      <w:r>
        <w:rPr>
          <w:color w:val="auto"/>
          <w:u w:val="none"/>
        </w:rPr>
        <w:t>公益慈善管理人才培训课程</w:t>
      </w:r>
      <w:r>
        <w:rPr>
          <w:rFonts w:hint="eastAsia"/>
          <w:color w:val="auto"/>
          <w:u w:val="none"/>
        </w:rPr>
        <w:t>，开展“</w:t>
      </w:r>
      <w:r>
        <w:rPr>
          <w:color w:val="auto"/>
          <w:u w:val="none"/>
        </w:rPr>
        <w:t>公益慈善专业人才培养计划</w:t>
      </w:r>
      <w:r>
        <w:rPr>
          <w:rFonts w:hint="eastAsia"/>
          <w:color w:val="auto"/>
          <w:u w:val="none"/>
        </w:rPr>
        <w:t>”</w:t>
      </w:r>
      <w:r>
        <w:rPr>
          <w:color w:val="auto"/>
          <w:u w:val="none"/>
        </w:rPr>
        <w:t>，构建科学有效的人才培养模式,</w:t>
      </w:r>
      <w:r>
        <w:rPr>
          <w:rFonts w:hint="eastAsia"/>
          <w:color w:val="auto"/>
          <w:u w:val="none"/>
        </w:rPr>
        <w:t>培养职业公益策划人和执行人，</w:t>
      </w:r>
      <w:r>
        <w:rPr>
          <w:color w:val="auto"/>
          <w:u w:val="none"/>
        </w:rPr>
        <w:t>设立公益慈善人才库，加强人才队伍建设</w:t>
      </w:r>
      <w:r>
        <w:rPr>
          <w:rFonts w:hint="eastAsia"/>
          <w:color w:val="auto"/>
          <w:u w:val="none"/>
        </w:rPr>
        <w:t>，</w:t>
      </w:r>
      <w:r>
        <w:rPr>
          <w:color w:val="auto"/>
          <w:u w:val="none"/>
        </w:rPr>
        <w:t>形成在慈善项目开展过程中政府部门</w:t>
      </w:r>
      <w:r>
        <w:rPr>
          <w:rFonts w:hint="eastAsia"/>
          <w:color w:val="auto"/>
          <w:u w:val="none"/>
        </w:rPr>
        <w:t>、</w:t>
      </w:r>
      <w:r>
        <w:rPr>
          <w:color w:val="auto"/>
          <w:u w:val="none"/>
        </w:rPr>
        <w:t>专业公益执行人和慈善捐赠人之间的良性互动</w:t>
      </w:r>
      <w:r>
        <w:rPr>
          <w:rFonts w:hint="eastAsia"/>
          <w:color w:val="auto"/>
          <w:u w:val="none"/>
        </w:rPr>
        <w:t>，切实提升我市慈善事业发展水平。</w:t>
      </w:r>
    </w:p>
    <w:p w14:paraId="730D85C9">
      <w:pPr>
        <w:pStyle w:val="9"/>
        <w:rPr>
          <w:rFonts w:hint="eastAsia"/>
          <w:color w:val="auto"/>
          <w:u w:val="none"/>
        </w:rPr>
      </w:pPr>
    </w:p>
    <w:p w14:paraId="5EA76953">
      <w:pPr>
        <w:pStyle w:val="9"/>
        <w:rPr>
          <w:rFonts w:hint="eastAsia"/>
          <w:color w:val="auto"/>
          <w:u w:val="none"/>
          <w:lang w:eastAsia="zh-CN"/>
        </w:rPr>
      </w:pPr>
    </w:p>
    <w:tbl>
      <w:tblPr>
        <w:tblStyle w:val="1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89E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060" w:type="dxa"/>
            <w:vAlign w:val="center"/>
          </w:tcPr>
          <w:p w14:paraId="39A63635">
            <w:pPr>
              <w:keepNext w:val="0"/>
              <w:keepLines w:val="0"/>
              <w:pageBreakBefore w:val="0"/>
              <w:suppressLineNumbers w:val="0"/>
              <w:kinsoku/>
              <w:wordWrap/>
              <w:topLinePunct w:val="0"/>
              <w:bidi w:val="0"/>
              <w:snapToGrid w:val="0"/>
              <w:spacing w:before="0" w:beforeAutospacing="0" w:after="0" w:afterAutospacing="0" w:line="600" w:lineRule="exact"/>
              <w:ind w:left="0" w:right="0"/>
              <w:jc w:val="center"/>
              <w:textAlignment w:val="auto"/>
              <w:rPr>
                <w:rFonts w:hint="default" w:ascii="Times New Roman" w:eastAsia="楷体_GB2312"/>
                <w:b/>
                <w:bCs/>
                <w:color w:val="auto"/>
                <w:u w:val="none"/>
              </w:rPr>
            </w:pPr>
            <w:r>
              <w:rPr>
                <w:rFonts w:hint="default" w:ascii="Times New Roman" w:eastAsia="楷体_GB2312"/>
                <w:b/>
                <w:bCs/>
                <w:color w:val="auto"/>
                <w:u w:val="none"/>
              </w:rPr>
              <w:t>专栏</w:t>
            </w:r>
            <w:r>
              <w:rPr>
                <w:rFonts w:hint="eastAsia" w:ascii="Times New Roman" w:eastAsia="楷体_GB2312"/>
                <w:b/>
                <w:bCs/>
                <w:color w:val="auto"/>
                <w:u w:val="none"/>
                <w:lang w:val="en-US" w:eastAsia="zh-CN"/>
              </w:rPr>
              <w:t>4</w:t>
            </w:r>
            <w:r>
              <w:rPr>
                <w:rFonts w:hint="default" w:ascii="Times New Roman" w:eastAsia="楷体_GB2312"/>
                <w:b/>
                <w:bCs/>
                <w:color w:val="auto"/>
                <w:u w:val="none"/>
              </w:rPr>
              <w:t xml:space="preserve">  “大慈善”体系建设工程</w:t>
            </w:r>
          </w:p>
        </w:tc>
      </w:tr>
      <w:tr w14:paraId="1E9E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9060" w:type="dxa"/>
            <w:vAlign w:val="center"/>
          </w:tcPr>
          <w:p w14:paraId="4C2EF06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default" w:ascii="Times New Roman"/>
                <w:color w:val="auto"/>
                <w:u w:val="none"/>
              </w:rPr>
            </w:pPr>
            <w:r>
              <w:rPr>
                <w:rStyle w:val="22"/>
                <w:rFonts w:hint="eastAsia" w:ascii="Times New Roman" w:hAnsi="Times New Roman"/>
                <w:b/>
                <w:color w:val="auto"/>
                <w:sz w:val="28"/>
                <w:szCs w:val="28"/>
                <w:u w:val="none"/>
              </w:rPr>
              <w:t xml:space="preserve"> </w:t>
            </w:r>
            <w:r>
              <w:rPr>
                <w:rStyle w:val="22"/>
                <w:rFonts w:hint="default" w:ascii="Times New Roman" w:hAnsi="Times New Roman"/>
                <w:b/>
                <w:color w:val="auto"/>
                <w:sz w:val="28"/>
                <w:szCs w:val="28"/>
                <w:u w:val="none"/>
              </w:rPr>
              <w:t xml:space="preserve">   </w:t>
            </w:r>
            <w:bookmarkStart w:id="95" w:name="_Toc86940126"/>
            <w:r>
              <w:rPr>
                <w:rStyle w:val="22"/>
                <w:rFonts w:hint="default" w:ascii="Times New Roman" w:hAnsi="Times New Roman"/>
                <w:b/>
                <w:color w:val="auto"/>
                <w:sz w:val="28"/>
                <w:szCs w:val="28"/>
                <w:u w:val="none"/>
              </w:rPr>
              <w:t>慈善示范社区专项建设工程。</w:t>
            </w:r>
            <w:r>
              <w:rPr>
                <w:rStyle w:val="22"/>
                <w:rFonts w:hint="default" w:ascii="Times New Roman" w:hAnsi="Times New Roman"/>
                <w:bCs/>
                <w:color w:val="auto"/>
                <w:sz w:val="28"/>
                <w:szCs w:val="28"/>
                <w:u w:val="none"/>
              </w:rPr>
              <w:t>以构建和谐、文明、健康、幸福社区（村）为主线，以培育慈善文化为重点，以促进社区（村）居民互助和志愿服务为目的，全面推进慈善示范社区创建。力争到2025年底，全市慈善示范社区不少于100个。</w:t>
            </w:r>
            <w:bookmarkEnd w:id="95"/>
          </w:p>
        </w:tc>
      </w:tr>
    </w:tbl>
    <w:p w14:paraId="3D1EED41">
      <w:pPr>
        <w:pStyle w:val="5"/>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hint="eastAsia" w:ascii="楷体_GB2312" w:hAnsi="楷体_GB2312" w:eastAsia="楷体_GB2312" w:cs="楷体_GB2312"/>
          <w:b/>
          <w:bCs/>
          <w:color w:val="auto"/>
          <w:sz w:val="32"/>
          <w:szCs w:val="32"/>
          <w:u w:val="none"/>
          <w:lang w:eastAsia="zh-CN"/>
        </w:rPr>
      </w:pPr>
      <w:r>
        <w:rPr>
          <w:rFonts w:hint="eastAsia" w:ascii="楷体_GB2312" w:hAnsi="楷体_GB2312" w:eastAsia="楷体_GB2312" w:cs="楷体_GB2312"/>
          <w:b/>
          <w:bCs/>
          <w:color w:val="auto"/>
          <w:sz w:val="32"/>
          <w:szCs w:val="32"/>
          <w:u w:val="none"/>
          <w:lang w:eastAsia="zh-CN"/>
        </w:rPr>
        <w:t>（五）构建民政领域大社会治理体系，助力基层治理体系和治理能力现代化建设</w:t>
      </w:r>
      <w:bookmarkEnd w:id="72"/>
      <w:bookmarkEnd w:id="73"/>
      <w:bookmarkEnd w:id="74"/>
      <w:bookmarkEnd w:id="75"/>
      <w:bookmarkEnd w:id="91"/>
    </w:p>
    <w:p w14:paraId="6FF24E59">
      <w:pPr>
        <w:pStyle w:val="7"/>
        <w:keepNext w:val="0"/>
        <w:keepLines w:val="0"/>
        <w:pageBreakBefore w:val="0"/>
        <w:widowControl w:val="0"/>
        <w:kinsoku/>
        <w:wordWrap/>
        <w:overflowPunct/>
        <w:topLinePunct w:val="0"/>
        <w:autoSpaceDE/>
        <w:autoSpaceDN/>
        <w:bidi w:val="0"/>
        <w:adjustRightInd/>
        <w:spacing w:line="600" w:lineRule="exact"/>
        <w:ind w:firstLine="631"/>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积极发挥民政在基层社会治理中的职责作用，着力健全民政领域社会治理体系，完善城乡基层治理，规范社会组织发展，加强社工人才队伍建设，提升基本社会服务水平，为实现基层治理体系和治理能力现代化贡献民政力量。</w:t>
      </w:r>
    </w:p>
    <w:p w14:paraId="52136719">
      <w:pPr>
        <w:pStyle w:val="7"/>
        <w:keepNext w:val="0"/>
        <w:keepLines w:val="0"/>
        <w:pageBreakBefore w:val="0"/>
        <w:widowControl w:val="0"/>
        <w:kinsoku/>
        <w:wordWrap/>
        <w:overflowPunct/>
        <w:topLinePunct w:val="0"/>
        <w:autoSpaceDE/>
        <w:autoSpaceDN/>
        <w:bidi w:val="0"/>
        <w:adjustRightInd/>
        <w:spacing w:line="600" w:lineRule="exact"/>
        <w:ind w:firstLine="631"/>
        <w:jc w:val="left"/>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bCs/>
          <w:color w:val="auto"/>
          <w:sz w:val="32"/>
          <w:szCs w:val="32"/>
          <w:u w:val="none"/>
          <w:lang w:val="en-US" w:eastAsia="zh-CN"/>
        </w:rPr>
        <w:t>1.</w:t>
      </w:r>
      <w:r>
        <w:rPr>
          <w:rFonts w:hint="eastAsia" w:ascii="仿宋_GB2312" w:hAnsi="仿宋_GB2312" w:eastAsia="仿宋_GB2312" w:cs="仿宋_GB2312"/>
          <w:b/>
          <w:bCs/>
          <w:color w:val="auto"/>
          <w:sz w:val="32"/>
          <w:szCs w:val="32"/>
          <w:u w:val="none"/>
          <w:lang w:eastAsia="zh-CN"/>
        </w:rPr>
        <w:t>完善城乡</w:t>
      </w:r>
      <w:r>
        <w:rPr>
          <w:rFonts w:hint="eastAsia" w:ascii="仿宋_GB2312" w:hAnsi="仿宋_GB2312" w:eastAsia="仿宋_GB2312" w:cs="仿宋_GB2312"/>
          <w:b/>
          <w:bCs/>
          <w:color w:val="auto"/>
          <w:sz w:val="32"/>
          <w:szCs w:val="32"/>
          <w:u w:val="none"/>
        </w:rPr>
        <w:t>基层治理</w:t>
      </w:r>
      <w:r>
        <w:rPr>
          <w:rFonts w:hint="eastAsia" w:ascii="仿宋_GB2312" w:hAnsi="仿宋_GB2312" w:eastAsia="仿宋_GB2312" w:cs="仿宋_GB2312"/>
          <w:b/>
          <w:bCs/>
          <w:color w:val="auto"/>
          <w:sz w:val="32"/>
          <w:szCs w:val="32"/>
          <w:u w:val="none"/>
          <w:lang w:eastAsia="zh-CN"/>
        </w:rPr>
        <w:t>。一是</w:t>
      </w:r>
      <w:r>
        <w:rPr>
          <w:rFonts w:hint="eastAsia" w:ascii="仿宋_GB2312" w:hAnsi="仿宋_GB2312" w:eastAsia="仿宋_GB2312" w:cs="仿宋_GB2312"/>
          <w:b w:val="0"/>
          <w:bCs w:val="0"/>
          <w:color w:val="auto"/>
          <w:sz w:val="32"/>
          <w:szCs w:val="32"/>
          <w:u w:val="none"/>
        </w:rPr>
        <w:t>健全基层自治制度。</w:t>
      </w:r>
      <w:r>
        <w:rPr>
          <w:rFonts w:hint="eastAsia" w:ascii="仿宋_GB2312" w:hAnsi="仿宋_GB2312" w:eastAsia="仿宋_GB2312" w:cs="仿宋_GB2312"/>
          <w:b w:val="0"/>
          <w:bCs w:val="0"/>
          <w:color w:val="auto"/>
          <w:sz w:val="32"/>
          <w:szCs w:val="32"/>
          <w:u w:val="none"/>
          <w:lang w:eastAsia="zh-CN"/>
        </w:rPr>
        <w:t>健全基层党组织领导的村（居）民自治机制。</w:t>
      </w:r>
      <w:r>
        <w:rPr>
          <w:rFonts w:hint="eastAsia" w:hAnsi="仿宋_GB2312" w:eastAsia="仿宋_GB2312" w:cs="仿宋_GB2312"/>
          <w:b w:val="0"/>
          <w:bCs w:val="0"/>
          <w:color w:val="auto"/>
          <w:sz w:val="32"/>
          <w:szCs w:val="32"/>
          <w:u w:val="none"/>
          <w:lang w:eastAsia="zh-CN"/>
        </w:rPr>
        <w:t>依法依规开展村（居）民委员会换届选举，继续推进非户籍居民参加居住地村（居）民委员会选举。</w:t>
      </w:r>
      <w:r>
        <w:rPr>
          <w:rFonts w:hint="eastAsia" w:ascii="仿宋_GB2312" w:hAnsi="仿宋_GB2312" w:eastAsia="仿宋_GB2312" w:cs="仿宋_GB2312"/>
          <w:b w:val="0"/>
          <w:bCs w:val="0"/>
          <w:color w:val="auto"/>
          <w:sz w:val="32"/>
          <w:szCs w:val="32"/>
          <w:u w:val="none"/>
          <w:lang w:eastAsia="zh-CN"/>
        </w:rPr>
        <w:t>推进</w:t>
      </w:r>
      <w:r>
        <w:rPr>
          <w:rFonts w:hint="eastAsia" w:ascii="仿宋_GB2312" w:hAnsi="仿宋_GB2312" w:eastAsia="仿宋_GB2312" w:cs="仿宋_GB2312"/>
          <w:b w:val="0"/>
          <w:bCs w:val="0"/>
          <w:color w:val="auto"/>
          <w:sz w:val="32"/>
          <w:szCs w:val="32"/>
          <w:u w:val="none"/>
        </w:rPr>
        <w:t>村（居）民委员会规范化建设</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修订完善自治章程、村规民约，健全完善议事协商、民主管理、民主决策、民主监督等制度。全面落实“四议两公开”和“五民主五公开”工作法。实施村（社区）事务“阳光公开”工程，开展“阳光村务”示范活动，扎实推进村（居）务公开工作。加强村民小组建设，就考核评价、待遇保障、民主决策等方面提出具体可操作的措施，形成具有中山特色的村民小组治理模式，激活农村基层治理“神经末梢”。推动社区居民委员会设立环境和物业管理委员会。</w:t>
      </w:r>
      <w:r>
        <w:rPr>
          <w:rFonts w:hint="eastAsia" w:ascii="仿宋_GB2312" w:hAnsi="仿宋_GB2312" w:eastAsia="仿宋_GB2312" w:cs="仿宋_GB2312"/>
          <w:b/>
          <w:bCs/>
          <w:color w:val="auto"/>
          <w:sz w:val="32"/>
          <w:szCs w:val="32"/>
          <w:u w:val="none"/>
          <w:lang w:eastAsia="zh-CN"/>
        </w:rPr>
        <w:t>二是</w:t>
      </w:r>
      <w:r>
        <w:rPr>
          <w:rFonts w:hint="eastAsia" w:ascii="仿宋_GB2312" w:hAnsi="仿宋_GB2312" w:eastAsia="仿宋_GB2312" w:cs="仿宋_GB2312"/>
          <w:b w:val="0"/>
          <w:bCs w:val="0"/>
          <w:color w:val="auto"/>
          <w:sz w:val="32"/>
          <w:szCs w:val="32"/>
          <w:u w:val="none"/>
        </w:rPr>
        <w:t>创新</w:t>
      </w:r>
      <w:r>
        <w:rPr>
          <w:rStyle w:val="26"/>
          <w:rFonts w:hint="eastAsia" w:ascii="仿宋_GB2312" w:hAnsi="仿宋_GB2312" w:eastAsia="仿宋_GB2312" w:cs="仿宋_GB2312"/>
          <w:b w:val="0"/>
          <w:bCs w:val="0"/>
          <w:color w:val="auto"/>
          <w:sz w:val="32"/>
          <w:szCs w:val="32"/>
          <w:u w:val="none"/>
        </w:rPr>
        <w:t>城乡社区治理</w:t>
      </w:r>
      <w:r>
        <w:rPr>
          <w:rFonts w:hint="eastAsia" w:ascii="仿宋_GB2312" w:hAnsi="仿宋_GB2312" w:eastAsia="仿宋_GB2312" w:cs="仿宋_GB2312"/>
          <w:b w:val="0"/>
          <w:bCs w:val="0"/>
          <w:color w:val="auto"/>
          <w:sz w:val="32"/>
          <w:szCs w:val="32"/>
          <w:u w:val="none"/>
        </w:rPr>
        <w:t>。</w:t>
      </w:r>
      <w:r>
        <w:rPr>
          <w:rFonts w:hint="eastAsia" w:hAnsi="仿宋_GB2312" w:eastAsia="仿宋_GB2312" w:cs="仿宋_GB2312"/>
          <w:b w:val="0"/>
          <w:bCs w:val="0"/>
          <w:color w:val="auto"/>
          <w:sz w:val="32"/>
          <w:szCs w:val="32"/>
          <w:u w:val="none"/>
          <w:lang w:eastAsia="zh-CN"/>
        </w:rPr>
        <w:t>出台我市加强基层治理体系和治理现代化建设的指导性文件。探索推进</w:t>
      </w:r>
      <w:r>
        <w:rPr>
          <w:rFonts w:hint="eastAsia" w:ascii="仿宋_GB2312" w:hAnsi="仿宋_GB2312" w:eastAsia="仿宋_GB2312" w:cs="仿宋_GB2312"/>
          <w:b w:val="0"/>
          <w:bCs w:val="0"/>
          <w:color w:val="auto"/>
          <w:sz w:val="32"/>
          <w:szCs w:val="32"/>
          <w:u w:val="none"/>
          <w:lang w:eastAsia="zh-CN"/>
        </w:rPr>
        <w:t>城乡社区治理体系和治理能力示范建设工程，</w:t>
      </w:r>
      <w:r>
        <w:rPr>
          <w:rFonts w:hint="eastAsia" w:ascii="仿宋_GB2312" w:hAnsi="仿宋_GB2312" w:eastAsia="仿宋_GB2312" w:cs="仿宋_GB2312"/>
          <w:b w:val="0"/>
          <w:bCs w:val="0"/>
          <w:color w:val="auto"/>
          <w:sz w:val="32"/>
          <w:szCs w:val="32"/>
          <w:u w:val="none"/>
        </w:rPr>
        <w:t>建设</w:t>
      </w:r>
      <w:r>
        <w:rPr>
          <w:rFonts w:hint="eastAsia" w:hAnsi="仿宋_GB2312" w:eastAsia="仿宋_GB2312" w:cs="仿宋_GB2312"/>
          <w:b w:val="0"/>
          <w:bCs w:val="0"/>
          <w:color w:val="auto"/>
          <w:sz w:val="32"/>
          <w:szCs w:val="32"/>
          <w:u w:val="none"/>
          <w:lang w:eastAsia="zh-CN"/>
        </w:rPr>
        <w:t>若干</w:t>
      </w:r>
      <w:r>
        <w:rPr>
          <w:rFonts w:hint="eastAsia" w:ascii="仿宋_GB2312" w:hAnsi="仿宋_GB2312" w:eastAsia="仿宋_GB2312" w:cs="仿宋_GB2312"/>
          <w:b w:val="0"/>
          <w:bCs w:val="0"/>
          <w:color w:val="auto"/>
          <w:sz w:val="32"/>
          <w:szCs w:val="32"/>
          <w:u w:val="none"/>
        </w:rPr>
        <w:t>个社区治理体系和治理能力现代化示范点，健全党组织领导的自治、法治、德治相结合的城乡社区治理体系。</w:t>
      </w:r>
      <w:r>
        <w:rPr>
          <w:rFonts w:hint="eastAsia" w:ascii="仿宋_GB2312" w:hAnsi="仿宋_GB2312" w:eastAsia="仿宋_GB2312" w:cs="仿宋_GB2312"/>
          <w:b w:val="0"/>
          <w:bCs w:val="0"/>
          <w:color w:val="auto"/>
          <w:sz w:val="32"/>
          <w:szCs w:val="32"/>
          <w:u w:val="none"/>
          <w:lang w:eastAsia="zh-CN"/>
        </w:rPr>
        <w:t>深化乡镇政府服务能力建设，培育一批乡镇政府服务建设示范典型。出台《中山市关于推进城乡社区协商工作的实施意见》</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建立健全我市城乡社区协商制度，</w:t>
      </w:r>
      <w:r>
        <w:rPr>
          <w:rFonts w:hint="eastAsia" w:hAnsi="仿宋_GB2312" w:eastAsia="仿宋_GB2312" w:cs="仿宋_GB2312"/>
          <w:b w:val="0"/>
          <w:bCs w:val="0"/>
          <w:color w:val="auto"/>
          <w:sz w:val="32"/>
          <w:szCs w:val="32"/>
          <w:u w:val="none"/>
          <w:lang w:val="en-US" w:eastAsia="zh-CN"/>
        </w:rPr>
        <w:t>实施村（居）民议事厅全覆盖工程，</w:t>
      </w:r>
      <w:r>
        <w:rPr>
          <w:rFonts w:hint="eastAsia" w:ascii="仿宋_GB2312" w:hAnsi="仿宋_GB2312" w:eastAsia="仿宋_GB2312" w:cs="仿宋_GB2312"/>
          <w:b w:val="0"/>
          <w:bCs w:val="0"/>
          <w:color w:val="auto"/>
          <w:sz w:val="32"/>
          <w:szCs w:val="32"/>
          <w:u w:val="none"/>
        </w:rPr>
        <w:t>广泛开展</w:t>
      </w:r>
      <w:r>
        <w:rPr>
          <w:rFonts w:hint="eastAsia" w:ascii="仿宋_GB2312" w:hAnsi="仿宋_GB2312" w:eastAsia="仿宋_GB2312" w:cs="仿宋_GB2312"/>
          <w:b w:val="0"/>
          <w:bCs w:val="0"/>
          <w:color w:val="auto"/>
          <w:sz w:val="32"/>
          <w:szCs w:val="32"/>
          <w:u w:val="none"/>
          <w:lang w:eastAsia="zh-CN"/>
        </w:rPr>
        <w:t>社区</w:t>
      </w:r>
      <w:r>
        <w:rPr>
          <w:rFonts w:hint="eastAsia" w:ascii="仿宋_GB2312" w:hAnsi="仿宋_GB2312" w:eastAsia="仿宋_GB2312" w:cs="仿宋_GB2312"/>
          <w:b w:val="0"/>
          <w:bCs w:val="0"/>
          <w:color w:val="auto"/>
          <w:sz w:val="32"/>
          <w:szCs w:val="32"/>
          <w:u w:val="none"/>
        </w:rPr>
        <w:t>议事协商。实施社区减负行动，</w:t>
      </w:r>
      <w:r>
        <w:rPr>
          <w:rFonts w:hint="eastAsia" w:ascii="仿宋_GB2312" w:hAnsi="仿宋_GB2312" w:eastAsia="仿宋_GB2312" w:cs="仿宋_GB2312"/>
          <w:b w:val="0"/>
          <w:bCs w:val="0"/>
          <w:color w:val="auto"/>
          <w:sz w:val="32"/>
          <w:szCs w:val="32"/>
          <w:u w:val="none"/>
          <w:lang w:eastAsia="zh-CN"/>
        </w:rPr>
        <w:t>持续</w:t>
      </w:r>
      <w:r>
        <w:rPr>
          <w:rFonts w:hint="eastAsia" w:ascii="仿宋_GB2312" w:hAnsi="仿宋_GB2312" w:eastAsia="仿宋_GB2312" w:cs="仿宋_GB2312"/>
          <w:b w:val="0"/>
          <w:bCs w:val="0"/>
          <w:color w:val="auto"/>
          <w:sz w:val="32"/>
          <w:szCs w:val="32"/>
          <w:u w:val="none"/>
        </w:rPr>
        <w:t>整治社区“万能章”。</w:t>
      </w:r>
      <w:r>
        <w:rPr>
          <w:rFonts w:hint="eastAsia" w:hAnsi="仿宋_GB2312" w:eastAsia="仿宋_GB2312" w:cs="仿宋_GB2312"/>
          <w:b w:val="0"/>
          <w:bCs w:val="0"/>
          <w:color w:val="auto"/>
          <w:sz w:val="32"/>
          <w:szCs w:val="32"/>
          <w:u w:val="none"/>
          <w:lang w:eastAsia="zh-CN"/>
        </w:rPr>
        <w:t>完善</w:t>
      </w:r>
      <w:r>
        <w:rPr>
          <w:rFonts w:hint="eastAsia" w:ascii="仿宋_GB2312" w:hAnsi="仿宋_GB2312" w:eastAsia="仿宋_GB2312" w:cs="仿宋_GB2312"/>
          <w:b w:val="0"/>
          <w:bCs w:val="0"/>
          <w:color w:val="auto"/>
          <w:sz w:val="32"/>
          <w:szCs w:val="32"/>
          <w:u w:val="none"/>
        </w:rPr>
        <w:t>共建共治共享的社区治理机制</w:t>
      </w:r>
      <w:r>
        <w:rPr>
          <w:rFonts w:hint="eastAsia" w:hAnsi="仿宋_GB2312" w:eastAsia="仿宋_GB2312" w:cs="仿宋_GB2312"/>
          <w:b w:val="0"/>
          <w:bCs w:val="0"/>
          <w:color w:val="auto"/>
          <w:sz w:val="32"/>
          <w:szCs w:val="32"/>
          <w:u w:val="none"/>
          <w:lang w:eastAsia="zh-CN"/>
        </w:rPr>
        <w:t>，建立驻村（社区）机关企事业单位参与城乡社区治理责任制度，动员各方力量参与社区联防联控、群防群治以及突发事件应急处置</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eastAsia="zh-CN"/>
        </w:rPr>
        <w:t>完善</w:t>
      </w:r>
      <w:r>
        <w:rPr>
          <w:rFonts w:hint="eastAsia" w:ascii="仿宋_GB2312" w:hAnsi="仿宋_GB2312" w:eastAsia="仿宋_GB2312" w:cs="仿宋_GB2312"/>
          <w:b w:val="0"/>
          <w:bCs w:val="0"/>
          <w:color w:val="auto"/>
          <w:sz w:val="32"/>
          <w:szCs w:val="32"/>
          <w:u w:val="none"/>
        </w:rPr>
        <w:t>社区建设协调委员会和选聘特别委员</w:t>
      </w:r>
      <w:r>
        <w:rPr>
          <w:rFonts w:hint="eastAsia" w:ascii="仿宋_GB2312" w:hAnsi="仿宋_GB2312" w:eastAsia="仿宋_GB2312" w:cs="仿宋_GB2312"/>
          <w:b w:val="0"/>
          <w:bCs w:val="0"/>
          <w:color w:val="auto"/>
          <w:sz w:val="32"/>
          <w:szCs w:val="32"/>
          <w:u w:val="none"/>
          <w:lang w:eastAsia="zh-CN"/>
        </w:rPr>
        <w:t>制度</w:t>
      </w:r>
      <w:r>
        <w:rPr>
          <w:rFonts w:hint="eastAsia" w:ascii="仿宋_GB2312" w:hAnsi="仿宋_GB2312" w:eastAsia="仿宋_GB2312" w:cs="仿宋_GB2312"/>
          <w:b w:val="0"/>
          <w:bCs w:val="0"/>
          <w:color w:val="auto"/>
          <w:sz w:val="32"/>
          <w:szCs w:val="32"/>
          <w:u w:val="none"/>
        </w:rPr>
        <w:t>，</w:t>
      </w:r>
      <w:r>
        <w:rPr>
          <w:rFonts w:hint="eastAsia" w:hAnsi="仿宋_GB2312" w:eastAsia="仿宋_GB2312" w:cs="仿宋_GB2312"/>
          <w:b w:val="0"/>
          <w:bCs w:val="0"/>
          <w:color w:val="auto"/>
          <w:sz w:val="32"/>
          <w:szCs w:val="32"/>
          <w:u w:val="none"/>
          <w:lang w:eastAsia="zh-CN"/>
        </w:rPr>
        <w:t>鼓励外来人口参与城乡社区治理。</w:t>
      </w:r>
      <w:r>
        <w:rPr>
          <w:rFonts w:hint="eastAsia" w:ascii="仿宋_GB2312" w:hAnsi="仿宋_GB2312" w:eastAsia="仿宋_GB2312" w:cs="仿宋_GB2312"/>
          <w:b w:val="0"/>
          <w:bCs w:val="0"/>
          <w:color w:val="auto"/>
          <w:sz w:val="32"/>
          <w:szCs w:val="32"/>
          <w:u w:val="none"/>
        </w:rPr>
        <w:t>持续做好自然增长的正常离任村干部的信息采集工作，建立信息采集工作常态长效机制。</w:t>
      </w:r>
      <w:r>
        <w:rPr>
          <w:rFonts w:hint="eastAsia" w:ascii="仿宋_GB2312" w:hAnsi="仿宋_GB2312" w:eastAsia="仿宋_GB2312" w:cs="仿宋_GB2312"/>
          <w:b/>
          <w:bCs/>
          <w:color w:val="auto"/>
          <w:sz w:val="32"/>
          <w:szCs w:val="32"/>
          <w:u w:val="none"/>
          <w:lang w:eastAsia="zh-CN"/>
        </w:rPr>
        <w:t>三是</w:t>
      </w:r>
      <w:r>
        <w:rPr>
          <w:rFonts w:hint="eastAsia" w:ascii="仿宋_GB2312" w:hAnsi="仿宋_GB2312" w:eastAsia="仿宋_GB2312" w:cs="仿宋_GB2312"/>
          <w:b w:val="0"/>
          <w:bCs w:val="0"/>
          <w:color w:val="auto"/>
          <w:sz w:val="32"/>
          <w:szCs w:val="32"/>
          <w:u w:val="none"/>
          <w:lang w:eastAsia="zh-CN"/>
        </w:rPr>
        <w:t>提升</w:t>
      </w:r>
      <w:r>
        <w:rPr>
          <w:rFonts w:hint="eastAsia" w:hAnsi="仿宋_GB2312" w:eastAsia="仿宋_GB2312" w:cs="仿宋_GB2312"/>
          <w:b w:val="0"/>
          <w:bCs w:val="0"/>
          <w:color w:val="auto"/>
          <w:sz w:val="32"/>
          <w:szCs w:val="32"/>
          <w:u w:val="none"/>
          <w:lang w:eastAsia="zh-CN"/>
        </w:rPr>
        <w:t>城乡</w:t>
      </w:r>
      <w:r>
        <w:rPr>
          <w:rFonts w:hint="eastAsia" w:ascii="仿宋_GB2312" w:hAnsi="仿宋_GB2312" w:eastAsia="仿宋_GB2312" w:cs="仿宋_GB2312"/>
          <w:b w:val="0"/>
          <w:bCs w:val="0"/>
          <w:color w:val="auto"/>
          <w:sz w:val="32"/>
          <w:szCs w:val="32"/>
          <w:u w:val="none"/>
          <w:lang w:eastAsia="zh-CN"/>
        </w:rPr>
        <w:t>社区服务水平。</w:t>
      </w:r>
      <w:r>
        <w:rPr>
          <w:rFonts w:hint="eastAsia" w:ascii="仿宋_GB2312" w:hAnsi="仿宋_GB2312" w:eastAsia="仿宋_GB2312" w:cs="仿宋_GB2312"/>
          <w:b w:val="0"/>
          <w:bCs w:val="0"/>
          <w:color w:val="auto"/>
          <w:spacing w:val="0"/>
          <w:w w:val="100"/>
          <w:position w:val="0"/>
          <w:sz w:val="32"/>
          <w:szCs w:val="32"/>
          <w:u w:val="none"/>
        </w:rPr>
        <w:t>以改善民生为抓手，以服务群众为重点，深入推进城乡社区服务体系建设</w:t>
      </w:r>
      <w:r>
        <w:rPr>
          <w:rFonts w:hint="eastAsia" w:ascii="仿宋_GB2312" w:hAnsi="仿宋_GB2312" w:eastAsia="仿宋_GB2312" w:cs="仿宋_GB2312"/>
          <w:b w:val="0"/>
          <w:bCs w:val="0"/>
          <w:color w:val="auto"/>
          <w:spacing w:val="0"/>
          <w:w w:val="100"/>
          <w:position w:val="0"/>
          <w:sz w:val="32"/>
          <w:szCs w:val="32"/>
          <w:u w:val="none"/>
          <w:lang w:eastAsia="zh-CN"/>
        </w:rPr>
        <w:t>。强化</w:t>
      </w:r>
      <w:r>
        <w:rPr>
          <w:rFonts w:hint="eastAsia" w:ascii="仿宋_GB2312" w:hAnsi="仿宋_GB2312" w:eastAsia="仿宋_GB2312" w:cs="仿宋_GB2312"/>
          <w:b w:val="0"/>
          <w:bCs w:val="0"/>
          <w:color w:val="auto"/>
          <w:spacing w:val="0"/>
          <w:w w:val="100"/>
          <w:position w:val="0"/>
          <w:sz w:val="32"/>
          <w:szCs w:val="32"/>
          <w:u w:val="none"/>
        </w:rPr>
        <w:t>党组织</w:t>
      </w:r>
      <w:r>
        <w:rPr>
          <w:rFonts w:hint="eastAsia" w:ascii="仿宋_GB2312" w:hAnsi="仿宋_GB2312" w:eastAsia="仿宋_GB2312" w:cs="仿宋_GB2312"/>
          <w:b w:val="0"/>
          <w:bCs w:val="0"/>
          <w:color w:val="auto"/>
          <w:spacing w:val="0"/>
          <w:w w:val="100"/>
          <w:position w:val="0"/>
          <w:sz w:val="32"/>
          <w:szCs w:val="32"/>
          <w:u w:val="none"/>
          <w:lang w:eastAsia="zh-CN"/>
        </w:rPr>
        <w:t>的</w:t>
      </w:r>
      <w:r>
        <w:rPr>
          <w:rFonts w:hint="eastAsia" w:ascii="仿宋_GB2312" w:hAnsi="仿宋_GB2312" w:eastAsia="仿宋_GB2312" w:cs="仿宋_GB2312"/>
          <w:b w:val="0"/>
          <w:bCs w:val="0"/>
          <w:color w:val="auto"/>
          <w:spacing w:val="0"/>
          <w:w w:val="100"/>
          <w:position w:val="0"/>
          <w:sz w:val="32"/>
          <w:szCs w:val="32"/>
          <w:u w:val="none"/>
        </w:rPr>
        <w:t>领导核心</w:t>
      </w:r>
      <w:r>
        <w:rPr>
          <w:rFonts w:hint="eastAsia" w:ascii="仿宋_GB2312" w:hAnsi="仿宋_GB2312" w:eastAsia="仿宋_GB2312" w:cs="仿宋_GB2312"/>
          <w:b w:val="0"/>
          <w:bCs w:val="0"/>
          <w:color w:val="auto"/>
          <w:spacing w:val="0"/>
          <w:w w:val="100"/>
          <w:position w:val="0"/>
          <w:sz w:val="32"/>
          <w:szCs w:val="32"/>
          <w:u w:val="none"/>
          <w:lang w:eastAsia="zh-CN"/>
        </w:rPr>
        <w:t>作用，</w:t>
      </w:r>
      <w:r>
        <w:rPr>
          <w:rFonts w:hint="eastAsia" w:ascii="仿宋_GB2312" w:hAnsi="仿宋_GB2312" w:eastAsia="仿宋_GB2312" w:cs="仿宋_GB2312"/>
          <w:b w:val="0"/>
          <w:bCs w:val="0"/>
          <w:color w:val="auto"/>
          <w:spacing w:val="0"/>
          <w:w w:val="100"/>
          <w:position w:val="0"/>
          <w:sz w:val="32"/>
          <w:szCs w:val="32"/>
          <w:u w:val="none"/>
          <w:lang w:val="zh-TW" w:eastAsia="zh-TW"/>
        </w:rPr>
        <w:t>完善</w:t>
      </w:r>
      <w:r>
        <w:rPr>
          <w:rFonts w:hint="eastAsia" w:ascii="仿宋_GB2312" w:hAnsi="仿宋_GB2312" w:eastAsia="仿宋_GB2312" w:cs="仿宋_GB2312"/>
          <w:b w:val="0"/>
          <w:bCs w:val="0"/>
          <w:color w:val="auto"/>
          <w:spacing w:val="0"/>
          <w:w w:val="100"/>
          <w:position w:val="0"/>
          <w:sz w:val="32"/>
          <w:szCs w:val="32"/>
          <w:u w:val="none"/>
          <w:lang w:val="en-US" w:eastAsia="zh-CN"/>
        </w:rPr>
        <w:t>社区</w:t>
      </w:r>
      <w:r>
        <w:rPr>
          <w:rFonts w:hint="eastAsia" w:ascii="仿宋_GB2312" w:hAnsi="仿宋_GB2312" w:eastAsia="仿宋_GB2312" w:cs="仿宋_GB2312"/>
          <w:b w:val="0"/>
          <w:bCs w:val="0"/>
          <w:color w:val="auto"/>
          <w:spacing w:val="0"/>
          <w:w w:val="100"/>
          <w:position w:val="0"/>
          <w:sz w:val="32"/>
          <w:szCs w:val="32"/>
          <w:u w:val="none"/>
          <w:lang w:val="zh-TW" w:eastAsia="zh-TW"/>
        </w:rPr>
        <w:t>服务设施</w:t>
      </w:r>
      <w:r>
        <w:rPr>
          <w:rFonts w:hint="eastAsia" w:ascii="仿宋_GB2312" w:hAnsi="仿宋_GB2312" w:eastAsia="仿宋_GB2312" w:cs="仿宋_GB2312"/>
          <w:b w:val="0"/>
          <w:bCs w:val="0"/>
          <w:color w:val="auto"/>
          <w:spacing w:val="0"/>
          <w:w w:val="100"/>
          <w:position w:val="0"/>
          <w:sz w:val="32"/>
          <w:szCs w:val="32"/>
          <w:u w:val="none"/>
          <w:lang w:val="zh-TW" w:eastAsia="zh-CN"/>
        </w:rPr>
        <w:t>，</w:t>
      </w:r>
      <w:r>
        <w:rPr>
          <w:rFonts w:hint="eastAsia" w:ascii="仿宋_GB2312" w:hAnsi="仿宋_GB2312" w:eastAsia="仿宋_GB2312" w:cs="仿宋_GB2312"/>
          <w:b w:val="0"/>
          <w:bCs w:val="0"/>
          <w:color w:val="auto"/>
          <w:spacing w:val="0"/>
          <w:w w:val="100"/>
          <w:position w:val="0"/>
          <w:sz w:val="32"/>
          <w:szCs w:val="32"/>
          <w:u w:val="none"/>
          <w:lang w:val="zh-TW" w:eastAsia="zh-TW"/>
        </w:rPr>
        <w:t>壮大</w:t>
      </w:r>
      <w:r>
        <w:rPr>
          <w:rFonts w:hint="eastAsia" w:ascii="仿宋_GB2312" w:hAnsi="仿宋_GB2312" w:eastAsia="仿宋_GB2312" w:cs="仿宋_GB2312"/>
          <w:b w:val="0"/>
          <w:bCs w:val="0"/>
          <w:color w:val="auto"/>
          <w:spacing w:val="0"/>
          <w:w w:val="100"/>
          <w:position w:val="0"/>
          <w:sz w:val="32"/>
          <w:szCs w:val="32"/>
          <w:u w:val="none"/>
          <w:lang w:val="en-US" w:eastAsia="zh-CN"/>
        </w:rPr>
        <w:t>社区</w:t>
      </w:r>
      <w:r>
        <w:rPr>
          <w:rFonts w:hint="eastAsia" w:ascii="仿宋_GB2312" w:hAnsi="仿宋_GB2312" w:eastAsia="仿宋_GB2312" w:cs="仿宋_GB2312"/>
          <w:b w:val="0"/>
          <w:bCs w:val="0"/>
          <w:color w:val="auto"/>
          <w:spacing w:val="0"/>
          <w:w w:val="100"/>
          <w:position w:val="0"/>
          <w:sz w:val="32"/>
          <w:szCs w:val="32"/>
          <w:u w:val="none"/>
          <w:lang w:val="zh-TW" w:eastAsia="zh-TW"/>
        </w:rPr>
        <w:t>服务队伍</w:t>
      </w:r>
      <w:r>
        <w:rPr>
          <w:rFonts w:hint="eastAsia" w:ascii="仿宋_GB2312" w:hAnsi="仿宋_GB2312" w:eastAsia="仿宋_GB2312" w:cs="仿宋_GB2312"/>
          <w:b w:val="0"/>
          <w:bCs w:val="0"/>
          <w:color w:val="auto"/>
          <w:spacing w:val="0"/>
          <w:w w:val="100"/>
          <w:position w:val="0"/>
          <w:sz w:val="32"/>
          <w:szCs w:val="32"/>
          <w:u w:val="none"/>
          <w:lang w:val="zh-TW" w:eastAsia="zh-CN"/>
        </w:rPr>
        <w:t>，</w:t>
      </w:r>
      <w:r>
        <w:rPr>
          <w:rFonts w:hint="eastAsia" w:ascii="仿宋_GB2312" w:hAnsi="仿宋_GB2312" w:eastAsia="仿宋_GB2312" w:cs="仿宋_GB2312"/>
          <w:b w:val="0"/>
          <w:bCs w:val="0"/>
          <w:color w:val="auto"/>
          <w:spacing w:val="0"/>
          <w:w w:val="100"/>
          <w:position w:val="0"/>
          <w:sz w:val="32"/>
          <w:szCs w:val="32"/>
          <w:u w:val="none"/>
          <w:shd w:val="clear" w:color="auto" w:fill="auto"/>
          <w:lang w:val="zh-TW" w:eastAsia="zh-TW" w:bidi="zh-TW"/>
        </w:rPr>
        <w:t>服务功能</w:t>
      </w:r>
      <w:r>
        <w:rPr>
          <w:rFonts w:hint="eastAsia" w:ascii="仿宋_GB2312" w:hAnsi="仿宋_GB2312" w:eastAsia="仿宋_GB2312" w:cs="仿宋_GB2312"/>
          <w:b w:val="0"/>
          <w:bCs w:val="0"/>
          <w:color w:val="auto"/>
          <w:spacing w:val="0"/>
          <w:w w:val="100"/>
          <w:position w:val="0"/>
          <w:sz w:val="32"/>
          <w:szCs w:val="32"/>
          <w:u w:val="none"/>
          <w:shd w:val="clear" w:color="auto" w:fill="auto"/>
          <w:lang w:val="zh-TW" w:eastAsia="zh-CN" w:bidi="zh-TW"/>
        </w:rPr>
        <w:t>和手段</w:t>
      </w:r>
      <w:r>
        <w:rPr>
          <w:rFonts w:hint="eastAsia" w:ascii="仿宋_GB2312" w:hAnsi="仿宋_GB2312" w:eastAsia="仿宋_GB2312" w:cs="仿宋_GB2312"/>
          <w:b w:val="0"/>
          <w:bCs w:val="0"/>
          <w:color w:val="auto"/>
          <w:spacing w:val="0"/>
          <w:w w:val="100"/>
          <w:position w:val="0"/>
          <w:sz w:val="32"/>
          <w:szCs w:val="32"/>
          <w:u w:val="none"/>
          <w:shd w:val="clear" w:color="auto" w:fill="auto"/>
          <w:lang w:val="zh-TW" w:eastAsia="zh-TW" w:bidi="zh-TW"/>
        </w:rPr>
        <w:t>逐步丰富</w:t>
      </w:r>
      <w:r>
        <w:rPr>
          <w:rFonts w:hint="eastAsia" w:ascii="仿宋_GB2312" w:hAnsi="仿宋_GB2312" w:eastAsia="仿宋_GB2312" w:cs="仿宋_GB2312"/>
          <w:b w:val="0"/>
          <w:bCs w:val="0"/>
          <w:color w:val="auto"/>
          <w:spacing w:val="0"/>
          <w:w w:val="100"/>
          <w:position w:val="0"/>
          <w:sz w:val="32"/>
          <w:szCs w:val="32"/>
          <w:u w:val="none"/>
          <w:lang w:eastAsia="zh-CN"/>
        </w:rPr>
        <w:t>。</w:t>
      </w:r>
      <w:r>
        <w:rPr>
          <w:rFonts w:hint="eastAsia" w:hAnsi="仿宋_GB2312" w:eastAsia="仿宋_GB2312" w:cs="仿宋_GB2312"/>
          <w:b w:val="0"/>
          <w:bCs w:val="0"/>
          <w:color w:val="auto"/>
          <w:spacing w:val="0"/>
          <w:w w:val="100"/>
          <w:position w:val="0"/>
          <w:sz w:val="32"/>
          <w:szCs w:val="32"/>
          <w:u w:val="none"/>
          <w:lang w:eastAsia="zh-CN"/>
        </w:rPr>
        <w:t>优化城乡社区服务设施布局和建设，按照构建城市社区“</w:t>
      </w:r>
      <w:r>
        <w:rPr>
          <w:rFonts w:hint="eastAsia" w:hAnsi="仿宋_GB2312" w:eastAsia="仿宋_GB2312" w:cs="仿宋_GB2312"/>
          <w:b w:val="0"/>
          <w:bCs w:val="0"/>
          <w:color w:val="auto"/>
          <w:spacing w:val="0"/>
          <w:w w:val="100"/>
          <w:position w:val="0"/>
          <w:sz w:val="32"/>
          <w:szCs w:val="32"/>
          <w:u w:val="none"/>
          <w:lang w:val="en-US" w:eastAsia="zh-CN"/>
        </w:rPr>
        <w:t>15分钟生活圈”、农村社区“半小时生活圈”要求，配建和完善城乡社区服务设施。</w:t>
      </w:r>
      <w:r>
        <w:rPr>
          <w:rFonts w:hint="eastAsia" w:ascii="仿宋_GB2312" w:hAnsi="仿宋_GB2312" w:eastAsia="仿宋_GB2312" w:cs="仿宋_GB2312"/>
          <w:b w:val="0"/>
          <w:bCs w:val="0"/>
          <w:color w:val="auto"/>
          <w:sz w:val="32"/>
          <w:szCs w:val="32"/>
          <w:u w:val="none"/>
          <w:lang w:eastAsia="zh-CN"/>
        </w:rPr>
        <w:t>开展“新时代新社区新生活”服务质量提升行动。培育扶持社区服务机构，引导市场主体和社会力量提供社区便民利民服务，满足社区居民多样化的服务需求。</w:t>
      </w:r>
      <w:r>
        <w:rPr>
          <w:rFonts w:hint="eastAsia" w:hAnsi="仿宋_GB2312" w:eastAsia="仿宋_GB2312" w:cs="仿宋_GB2312"/>
          <w:b w:val="0"/>
          <w:bCs w:val="0"/>
          <w:color w:val="auto"/>
          <w:sz w:val="32"/>
          <w:szCs w:val="32"/>
          <w:u w:val="none"/>
          <w:lang w:eastAsia="zh-CN"/>
        </w:rPr>
        <w:t>促进</w:t>
      </w:r>
      <w:r>
        <w:rPr>
          <w:rFonts w:hint="eastAsia" w:ascii="仿宋_GB2312" w:hAnsi="仿宋_GB2312" w:eastAsia="仿宋_GB2312" w:cs="仿宋_GB2312"/>
          <w:b w:val="0"/>
          <w:bCs w:val="0"/>
          <w:color w:val="auto"/>
          <w:sz w:val="32"/>
          <w:szCs w:val="32"/>
          <w:u w:val="none"/>
        </w:rPr>
        <w:t>“互联网+社区” 发展，</w:t>
      </w:r>
      <w:r>
        <w:rPr>
          <w:rFonts w:hint="eastAsia" w:hAnsi="仿宋_GB2312" w:eastAsia="仿宋_GB2312" w:cs="仿宋_GB2312"/>
          <w:b w:val="0"/>
          <w:bCs w:val="0"/>
          <w:color w:val="auto"/>
          <w:sz w:val="32"/>
          <w:szCs w:val="32"/>
          <w:u w:val="none"/>
          <w:lang w:eastAsia="zh-CN"/>
        </w:rPr>
        <w:t>提高社区信息化管理和服务水平，</w:t>
      </w:r>
      <w:r>
        <w:rPr>
          <w:rFonts w:hint="eastAsia" w:ascii="仿宋_GB2312" w:hAnsi="仿宋_GB2312" w:eastAsia="仿宋_GB2312" w:cs="仿宋_GB2312"/>
          <w:b w:val="0"/>
          <w:bCs w:val="0"/>
          <w:color w:val="auto"/>
          <w:sz w:val="32"/>
          <w:szCs w:val="32"/>
          <w:u w:val="none"/>
        </w:rPr>
        <w:t>打造“智慧社区”。加强城乡社区专职工作者队伍建设，推进招聘、培训、使用、薪酬、考评等制度化</w:t>
      </w:r>
      <w:r>
        <w:rPr>
          <w:rFonts w:hint="eastAsia"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促进队伍规范化、专业化、职业化。</w:t>
      </w:r>
      <w:r>
        <w:rPr>
          <w:rFonts w:hint="eastAsia" w:hAnsi="仿宋_GB2312" w:eastAsia="仿宋_GB2312" w:cs="仿宋_GB2312"/>
          <w:b w:val="0"/>
          <w:bCs w:val="0"/>
          <w:color w:val="auto"/>
          <w:sz w:val="32"/>
          <w:szCs w:val="32"/>
          <w:u w:val="none"/>
          <w:lang w:eastAsia="zh-CN"/>
        </w:rPr>
        <w:t>健全薪酬正常增长机制，社区工作者平均薪酬不低于上年度全市全口径就业人员平均工资水平。建立岗位等级序列，配齐社区工作力量。</w:t>
      </w:r>
      <w:r>
        <w:rPr>
          <w:rFonts w:hint="eastAsia" w:ascii="仿宋_GB2312" w:hAnsi="仿宋_GB2312" w:eastAsia="仿宋_GB2312" w:cs="仿宋_GB2312"/>
          <w:b w:val="0"/>
          <w:bCs w:val="0"/>
          <w:color w:val="auto"/>
          <w:sz w:val="32"/>
          <w:szCs w:val="32"/>
          <w:u w:val="none"/>
        </w:rPr>
        <w:t>逐步提高</w:t>
      </w:r>
      <w:r>
        <w:rPr>
          <w:rFonts w:hint="eastAsia" w:hAnsi="仿宋_GB2312" w:eastAsia="仿宋_GB2312" w:cs="仿宋_GB2312"/>
          <w:b w:val="0"/>
          <w:bCs w:val="0"/>
          <w:color w:val="auto"/>
          <w:sz w:val="32"/>
          <w:szCs w:val="32"/>
          <w:u w:val="none"/>
          <w:lang w:eastAsia="zh-CN"/>
        </w:rPr>
        <w:t>城市</w:t>
      </w:r>
      <w:r>
        <w:rPr>
          <w:rFonts w:hint="eastAsia" w:ascii="仿宋_GB2312" w:hAnsi="仿宋_GB2312" w:eastAsia="仿宋_GB2312" w:cs="仿宋_GB2312"/>
          <w:b w:val="0"/>
          <w:bCs w:val="0"/>
          <w:color w:val="auto"/>
          <w:sz w:val="32"/>
          <w:szCs w:val="32"/>
          <w:u w:val="none"/>
        </w:rPr>
        <w:t>社区工作者队伍中持有社工资格证书的人员比例，力争到2025年底达</w:t>
      </w:r>
      <w:r>
        <w:rPr>
          <w:rFonts w:hint="eastAsia" w:ascii="仿宋_GB2312" w:hAnsi="仿宋_GB2312" w:eastAsia="仿宋_GB2312" w:cs="仿宋_GB2312"/>
          <w:b w:val="0"/>
          <w:bCs w:val="0"/>
          <w:color w:val="auto"/>
          <w:sz w:val="32"/>
          <w:szCs w:val="32"/>
          <w:u w:val="none"/>
          <w:lang w:val="en-US" w:eastAsia="zh-CN"/>
        </w:rPr>
        <w:t>30</w:t>
      </w:r>
      <w:r>
        <w:rPr>
          <w:rFonts w:hint="eastAsia" w:ascii="仿宋_GB2312" w:hAnsi="仿宋_GB2312" w:eastAsia="仿宋_GB2312" w:cs="仿宋_GB2312"/>
          <w:b w:val="0"/>
          <w:bCs w:val="0"/>
          <w:color w:val="auto"/>
          <w:sz w:val="32"/>
          <w:szCs w:val="32"/>
          <w:u w:val="none"/>
        </w:rPr>
        <w:t>%。开展社区工作者职业培养计划，建立渐进式职业化人才培养机制，构建社区工作者质优培养“成长链”。</w:t>
      </w:r>
    </w:p>
    <w:tbl>
      <w:tblPr>
        <w:tblStyle w:val="17"/>
        <w:tblpPr w:leftFromText="180" w:rightFromText="180" w:vertAnchor="text" w:tblpXSpec="center" w:tblpY="1"/>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798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9060" w:type="dxa"/>
            <w:vAlign w:val="center"/>
          </w:tcPr>
          <w:p w14:paraId="221A6C87">
            <w:pPr>
              <w:keepNext w:val="0"/>
              <w:keepLines w:val="0"/>
              <w:pageBreakBefore w:val="0"/>
              <w:suppressLineNumbers w:val="0"/>
              <w:kinsoku/>
              <w:wordWrap/>
              <w:topLinePunct w:val="0"/>
              <w:bidi w:val="0"/>
              <w:snapToGrid w:val="0"/>
              <w:spacing w:before="0" w:beforeAutospacing="0" w:after="0" w:afterAutospacing="0" w:line="600" w:lineRule="exact"/>
              <w:ind w:left="0" w:right="0"/>
              <w:jc w:val="center"/>
              <w:textAlignment w:val="auto"/>
              <w:rPr>
                <w:rFonts w:hint="default" w:ascii="Times New Roman" w:eastAsia="楷体_GB2312"/>
                <w:color w:val="auto"/>
                <w:u w:val="none"/>
              </w:rPr>
            </w:pPr>
            <w:bookmarkStart w:id="96" w:name="_Toc23830"/>
            <w:bookmarkStart w:id="97" w:name="_Toc27377"/>
            <w:bookmarkStart w:id="98" w:name="_Toc8786"/>
            <w:r>
              <w:rPr>
                <w:rFonts w:hint="default" w:ascii="Times New Roman" w:eastAsia="楷体_GB2312"/>
                <w:b/>
                <w:color w:val="auto"/>
                <w:u w:val="none"/>
              </w:rPr>
              <w:t>专栏</w:t>
            </w:r>
            <w:r>
              <w:rPr>
                <w:rFonts w:hint="eastAsia" w:ascii="Times New Roman" w:eastAsia="楷体_GB2312"/>
                <w:b/>
                <w:color w:val="auto"/>
                <w:u w:val="none"/>
                <w:lang w:val="en-US" w:eastAsia="zh-CN"/>
              </w:rPr>
              <w:t>5</w:t>
            </w:r>
            <w:r>
              <w:rPr>
                <w:rFonts w:hint="default" w:ascii="Times New Roman" w:eastAsia="楷体_GB2312"/>
                <w:b/>
                <w:color w:val="auto"/>
                <w:u w:val="none"/>
              </w:rPr>
              <w:t xml:space="preserve">  社区工作者队伍建设工程</w:t>
            </w:r>
          </w:p>
        </w:tc>
      </w:tr>
      <w:tr w14:paraId="775C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exact"/>
        </w:trPr>
        <w:tc>
          <w:tcPr>
            <w:tcW w:w="9060" w:type="dxa"/>
            <w:vAlign w:val="center"/>
          </w:tcPr>
          <w:p w14:paraId="6E9036EB">
            <w:pPr>
              <w:keepNext w:val="0"/>
              <w:keepLines w:val="0"/>
              <w:pageBreakBefore w:val="0"/>
              <w:widowControl w:val="0"/>
              <w:suppressLineNumbers w:val="0"/>
              <w:pBdr>
                <w:top w:val="none" w:color="000000" w:sz="0" w:space="0"/>
                <w:left w:val="none" w:color="000000" w:sz="0" w:space="0"/>
                <w:bottom w:val="none" w:color="000000" w:sz="0" w:space="31"/>
                <w:right w:val="none" w:color="000000" w:sz="0" w:space="0"/>
              </w:pBdr>
              <w:tabs>
                <w:tab w:val="left" w:pos="954"/>
              </w:tabs>
              <w:kinsoku/>
              <w:wordWrap/>
              <w:overflowPunct w:val="0"/>
              <w:topLinePunct w:val="0"/>
              <w:autoSpaceDE w:val="0"/>
              <w:autoSpaceDN w:val="0"/>
              <w:bidi w:val="0"/>
              <w:adjustRightInd w:val="0"/>
              <w:snapToGrid w:val="0"/>
              <w:spacing w:before="0" w:beforeAutospacing="0" w:after="0" w:afterAutospacing="0" w:line="400" w:lineRule="exact"/>
              <w:ind w:left="0" w:right="0" w:firstLine="552" w:firstLineChars="200"/>
              <w:textAlignment w:val="auto"/>
              <w:rPr>
                <w:rFonts w:hint="default" w:hAnsi="仿宋_GB2312" w:eastAsia="仿宋_GB2312"/>
                <w:b/>
                <w:bCs/>
                <w:color w:val="auto"/>
                <w:kern w:val="0"/>
                <w:sz w:val="28"/>
                <w:szCs w:val="28"/>
                <w:u w:val="none"/>
                <w:lang w:val="en-US" w:eastAsia="zh-CN"/>
              </w:rPr>
            </w:pPr>
            <w:r>
              <w:rPr>
                <w:rFonts w:hint="eastAsia" w:hAnsi="仿宋_GB2312"/>
                <w:b/>
                <w:bCs/>
                <w:color w:val="auto"/>
                <w:kern w:val="0"/>
                <w:sz w:val="28"/>
                <w:szCs w:val="28"/>
                <w:u w:val="none"/>
                <w:lang w:val="en-US" w:eastAsia="zh-CN"/>
              </w:rPr>
              <w:t>1.社区示范创建工程。</w:t>
            </w:r>
            <w:r>
              <w:rPr>
                <w:rFonts w:hint="eastAsia" w:hAnsi="仿宋_GB2312"/>
                <w:b w:val="0"/>
                <w:bCs w:val="0"/>
                <w:color w:val="auto"/>
                <w:kern w:val="0"/>
                <w:sz w:val="28"/>
                <w:szCs w:val="28"/>
                <w:u w:val="none"/>
                <w:lang w:val="en-US" w:eastAsia="zh-CN"/>
              </w:rPr>
              <w:t>结合乡村振兴、老旧改造等重点工作，建设10个社区治理体系和治理能力现代化示范点，推动社区治理体制机制创新。</w:t>
            </w:r>
          </w:p>
          <w:p w14:paraId="4234F609">
            <w:pPr>
              <w:keepNext w:val="0"/>
              <w:keepLines w:val="0"/>
              <w:pageBreakBefore w:val="0"/>
              <w:widowControl w:val="0"/>
              <w:suppressLineNumbers w:val="0"/>
              <w:pBdr>
                <w:top w:val="none" w:color="000000" w:sz="0" w:space="0"/>
                <w:left w:val="none" w:color="000000" w:sz="0" w:space="0"/>
                <w:bottom w:val="none" w:color="000000" w:sz="0" w:space="31"/>
                <w:right w:val="none" w:color="000000" w:sz="0" w:space="0"/>
              </w:pBdr>
              <w:tabs>
                <w:tab w:val="left" w:pos="954"/>
              </w:tabs>
              <w:kinsoku/>
              <w:wordWrap/>
              <w:overflowPunct w:val="0"/>
              <w:topLinePunct w:val="0"/>
              <w:autoSpaceDE w:val="0"/>
              <w:autoSpaceDN w:val="0"/>
              <w:bidi w:val="0"/>
              <w:adjustRightInd w:val="0"/>
              <w:snapToGrid w:val="0"/>
              <w:spacing w:before="0" w:beforeAutospacing="0" w:after="0" w:afterAutospacing="0" w:line="400" w:lineRule="exact"/>
              <w:ind w:left="0" w:right="0" w:firstLine="552" w:firstLineChars="200"/>
              <w:textAlignment w:val="auto"/>
              <w:rPr>
                <w:rFonts w:hint="default" w:hAnsi="仿宋_GB2312"/>
                <w:color w:val="auto"/>
                <w:u w:val="none"/>
              </w:rPr>
            </w:pPr>
            <w:r>
              <w:rPr>
                <w:rFonts w:hint="eastAsia" w:hAnsi="仿宋_GB2312"/>
                <w:b/>
                <w:bCs/>
                <w:color w:val="auto"/>
                <w:kern w:val="0"/>
                <w:sz w:val="28"/>
                <w:szCs w:val="28"/>
                <w:u w:val="none"/>
                <w:lang w:val="en-US" w:eastAsia="zh-CN"/>
              </w:rPr>
              <w:t>2.</w:t>
            </w:r>
            <w:r>
              <w:rPr>
                <w:rFonts w:hint="default" w:hAnsi="仿宋_GB2312"/>
                <w:b/>
                <w:bCs/>
                <w:color w:val="auto"/>
                <w:kern w:val="0"/>
                <w:sz w:val="28"/>
                <w:szCs w:val="28"/>
                <w:u w:val="none"/>
              </w:rPr>
              <w:t>实施社区</w:t>
            </w:r>
            <w:r>
              <w:rPr>
                <w:rFonts w:hint="eastAsia" w:hAnsi="仿宋_GB2312"/>
                <w:b/>
                <w:bCs/>
                <w:color w:val="auto"/>
                <w:kern w:val="0"/>
                <w:sz w:val="28"/>
                <w:szCs w:val="28"/>
                <w:u w:val="none"/>
                <w:lang w:eastAsia="zh-CN"/>
              </w:rPr>
              <w:t>人才</w:t>
            </w:r>
            <w:r>
              <w:rPr>
                <w:rFonts w:hint="default" w:hAnsi="仿宋_GB2312"/>
                <w:b/>
                <w:bCs/>
                <w:color w:val="auto"/>
                <w:kern w:val="0"/>
                <w:sz w:val="28"/>
                <w:szCs w:val="28"/>
                <w:u w:val="none"/>
              </w:rPr>
              <w:t>建设工程。</w:t>
            </w:r>
            <w:r>
              <w:rPr>
                <w:rFonts w:hint="eastAsia" w:hAnsi="仿宋_GB2312"/>
                <w:b w:val="0"/>
                <w:bCs w:val="0"/>
                <w:color w:val="auto"/>
                <w:kern w:val="0"/>
                <w:sz w:val="28"/>
                <w:szCs w:val="28"/>
                <w:u w:val="none"/>
                <w:lang w:val="en-US" w:eastAsia="zh-CN"/>
              </w:rPr>
              <w:t>实施城乡社区工作者治理能力提升计划，培育100名以上的社区治理骨干，提升社区治理和服务能力。</w:t>
            </w:r>
          </w:p>
        </w:tc>
      </w:tr>
    </w:tbl>
    <w:p w14:paraId="7E7C1EAF">
      <w:pPr>
        <w:pStyle w:val="6"/>
        <w:keepNext w:val="0"/>
        <w:keepLines w:val="0"/>
        <w:pageBreakBefore w:val="0"/>
        <w:widowControl w:val="0"/>
        <w:kinsoku/>
        <w:wordWrap/>
        <w:overflowPunct/>
        <w:topLinePunct w:val="0"/>
        <w:autoSpaceDE/>
        <w:autoSpaceDN/>
        <w:bidi w:val="0"/>
        <w:adjustRightInd/>
        <w:snapToGrid w:val="0"/>
        <w:spacing w:line="600" w:lineRule="exact"/>
        <w:ind w:left="0" w:leftChars="0" w:firstLine="632" w:firstLineChars="200"/>
        <w:textAlignment w:val="auto"/>
        <w:rPr>
          <w:rFonts w:ascii="Times New Roman"/>
          <w:color w:val="auto"/>
          <w:u w:val="none"/>
        </w:rPr>
      </w:pPr>
      <w:bookmarkStart w:id="99" w:name="_Toc86940120"/>
      <w:r>
        <w:rPr>
          <w:rStyle w:val="22"/>
          <w:rFonts w:ascii="Times New Roman" w:hAnsi="Times New Roman"/>
          <w:b/>
          <w:bCs/>
          <w:color w:val="auto"/>
          <w:u w:val="none"/>
        </w:rPr>
        <w:t>2.规范社会组织发展</w:t>
      </w:r>
      <w:bookmarkEnd w:id="96"/>
      <w:bookmarkEnd w:id="97"/>
      <w:bookmarkEnd w:id="98"/>
      <w:bookmarkEnd w:id="99"/>
      <w:r>
        <w:rPr>
          <w:rStyle w:val="22"/>
          <w:rFonts w:hint="eastAsia" w:ascii="Times New Roman" w:hAnsi="Times New Roman"/>
          <w:b/>
          <w:bCs/>
          <w:color w:val="auto"/>
          <w:u w:val="none"/>
          <w:lang w:eastAsia="zh-CN"/>
        </w:rPr>
        <w:t>。</w:t>
      </w:r>
      <w:r>
        <w:rPr>
          <w:rFonts w:hint="eastAsia" w:ascii="仿宋_GB2312" w:hAnsi="仿宋_GB2312" w:eastAsia="仿宋_GB2312" w:cs="仿宋_GB2312"/>
          <w:b/>
          <w:bCs/>
          <w:color w:val="auto"/>
          <w:u w:val="none"/>
        </w:rPr>
        <w:t>一是</w:t>
      </w:r>
      <w:r>
        <w:rPr>
          <w:rFonts w:hint="eastAsia" w:ascii="仿宋_GB2312" w:hAnsi="仿宋_GB2312" w:eastAsia="仿宋_GB2312" w:cs="仿宋_GB2312"/>
          <w:color w:val="auto"/>
          <w:u w:val="none"/>
        </w:rPr>
        <w:t>完善社会组织制度建设。创新党建管理模式，加强党对社会组织领导。深入推动社会组织管理制度改革，在社会组织党建、登记、管理、培育发展等方面，建立健全社会组织制度体系。</w:t>
      </w:r>
      <w:r>
        <w:rPr>
          <w:rFonts w:hint="eastAsia" w:ascii="仿宋_GB2312" w:hAnsi="仿宋_GB2312" w:eastAsia="仿宋_GB2312" w:cs="仿宋_GB2312"/>
          <w:b/>
          <w:bCs/>
          <w:color w:val="auto"/>
          <w:u w:val="none"/>
        </w:rPr>
        <w:t>二是</w:t>
      </w:r>
      <w:r>
        <w:rPr>
          <w:rFonts w:hint="eastAsia" w:ascii="仿宋_GB2312" w:hAnsi="仿宋_GB2312" w:eastAsia="仿宋_GB2312" w:cs="仿宋_GB2312"/>
          <w:color w:val="auto"/>
          <w:u w:val="none"/>
        </w:rPr>
        <w:t>创新社会组织监管机制。推动社会组织监管从注重事前监管向事中事后监管转变，推动社会组织实施精细化、信息化管理。推动“互联网+监管”，加强社会组织大数据管理，完善社会组织管理与服务信息化平台。</w:t>
      </w:r>
      <w:r>
        <w:rPr>
          <w:rFonts w:hint="eastAsia" w:ascii="仿宋_GB2312" w:hAnsi="仿宋_GB2312" w:eastAsia="仿宋_GB2312" w:cs="仿宋_GB2312"/>
          <w:color w:val="auto"/>
          <w:u w:val="none"/>
          <w:lang w:eastAsia="zh-CN"/>
        </w:rPr>
        <w:t>组织完善“</w:t>
      </w:r>
      <w:r>
        <w:rPr>
          <w:rFonts w:hint="eastAsia" w:ascii="仿宋_GB2312" w:hAnsi="仿宋_GB2312" w:eastAsia="仿宋_GB2312" w:cs="仿宋_GB2312"/>
          <w:color w:val="auto"/>
          <w:u w:val="none"/>
          <w:lang w:val="en-US" w:eastAsia="zh-CN"/>
        </w:rPr>
        <w:t>1+8”监管体系，</w:t>
      </w:r>
      <w:r>
        <w:rPr>
          <w:rFonts w:hint="eastAsia" w:ascii="仿宋_GB2312" w:hAnsi="仿宋_GB2312" w:eastAsia="仿宋_GB2312" w:cs="仿宋_GB2312"/>
          <w:color w:val="auto"/>
          <w:u w:val="none"/>
        </w:rPr>
        <w:t>推进社会组织信用综合监管，实施跨部门联合惩戒。落实社会组织资金监管机制，探索开展对社会组织“双随机</w:t>
      </w:r>
      <w:r>
        <w:rPr>
          <w:rFonts w:hint="eastAsia" w:cs="仿宋_GB2312"/>
          <w:color w:val="auto"/>
          <w:u w:val="none"/>
          <w:lang w:eastAsia="zh-CN"/>
        </w:rPr>
        <w:t>、</w:t>
      </w:r>
      <w:r>
        <w:rPr>
          <w:rFonts w:hint="eastAsia" w:ascii="仿宋_GB2312" w:hAnsi="仿宋_GB2312" w:eastAsia="仿宋_GB2312" w:cs="仿宋_GB2312"/>
          <w:color w:val="auto"/>
          <w:u w:val="none"/>
        </w:rPr>
        <w:t>一公开”联合检查和专项抽查审计的现场联合检查工作。探索组建社会组织执法队伍，加大执法监督力度。建立打击整治非法社会组织联动机制和部门联络员制度，推动打击整治违法社会组织工作进入常态化，加强社会组织风险管控</w:t>
      </w:r>
      <w:r>
        <w:rPr>
          <w:rFonts w:hint="eastAsia" w:ascii="仿宋_GB2312" w:hAnsi="仿宋_GB2312" w:eastAsia="仿宋_GB2312" w:cs="仿宋_GB2312"/>
          <w:color w:val="auto"/>
          <w:u w:val="none"/>
          <w:lang w:eastAsia="zh-CN"/>
        </w:rPr>
        <w:t>，特别是社会组织意识形态防控，通过完善重大活动报备制度、审计、年报等制度加强防控</w:t>
      </w:r>
      <w:r>
        <w:rPr>
          <w:rFonts w:hint="eastAsia" w:ascii="仿宋_GB2312" w:hAnsi="仿宋_GB2312" w:eastAsia="仿宋_GB2312" w:cs="仿宋_GB2312"/>
          <w:color w:val="auto"/>
          <w:u w:val="none"/>
        </w:rPr>
        <w:t>。</w:t>
      </w:r>
      <w:r>
        <w:rPr>
          <w:rFonts w:hint="eastAsia" w:ascii="仿宋_GB2312" w:hAnsi="仿宋_GB2312" w:eastAsia="仿宋_GB2312" w:cs="仿宋_GB2312"/>
          <w:b/>
          <w:bCs/>
          <w:color w:val="auto"/>
          <w:u w:val="none"/>
        </w:rPr>
        <w:t>三是</w:t>
      </w:r>
      <w:r>
        <w:rPr>
          <w:rFonts w:hint="eastAsia" w:ascii="仿宋_GB2312" w:hAnsi="仿宋_GB2312" w:eastAsia="仿宋_GB2312" w:cs="仿宋_GB2312"/>
          <w:color w:val="auto"/>
          <w:u w:val="none"/>
        </w:rPr>
        <w:t>提升社会组织发展质量。构建社会组织高质量发展培育体系，完善社区社会组织培育发展机制。</w:t>
      </w:r>
      <w:r>
        <w:rPr>
          <w:rFonts w:hint="eastAsia" w:ascii="仿宋_GB2312" w:hAnsi="仿宋_GB2312" w:eastAsia="仿宋_GB2312" w:cs="仿宋_GB2312"/>
          <w:color w:val="auto"/>
          <w:u w:val="none"/>
          <w:lang w:eastAsia="zh-CN"/>
        </w:rPr>
        <w:t>推动各镇街成立枢纽型社区社会组织管理机构，做好镇街社区社会组织的备案、管理工作。</w:t>
      </w:r>
      <w:r>
        <w:rPr>
          <w:rFonts w:hint="eastAsia" w:ascii="仿宋_GB2312" w:hAnsi="仿宋_GB2312" w:eastAsia="仿宋_GB2312" w:cs="仿宋_GB2312"/>
          <w:color w:val="auto"/>
          <w:u w:val="none"/>
        </w:rPr>
        <w:t>推动完善社会组织人才培养、资金扶持、品牌创建、政策优惠等体系建设。促进社会组织自身发展，提升项目筹划、资金筹措、运营管理能力。开展社会组织等级评估，以评促建，加大资源向优质社会组织倾斜力度，推动社会组织提质增效。注重社会组织品牌建设，在政策、资金等方面加大支持力度。着力培育一批党建引领好、内部治理好、服务能力好、社会公信力好、示范作用好的品牌社会组织，促进社会组织发展由数量规模型向质量效益型深度转变。</w:t>
      </w:r>
      <w:r>
        <w:rPr>
          <w:rFonts w:hint="eastAsia" w:ascii="仿宋_GB2312" w:hAnsi="仿宋_GB2312" w:eastAsia="仿宋_GB2312" w:cs="仿宋_GB2312"/>
          <w:b/>
          <w:bCs/>
          <w:color w:val="auto"/>
          <w:u w:val="none"/>
        </w:rPr>
        <w:t>四是</w:t>
      </w:r>
      <w:r>
        <w:rPr>
          <w:rFonts w:ascii="Times New Roman"/>
          <w:color w:val="auto"/>
          <w:u w:val="none"/>
        </w:rPr>
        <w:t>强化社会组织服务功能。充分发挥社会组织服务国家、服务社会、服务群众、服务行业的作用，引导社会组织规范有序参与粤港澳大湾区建设，在乡村振兴、完善公共服务、应对突发公共事件、参与社会治理等方面发挥积极作用。建立</w:t>
      </w:r>
      <w:r>
        <w:rPr>
          <w:rFonts w:hint="eastAsia" w:ascii="Times New Roman"/>
          <w:color w:val="auto"/>
          <w:u w:val="none"/>
          <w:lang w:eastAsia="zh-CN"/>
        </w:rPr>
        <w:t>各级政府</w:t>
      </w:r>
      <w:r>
        <w:rPr>
          <w:rFonts w:ascii="Times New Roman"/>
          <w:color w:val="auto"/>
          <w:u w:val="none"/>
        </w:rPr>
        <w:t>购买服务机制，鼓励社会组织承接公共服务项目。支持社会组织服务民营经济发展，营造良好营商环境，激发社会组织创新能力。</w:t>
      </w:r>
    </w:p>
    <w:tbl>
      <w:tblPr>
        <w:tblStyle w:val="1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2987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060" w:type="dxa"/>
            <w:vAlign w:val="center"/>
          </w:tcPr>
          <w:p w14:paraId="43FEF282">
            <w:pPr>
              <w:keepNext w:val="0"/>
              <w:keepLines w:val="0"/>
              <w:pageBreakBefore w:val="0"/>
              <w:suppressLineNumbers w:val="0"/>
              <w:kinsoku/>
              <w:wordWrap/>
              <w:topLinePunct w:val="0"/>
              <w:bidi w:val="0"/>
              <w:snapToGrid w:val="0"/>
              <w:spacing w:before="0" w:beforeAutospacing="0" w:after="0" w:afterAutospacing="0" w:line="600" w:lineRule="exact"/>
              <w:ind w:left="0" w:right="0"/>
              <w:jc w:val="center"/>
              <w:textAlignment w:val="auto"/>
              <w:rPr>
                <w:rFonts w:hint="default" w:ascii="Times New Roman" w:eastAsia="楷体_GB2312"/>
                <w:color w:val="auto"/>
                <w:u w:val="none"/>
              </w:rPr>
            </w:pPr>
            <w:bookmarkStart w:id="100" w:name="_Toc15112"/>
            <w:bookmarkStart w:id="101" w:name="_Toc26274"/>
            <w:bookmarkStart w:id="102" w:name="_Toc24627"/>
            <w:r>
              <w:rPr>
                <w:rFonts w:hint="default" w:ascii="Times New Roman" w:eastAsia="楷体_GB2312"/>
                <w:b/>
                <w:color w:val="auto"/>
                <w:u w:val="none"/>
              </w:rPr>
              <w:t>专栏</w:t>
            </w:r>
            <w:r>
              <w:rPr>
                <w:rFonts w:hint="eastAsia" w:ascii="Times New Roman" w:eastAsia="楷体_GB2312"/>
                <w:b/>
                <w:color w:val="auto"/>
                <w:u w:val="none"/>
                <w:lang w:val="en-US" w:eastAsia="zh-CN"/>
              </w:rPr>
              <w:t>6</w:t>
            </w:r>
            <w:r>
              <w:rPr>
                <w:rFonts w:hint="default" w:ascii="Times New Roman" w:eastAsia="楷体_GB2312"/>
                <w:b/>
                <w:color w:val="auto"/>
                <w:u w:val="none"/>
              </w:rPr>
              <w:t xml:space="preserve">  社区社会组织示范点工程</w:t>
            </w:r>
          </w:p>
        </w:tc>
      </w:tr>
      <w:tr w14:paraId="0DC8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9060" w:type="dxa"/>
            <w:vAlign w:val="center"/>
          </w:tcPr>
          <w:p w14:paraId="7577576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default" w:hAnsi="仿宋_GB2312"/>
                <w:b/>
                <w:bCs/>
                <w:color w:val="auto"/>
                <w:u w:val="none"/>
              </w:rPr>
            </w:pPr>
            <w:r>
              <w:rPr>
                <w:rFonts w:hint="eastAsia" w:hAnsi="仿宋_GB2312"/>
                <w:b/>
                <w:bCs/>
                <w:color w:val="auto"/>
                <w:sz w:val="28"/>
                <w:szCs w:val="28"/>
                <w:u w:val="none"/>
              </w:rPr>
              <w:t xml:space="preserve"> </w:t>
            </w:r>
            <w:r>
              <w:rPr>
                <w:rFonts w:hint="default" w:hAnsi="仿宋_GB2312"/>
                <w:b/>
                <w:bCs/>
                <w:color w:val="auto"/>
                <w:sz w:val="28"/>
                <w:szCs w:val="28"/>
                <w:u w:val="none"/>
              </w:rPr>
              <w:t xml:space="preserve">   创建社区社会组织示范点工程。</w:t>
            </w:r>
            <w:r>
              <w:rPr>
                <w:rFonts w:hint="default" w:hAnsi="仿宋_GB2312"/>
                <w:bCs/>
                <w:color w:val="auto"/>
                <w:sz w:val="28"/>
                <w:szCs w:val="28"/>
                <w:u w:val="none"/>
              </w:rPr>
              <w:t>大力培育发展社区社会组织，完善社区社会组织培育发展机制，提升社区社会组织自身发展能力，提高社区社会组织参与基层治理水平，加强社区社会组织规范管理。力争到2025年底，每个镇街至少有1个枢纽型的社区社会组织。</w:t>
            </w:r>
          </w:p>
        </w:tc>
      </w:tr>
    </w:tbl>
    <w:p w14:paraId="6B64B8A3">
      <w:pPr>
        <w:pStyle w:val="6"/>
        <w:keepNext w:val="0"/>
        <w:keepLines w:val="0"/>
        <w:pageBreakBefore w:val="0"/>
        <w:widowControl w:val="0"/>
        <w:kinsoku/>
        <w:wordWrap/>
        <w:overflowPunct/>
        <w:topLinePunct w:val="0"/>
        <w:autoSpaceDE/>
        <w:autoSpaceDN/>
        <w:bidi w:val="0"/>
        <w:adjustRightInd/>
        <w:snapToGrid w:val="0"/>
        <w:spacing w:line="600" w:lineRule="exact"/>
        <w:ind w:firstLine="634"/>
        <w:textAlignment w:val="auto"/>
        <w:rPr>
          <w:rFonts w:ascii="Times New Roman"/>
          <w:color w:val="auto"/>
          <w:u w:val="none"/>
        </w:rPr>
      </w:pPr>
      <w:bookmarkStart w:id="103" w:name="_Toc86940121"/>
      <w:r>
        <w:rPr>
          <w:rStyle w:val="22"/>
          <w:rFonts w:ascii="Times New Roman" w:hAnsi="Times New Roman"/>
          <w:b/>
          <w:bCs/>
          <w:color w:val="auto"/>
          <w:u w:val="none"/>
        </w:rPr>
        <w:t>3.</w:t>
      </w:r>
      <w:bookmarkEnd w:id="100"/>
      <w:bookmarkEnd w:id="101"/>
      <w:bookmarkEnd w:id="102"/>
      <w:r>
        <w:rPr>
          <w:rFonts w:ascii="Times New Roman"/>
          <w:b/>
          <w:bCs/>
          <w:color w:val="auto"/>
          <w:u w:val="none"/>
        </w:rPr>
        <w:t>加强社工人才队伍建设</w:t>
      </w:r>
      <w:bookmarkEnd w:id="103"/>
      <w:r>
        <w:rPr>
          <w:rFonts w:hint="eastAsia" w:ascii="Times New Roman"/>
          <w:b/>
          <w:bCs/>
          <w:color w:val="auto"/>
          <w:u w:val="none"/>
          <w:lang w:eastAsia="zh-CN"/>
        </w:rPr>
        <w:t>。</w:t>
      </w:r>
      <w:r>
        <w:rPr>
          <w:rFonts w:hint="eastAsia" w:ascii="仿宋_GB2312" w:hAnsi="仿宋_GB2312" w:eastAsia="仿宋_GB2312" w:cs="仿宋_GB2312"/>
          <w:b/>
          <w:bCs/>
          <w:color w:val="auto"/>
          <w:u w:val="none"/>
        </w:rPr>
        <w:t>一是</w:t>
      </w:r>
      <w:r>
        <w:rPr>
          <w:rFonts w:hint="eastAsia" w:ascii="仿宋_GB2312" w:hAnsi="仿宋_GB2312" w:eastAsia="仿宋_GB2312" w:cs="仿宋_GB2312"/>
          <w:color w:val="auto"/>
          <w:u w:val="none"/>
        </w:rPr>
        <w:t>实施“兜底民生服务社会工作双百工程”。建设一支初具规模、结构合理的镇（街）社会工作专业人才队伍，实现我市镇（街）社会工作服务站（点）100%覆盖、困难群众和特殊群体社会工作服务100%覆盖。</w:t>
      </w:r>
      <w:r>
        <w:rPr>
          <w:rFonts w:hint="eastAsia" w:ascii="仿宋_GB2312" w:hAnsi="仿宋_GB2312" w:eastAsia="仿宋_GB2312" w:cs="仿宋_GB2312"/>
          <w:b/>
          <w:bCs/>
          <w:color w:val="auto"/>
          <w:u w:val="none"/>
        </w:rPr>
        <w:t>二是</w:t>
      </w:r>
      <w:r>
        <w:rPr>
          <w:rFonts w:hint="eastAsia" w:ascii="仿宋_GB2312" w:hAnsi="仿宋_GB2312" w:eastAsia="仿宋_GB2312" w:cs="仿宋_GB2312"/>
          <w:color w:val="auto"/>
          <w:u w:val="none"/>
        </w:rPr>
        <w:t>发挥社会工作的专业优势。引导社会工作专业人才以社区为平台、以家庭为载体，为低保对象、特困人员、困境儿童、特殊困难老年人等各类特殊群体，提供人文关怀、心理疏导、资源链接、社会融入等专业服务，增强困难群众和特殊群体内生动力和自我发展能力。</w:t>
      </w:r>
      <w:r>
        <w:rPr>
          <w:rFonts w:hint="eastAsia" w:ascii="仿宋_GB2312" w:hAnsi="仿宋_GB2312" w:eastAsia="仿宋_GB2312" w:cs="仿宋_GB2312"/>
          <w:b/>
          <w:bCs/>
          <w:color w:val="auto"/>
          <w:u w:val="none"/>
        </w:rPr>
        <w:t>三是</w:t>
      </w:r>
      <w:r>
        <w:rPr>
          <w:rFonts w:hint="eastAsia" w:ascii="仿宋_GB2312" w:hAnsi="仿宋_GB2312" w:eastAsia="仿宋_GB2312" w:cs="仿宋_GB2312"/>
          <w:color w:val="auto"/>
          <w:u w:val="none"/>
        </w:rPr>
        <w:t>加强社工队伍建设。发挥党建引领作用，筑牢社会工作人才意识形态防线。实施社会工作人才专业化培养工程，逐步培养使用本土社工督导人才，配合做好领军人才遴选，开展优秀案例评选等工作。加强</w:t>
      </w:r>
      <w:r>
        <w:rPr>
          <w:rFonts w:ascii="Times New Roman"/>
          <w:color w:val="auto"/>
          <w:u w:val="none"/>
        </w:rPr>
        <w:t>对社会工作者的激励保障。配合做好高级社会工作师评审工作，强化社会工作者职业化管理与激励保障。</w:t>
      </w:r>
    </w:p>
    <w:p w14:paraId="66A3DB69">
      <w:pPr>
        <w:pStyle w:val="9"/>
        <w:rPr>
          <w:color w:val="auto"/>
          <w:u w:val="none"/>
        </w:rPr>
      </w:pPr>
    </w:p>
    <w:tbl>
      <w:tblPr>
        <w:tblStyle w:val="1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309E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060" w:type="dxa"/>
            <w:vAlign w:val="center"/>
          </w:tcPr>
          <w:p w14:paraId="1355A0A1">
            <w:pPr>
              <w:keepNext w:val="0"/>
              <w:keepLines w:val="0"/>
              <w:pageBreakBefore w:val="0"/>
              <w:suppressLineNumbers w:val="0"/>
              <w:kinsoku/>
              <w:wordWrap/>
              <w:topLinePunct w:val="0"/>
              <w:bidi w:val="0"/>
              <w:snapToGrid w:val="0"/>
              <w:spacing w:before="0" w:beforeAutospacing="0" w:after="0" w:afterAutospacing="0" w:line="600" w:lineRule="exact"/>
              <w:ind w:left="0" w:right="0"/>
              <w:jc w:val="center"/>
              <w:textAlignment w:val="auto"/>
              <w:rPr>
                <w:rFonts w:hint="default" w:ascii="Times New Roman" w:eastAsia="楷体_GB2312"/>
                <w:color w:val="auto"/>
                <w:u w:val="none"/>
              </w:rPr>
            </w:pPr>
            <w:bookmarkStart w:id="104" w:name="_Toc16837"/>
            <w:bookmarkStart w:id="105" w:name="_Toc10563"/>
            <w:bookmarkStart w:id="106" w:name="_Toc13188"/>
            <w:bookmarkStart w:id="107" w:name="_Toc17944_WPSOffice_Level2"/>
            <w:r>
              <w:rPr>
                <w:rFonts w:hint="default" w:ascii="Times New Roman" w:eastAsia="楷体_GB2312"/>
                <w:b/>
                <w:color w:val="auto"/>
                <w:u w:val="none"/>
              </w:rPr>
              <w:t>专栏</w:t>
            </w:r>
            <w:r>
              <w:rPr>
                <w:rFonts w:hint="eastAsia" w:ascii="Times New Roman" w:eastAsia="楷体_GB2312"/>
                <w:b/>
                <w:color w:val="auto"/>
                <w:u w:val="none"/>
                <w:lang w:val="en-US" w:eastAsia="zh-CN"/>
              </w:rPr>
              <w:t>7</w:t>
            </w:r>
            <w:r>
              <w:rPr>
                <w:rFonts w:hint="default" w:ascii="Times New Roman" w:eastAsia="楷体_GB2312"/>
                <w:b/>
                <w:color w:val="auto"/>
                <w:u w:val="none"/>
              </w:rPr>
              <w:t xml:space="preserve">  中山兜底民生服务社会工作双百工程</w:t>
            </w:r>
          </w:p>
        </w:tc>
      </w:tr>
      <w:tr w14:paraId="01AB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jc w:val="center"/>
        </w:trPr>
        <w:tc>
          <w:tcPr>
            <w:tcW w:w="9060" w:type="dxa"/>
            <w:vAlign w:val="center"/>
          </w:tcPr>
          <w:p w14:paraId="039586A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552" w:firstLineChars="200"/>
              <w:textAlignment w:val="auto"/>
              <w:rPr>
                <w:rFonts w:hint="default" w:ascii="Times New Roman"/>
                <w:color w:val="auto"/>
                <w:sz w:val="28"/>
                <w:szCs w:val="28"/>
                <w:u w:val="none"/>
              </w:rPr>
            </w:pPr>
            <w:r>
              <w:rPr>
                <w:rFonts w:hint="default" w:ascii="Times New Roman"/>
                <w:color w:val="auto"/>
                <w:sz w:val="28"/>
                <w:szCs w:val="28"/>
                <w:u w:val="none"/>
              </w:rPr>
              <w:t>根据省民政厅的统一部署，打造具有中山特色的困难群众和特殊群体兜底民生服务体系，发挥社会工作专业优势，有效满足困难群众和特殊群体的个性化、多元化、专业化服务需求，实现为民服务的精准化、精细化、营造共建共治共享社会治理格局。</w:t>
            </w:r>
          </w:p>
          <w:p w14:paraId="08FCF8F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552" w:firstLineChars="200"/>
              <w:textAlignment w:val="auto"/>
              <w:rPr>
                <w:rFonts w:hint="default" w:ascii="Times New Roman"/>
                <w:color w:val="auto"/>
                <w:u w:val="none"/>
              </w:rPr>
            </w:pPr>
            <w:r>
              <w:rPr>
                <w:rFonts w:hint="default" w:ascii="Times New Roman"/>
                <w:color w:val="auto"/>
                <w:sz w:val="28"/>
                <w:szCs w:val="28"/>
                <w:u w:val="none"/>
              </w:rPr>
              <w:t>按照“统筹规划、合理布局、以点带面、循序渐进、全面覆盖”的原则，到2021年底前全市镇（街）建成社会工作服务站，到2022年底前全市村（居）建成社会工作服务点，实现全市社会工作服务站（点）100%覆盖、困难群众和特殊群体社会工作服务100%覆盖。</w:t>
            </w:r>
          </w:p>
        </w:tc>
      </w:tr>
      <w:bookmarkEnd w:id="104"/>
      <w:bookmarkEnd w:id="105"/>
      <w:bookmarkEnd w:id="106"/>
      <w:bookmarkEnd w:id="107"/>
    </w:tbl>
    <w:p w14:paraId="0E2F8427">
      <w:pPr>
        <w:pStyle w:val="5"/>
        <w:keepNext w:val="0"/>
        <w:keepLines w:val="0"/>
        <w:pageBreakBefore w:val="0"/>
        <w:widowControl/>
        <w:kinsoku/>
        <w:wordWrap/>
        <w:overflowPunct/>
        <w:topLinePunct w:val="0"/>
        <w:autoSpaceDE/>
        <w:autoSpaceDN/>
        <w:bidi w:val="0"/>
        <w:adjustRightInd/>
        <w:snapToGrid/>
        <w:spacing w:line="600" w:lineRule="exact"/>
        <w:ind w:left="0" w:firstLine="632" w:firstLineChars="200"/>
        <w:textAlignment w:val="auto"/>
        <w:rPr>
          <w:rFonts w:hint="eastAsia" w:ascii="Times New Roman" w:hAnsi="Times New Roman" w:eastAsia="仿宋_GB2312" w:cs="Times New Roman"/>
          <w:b w:val="0"/>
          <w:bCs w:val="0"/>
          <w:color w:val="auto"/>
          <w:kern w:val="2"/>
          <w:sz w:val="32"/>
          <w:szCs w:val="32"/>
          <w:u w:val="none"/>
          <w:lang w:val="en-US" w:eastAsia="zh-CN" w:bidi="ar"/>
        </w:rPr>
      </w:pPr>
      <w:bookmarkStart w:id="108" w:name="_Toc29160"/>
      <w:bookmarkStart w:id="109" w:name="_Toc7758_WPSOffice_Level1"/>
      <w:bookmarkStart w:id="110" w:name="_Toc86940127"/>
      <w:bookmarkStart w:id="111" w:name="_Toc18081"/>
      <w:bookmarkStart w:id="112" w:name="_Toc18466"/>
      <w:r>
        <w:rPr>
          <w:rFonts w:hint="eastAsia" w:ascii="仿宋_GB2312" w:hAnsi="仿宋_GB2312" w:eastAsia="仿宋_GB2312" w:cs="仿宋_GB2312"/>
          <w:b/>
          <w:bCs/>
          <w:color w:val="auto"/>
          <w:u w:val="none"/>
          <w:lang w:val="en-US" w:eastAsia="zh-CN"/>
        </w:rPr>
        <w:t>4.</w:t>
      </w:r>
      <w:r>
        <w:rPr>
          <w:rFonts w:hint="eastAsia" w:ascii="仿宋_GB2312" w:hAnsi="仿宋_GB2312" w:eastAsia="仿宋_GB2312" w:cs="仿宋_GB2312"/>
          <w:b/>
          <w:bCs/>
          <w:color w:val="auto"/>
          <w:u w:val="none"/>
          <w:lang w:eastAsia="zh-CN"/>
        </w:rPr>
        <w:t>提升基本社会服务水平。一是</w:t>
      </w:r>
      <w:r>
        <w:rPr>
          <w:rFonts w:hint="eastAsia" w:ascii="仿宋_GB2312" w:hAnsi="仿宋_GB2312" w:eastAsia="仿宋_GB2312" w:cs="仿宋_GB2312"/>
          <w:b w:val="0"/>
          <w:bCs w:val="0"/>
          <w:color w:val="auto"/>
          <w:kern w:val="2"/>
          <w:sz w:val="32"/>
          <w:szCs w:val="32"/>
          <w:u w:val="none"/>
          <w:lang w:val="en-US" w:eastAsia="zh-CN" w:bidi="ar"/>
        </w:rPr>
        <w:t>深化地名和行政区划管理。贯彻落实《行政区划管理条例》《行政区</w:t>
      </w:r>
      <w:r>
        <w:rPr>
          <w:rFonts w:hint="eastAsia" w:ascii="Times New Roman" w:hAnsi="Times New Roman" w:eastAsia="仿宋_GB2312" w:cs="Times New Roman"/>
          <w:b w:val="0"/>
          <w:bCs w:val="0"/>
          <w:color w:val="auto"/>
          <w:kern w:val="2"/>
          <w:sz w:val="32"/>
          <w:szCs w:val="32"/>
          <w:u w:val="none"/>
          <w:lang w:val="en-US" w:eastAsia="zh-CN" w:bidi="ar"/>
        </w:rPr>
        <w:t>划管理条例实施办法》等法规，完善行政区划管理工作制度。围绕服务乡村振兴、粤港澳大湾区建设、推进新型城镇化等重大战略，综合城市发展定位、管辖幅度、资源环境和空间结构等因素，依法稳妥开展优化行政区划设置工作，提高城市综合承载和资源配置能力。</w:t>
      </w:r>
      <w:r>
        <w:rPr>
          <w:rFonts w:hint="eastAsia" w:ascii="仿宋_GB2312" w:hAnsi="仿宋_GB2312" w:eastAsia="仿宋_GB2312" w:cs="仿宋_GB2312"/>
          <w:b w:val="0"/>
          <w:bCs w:val="0"/>
          <w:color w:val="auto"/>
          <w:kern w:val="2"/>
          <w:sz w:val="32"/>
          <w:szCs w:val="32"/>
          <w:u w:val="none"/>
          <w:lang w:val="en-US" w:eastAsia="zh-CN" w:bidi="ar"/>
        </w:rPr>
        <w:t>适时修订《中山市地名管理办法》，</w:t>
      </w:r>
      <w:r>
        <w:rPr>
          <w:rFonts w:hint="eastAsia" w:ascii="Times New Roman" w:hAnsi="Times New Roman" w:eastAsia="仿宋_GB2312" w:cs="Times New Roman"/>
          <w:b w:val="0"/>
          <w:bCs w:val="0"/>
          <w:color w:val="auto"/>
          <w:kern w:val="2"/>
          <w:sz w:val="32"/>
          <w:szCs w:val="32"/>
          <w:u w:val="none"/>
          <w:lang w:val="en-US" w:eastAsia="zh-CN" w:bidi="ar"/>
        </w:rPr>
        <w:t>规范地名管理。严格地名命名更名审批，持续开展</w:t>
      </w:r>
      <w:r>
        <w:rPr>
          <w:rFonts w:hint="default" w:ascii="Times New Roman" w:hAnsi="Times New Roman" w:eastAsia="仿宋_GB2312" w:cs="Times New Roman"/>
          <w:b w:val="0"/>
          <w:bCs w:val="0"/>
          <w:color w:val="auto"/>
          <w:kern w:val="2"/>
          <w:sz w:val="32"/>
          <w:szCs w:val="32"/>
          <w:u w:val="none"/>
          <w:lang w:val="en-US" w:eastAsia="zh-CN" w:bidi="ar"/>
        </w:rPr>
        <w:t>“</w:t>
      </w:r>
      <w:r>
        <w:rPr>
          <w:rFonts w:hint="eastAsia" w:ascii="Times New Roman" w:hAnsi="Times New Roman" w:eastAsia="仿宋_GB2312" w:cs="Times New Roman"/>
          <w:b w:val="0"/>
          <w:bCs w:val="0"/>
          <w:color w:val="auto"/>
          <w:kern w:val="2"/>
          <w:sz w:val="32"/>
          <w:szCs w:val="32"/>
          <w:u w:val="none"/>
          <w:lang w:val="en-US" w:eastAsia="zh-CN" w:bidi="ar"/>
        </w:rPr>
        <w:t>双随机、一公开</w:t>
      </w:r>
      <w:r>
        <w:rPr>
          <w:rFonts w:hint="default" w:ascii="Times New Roman" w:hAnsi="Times New Roman" w:eastAsia="仿宋_GB2312" w:cs="Times New Roman"/>
          <w:b w:val="0"/>
          <w:bCs w:val="0"/>
          <w:color w:val="auto"/>
          <w:kern w:val="2"/>
          <w:sz w:val="32"/>
          <w:szCs w:val="32"/>
          <w:u w:val="none"/>
          <w:lang w:val="en-US" w:eastAsia="zh-CN" w:bidi="ar"/>
        </w:rPr>
        <w:t>”</w:t>
      </w:r>
      <w:r>
        <w:rPr>
          <w:rFonts w:hint="eastAsia" w:ascii="Times New Roman" w:hAnsi="Times New Roman" w:eastAsia="仿宋_GB2312" w:cs="Times New Roman"/>
          <w:b w:val="0"/>
          <w:bCs w:val="0"/>
          <w:color w:val="auto"/>
          <w:kern w:val="2"/>
          <w:sz w:val="32"/>
          <w:szCs w:val="32"/>
          <w:u w:val="none"/>
          <w:lang w:val="en-US" w:eastAsia="zh-CN" w:bidi="ar"/>
        </w:rPr>
        <w:t>监督检查工作，积极宣传推广标准地名，加强对地名用字、拼写的监督管理，引导社会各界规范使用地名。加强地名信息化建设，推动实施</w:t>
      </w:r>
      <w:r>
        <w:rPr>
          <w:rFonts w:hint="default" w:ascii="Times New Roman" w:hAnsi="Times New Roman" w:eastAsia="仿宋_GB2312" w:cs="Times New Roman"/>
          <w:b w:val="0"/>
          <w:bCs w:val="0"/>
          <w:color w:val="auto"/>
          <w:kern w:val="2"/>
          <w:sz w:val="32"/>
          <w:szCs w:val="32"/>
          <w:u w:val="none"/>
          <w:lang w:val="en-US" w:eastAsia="zh-CN" w:bidi="ar"/>
        </w:rPr>
        <w:t>“</w:t>
      </w:r>
      <w:r>
        <w:rPr>
          <w:rFonts w:hint="eastAsia" w:ascii="Times New Roman" w:hAnsi="Times New Roman" w:eastAsia="仿宋_GB2312" w:cs="Times New Roman"/>
          <w:b w:val="0"/>
          <w:bCs w:val="0"/>
          <w:color w:val="auto"/>
          <w:kern w:val="2"/>
          <w:sz w:val="32"/>
          <w:szCs w:val="32"/>
          <w:u w:val="none"/>
          <w:lang w:val="en-US" w:eastAsia="zh-CN" w:bidi="ar"/>
        </w:rPr>
        <w:t>互联网</w:t>
      </w:r>
      <w:r>
        <w:rPr>
          <w:rFonts w:hint="default" w:ascii="Times New Roman" w:hAnsi="Times New Roman" w:eastAsia="仿宋_GB2312" w:cs="Times New Roman"/>
          <w:b w:val="0"/>
          <w:bCs w:val="0"/>
          <w:color w:val="auto"/>
          <w:kern w:val="2"/>
          <w:sz w:val="32"/>
          <w:szCs w:val="32"/>
          <w:u w:val="none"/>
          <w:lang w:val="en-US" w:eastAsia="zh-CN" w:bidi="ar"/>
        </w:rPr>
        <w:t>+</w:t>
      </w:r>
      <w:r>
        <w:rPr>
          <w:rFonts w:hint="eastAsia" w:ascii="Times New Roman" w:hAnsi="Times New Roman" w:eastAsia="仿宋_GB2312" w:cs="Times New Roman"/>
          <w:b w:val="0"/>
          <w:bCs w:val="0"/>
          <w:color w:val="auto"/>
          <w:kern w:val="2"/>
          <w:sz w:val="32"/>
          <w:szCs w:val="32"/>
          <w:u w:val="none"/>
          <w:lang w:val="en-US" w:eastAsia="zh-CN" w:bidi="ar"/>
        </w:rPr>
        <w:t>区划地名</w:t>
      </w:r>
      <w:r>
        <w:rPr>
          <w:rFonts w:hint="default" w:ascii="Times New Roman" w:hAnsi="Times New Roman" w:eastAsia="仿宋_GB2312" w:cs="Times New Roman"/>
          <w:b w:val="0"/>
          <w:bCs w:val="0"/>
          <w:color w:val="auto"/>
          <w:kern w:val="2"/>
          <w:sz w:val="32"/>
          <w:szCs w:val="32"/>
          <w:u w:val="none"/>
          <w:lang w:val="en-US" w:eastAsia="zh-CN" w:bidi="ar"/>
        </w:rPr>
        <w:t>”</w:t>
      </w:r>
      <w:r>
        <w:rPr>
          <w:rFonts w:hint="eastAsia" w:ascii="Times New Roman" w:hAnsi="Times New Roman" w:eastAsia="仿宋_GB2312" w:cs="Times New Roman"/>
          <w:b w:val="0"/>
          <w:bCs w:val="0"/>
          <w:color w:val="auto"/>
          <w:kern w:val="2"/>
          <w:sz w:val="32"/>
          <w:szCs w:val="32"/>
          <w:u w:val="none"/>
          <w:lang w:val="en-US" w:eastAsia="zh-CN" w:bidi="ar"/>
        </w:rPr>
        <w:t>，拓展区划地名信息服务，满足社会服务需求，提升地名管理服务效能。建立数据更新及信息公开长效机制，确保区划地名信息完整、准确有效。深入开展优秀地名文化挖掘、研究，传承和弘扬红色地名文化，广泛开展贴近群众的地名文化宣传活动，讲好中山地名故事。深入开展平安边界共建活动，完善涉界矛盾纠纷隐患排查调处机制，排除和化解界线争议纠纷，确保边界地区平安和谐稳定。</w:t>
      </w:r>
      <w:r>
        <w:rPr>
          <w:rFonts w:hint="eastAsia" w:ascii="Times New Roman" w:hAnsi="Times New Roman" w:eastAsia="仿宋_GB2312" w:cs="Times New Roman"/>
          <w:b/>
          <w:bCs/>
          <w:color w:val="auto"/>
          <w:kern w:val="2"/>
          <w:sz w:val="32"/>
          <w:szCs w:val="32"/>
          <w:u w:val="none"/>
          <w:lang w:val="en-US" w:eastAsia="zh-CN" w:bidi="ar"/>
        </w:rPr>
        <w:t>二是</w:t>
      </w:r>
      <w:r>
        <w:rPr>
          <w:rFonts w:hint="eastAsia" w:ascii="仿宋_GB2312" w:hAnsi="仿宋_GB2312" w:eastAsia="仿宋_GB2312" w:cs="仿宋_GB2312"/>
          <w:b w:val="0"/>
          <w:bCs w:val="0"/>
          <w:color w:val="auto"/>
          <w:kern w:val="2"/>
          <w:sz w:val="32"/>
          <w:szCs w:val="32"/>
          <w:u w:val="none"/>
          <w:lang w:val="en-US" w:eastAsia="zh-CN" w:bidi="ar"/>
        </w:rPr>
        <w:t>提升残疾人福利水平。稳步提高困难残疾人生活补贴和重度残疾人护理补贴标准，顺应政策形势的变化，及时将符合条件的残疾人纳入残疾人“两项补贴”范围。积极推进残疾人“两项补贴”资格认定申请跨省通办、省内通办，为残疾人提供更加贴心暖心的服务。加强残疾人“两项补贴”制度与长期护理保险、老年人福利、社会救助等制度相衔接。将残疾人康复设施纳入社区服务体系；联同卫生健康、残联部门加快建立精神障碍患者社区康复服务部门协作机制，充分依托已建有的场地、资源为精神障碍患者开展社区康复服务。推动精神残疾人卫生福利中心建设，为残疾人提供兜底保障服务。培育助残社会组织，支持社会组织为残疾人提供康复服务。引导康复辅助器具产业发展，支持有条件镇街将康复辅助器具配置纳入长期护理保险保障范围，鼓励长期护理服务机构和从业人员使用适宜有效的护理辅具。鼓励有条件的镇街通过政府购买服务方式，为失能、重残等特殊困难群体配置康复辅助器具。</w:t>
      </w:r>
      <w:r>
        <w:rPr>
          <w:rFonts w:hint="eastAsia" w:ascii="仿宋_GB2312" w:hAnsi="仿宋_GB2312" w:eastAsia="仿宋_GB2312" w:cs="仿宋_GB2312"/>
          <w:b/>
          <w:bCs/>
          <w:color w:val="auto"/>
          <w:kern w:val="2"/>
          <w:sz w:val="32"/>
          <w:szCs w:val="32"/>
          <w:u w:val="none"/>
          <w:lang w:val="en-US" w:eastAsia="zh-CN" w:bidi="ar"/>
        </w:rPr>
        <w:t>三是</w:t>
      </w:r>
      <w:r>
        <w:rPr>
          <w:rFonts w:hint="eastAsia" w:ascii="Times New Roman" w:hAnsi="Times New Roman" w:eastAsia="仿宋_GB2312" w:cs="仿宋_GB2312"/>
          <w:b w:val="0"/>
          <w:bCs w:val="0"/>
          <w:color w:val="auto"/>
          <w:kern w:val="2"/>
          <w:sz w:val="32"/>
          <w:szCs w:val="32"/>
          <w:u w:val="none"/>
          <w:lang w:val="en-US" w:eastAsia="zh-CN" w:bidi="ar"/>
        </w:rPr>
        <w:t>提升殡葬服务水平</w:t>
      </w:r>
      <w:r>
        <w:rPr>
          <w:rFonts w:hint="eastAsia" w:ascii="Times New Roman" w:hAnsi="Times New Roman" w:eastAsia="仿宋_GB2312" w:cs="Times New Roman"/>
          <w:b w:val="0"/>
          <w:bCs w:val="0"/>
          <w:color w:val="auto"/>
          <w:kern w:val="2"/>
          <w:sz w:val="32"/>
          <w:szCs w:val="32"/>
          <w:u w:val="none"/>
          <w:lang w:val="en-US" w:eastAsia="zh-CN" w:bidi="ar"/>
        </w:rPr>
        <w:t>。</w:t>
      </w:r>
      <w:r>
        <w:rPr>
          <w:rFonts w:hint="eastAsia" w:ascii="Calibri" w:hAnsi="Calibri" w:eastAsia="仿宋_GB2312" w:cs="Times New Roman"/>
          <w:b w:val="0"/>
          <w:bCs w:val="0"/>
          <w:color w:val="auto"/>
          <w:kern w:val="2"/>
          <w:sz w:val="32"/>
          <w:szCs w:val="32"/>
          <w:u w:val="none"/>
          <w:lang w:val="en-US" w:eastAsia="zh-CN" w:bidi="ar"/>
        </w:rPr>
        <w:t>结合人口发展趋势，编制我市殡葬设施建设规划。</w:t>
      </w:r>
      <w:r>
        <w:rPr>
          <w:rFonts w:hint="eastAsia" w:ascii="仿宋_GB2312" w:hAnsi="仿宋_GB2312" w:eastAsia="仿宋_GB2312" w:cs="仿宋_GB2312"/>
          <w:b w:val="0"/>
          <w:bCs w:val="0"/>
          <w:color w:val="auto"/>
          <w:kern w:val="2"/>
          <w:sz w:val="32"/>
          <w:szCs w:val="32"/>
          <w:u w:val="none"/>
          <w:lang w:val="en-US" w:eastAsia="zh-CN" w:bidi="ar"/>
        </w:rPr>
        <w:t>推动镇街殡</w:t>
      </w:r>
      <w:r>
        <w:rPr>
          <w:rFonts w:hint="eastAsia" w:ascii="Calibri" w:hAnsi="Calibri" w:eastAsia="仿宋_GB2312" w:cs="Times New Roman"/>
          <w:b w:val="0"/>
          <w:bCs w:val="0"/>
          <w:color w:val="auto"/>
          <w:kern w:val="2"/>
          <w:sz w:val="32"/>
          <w:szCs w:val="32"/>
          <w:u w:val="none"/>
          <w:lang w:val="en-US" w:eastAsia="zh-CN" w:bidi="ar"/>
        </w:rPr>
        <w:t>葬公益性骨灰安葬（放）设施建设，实现所有镇均建有公益性骨灰安葬（放）设施的目标任务。</w:t>
      </w:r>
      <w:r>
        <w:rPr>
          <w:rFonts w:hint="eastAsia" w:ascii="Times New Roman" w:hAnsi="Times New Roman" w:eastAsia="仿宋_GB2312" w:cs="Times New Roman"/>
          <w:b w:val="0"/>
          <w:bCs w:val="0"/>
          <w:color w:val="auto"/>
          <w:kern w:val="0"/>
          <w:sz w:val="32"/>
          <w:szCs w:val="32"/>
          <w:u w:val="none"/>
          <w:lang w:val="en-US" w:eastAsia="zh-CN" w:bidi="ar"/>
        </w:rPr>
        <w:t>坚持殡葬改革与强化殡葬公共服务并重，促进精神文明和生态文明建设。</w:t>
      </w:r>
      <w:r>
        <w:rPr>
          <w:rFonts w:hint="eastAsia" w:ascii="Times New Roman" w:hAnsi="Times New Roman" w:eastAsia="仿宋_GB2312" w:cs="Times New Roman"/>
          <w:b w:val="0"/>
          <w:bCs w:val="0"/>
          <w:color w:val="auto"/>
          <w:kern w:val="2"/>
          <w:sz w:val="32"/>
          <w:szCs w:val="32"/>
          <w:u w:val="none"/>
          <w:lang w:val="en-US" w:eastAsia="zh-CN" w:bidi="ar"/>
        </w:rPr>
        <w:t>规范殡葬中介服务机构行为，推动其依法商事登记后在殡葬服务机构开展服务活动</w:t>
      </w:r>
      <w:r>
        <w:rPr>
          <w:rFonts w:hint="eastAsia" w:ascii="Times New Roman" w:hAnsi="Times New Roman" w:eastAsia="仿宋_GB2312" w:cs="Times New Roman"/>
          <w:b w:val="0"/>
          <w:bCs w:val="0"/>
          <w:color w:val="auto"/>
          <w:kern w:val="0"/>
          <w:sz w:val="32"/>
          <w:szCs w:val="32"/>
          <w:u w:val="none"/>
          <w:lang w:val="en-US" w:eastAsia="zh-CN" w:bidi="ar"/>
        </w:rPr>
        <w:t>。建立健全城乡居民基本殡葬公共服务体系。精准实施城乡居民殡葬基本服务由政府免费提供，适当增加服务项目、扩大覆盖人群。强化党员干部带头作用，健全红白理事会和村规民约，树立文明节俭、生态环保的殡葬新风尚。采取免费、奖励补助等举措，倡导和鼓励骨灰海葬、树葬等节地生态安葬和敬献鲜花、网上祭扫等文明低碳祭扫方式。加强殡葬领域监督管理，建立健全部门联合执法机制，进一步规范殡葬服务。推进</w:t>
      </w:r>
      <w:r>
        <w:rPr>
          <w:rFonts w:hint="default" w:ascii="Times New Roman" w:hAnsi="Times New Roman" w:eastAsia="仿宋_GB2312" w:cs="Times New Roman"/>
          <w:b w:val="0"/>
          <w:bCs w:val="0"/>
          <w:color w:val="auto"/>
          <w:kern w:val="0"/>
          <w:sz w:val="32"/>
          <w:szCs w:val="32"/>
          <w:u w:val="none"/>
          <w:lang w:val="en-US" w:eastAsia="zh-CN" w:bidi="ar"/>
        </w:rPr>
        <w:t>“</w:t>
      </w:r>
      <w:r>
        <w:rPr>
          <w:rFonts w:hint="eastAsia" w:ascii="Times New Roman" w:hAnsi="Times New Roman" w:eastAsia="仿宋_GB2312" w:cs="Times New Roman"/>
          <w:b w:val="0"/>
          <w:bCs w:val="0"/>
          <w:color w:val="auto"/>
          <w:kern w:val="0"/>
          <w:sz w:val="32"/>
          <w:szCs w:val="32"/>
          <w:u w:val="none"/>
          <w:lang w:val="en-US" w:eastAsia="zh-CN" w:bidi="ar"/>
        </w:rPr>
        <w:t>互联网</w:t>
      </w:r>
      <w:r>
        <w:rPr>
          <w:rFonts w:hint="default" w:ascii="Times New Roman" w:hAnsi="Times New Roman" w:eastAsia="仿宋_GB2312" w:cs="Times New Roman"/>
          <w:b w:val="0"/>
          <w:bCs w:val="0"/>
          <w:color w:val="auto"/>
          <w:kern w:val="0"/>
          <w:sz w:val="32"/>
          <w:szCs w:val="32"/>
          <w:u w:val="none"/>
          <w:lang w:val="en-US" w:eastAsia="zh-CN" w:bidi="ar"/>
        </w:rPr>
        <w:t>+</w:t>
      </w:r>
      <w:r>
        <w:rPr>
          <w:rFonts w:hint="eastAsia" w:ascii="Times New Roman" w:hAnsi="Times New Roman" w:eastAsia="仿宋_GB2312" w:cs="Times New Roman"/>
          <w:b w:val="0"/>
          <w:bCs w:val="0"/>
          <w:color w:val="auto"/>
          <w:kern w:val="0"/>
          <w:sz w:val="32"/>
          <w:szCs w:val="32"/>
          <w:u w:val="none"/>
          <w:lang w:val="en-US" w:eastAsia="zh-CN" w:bidi="ar"/>
        </w:rPr>
        <w:t>殡葬服务</w:t>
      </w:r>
      <w:r>
        <w:rPr>
          <w:rFonts w:hint="default" w:ascii="Times New Roman" w:hAnsi="Times New Roman" w:eastAsia="仿宋_GB2312" w:cs="Times New Roman"/>
          <w:b w:val="0"/>
          <w:bCs w:val="0"/>
          <w:color w:val="auto"/>
          <w:kern w:val="0"/>
          <w:sz w:val="32"/>
          <w:szCs w:val="32"/>
          <w:u w:val="none"/>
          <w:lang w:val="en-US" w:eastAsia="zh-CN" w:bidi="ar"/>
        </w:rPr>
        <w:t>”</w:t>
      </w:r>
      <w:r>
        <w:rPr>
          <w:rFonts w:hint="eastAsia" w:ascii="Times New Roman" w:hAnsi="Times New Roman" w:eastAsia="仿宋_GB2312" w:cs="Times New Roman"/>
          <w:b w:val="0"/>
          <w:bCs w:val="0"/>
          <w:color w:val="auto"/>
          <w:kern w:val="0"/>
          <w:sz w:val="32"/>
          <w:szCs w:val="32"/>
          <w:u w:val="none"/>
          <w:lang w:val="en-US" w:eastAsia="zh-CN" w:bidi="ar"/>
        </w:rPr>
        <w:t>，推广应用省级殡葬管理服务信息平台，大力发展智慧殡葬。</w:t>
      </w:r>
      <w:r>
        <w:rPr>
          <w:rFonts w:hint="eastAsia" w:ascii="Times New Roman" w:hAnsi="Times New Roman" w:eastAsia="仿宋_GB2312" w:cs="Times New Roman"/>
          <w:b/>
          <w:bCs/>
          <w:color w:val="auto"/>
          <w:kern w:val="0"/>
          <w:sz w:val="32"/>
          <w:szCs w:val="32"/>
          <w:u w:val="none"/>
          <w:lang w:val="en-US" w:eastAsia="zh-CN" w:bidi="ar"/>
        </w:rPr>
        <w:t>四是</w:t>
      </w:r>
      <w:r>
        <w:rPr>
          <w:rFonts w:hint="eastAsia" w:ascii="Times New Roman" w:hAnsi="Times New Roman" w:eastAsia="仿宋_GB2312" w:cs="仿宋_GB2312"/>
          <w:b w:val="0"/>
          <w:bCs w:val="0"/>
          <w:color w:val="auto"/>
          <w:kern w:val="2"/>
          <w:sz w:val="32"/>
          <w:szCs w:val="32"/>
          <w:u w:val="none"/>
          <w:lang w:val="en-US" w:eastAsia="zh-CN" w:bidi="ar"/>
        </w:rPr>
        <w:t>深化规范婚姻工作</w:t>
      </w:r>
      <w:r>
        <w:rPr>
          <w:rFonts w:hint="eastAsia" w:ascii="Times New Roman" w:hAnsi="Times New Roman" w:eastAsia="仿宋_GB2312" w:cs="Times New Roman"/>
          <w:b w:val="0"/>
          <w:bCs w:val="0"/>
          <w:color w:val="auto"/>
          <w:kern w:val="2"/>
          <w:sz w:val="32"/>
          <w:szCs w:val="32"/>
          <w:u w:val="none"/>
          <w:lang w:val="en-US" w:eastAsia="zh-CN" w:bidi="ar"/>
        </w:rPr>
        <w:t>。强化婚姻管理，创新婚姻登记延伸服务，促进和谐家庭建设。持续推进登记机关标准化建设，提升婚姻登记公共服务能力。推进内地居民婚姻登记</w:t>
      </w:r>
      <w:r>
        <w:rPr>
          <w:rFonts w:hint="default" w:ascii="Times New Roman" w:hAnsi="Times New Roman" w:eastAsia="仿宋_GB2312" w:cs="Times New Roman"/>
          <w:b w:val="0"/>
          <w:bCs w:val="0"/>
          <w:color w:val="auto"/>
          <w:kern w:val="2"/>
          <w:sz w:val="32"/>
          <w:szCs w:val="32"/>
          <w:u w:val="none"/>
          <w:lang w:val="en-US" w:eastAsia="zh-CN" w:bidi="ar"/>
        </w:rPr>
        <w:t>“</w:t>
      </w:r>
      <w:r>
        <w:rPr>
          <w:rFonts w:hint="eastAsia" w:ascii="Times New Roman" w:hAnsi="Times New Roman" w:eastAsia="仿宋_GB2312" w:cs="Times New Roman"/>
          <w:b w:val="0"/>
          <w:bCs w:val="0"/>
          <w:color w:val="auto"/>
          <w:kern w:val="2"/>
          <w:sz w:val="32"/>
          <w:szCs w:val="32"/>
          <w:u w:val="none"/>
          <w:lang w:val="en-US" w:eastAsia="zh-CN" w:bidi="ar"/>
        </w:rPr>
        <w:t>跨省通办、省内通办、市内通办</w:t>
      </w:r>
      <w:r>
        <w:rPr>
          <w:rFonts w:hint="default" w:ascii="Times New Roman" w:hAnsi="Times New Roman" w:eastAsia="仿宋_GB2312" w:cs="Times New Roman"/>
          <w:b w:val="0"/>
          <w:bCs w:val="0"/>
          <w:color w:val="auto"/>
          <w:kern w:val="2"/>
          <w:sz w:val="32"/>
          <w:szCs w:val="32"/>
          <w:u w:val="none"/>
          <w:lang w:val="en-US" w:eastAsia="zh-CN" w:bidi="ar"/>
        </w:rPr>
        <w:t>”</w:t>
      </w:r>
      <w:r>
        <w:rPr>
          <w:rFonts w:hint="eastAsia" w:ascii="Times New Roman" w:hAnsi="Times New Roman" w:eastAsia="仿宋_GB2312" w:cs="Times New Roman"/>
          <w:b w:val="0"/>
          <w:bCs w:val="0"/>
          <w:color w:val="auto"/>
          <w:kern w:val="2"/>
          <w:sz w:val="32"/>
          <w:szCs w:val="32"/>
          <w:u w:val="none"/>
          <w:lang w:val="en-US" w:eastAsia="zh-CN" w:bidi="ar"/>
        </w:rPr>
        <w:t>，方便群众就近登记。推广婚姻登记免费颁证仪式，倡导婚事新办简办。拓展婚姻家庭辅导服务模式和内涵，推进以政府购买服务等多方式、多途径开展。推动婚姻登记服务与互联网的深度融合，以</w:t>
      </w:r>
      <w:r>
        <w:rPr>
          <w:rFonts w:hint="default" w:ascii="Times New Roman" w:hAnsi="Times New Roman" w:eastAsia="仿宋_GB2312" w:cs="Times New Roman"/>
          <w:b w:val="0"/>
          <w:bCs w:val="0"/>
          <w:color w:val="auto"/>
          <w:kern w:val="2"/>
          <w:sz w:val="32"/>
          <w:szCs w:val="32"/>
          <w:u w:val="none"/>
          <w:lang w:val="en-US" w:eastAsia="zh-CN" w:bidi="ar"/>
        </w:rPr>
        <w:t>“</w:t>
      </w:r>
      <w:r>
        <w:rPr>
          <w:rFonts w:hint="eastAsia" w:ascii="Times New Roman" w:hAnsi="Times New Roman" w:eastAsia="仿宋_GB2312" w:cs="Times New Roman"/>
          <w:b w:val="0"/>
          <w:bCs w:val="0"/>
          <w:color w:val="auto"/>
          <w:kern w:val="2"/>
          <w:sz w:val="32"/>
          <w:szCs w:val="32"/>
          <w:u w:val="none"/>
          <w:lang w:val="en-US" w:eastAsia="zh-CN" w:bidi="ar"/>
        </w:rPr>
        <w:t>互联网</w:t>
      </w:r>
      <w:r>
        <w:rPr>
          <w:rFonts w:hint="default" w:ascii="Times New Roman" w:hAnsi="Times New Roman" w:eastAsia="仿宋_GB2312" w:cs="Times New Roman"/>
          <w:b w:val="0"/>
          <w:bCs w:val="0"/>
          <w:color w:val="auto"/>
          <w:kern w:val="2"/>
          <w:sz w:val="32"/>
          <w:szCs w:val="32"/>
          <w:u w:val="none"/>
          <w:lang w:val="en-US" w:eastAsia="zh-CN" w:bidi="ar"/>
        </w:rPr>
        <w:t>+</w:t>
      </w:r>
      <w:r>
        <w:rPr>
          <w:rFonts w:hint="eastAsia" w:ascii="Times New Roman" w:hAnsi="Times New Roman" w:eastAsia="仿宋_GB2312" w:cs="Times New Roman"/>
          <w:b w:val="0"/>
          <w:bCs w:val="0"/>
          <w:color w:val="auto"/>
          <w:kern w:val="2"/>
          <w:sz w:val="32"/>
          <w:szCs w:val="32"/>
          <w:u w:val="none"/>
          <w:lang w:val="en-US" w:eastAsia="zh-CN" w:bidi="ar"/>
        </w:rPr>
        <w:t>婚姻登记</w:t>
      </w:r>
      <w:r>
        <w:rPr>
          <w:rFonts w:hint="default" w:ascii="Times New Roman" w:hAnsi="Times New Roman" w:eastAsia="仿宋_GB2312" w:cs="Times New Roman"/>
          <w:b w:val="0"/>
          <w:bCs w:val="0"/>
          <w:color w:val="auto"/>
          <w:kern w:val="2"/>
          <w:sz w:val="32"/>
          <w:szCs w:val="32"/>
          <w:u w:val="none"/>
          <w:lang w:val="en-US" w:eastAsia="zh-CN" w:bidi="ar"/>
        </w:rPr>
        <w:t>”</w:t>
      </w:r>
      <w:r>
        <w:rPr>
          <w:rFonts w:hint="eastAsia" w:ascii="Times New Roman" w:hAnsi="Times New Roman" w:eastAsia="仿宋_GB2312" w:cs="Times New Roman"/>
          <w:b w:val="0"/>
          <w:bCs w:val="0"/>
          <w:color w:val="auto"/>
          <w:kern w:val="2"/>
          <w:sz w:val="32"/>
          <w:szCs w:val="32"/>
          <w:u w:val="none"/>
          <w:lang w:val="en-US" w:eastAsia="zh-CN" w:bidi="ar"/>
        </w:rPr>
        <w:t>为依托，提高婚姻工作服务水平，促进婚姻服务便民化。推进婚姻文化建设和婚俗改革，传承发展中华优秀婚姻家庭文化，促进家庭、家风、家教建设。</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4D76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cBorders>
            <w:vAlign w:val="top"/>
          </w:tcPr>
          <w:p w14:paraId="672FE649">
            <w:pPr>
              <w:keepNext w:val="0"/>
              <w:keepLines w:val="0"/>
              <w:pageBreakBefore w:val="0"/>
              <w:widowControl w:val="0"/>
              <w:suppressLineNumbers w:val="0"/>
              <w:kinsoku/>
              <w:wordWrap/>
              <w:topLinePunct w:val="0"/>
              <w:bidi w:val="0"/>
              <w:spacing w:before="0" w:beforeAutospacing="0" w:after="0" w:afterAutospacing="0" w:line="600" w:lineRule="exact"/>
              <w:ind w:left="0" w:right="0"/>
              <w:jc w:val="center"/>
              <w:textAlignment w:val="auto"/>
              <w:rPr>
                <w:rFonts w:hint="default" w:ascii="Times New Roman" w:hAnsi="Times New Roman" w:cs="Times New Roman"/>
                <w:color w:val="auto"/>
                <w:u w:val="none"/>
                <w:lang w:val="en-US"/>
              </w:rPr>
            </w:pPr>
            <w:r>
              <w:rPr>
                <w:rFonts w:hint="eastAsia" w:ascii="楷体_GB2312" w:hAnsi="楷体_GB2312" w:eastAsia="楷体_GB2312" w:cs="楷体_GB2312"/>
                <w:b/>
                <w:bCs w:val="0"/>
                <w:color w:val="auto"/>
                <w:sz w:val="32"/>
                <w:szCs w:val="32"/>
                <w:u w:val="none"/>
              </w:rPr>
              <w:t>专栏</w:t>
            </w:r>
            <w:r>
              <w:rPr>
                <w:rFonts w:hint="eastAsia" w:ascii="楷体_GB2312" w:hAnsi="楷体_GB2312" w:eastAsia="楷体_GB2312" w:cs="楷体_GB2312"/>
                <w:b/>
                <w:bCs w:val="0"/>
                <w:color w:val="auto"/>
                <w:sz w:val="32"/>
                <w:szCs w:val="32"/>
                <w:u w:val="none"/>
                <w:lang w:val="en-US" w:eastAsia="zh-CN"/>
              </w:rPr>
              <w:t xml:space="preserve">8 </w:t>
            </w:r>
            <w:r>
              <w:rPr>
                <w:rFonts w:hint="eastAsia" w:ascii="楷体_GB2312" w:hAnsi="楷体_GB2312" w:eastAsia="楷体_GB2312" w:cs="楷体_GB2312"/>
                <w:b/>
                <w:bCs w:val="0"/>
                <w:color w:val="auto"/>
                <w:sz w:val="32"/>
                <w:szCs w:val="32"/>
                <w:u w:val="none"/>
                <w:lang w:val="en-US"/>
              </w:rPr>
              <w:t xml:space="preserve">  </w:t>
            </w:r>
            <w:r>
              <w:rPr>
                <w:rFonts w:hint="eastAsia" w:ascii="楷体_GB2312" w:hAnsi="楷体_GB2312" w:eastAsia="楷体_GB2312" w:cs="楷体_GB2312"/>
                <w:b/>
                <w:bCs w:val="0"/>
                <w:color w:val="auto"/>
                <w:sz w:val="32"/>
                <w:szCs w:val="32"/>
                <w:u w:val="none"/>
              </w:rPr>
              <w:t>公共事务提升工程</w:t>
            </w:r>
          </w:p>
        </w:tc>
      </w:tr>
      <w:tr w14:paraId="34D3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cBorders>
            <w:vAlign w:val="top"/>
          </w:tcPr>
          <w:p w14:paraId="7AD685C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552" w:firstLineChars="200"/>
              <w:jc w:val="both"/>
              <w:textAlignment w:val="auto"/>
              <w:rPr>
                <w:rFonts w:hint="default" w:hAnsi="仿宋_GB2312" w:eastAsia="仿宋_GB2312" w:cs="仿宋_GB2312"/>
                <w:b w:val="0"/>
                <w:color w:val="auto"/>
                <w:sz w:val="32"/>
                <w:szCs w:val="28"/>
                <w:u w:val="none"/>
                <w:lang w:val="en-US"/>
              </w:rPr>
            </w:pPr>
            <w:r>
              <w:rPr>
                <w:rFonts w:hint="eastAsia" w:ascii="Times New Roman" w:hAnsi="Times New Roman" w:eastAsia="仿宋_GB2312" w:cs="Times New Roman"/>
                <w:b/>
                <w:color w:val="auto"/>
                <w:kern w:val="2"/>
                <w:sz w:val="28"/>
                <w:szCs w:val="28"/>
                <w:u w:val="none"/>
                <w:lang w:val="en-US" w:eastAsia="zh-CN" w:bidi="ar"/>
              </w:rPr>
              <w:t>残疾人福利工程。</w:t>
            </w:r>
            <w:r>
              <w:rPr>
                <w:rFonts w:hint="eastAsia" w:ascii="Times New Roman" w:hAnsi="Times New Roman" w:eastAsia="仿宋_GB2312" w:cs="Times New Roman"/>
                <w:b w:val="0"/>
                <w:color w:val="auto"/>
                <w:kern w:val="2"/>
                <w:sz w:val="28"/>
                <w:szCs w:val="28"/>
                <w:u w:val="none"/>
                <w:lang w:val="en-US" w:eastAsia="zh-CN" w:bidi="ar"/>
              </w:rPr>
              <w:t>积极推进残疾人“两项补贴”资格认定申请跨省通办、省内通办，</w:t>
            </w:r>
            <w:r>
              <w:rPr>
                <w:rFonts w:hint="eastAsia" w:ascii="Times New Roman" w:hAnsi="Times New Roman" w:eastAsia="仿宋_GB2312" w:cs="Times New Roman"/>
                <w:color w:val="auto"/>
                <w:kern w:val="2"/>
                <w:sz w:val="28"/>
                <w:szCs w:val="28"/>
                <w:u w:val="none"/>
                <w:lang w:val="en-US" w:eastAsia="zh-CN" w:bidi="ar"/>
              </w:rPr>
              <w:t>困难残疾人生活补贴和重度残疾人护理补贴覆盖率达到</w:t>
            </w:r>
            <w:r>
              <w:rPr>
                <w:rFonts w:hint="eastAsia" w:ascii="Times New Roman" w:cs="Times New Roman"/>
                <w:color w:val="auto"/>
                <w:kern w:val="2"/>
                <w:sz w:val="28"/>
                <w:szCs w:val="28"/>
                <w:u w:val="none"/>
                <w:lang w:val="en-US" w:eastAsia="zh-CN" w:bidi="ar"/>
              </w:rPr>
              <w:t>100</w:t>
            </w:r>
            <w:r>
              <w:rPr>
                <w:rFonts w:hint="default" w:ascii="Times New Roman" w:hAnsi="Times New Roman" w:eastAsia="仿宋_GB2312" w:cs="Times New Roman"/>
                <w:color w:val="auto"/>
                <w:kern w:val="2"/>
                <w:sz w:val="28"/>
                <w:szCs w:val="28"/>
                <w:u w:val="none"/>
                <w:lang w:val="en-US" w:eastAsia="zh-CN" w:bidi="ar"/>
              </w:rPr>
              <w:t>%</w:t>
            </w:r>
            <w:r>
              <w:rPr>
                <w:rFonts w:hint="eastAsia" w:ascii="Times New Roman" w:hAnsi="Times New Roman" w:eastAsia="仿宋_GB2312" w:cs="Times New Roman"/>
                <w:color w:val="auto"/>
                <w:kern w:val="2"/>
                <w:sz w:val="28"/>
                <w:szCs w:val="28"/>
                <w:u w:val="none"/>
                <w:lang w:val="en-US" w:eastAsia="zh-CN" w:bidi="ar"/>
              </w:rPr>
              <w:t>。规划建设残疾人精神卫生福利中心，发挥精神卫生福利中心兜底保障作用。</w:t>
            </w:r>
          </w:p>
        </w:tc>
      </w:tr>
    </w:tbl>
    <w:p w14:paraId="10C7111E">
      <w:pPr>
        <w:pStyle w:val="4"/>
        <w:pageBreakBefore w:val="0"/>
        <w:kinsoku/>
        <w:wordWrap/>
        <w:topLinePunct w:val="0"/>
        <w:bidi w:val="0"/>
        <w:snapToGrid w:val="0"/>
        <w:spacing w:line="600" w:lineRule="exact"/>
        <w:ind w:firstLine="632"/>
        <w:textAlignment w:val="auto"/>
        <w:rPr>
          <w:rFonts w:hint="eastAsia" w:ascii="楷体_GB2312" w:hAnsi="楷体_GB2312" w:eastAsia="楷体_GB2312" w:cs="楷体_GB2312"/>
          <w:b/>
          <w:bCs/>
          <w:color w:val="auto"/>
          <w:u w:val="none"/>
          <w:lang w:eastAsia="zh-CN"/>
        </w:rPr>
      </w:pPr>
      <w:r>
        <w:rPr>
          <w:rFonts w:hint="eastAsia" w:ascii="楷体_GB2312" w:hAnsi="楷体_GB2312" w:eastAsia="楷体_GB2312" w:cs="楷体_GB2312"/>
          <w:b/>
          <w:bCs/>
          <w:color w:val="auto"/>
          <w:u w:val="none"/>
          <w:lang w:eastAsia="zh-CN"/>
        </w:rPr>
        <w:t>（六）夯实民政服务基础设施，着力提升公共服务水平</w:t>
      </w:r>
    </w:p>
    <w:p w14:paraId="6B026CF0">
      <w:pPr>
        <w:pageBreakBefore w:val="0"/>
        <w:kinsoku/>
        <w:wordWrap/>
        <w:topLinePunct w:val="0"/>
        <w:bidi w:val="0"/>
        <w:spacing w:line="600" w:lineRule="exact"/>
        <w:ind w:firstLine="632" w:firstLineChars="200"/>
        <w:textAlignment w:val="auto"/>
        <w:rPr>
          <w:rFonts w:hint="eastAsia"/>
          <w:color w:val="auto"/>
          <w:u w:val="none"/>
          <w:lang w:eastAsia="zh-CN"/>
        </w:rPr>
      </w:pPr>
      <w:r>
        <w:rPr>
          <w:rStyle w:val="22"/>
          <w:rFonts w:hint="eastAsia" w:ascii="仿宋_GB2312" w:hAnsi="仿宋_GB2312" w:eastAsia="仿宋_GB2312" w:cs="仿宋_GB2312"/>
          <w:b/>
          <w:bCs/>
          <w:color w:val="auto"/>
          <w:sz w:val="32"/>
          <w:szCs w:val="32"/>
          <w:u w:val="none"/>
          <w:lang w:val="en-US" w:eastAsia="zh-CN"/>
        </w:rPr>
        <w:t>1.</w:t>
      </w:r>
      <w:r>
        <w:rPr>
          <w:rStyle w:val="22"/>
          <w:rFonts w:hint="eastAsia" w:ascii="仿宋_GB2312" w:hAnsi="仿宋_GB2312" w:eastAsia="仿宋_GB2312" w:cs="仿宋_GB2312"/>
          <w:b/>
          <w:bCs/>
          <w:color w:val="auto"/>
          <w:sz w:val="32"/>
          <w:szCs w:val="32"/>
          <w:u w:val="none"/>
        </w:rPr>
        <w:t>建设多功能救助</w:t>
      </w:r>
      <w:r>
        <w:rPr>
          <w:rStyle w:val="22"/>
          <w:rFonts w:hint="default" w:ascii="Times New Roman" w:hAnsi="Times New Roman"/>
          <w:b/>
          <w:bCs/>
          <w:color w:val="auto"/>
          <w:sz w:val="32"/>
          <w:szCs w:val="32"/>
          <w:u w:val="none"/>
        </w:rPr>
        <w:t>管理机构。</w:t>
      </w:r>
      <w:r>
        <w:rPr>
          <w:rStyle w:val="22"/>
          <w:rFonts w:hint="eastAsia" w:ascii="Times New Roman"/>
          <w:b w:val="0"/>
          <w:bCs w:val="0"/>
          <w:color w:val="auto"/>
          <w:sz w:val="32"/>
          <w:szCs w:val="32"/>
          <w:u w:val="none"/>
          <w:lang w:eastAsia="zh-CN"/>
        </w:rPr>
        <w:t>适应救助管理工作的新形势新任务新要求，积极推进市救助管理站搬迁工作。</w:t>
      </w:r>
      <w:r>
        <w:rPr>
          <w:rStyle w:val="22"/>
          <w:rFonts w:hint="default" w:ascii="Times New Roman" w:hAnsi="Times New Roman"/>
          <w:bCs/>
          <w:color w:val="auto"/>
          <w:sz w:val="32"/>
          <w:szCs w:val="32"/>
          <w:u w:val="none"/>
        </w:rPr>
        <w:t>通过盘活利用市属闲置物业和地块，</w:t>
      </w:r>
      <w:r>
        <w:rPr>
          <w:rStyle w:val="22"/>
          <w:rFonts w:hint="eastAsia" w:ascii="Times New Roman"/>
          <w:bCs/>
          <w:color w:val="auto"/>
          <w:sz w:val="32"/>
          <w:szCs w:val="32"/>
          <w:u w:val="none"/>
          <w:lang w:eastAsia="zh-CN"/>
        </w:rPr>
        <w:t>结合国家有关救助管理机构建设标</w:t>
      </w:r>
      <w:r>
        <w:rPr>
          <w:rStyle w:val="22"/>
          <w:rFonts w:hint="eastAsia" w:ascii="仿宋_GB2312" w:hAnsi="仿宋_GB2312" w:eastAsia="仿宋_GB2312" w:cs="仿宋_GB2312"/>
          <w:bCs/>
          <w:color w:val="auto"/>
          <w:sz w:val="32"/>
          <w:szCs w:val="32"/>
          <w:u w:val="none"/>
          <w:lang w:eastAsia="zh-CN"/>
        </w:rPr>
        <w:t>准及选址条件要求，</w:t>
      </w:r>
      <w:r>
        <w:rPr>
          <w:rStyle w:val="22"/>
          <w:rFonts w:hint="eastAsia" w:ascii="仿宋_GB2312" w:hAnsi="仿宋_GB2312" w:eastAsia="仿宋_GB2312" w:cs="仿宋_GB2312"/>
          <w:bCs/>
          <w:color w:val="auto"/>
          <w:sz w:val="32"/>
          <w:szCs w:val="32"/>
          <w:u w:val="none"/>
        </w:rPr>
        <w:t>对现有市救助管理站进行重新选址搬迁，力争到2025年底，建成整合流浪乞讨人员救助、未成年人救助保护中心、反家暴庇护场所及民政服务对象精神障碍患者安置中心等多功能</w:t>
      </w:r>
      <w:r>
        <w:rPr>
          <w:rStyle w:val="22"/>
          <w:rFonts w:hint="default" w:ascii="Times New Roman" w:hAnsi="Times New Roman"/>
          <w:bCs/>
          <w:color w:val="auto"/>
          <w:sz w:val="32"/>
          <w:szCs w:val="32"/>
          <w:u w:val="none"/>
        </w:rPr>
        <w:t>救助管理机构</w:t>
      </w:r>
      <w:r>
        <w:rPr>
          <w:rStyle w:val="22"/>
          <w:rFonts w:hint="eastAsia" w:ascii="Times New Roman"/>
          <w:bCs/>
          <w:color w:val="auto"/>
          <w:sz w:val="32"/>
          <w:szCs w:val="32"/>
          <w:u w:val="none"/>
          <w:lang w:eastAsia="zh-CN"/>
        </w:rPr>
        <w:t>，努力推动我市救助管理服务水平提质增效</w:t>
      </w:r>
      <w:r>
        <w:rPr>
          <w:rStyle w:val="22"/>
          <w:rFonts w:hint="default" w:ascii="Times New Roman" w:hAnsi="Times New Roman"/>
          <w:bCs/>
          <w:color w:val="auto"/>
          <w:sz w:val="32"/>
          <w:szCs w:val="32"/>
          <w:u w:val="none"/>
        </w:rPr>
        <w:t>。</w:t>
      </w:r>
    </w:p>
    <w:p w14:paraId="47B8ADC0">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jc w:val="left"/>
        <w:textAlignment w:val="auto"/>
        <w:outlineLvl w:val="9"/>
        <w:rPr>
          <w:rFonts w:hint="eastAsia" w:ascii="仿宋_GB2312" w:hAnsi="仿宋_GB2312" w:eastAsia="仿宋_GB2312" w:cs="仿宋_GB2312"/>
          <w:color w:val="auto"/>
          <w:kern w:val="2"/>
          <w:sz w:val="32"/>
          <w:szCs w:val="32"/>
          <w:u w:val="none"/>
          <w:lang w:val="en-US" w:eastAsia="zh-CN" w:bidi="ar"/>
        </w:rPr>
      </w:pPr>
      <w:bookmarkStart w:id="113" w:name="_Toc86940133"/>
      <w:r>
        <w:rPr>
          <w:rFonts w:hint="eastAsia" w:ascii="仿宋_GB2312" w:hAnsi="仿宋_GB2312" w:eastAsia="仿宋_GB2312" w:cs="仿宋_GB2312"/>
          <w:b/>
          <w:bCs/>
          <w:color w:val="auto"/>
          <w:kern w:val="2"/>
          <w:sz w:val="32"/>
          <w:szCs w:val="32"/>
          <w:u w:val="none"/>
          <w:lang w:val="en-US" w:eastAsia="zh-CN" w:bidi="ar-SA"/>
        </w:rPr>
        <w:t>2.加强市儿童福利院保障设施建设。一是</w:t>
      </w:r>
      <w:r>
        <w:rPr>
          <w:rFonts w:hint="eastAsia" w:ascii="仿宋_GB2312" w:hAnsi="仿宋_GB2312" w:eastAsia="仿宋_GB2312" w:cs="仿宋_GB2312"/>
          <w:b w:val="0"/>
          <w:bCs w:val="0"/>
          <w:color w:val="auto"/>
          <w:kern w:val="2"/>
          <w:sz w:val="32"/>
          <w:szCs w:val="32"/>
          <w:u w:val="none"/>
          <w:lang w:val="en-US" w:eastAsia="zh-CN" w:bidi="ar-SA"/>
        </w:rPr>
        <w:t>提升儿童居室品质。申请专项资金进行翻新改造，重新布局的儿童居室充分考虑儿童阶段的审美倾向，拆除陈旧设施，进行童趣</w:t>
      </w:r>
      <w:r>
        <w:rPr>
          <w:rFonts w:hint="eastAsia" w:ascii="仿宋_GB2312" w:hAnsi="仿宋_GB2312" w:eastAsia="仿宋_GB2312" w:cs="仿宋_GB2312"/>
          <w:bCs/>
          <w:color w:val="auto"/>
          <w:kern w:val="2"/>
          <w:sz w:val="32"/>
          <w:szCs w:val="32"/>
          <w:u w:val="none"/>
          <w:lang w:val="en-US" w:eastAsia="zh-CN" w:bidi="ar-SA"/>
        </w:rPr>
        <w:t>化改造。规划儿童理发室、儿童活动室，活动室地面铺设地垫，根据不同需求重新规划各项功能室，使其分区明朗，无障碍设施全方位覆盖。</w:t>
      </w:r>
      <w:r>
        <w:rPr>
          <w:rFonts w:hint="eastAsia" w:ascii="仿宋_GB2312" w:hAnsi="仿宋_GB2312" w:eastAsia="仿宋_GB2312" w:cs="仿宋_GB2312"/>
          <w:b/>
          <w:bCs/>
          <w:color w:val="auto"/>
          <w:kern w:val="2"/>
          <w:sz w:val="32"/>
          <w:szCs w:val="32"/>
          <w:u w:val="none"/>
          <w:lang w:val="en-US" w:eastAsia="zh-CN" w:bidi="ar-SA"/>
        </w:rPr>
        <w:t>二是</w:t>
      </w:r>
      <w:r>
        <w:rPr>
          <w:rFonts w:hint="eastAsia" w:ascii="仿宋_GB2312" w:hAnsi="仿宋_GB2312" w:eastAsia="仿宋_GB2312" w:cs="仿宋_GB2312"/>
          <w:b w:val="0"/>
          <w:bCs w:val="0"/>
          <w:color w:val="auto"/>
          <w:kern w:val="2"/>
          <w:sz w:val="32"/>
          <w:szCs w:val="32"/>
          <w:u w:val="none"/>
          <w:lang w:val="en-US" w:eastAsia="zh-CN" w:bidi="ar-SA"/>
        </w:rPr>
        <w:t>升级医疗设备设施。</w:t>
      </w:r>
      <w:r>
        <w:rPr>
          <w:rFonts w:hint="eastAsia" w:ascii="仿宋_GB2312" w:hAnsi="仿宋_GB2312" w:eastAsia="仿宋_GB2312" w:cs="仿宋_GB2312"/>
          <w:bCs/>
          <w:color w:val="auto"/>
          <w:kern w:val="2"/>
          <w:sz w:val="32"/>
          <w:szCs w:val="32"/>
          <w:u w:val="none"/>
          <w:lang w:val="en-US" w:eastAsia="zh-CN" w:bidi="ar-SA"/>
        </w:rPr>
        <w:t>配置医疗室备用电源，</w:t>
      </w:r>
      <w:r>
        <w:rPr>
          <w:rFonts w:hint="eastAsia" w:ascii="仿宋_GB2312" w:hAnsi="仿宋_GB2312" w:eastAsia="仿宋_GB2312" w:cs="仿宋_GB2312"/>
          <w:b w:val="0"/>
          <w:bCs/>
          <w:color w:val="auto"/>
          <w:kern w:val="2"/>
          <w:sz w:val="32"/>
          <w:szCs w:val="32"/>
          <w:u w:val="none"/>
          <w:lang w:val="en-US" w:eastAsia="zh-CN" w:bidi="ar-SA"/>
        </w:rPr>
        <w:t>完善医疗隔离区，重新布局功能室，在现有医疗隔离区的基础上，优化室内布局和功能分区，安装户外休闲设施，满足被隔离儿童的日常休闲娱乐需求。</w:t>
      </w:r>
      <w:r>
        <w:rPr>
          <w:rFonts w:hint="eastAsia" w:ascii="仿宋_GB2312" w:hAnsi="仿宋_GB2312" w:eastAsia="仿宋_GB2312" w:cs="仿宋_GB2312"/>
          <w:b/>
          <w:bCs/>
          <w:color w:val="auto"/>
          <w:kern w:val="2"/>
          <w:sz w:val="32"/>
          <w:szCs w:val="32"/>
          <w:u w:val="none"/>
          <w:lang w:val="en-US" w:eastAsia="zh-CN" w:bidi="ar-SA"/>
        </w:rPr>
        <w:t>三是</w:t>
      </w:r>
      <w:r>
        <w:rPr>
          <w:rFonts w:hint="eastAsia" w:ascii="仿宋_GB2312" w:hAnsi="仿宋_GB2312" w:eastAsia="仿宋_GB2312" w:cs="仿宋_GB2312"/>
          <w:b w:val="0"/>
          <w:bCs w:val="0"/>
          <w:color w:val="auto"/>
          <w:kern w:val="2"/>
          <w:sz w:val="32"/>
          <w:szCs w:val="32"/>
          <w:u w:val="none"/>
          <w:lang w:val="en-US" w:eastAsia="zh-CN" w:bidi="ar-SA"/>
        </w:rPr>
        <w:t>营造安全养治康教环境。</w:t>
      </w:r>
      <w:r>
        <w:rPr>
          <w:rFonts w:hint="eastAsia" w:ascii="仿宋_GB2312" w:hAnsi="仿宋_GB2312" w:eastAsia="仿宋_GB2312" w:cs="仿宋_GB2312"/>
          <w:b w:val="0"/>
          <w:bCs/>
          <w:color w:val="auto"/>
          <w:kern w:val="2"/>
          <w:sz w:val="32"/>
          <w:szCs w:val="32"/>
          <w:u w:val="none"/>
          <w:lang w:val="en-US" w:eastAsia="zh-CN" w:bidi="ar-SA"/>
        </w:rPr>
        <w:t>在儿童生活、医疗、康复、教育等活动区域加装消防自动化喷淋系统。对破损、老旧的消防设施及时更换。对食堂加工间的烹饪设备的使用情况进行检查，对于部分老旧的设备进行更新换代。设置电动车室外充电点，降低因电动车充电引起的安全隐患。</w:t>
      </w:r>
    </w:p>
    <w:p w14:paraId="4A031ED5">
      <w:pPr>
        <w:keepNext w:val="0"/>
        <w:keepLines w:val="0"/>
        <w:pageBreakBefore w:val="0"/>
        <w:widowControl w:val="0"/>
        <w:suppressLineNumbers w:val="0"/>
        <w:kinsoku/>
        <w:wordWrap/>
        <w:topLinePunct w:val="0"/>
        <w:bidi w:val="0"/>
        <w:spacing w:before="0" w:beforeAutospacing="0" w:after="0" w:afterAutospacing="0" w:line="600" w:lineRule="exact"/>
        <w:ind w:left="0" w:right="0" w:firstLine="632" w:firstLineChars="200"/>
        <w:jc w:val="both"/>
        <w:textAlignment w:val="auto"/>
        <w:rPr>
          <w:rFonts w:hint="eastAsia" w:ascii="Calibri" w:hAnsi="Calibri" w:eastAsia="仿宋_GB2312" w:cs="Times New Roman"/>
          <w:color w:val="auto"/>
          <w:kern w:val="2"/>
          <w:sz w:val="32"/>
          <w:szCs w:val="32"/>
          <w:u w:val="none"/>
          <w:lang w:val="en-US" w:eastAsia="zh-CN" w:bidi="ar"/>
        </w:rPr>
      </w:pPr>
      <w:r>
        <w:rPr>
          <w:rFonts w:hint="eastAsia" w:hAnsi="仿宋_GB2312" w:cs="仿宋_GB2312"/>
          <w:b/>
          <w:bCs/>
          <w:color w:val="auto"/>
          <w:kern w:val="2"/>
          <w:sz w:val="32"/>
          <w:szCs w:val="32"/>
          <w:u w:val="none"/>
          <w:lang w:val="en-US" w:eastAsia="zh-CN" w:bidi="ar"/>
        </w:rPr>
        <w:t>3</w:t>
      </w:r>
      <w:r>
        <w:rPr>
          <w:rFonts w:hint="eastAsia" w:ascii="仿宋_GB2312" w:hAnsi="仿宋_GB2312" w:eastAsia="仿宋_GB2312" w:cs="仿宋_GB2312"/>
          <w:b/>
          <w:bCs/>
          <w:color w:val="auto"/>
          <w:kern w:val="2"/>
          <w:sz w:val="32"/>
          <w:szCs w:val="32"/>
          <w:u w:val="none"/>
          <w:lang w:val="en-US" w:eastAsia="zh-CN" w:bidi="ar"/>
        </w:rPr>
        <w:t>.推动</w:t>
      </w:r>
      <w:r>
        <w:rPr>
          <w:rFonts w:hint="eastAsia" w:hAnsi="仿宋_GB2312" w:cs="仿宋_GB2312"/>
          <w:b/>
          <w:bCs/>
          <w:color w:val="auto"/>
          <w:kern w:val="2"/>
          <w:sz w:val="32"/>
          <w:szCs w:val="32"/>
          <w:u w:val="none"/>
          <w:lang w:val="en-US" w:eastAsia="zh-CN" w:bidi="ar"/>
        </w:rPr>
        <w:t>殡仪馆改扩建和公墓骨灰楼</w:t>
      </w:r>
      <w:r>
        <w:rPr>
          <w:rFonts w:hint="eastAsia" w:ascii="仿宋_GB2312" w:hAnsi="仿宋_GB2312" w:eastAsia="仿宋_GB2312" w:cs="仿宋_GB2312"/>
          <w:b/>
          <w:bCs/>
          <w:color w:val="auto"/>
          <w:kern w:val="2"/>
          <w:sz w:val="32"/>
          <w:szCs w:val="32"/>
          <w:u w:val="none"/>
          <w:lang w:val="en-US" w:eastAsia="zh-CN" w:bidi="ar"/>
        </w:rPr>
        <w:t>建设。</w:t>
      </w:r>
      <w:r>
        <w:rPr>
          <w:rFonts w:hint="eastAsia" w:ascii="Calibri" w:hAnsi="Calibri" w:eastAsia="仿宋_GB2312" w:cs="仿宋_GB2312"/>
          <w:color w:val="auto"/>
          <w:kern w:val="2"/>
          <w:sz w:val="32"/>
          <w:szCs w:val="32"/>
          <w:u w:val="none"/>
          <w:lang w:val="en-US" w:eastAsia="zh-CN" w:bidi="ar"/>
        </w:rPr>
        <w:t>实施市殡仪馆改扩建</w:t>
      </w:r>
      <w:r>
        <w:rPr>
          <w:rFonts w:hint="eastAsia" w:ascii="Calibri" w:hAnsi="Calibri" w:cs="仿宋_GB2312"/>
          <w:color w:val="auto"/>
          <w:kern w:val="2"/>
          <w:sz w:val="32"/>
          <w:szCs w:val="32"/>
          <w:u w:val="none"/>
          <w:lang w:val="en-US" w:eastAsia="zh-CN" w:bidi="ar"/>
        </w:rPr>
        <w:t>。</w:t>
      </w:r>
      <w:r>
        <w:rPr>
          <w:rFonts w:hint="eastAsia" w:ascii="仿宋_GB2312" w:hAnsi="仿宋_GB2312" w:eastAsia="仿宋_GB2312" w:cs="仿宋_GB2312"/>
          <w:color w:val="auto"/>
          <w:kern w:val="2"/>
          <w:sz w:val="32"/>
          <w:szCs w:val="32"/>
          <w:u w:val="none"/>
          <w:lang w:val="en-US" w:eastAsia="zh-CN" w:bidi="ar"/>
        </w:rPr>
        <w:t>通过保留并翻新部分楼房，部分建筑拆除后新建等方式实施改扩建工程，致力打造一个功能齐全、环境优美、办事便捷、绿色生态的殡仪馆。2022年完成项目立项前期的稳评、环保“邻避”风险评估及立项、设计等工作，2023年至2025年分期实施改扩建工程，力争2025年底竣工验收。此外，</w:t>
      </w:r>
      <w:r>
        <w:rPr>
          <w:rFonts w:hint="eastAsia" w:ascii="Calibri" w:hAnsi="Calibri" w:eastAsia="仿宋_GB2312" w:cs="仿宋_GB2312"/>
          <w:color w:val="auto"/>
          <w:kern w:val="2"/>
          <w:sz w:val="32"/>
          <w:szCs w:val="32"/>
          <w:u w:val="none"/>
          <w:lang w:val="en-US" w:eastAsia="zh-CN" w:bidi="ar"/>
        </w:rPr>
        <w:t>联合生态环境部门加强对殡仪馆火化机尾气排放的检测，落实市殡</w:t>
      </w:r>
      <w:r>
        <w:rPr>
          <w:rFonts w:hint="eastAsia" w:ascii="仿宋_GB2312" w:hAnsi="仿宋_GB2312" w:eastAsia="仿宋_GB2312" w:cs="仿宋_GB2312"/>
          <w:color w:val="auto"/>
          <w:kern w:val="2"/>
          <w:sz w:val="32"/>
          <w:szCs w:val="32"/>
          <w:u w:val="none"/>
          <w:lang w:val="en-US" w:eastAsia="zh-CN" w:bidi="ar"/>
        </w:rPr>
        <w:t>仪馆配备祭品焚化炉，减少殡仪馆大气污染物排放。推动市福荫园公墓骨灰楼建设，指导市福荫园加快工作进度，力争2023年建成并投入使用，面向全市群众提供骨灰寄存服务。</w:t>
      </w:r>
    </w:p>
    <w:p w14:paraId="635DC96E">
      <w:pPr>
        <w:keepNext w:val="0"/>
        <w:keepLines w:val="0"/>
        <w:pageBreakBefore w:val="0"/>
        <w:widowControl/>
        <w:suppressLineNumbers w:val="0"/>
        <w:kinsoku/>
        <w:wordWrap/>
        <w:topLinePunct w:val="0"/>
        <w:bidi w:val="0"/>
        <w:spacing w:line="600" w:lineRule="exact"/>
        <w:ind w:firstLine="632" w:firstLineChars="200"/>
        <w:jc w:val="left"/>
        <w:textAlignment w:val="auto"/>
        <w:rPr>
          <w:rStyle w:val="27"/>
          <w:rFonts w:hint="eastAsia" w:ascii="仿宋_GB2312" w:hAnsi="仿宋_GB2312" w:eastAsia="仿宋_GB2312" w:cs="仿宋_GB2312"/>
          <w:b w:val="0"/>
          <w:bCs w:val="0"/>
          <w:color w:val="auto"/>
          <w:u w:val="none"/>
        </w:rPr>
      </w:pPr>
      <w:r>
        <w:rPr>
          <w:rStyle w:val="27"/>
          <w:rFonts w:hint="eastAsia" w:ascii="仿宋_GB2312" w:hAnsi="仿宋_GB2312" w:eastAsia="仿宋_GB2312" w:cs="仿宋_GB2312"/>
          <w:b/>
          <w:bCs/>
          <w:color w:val="auto"/>
          <w:u w:val="none"/>
          <w:lang w:val="en-US" w:eastAsia="zh-CN"/>
        </w:rPr>
        <w:t>4.</w:t>
      </w:r>
      <w:r>
        <w:rPr>
          <w:rStyle w:val="27"/>
          <w:rFonts w:hint="eastAsia" w:ascii="仿宋_GB2312" w:hAnsi="仿宋_GB2312" w:eastAsia="仿宋_GB2312" w:cs="仿宋_GB2312"/>
          <w:b/>
          <w:bCs/>
          <w:color w:val="auto"/>
          <w:u w:val="none"/>
        </w:rPr>
        <w:t>实施市婚姻登记中心</w:t>
      </w:r>
      <w:r>
        <w:rPr>
          <w:rStyle w:val="27"/>
          <w:rFonts w:hint="eastAsia" w:ascii="仿宋_GB2312" w:hAnsi="仿宋_GB2312" w:eastAsia="仿宋_GB2312" w:cs="仿宋_GB2312"/>
          <w:b/>
          <w:bCs/>
          <w:color w:val="auto"/>
          <w:u w:val="none"/>
          <w:lang w:eastAsia="zh-CN"/>
        </w:rPr>
        <w:t>服务</w:t>
      </w:r>
      <w:r>
        <w:rPr>
          <w:rStyle w:val="27"/>
          <w:rFonts w:hint="eastAsia" w:ascii="仿宋_GB2312" w:hAnsi="仿宋_GB2312" w:eastAsia="仿宋_GB2312" w:cs="仿宋_GB2312"/>
          <w:b/>
          <w:bCs/>
          <w:color w:val="auto"/>
          <w:u w:val="none"/>
        </w:rPr>
        <w:t>场所搬迁</w:t>
      </w:r>
      <w:r>
        <w:rPr>
          <w:rStyle w:val="27"/>
          <w:rFonts w:hint="eastAsia" w:ascii="仿宋_GB2312" w:hAnsi="仿宋_GB2312" w:eastAsia="仿宋_GB2312" w:cs="仿宋_GB2312"/>
          <w:b/>
          <w:bCs/>
          <w:color w:val="auto"/>
          <w:u w:val="none"/>
          <w:lang w:eastAsia="zh-CN"/>
        </w:rPr>
        <w:t>。</w:t>
      </w:r>
      <w:r>
        <w:rPr>
          <w:rStyle w:val="27"/>
          <w:rFonts w:hint="eastAsia" w:ascii="仿宋_GB2312" w:hAnsi="仿宋_GB2312" w:eastAsia="仿宋_GB2312" w:cs="仿宋_GB2312"/>
          <w:b w:val="0"/>
          <w:bCs w:val="0"/>
          <w:color w:val="auto"/>
          <w:u w:val="none"/>
        </w:rPr>
        <w:t>加快落实市婚姻登记中心服务场所选址搬迁事项，争取2022年上半年通过市政府同意立项，下半年纳入财政新增项目库并编制2023年项目预算。充分利用好新的服务场所，合理设计结婚和离婚窗口、候登区、宣誓颁证室、婚姻家庭服务室、档案室等布局，完善功能分区，力争2024年上半年完成装修并投入使用，为市民群众提供便捷高效、温馨的婚姻登记服务。</w:t>
      </w:r>
    </w:p>
    <w:p w14:paraId="3ACF9E13">
      <w:pPr>
        <w:keepNext w:val="0"/>
        <w:keepLines w:val="0"/>
        <w:pageBreakBefore w:val="0"/>
        <w:widowControl/>
        <w:suppressLineNumbers w:val="0"/>
        <w:kinsoku/>
        <w:wordWrap/>
        <w:topLinePunct w:val="0"/>
        <w:bidi w:val="0"/>
        <w:spacing w:line="600" w:lineRule="exact"/>
        <w:ind w:firstLine="632" w:firstLineChars="200"/>
        <w:jc w:val="left"/>
        <w:textAlignment w:val="auto"/>
        <w:rPr>
          <w:rStyle w:val="27"/>
          <w:rFonts w:ascii="Times New Roman" w:hAnsi="Times New Roman"/>
          <w:b/>
          <w:bCs/>
          <w:color w:val="auto"/>
          <w:u w:val="none"/>
        </w:rPr>
      </w:pPr>
      <w:r>
        <w:rPr>
          <w:rStyle w:val="27"/>
          <w:rFonts w:hint="eastAsia" w:ascii="仿宋_GB2312" w:hAnsi="仿宋_GB2312" w:eastAsia="仿宋_GB2312" w:cs="仿宋_GB2312"/>
          <w:b/>
          <w:bCs/>
          <w:color w:val="auto"/>
          <w:u w:val="none"/>
          <w:lang w:val="en-US" w:eastAsia="zh-CN"/>
        </w:rPr>
        <w:t>5.</w:t>
      </w:r>
      <w:r>
        <w:rPr>
          <w:rStyle w:val="27"/>
          <w:rFonts w:hint="eastAsia" w:ascii="仿宋_GB2312" w:hAnsi="仿宋_GB2312" w:eastAsia="仿宋_GB2312" w:cs="仿宋_GB2312"/>
          <w:b/>
          <w:bCs/>
          <w:color w:val="auto"/>
          <w:u w:val="none"/>
        </w:rPr>
        <w:t>加速智慧民政建设</w:t>
      </w:r>
      <w:bookmarkEnd w:id="113"/>
      <w:r>
        <w:rPr>
          <w:rStyle w:val="27"/>
          <w:rFonts w:hint="eastAsia" w:ascii="仿宋_GB2312" w:hAnsi="仿宋_GB2312" w:eastAsia="仿宋_GB2312" w:cs="仿宋_GB2312"/>
          <w:b/>
          <w:bCs/>
          <w:color w:val="auto"/>
          <w:u w:val="none"/>
          <w:lang w:eastAsia="zh-CN"/>
        </w:rPr>
        <w:t>。</w:t>
      </w:r>
      <w:bookmarkStart w:id="114" w:name="_Toc86940134"/>
      <w:r>
        <w:rPr>
          <w:rStyle w:val="27"/>
          <w:rFonts w:ascii="Times New Roman" w:hAnsi="Times New Roman" w:eastAsia="仿宋_GB2312"/>
          <w:b w:val="0"/>
          <w:bCs w:val="0"/>
          <w:color w:val="auto"/>
          <w:u w:val="none"/>
        </w:rPr>
        <w:t>依托省“智慧民政”和市“智慧城市”建设工程，推动互联网、大数据、人工智能、区块链等信息技术与民政工作深度融合，提高大数据信息综合服务管理及辅助决策应用水平。积极推进“互联网+政务服务”建设，加快推进养老服务、社区服务等民政业务领域数字化转型，构建民政信息化标准规范体系。加强统筹协调，推进民政系统信息化建设联动和整体协调发展，实现跨层级、跨区域、跨部门数据开放共享，推进落实“进一扇门，办一件事”。</w:t>
      </w:r>
      <w:bookmarkEnd w:id="114"/>
    </w:p>
    <w:p w14:paraId="00B91758">
      <w:pPr>
        <w:pStyle w:val="4"/>
        <w:pageBreakBefore w:val="0"/>
        <w:kinsoku/>
        <w:wordWrap/>
        <w:topLinePunct w:val="0"/>
        <w:bidi w:val="0"/>
        <w:snapToGrid w:val="0"/>
        <w:spacing w:line="600" w:lineRule="exact"/>
        <w:ind w:firstLine="632"/>
        <w:textAlignment w:val="auto"/>
        <w:rPr>
          <w:rFonts w:ascii="Times New Roman" w:hAnsi="Times New Roman"/>
          <w:color w:val="auto"/>
          <w:u w:val="none"/>
        </w:rPr>
      </w:pPr>
      <w:r>
        <w:rPr>
          <w:rFonts w:ascii="Times New Roman" w:hAnsi="Times New Roman"/>
          <w:color w:val="auto"/>
          <w:u w:val="none"/>
        </w:rPr>
        <w:t>四、组织保障</w:t>
      </w:r>
      <w:bookmarkEnd w:id="108"/>
      <w:bookmarkEnd w:id="109"/>
      <w:bookmarkEnd w:id="110"/>
      <w:bookmarkEnd w:id="111"/>
      <w:bookmarkEnd w:id="112"/>
      <w:bookmarkStart w:id="115" w:name="_Toc1914"/>
      <w:bookmarkStart w:id="116" w:name="_Toc456044927"/>
    </w:p>
    <w:p w14:paraId="6B6169E1">
      <w:pPr>
        <w:pStyle w:val="5"/>
        <w:pageBreakBefore w:val="0"/>
        <w:kinsoku/>
        <w:wordWrap/>
        <w:topLinePunct w:val="0"/>
        <w:bidi w:val="0"/>
        <w:snapToGrid w:val="0"/>
        <w:spacing w:line="600" w:lineRule="exact"/>
        <w:ind w:firstLine="634"/>
        <w:textAlignment w:val="auto"/>
        <w:rPr>
          <w:rFonts w:ascii="Times New Roman"/>
          <w:b w:val="0"/>
          <w:bCs w:val="0"/>
          <w:color w:val="auto"/>
          <w:u w:val="none"/>
        </w:rPr>
      </w:pPr>
      <w:bookmarkStart w:id="117" w:name="_Toc19121"/>
      <w:bookmarkStart w:id="118" w:name="_Toc14642"/>
      <w:bookmarkStart w:id="119" w:name="_Toc86940128"/>
      <w:r>
        <w:rPr>
          <w:rStyle w:val="27"/>
          <w:rFonts w:ascii="Times New Roman" w:hAnsi="Times New Roman"/>
          <w:b/>
          <w:bCs/>
          <w:color w:val="auto"/>
          <w:u w:val="none"/>
        </w:rPr>
        <w:t>（一）加强党的全面领导</w:t>
      </w:r>
      <w:bookmarkEnd w:id="115"/>
      <w:bookmarkEnd w:id="116"/>
      <w:bookmarkEnd w:id="117"/>
      <w:bookmarkEnd w:id="118"/>
      <w:bookmarkEnd w:id="119"/>
    </w:p>
    <w:p w14:paraId="74A33844">
      <w:pPr>
        <w:pageBreakBefore w:val="0"/>
        <w:kinsoku/>
        <w:wordWrap/>
        <w:topLinePunct w:val="0"/>
        <w:bidi w:val="0"/>
        <w:snapToGrid w:val="0"/>
        <w:spacing w:line="600" w:lineRule="exact"/>
        <w:ind w:firstLine="632" w:firstLineChars="200"/>
        <w:textAlignment w:val="auto"/>
        <w:rPr>
          <w:rFonts w:ascii="Times New Roman"/>
          <w:color w:val="auto"/>
          <w:kern w:val="0"/>
          <w:u w:val="none"/>
        </w:rPr>
      </w:pPr>
      <w:r>
        <w:rPr>
          <w:rFonts w:ascii="Times New Roman"/>
          <w:color w:val="auto"/>
          <w:kern w:val="0"/>
          <w:u w:val="none"/>
        </w:rPr>
        <w:t>强化镇街党委（党工委）对民政事业的组织领导，发挥党组织在民政事业战略发展中的领导核心作用，增强“四个意识”</w:t>
      </w:r>
      <w:r>
        <w:rPr>
          <w:rFonts w:hint="eastAsia" w:ascii="Times New Roman"/>
          <w:color w:val="auto"/>
          <w:kern w:val="0"/>
          <w:u w:val="none"/>
          <w:lang w:eastAsia="zh-CN"/>
        </w:rPr>
        <w:t>、</w:t>
      </w:r>
      <w:r>
        <w:rPr>
          <w:rFonts w:ascii="Times New Roman"/>
          <w:color w:val="auto"/>
          <w:kern w:val="0"/>
          <w:u w:val="none"/>
        </w:rPr>
        <w:t>坚定“四个自信”</w:t>
      </w:r>
      <w:r>
        <w:rPr>
          <w:rFonts w:hint="eastAsia" w:ascii="Times New Roman"/>
          <w:color w:val="auto"/>
          <w:kern w:val="0"/>
          <w:u w:val="none"/>
          <w:lang w:eastAsia="zh-CN"/>
        </w:rPr>
        <w:t>、</w:t>
      </w:r>
      <w:r>
        <w:rPr>
          <w:rFonts w:ascii="Times New Roman"/>
          <w:color w:val="auto"/>
          <w:kern w:val="0"/>
          <w:u w:val="none"/>
        </w:rPr>
        <w:t>做到“两个维护”，确保民政事业政治方向始终与党中央保持高度一致。</w:t>
      </w:r>
      <w:r>
        <w:rPr>
          <w:rFonts w:ascii="Times New Roman"/>
          <w:color w:val="auto"/>
          <w:u w:val="none"/>
        </w:rPr>
        <w:t>把重大民政事项发展纳入市镇两级国民经济和社会发展规划，列入党委（党工委）政府（办事处）重要议事日程和考核内容。</w:t>
      </w:r>
      <w:r>
        <w:rPr>
          <w:rFonts w:ascii="Times New Roman"/>
          <w:color w:val="auto"/>
          <w:kern w:val="0"/>
          <w:u w:val="none"/>
        </w:rPr>
        <w:t>加强对重大决策、重点工作部署的督促指导，跟踪问责，确保民政领域各项惠民政策的落实。加强民政系统党组织建设和党员队伍建设，配齐配强基层党支部书记。强化基层党组织整体功能，推进党的建设与民政业务融合发展，发挥基层民政党组织的战斗堡垒作用和党员先锋模范作用。贯彻落实全面从严治党要求，加强思想政治建设，加强党风廉政建设，严明党的纪律，全面落实党风廉政建设主体责任和监督责任，切实履行一岗双责，强化权力运行制约和监督。</w:t>
      </w:r>
    </w:p>
    <w:p w14:paraId="29A8A5A0">
      <w:pPr>
        <w:pStyle w:val="5"/>
        <w:pageBreakBefore w:val="0"/>
        <w:kinsoku/>
        <w:wordWrap/>
        <w:topLinePunct w:val="0"/>
        <w:bidi w:val="0"/>
        <w:snapToGrid w:val="0"/>
        <w:spacing w:line="600" w:lineRule="exact"/>
        <w:ind w:firstLine="634"/>
        <w:textAlignment w:val="auto"/>
        <w:rPr>
          <w:rFonts w:ascii="Times New Roman"/>
          <w:b w:val="0"/>
          <w:bCs w:val="0"/>
          <w:color w:val="auto"/>
          <w:u w:val="none"/>
        </w:rPr>
      </w:pPr>
      <w:bookmarkStart w:id="120" w:name="_Toc16386"/>
      <w:bookmarkStart w:id="121" w:name="_Toc456044928"/>
      <w:bookmarkStart w:id="122" w:name="_Toc5811"/>
      <w:bookmarkStart w:id="123" w:name="_Toc86940129"/>
      <w:bookmarkStart w:id="124" w:name="_Toc17797"/>
      <w:r>
        <w:rPr>
          <w:rStyle w:val="27"/>
          <w:rFonts w:ascii="Times New Roman" w:hAnsi="Times New Roman"/>
          <w:b/>
          <w:bCs/>
          <w:color w:val="auto"/>
          <w:u w:val="none"/>
        </w:rPr>
        <w:t>（二）落实资金资源保障</w:t>
      </w:r>
      <w:bookmarkEnd w:id="120"/>
      <w:bookmarkEnd w:id="121"/>
      <w:bookmarkEnd w:id="122"/>
      <w:bookmarkEnd w:id="123"/>
      <w:bookmarkEnd w:id="124"/>
    </w:p>
    <w:p w14:paraId="75EB7D33">
      <w:pPr>
        <w:pageBreakBefore w:val="0"/>
        <w:kinsoku/>
        <w:wordWrap/>
        <w:topLinePunct w:val="0"/>
        <w:bidi w:val="0"/>
        <w:snapToGrid w:val="0"/>
        <w:spacing w:line="600" w:lineRule="exact"/>
        <w:ind w:firstLine="632" w:firstLineChars="200"/>
        <w:textAlignment w:val="auto"/>
        <w:rPr>
          <w:rFonts w:ascii="Times New Roman"/>
          <w:b/>
          <w:color w:val="auto"/>
          <w:u w:val="none"/>
        </w:rPr>
      </w:pPr>
      <w:r>
        <w:rPr>
          <w:rFonts w:ascii="Times New Roman"/>
          <w:color w:val="auto"/>
          <w:u w:val="none"/>
        </w:rPr>
        <w:t>坚持政府主导、社会参与、市场配合，进一步健全完善以政府投入为主的多渠道、多形式、多层次的民政事业发展资金供给机制。建立完善基本民生经费保障机制和各级政府合理分担机制。充分发挥福利彩票公益金、慈善募捐资金对民政事业发展的支持作用。通过完善优惠政策，建立补贴机制等引导民间资本有序进入社会福利、社会服务及其他民政公共服务领域。健全民政专项资金监管制度，防范资金风险，确保合理合法高效使用。协调完善土地供应政策，将民政公共服务设施建设用地纳入土地利用总体规划和年度用地计划，采取多种方式，优先保障民政公共服务设施建设用地供应。协助落实各项财政补助、税费减免及用水、用电、用气等优惠政策，吸引社会力量参与社会服务。加强资金专项检查、绩效评价等，防范资金风险，确保民政资金安全、合理、高效使用。</w:t>
      </w:r>
    </w:p>
    <w:p w14:paraId="5BE4768D">
      <w:pPr>
        <w:pStyle w:val="5"/>
        <w:pageBreakBefore w:val="0"/>
        <w:kinsoku/>
        <w:wordWrap/>
        <w:topLinePunct w:val="0"/>
        <w:bidi w:val="0"/>
        <w:snapToGrid w:val="0"/>
        <w:spacing w:line="600" w:lineRule="exact"/>
        <w:ind w:firstLine="634"/>
        <w:textAlignment w:val="auto"/>
        <w:rPr>
          <w:rFonts w:ascii="Times New Roman"/>
          <w:b w:val="0"/>
          <w:bCs w:val="0"/>
          <w:color w:val="auto"/>
          <w:u w:val="none"/>
        </w:rPr>
      </w:pPr>
      <w:bookmarkStart w:id="125" w:name="_Toc4733"/>
      <w:bookmarkStart w:id="126" w:name="_Toc86940130"/>
      <w:bookmarkStart w:id="127" w:name="_Toc20657"/>
      <w:bookmarkStart w:id="128" w:name="_Toc456044929"/>
      <w:bookmarkStart w:id="129" w:name="_Toc3244"/>
      <w:r>
        <w:rPr>
          <w:rStyle w:val="27"/>
          <w:rFonts w:ascii="Times New Roman" w:hAnsi="Times New Roman"/>
          <w:b/>
          <w:bCs/>
          <w:color w:val="auto"/>
          <w:u w:val="none"/>
        </w:rPr>
        <w:t>（三）深化民政领域法治</w:t>
      </w:r>
      <w:bookmarkEnd w:id="125"/>
      <w:bookmarkEnd w:id="126"/>
      <w:bookmarkEnd w:id="127"/>
      <w:bookmarkEnd w:id="128"/>
      <w:bookmarkEnd w:id="129"/>
    </w:p>
    <w:p w14:paraId="7C927236">
      <w:pPr>
        <w:pageBreakBefore w:val="0"/>
        <w:kinsoku/>
        <w:wordWrap/>
        <w:topLinePunct w:val="0"/>
        <w:bidi w:val="0"/>
        <w:snapToGrid w:val="0"/>
        <w:spacing w:line="600" w:lineRule="exact"/>
        <w:ind w:firstLine="632" w:firstLineChars="200"/>
        <w:textAlignment w:val="auto"/>
        <w:rPr>
          <w:rFonts w:ascii="Times New Roman"/>
          <w:color w:val="auto"/>
          <w:u w:val="none"/>
        </w:rPr>
      </w:pPr>
      <w:r>
        <w:rPr>
          <w:rFonts w:ascii="Times New Roman"/>
          <w:color w:val="auto"/>
          <w:u w:val="none"/>
        </w:rPr>
        <w:t>贯彻依法治国基本方略，严格执行国家和省有关民政法律、法规、规章和政策。针对重点、难点领域和薄弱环节，加大地方性民政规章制度特别是部门联合规章制定力度，发挥法制的引领和规范作用。及时更新完善民政部门权力和责任清单，深化行政审批制度改革，全面推进依法行政。完善重大民政事项尤其是基本民生事项行政决策程序，突出公众参与。加大规范性文件合法性审查力度，规范抽象行政行为。加强民政执法监督，确保规范文明执法。加强民政政策法规宣传，引导群众正确认识和理解，确保各项工作实施有力、公正透明。依法处理民政信访事宜，积极妥善化解基层矛盾，从源头上减少行政复议和行政诉讼案件。</w:t>
      </w:r>
    </w:p>
    <w:p w14:paraId="42EE06DC">
      <w:pPr>
        <w:pStyle w:val="5"/>
        <w:pageBreakBefore w:val="0"/>
        <w:kinsoku/>
        <w:wordWrap/>
        <w:topLinePunct w:val="0"/>
        <w:bidi w:val="0"/>
        <w:snapToGrid w:val="0"/>
        <w:spacing w:line="600" w:lineRule="exact"/>
        <w:ind w:firstLine="634"/>
        <w:textAlignment w:val="auto"/>
        <w:rPr>
          <w:rFonts w:ascii="Times New Roman"/>
          <w:b w:val="0"/>
          <w:bCs w:val="0"/>
          <w:color w:val="auto"/>
          <w:u w:val="none"/>
        </w:rPr>
      </w:pPr>
      <w:bookmarkStart w:id="130" w:name="_Toc86940131"/>
      <w:bookmarkStart w:id="131" w:name="_Toc29362"/>
      <w:bookmarkStart w:id="132" w:name="_Toc456044930"/>
      <w:bookmarkStart w:id="133" w:name="_Toc7925"/>
      <w:bookmarkStart w:id="134" w:name="_Toc17792"/>
      <w:r>
        <w:rPr>
          <w:rStyle w:val="27"/>
          <w:rFonts w:ascii="Times New Roman" w:hAnsi="Times New Roman"/>
          <w:b/>
          <w:bCs/>
          <w:color w:val="auto"/>
          <w:u w:val="none"/>
        </w:rPr>
        <w:t>（四）提升民政队伍能力</w:t>
      </w:r>
      <w:bookmarkEnd w:id="130"/>
      <w:bookmarkEnd w:id="131"/>
      <w:bookmarkEnd w:id="132"/>
      <w:bookmarkEnd w:id="133"/>
      <w:bookmarkEnd w:id="134"/>
    </w:p>
    <w:p w14:paraId="7EFB882F">
      <w:pPr>
        <w:pageBreakBefore w:val="0"/>
        <w:kinsoku/>
        <w:wordWrap/>
        <w:topLinePunct w:val="0"/>
        <w:bidi w:val="0"/>
        <w:snapToGrid w:val="0"/>
        <w:spacing w:line="600" w:lineRule="exact"/>
        <w:ind w:firstLine="632" w:firstLineChars="200"/>
        <w:textAlignment w:val="auto"/>
        <w:rPr>
          <w:rFonts w:ascii="Times New Roman"/>
          <w:bCs/>
          <w:color w:val="auto"/>
          <w:u w:val="none"/>
        </w:rPr>
      </w:pPr>
      <w:r>
        <w:rPr>
          <w:rFonts w:ascii="Times New Roman"/>
          <w:bCs/>
          <w:color w:val="auto"/>
          <w:u w:val="none"/>
        </w:rPr>
        <w:t>坚持党的全面领导，强化队伍建设，打造一支忠诚干净担当的高素质民政干部队伍，为民政事业的改革发展提供强大的骨干力量和人才支撑。深化干部培养，改善人员结构，加大培养力度，以正确的选人用人导向激发干事创业的热情和责任担当。注重能力提升，加强学习教育培训，调动广大民政干部干事创业的积极性、主动性、创造性。强化激励考核，严格干部监督管理，持续开展职业道德教育，鼓励民政干部深入基层、服务群众。</w:t>
      </w:r>
    </w:p>
    <w:p w14:paraId="796564E2">
      <w:pPr>
        <w:pStyle w:val="5"/>
        <w:pageBreakBefore w:val="0"/>
        <w:kinsoku/>
        <w:wordWrap/>
        <w:topLinePunct w:val="0"/>
        <w:bidi w:val="0"/>
        <w:snapToGrid w:val="0"/>
        <w:spacing w:line="600" w:lineRule="exact"/>
        <w:ind w:firstLine="634"/>
        <w:textAlignment w:val="auto"/>
        <w:rPr>
          <w:rFonts w:ascii="Times New Roman"/>
          <w:b w:val="0"/>
          <w:bCs w:val="0"/>
          <w:color w:val="auto"/>
          <w:u w:val="none"/>
        </w:rPr>
      </w:pPr>
      <w:bookmarkStart w:id="135" w:name="_Toc23617"/>
      <w:bookmarkStart w:id="136" w:name="_Toc31161"/>
      <w:bookmarkStart w:id="137" w:name="_Toc456044931"/>
      <w:bookmarkStart w:id="138" w:name="_Toc86940132"/>
      <w:bookmarkStart w:id="139" w:name="_Toc1622"/>
      <w:r>
        <w:rPr>
          <w:rStyle w:val="27"/>
          <w:rFonts w:ascii="Times New Roman" w:hAnsi="Times New Roman"/>
          <w:b/>
          <w:bCs/>
          <w:color w:val="auto"/>
          <w:u w:val="none"/>
        </w:rPr>
        <w:t>（五）强化民政督查评估</w:t>
      </w:r>
      <w:bookmarkEnd w:id="135"/>
      <w:bookmarkEnd w:id="136"/>
      <w:bookmarkEnd w:id="137"/>
      <w:bookmarkEnd w:id="138"/>
      <w:bookmarkEnd w:id="139"/>
    </w:p>
    <w:p w14:paraId="0A83DDA6">
      <w:pPr>
        <w:pageBreakBefore w:val="0"/>
        <w:kinsoku/>
        <w:wordWrap/>
        <w:topLinePunct w:val="0"/>
        <w:bidi w:val="0"/>
        <w:snapToGrid w:val="0"/>
        <w:spacing w:line="600" w:lineRule="exact"/>
        <w:ind w:firstLine="632" w:firstLineChars="200"/>
        <w:textAlignment w:val="auto"/>
        <w:rPr>
          <w:rFonts w:ascii="Times New Roman"/>
          <w:color w:val="auto"/>
          <w:u w:val="none"/>
        </w:rPr>
      </w:pPr>
      <w:r>
        <w:rPr>
          <w:rFonts w:ascii="Times New Roman"/>
          <w:color w:val="auto"/>
          <w:u w:val="none"/>
        </w:rPr>
        <w:t>建立民政事业发展状况的数据信息和监测体系，加强规划实施、协调和督导，开展规划实施情况动态监测和评估。健全和完善民政督查评估机制，强化统计通报工作。将规划确定的发展指标、重点任务等落实到年度工作计划中，明确责任主体和实施进度要求，确保如期完成。完善绩效考核考评机制，制定切合实际的指标和评估办法，定期对执行情况进行评估。创新评估方式，引入第三方机构适时开展规划实施效果调查，开展好本规划的执行情况的中期评估和终期评估，把监测评估结果作为改进民政工作和绩效考核的重要依据。</w:t>
      </w:r>
    </w:p>
    <w:p w14:paraId="3AA21BAF">
      <w:pPr>
        <w:pStyle w:val="5"/>
        <w:pageBreakBefore w:val="0"/>
        <w:kinsoku/>
        <w:wordWrap/>
        <w:topLinePunct w:val="0"/>
        <w:bidi w:val="0"/>
        <w:snapToGrid w:val="0"/>
        <w:spacing w:line="600" w:lineRule="exact"/>
        <w:ind w:firstLine="634"/>
        <w:textAlignment w:val="auto"/>
        <w:rPr>
          <w:rFonts w:ascii="Times New Roman"/>
          <w:b w:val="0"/>
          <w:bCs w:val="0"/>
          <w:color w:val="auto"/>
          <w:u w:val="none"/>
        </w:rPr>
      </w:pPr>
      <w:bookmarkStart w:id="140" w:name="_Toc20967"/>
      <w:bookmarkStart w:id="141" w:name="_Toc86940135"/>
      <w:bookmarkStart w:id="142" w:name="_Toc28909"/>
      <w:bookmarkStart w:id="143" w:name="_Toc29731"/>
      <w:r>
        <w:rPr>
          <w:rStyle w:val="27"/>
          <w:rFonts w:ascii="Times New Roman" w:hAnsi="Times New Roman"/>
          <w:b/>
          <w:bCs/>
          <w:color w:val="auto"/>
          <w:u w:val="none"/>
        </w:rPr>
        <w:t>（</w:t>
      </w:r>
      <w:r>
        <w:rPr>
          <w:rStyle w:val="27"/>
          <w:rFonts w:hint="eastAsia" w:ascii="Times New Roman" w:hAnsi="Times New Roman"/>
          <w:b/>
          <w:bCs/>
          <w:color w:val="auto"/>
          <w:u w:val="none"/>
          <w:lang w:eastAsia="zh-CN"/>
        </w:rPr>
        <w:t>六</w:t>
      </w:r>
      <w:r>
        <w:rPr>
          <w:rStyle w:val="27"/>
          <w:rFonts w:ascii="Times New Roman" w:hAnsi="Times New Roman"/>
          <w:b/>
          <w:bCs/>
          <w:color w:val="auto"/>
          <w:u w:val="none"/>
        </w:rPr>
        <w:t>）建立风险防控机制</w:t>
      </w:r>
      <w:bookmarkEnd w:id="140"/>
      <w:bookmarkEnd w:id="141"/>
      <w:bookmarkEnd w:id="142"/>
      <w:bookmarkEnd w:id="143"/>
    </w:p>
    <w:p w14:paraId="708FC021">
      <w:pPr>
        <w:pageBreakBefore w:val="0"/>
        <w:kinsoku/>
        <w:wordWrap/>
        <w:topLinePunct w:val="0"/>
        <w:bidi w:val="0"/>
        <w:snapToGrid w:val="0"/>
        <w:spacing w:line="600" w:lineRule="exact"/>
        <w:ind w:firstLine="632" w:firstLineChars="200"/>
        <w:textAlignment w:val="auto"/>
        <w:rPr>
          <w:color w:val="auto"/>
          <w:u w:val="none"/>
        </w:rPr>
      </w:pPr>
      <w:r>
        <w:rPr>
          <w:rFonts w:ascii="Times New Roman"/>
          <w:color w:val="auto"/>
          <w:u w:val="none"/>
        </w:rPr>
        <w:t>进一步增强风险意识，提高政治站位，坚持底线思维，把防范化解重大风险隐患工作摆在更加突出位置。建立完善风险防范化解工作领导机制，层层压实责任，把防范化解风险各项工作落实到每个领域、每个岗位、每个工作环节。进一步健全完善分析研判、风险评估、协同防控、责任落实、处置应对等工作机制，提升防范化解效能。聚焦民政系统民生领域的短板弱项和关键风险点，完善风险防范化解的长效机制，从源头上防范化解民政领域重大风险。</w:t>
      </w:r>
    </w:p>
    <w:p w14:paraId="0A7DAC5D"/>
    <w:sectPr>
      <w:headerReference r:id="rId17" w:type="default"/>
      <w:pgSz w:w="11906" w:h="16838"/>
      <w:pgMar w:top="2211" w:right="1531" w:bottom="1871" w:left="1531" w:header="851" w:footer="1361" w:gutter="0"/>
      <w:pgNumType w:fmt="numberInDash"/>
      <w:cols w:space="720" w:num="1"/>
      <w:docGrid w:type="linesAndChars" w:linePitch="574"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公文小标宋简">
    <w:altName w:val="宋体"/>
    <w:panose1 w:val="020B0604020202020204"/>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等线">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CDEE2">
    <w:pPr>
      <w:pStyle w:val="11"/>
      <w:ind w:right="360" w:firstLine="360"/>
      <w:jc w:val="right"/>
      <w:rPr>
        <w:rFonts w:hAnsi="宋体"/>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D1FB8">
    <w:pPr>
      <w:pStyle w:val="11"/>
      <w:tabs>
        <w:tab w:val="left" w:pos="7616"/>
        <w:tab w:val="right" w:pos="8484"/>
      </w:tabs>
      <w:ind w:right="360" w:firstLine="360"/>
      <w:rPr>
        <w:rFonts w:hAnsi="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328A0D">
                          <w:pPr>
                            <w:pStyle w:val="11"/>
                            <w:rPr>
                              <w:rStyle w:val="19"/>
                              <w:rFonts w:ascii="Times New Roman"/>
                              <w:color w:val="000000"/>
                              <w:sz w:val="28"/>
                              <w:szCs w:val="28"/>
                            </w:rPr>
                          </w:pPr>
                          <w:r>
                            <w:rPr>
                              <w:rStyle w:val="19"/>
                              <w:rFonts w:ascii="Times New Roman"/>
                              <w:color w:val="000000"/>
                              <w:sz w:val="28"/>
                              <w:szCs w:val="28"/>
                            </w:rPr>
                            <w:fldChar w:fldCharType="begin"/>
                          </w:r>
                          <w:r>
                            <w:rPr>
                              <w:rStyle w:val="19"/>
                              <w:rFonts w:ascii="Times New Roman"/>
                              <w:color w:val="000000"/>
                              <w:sz w:val="28"/>
                              <w:szCs w:val="28"/>
                            </w:rPr>
                            <w:instrText xml:space="preserve"> PAGE </w:instrText>
                          </w:r>
                          <w:r>
                            <w:rPr>
                              <w:rStyle w:val="19"/>
                              <w:rFonts w:ascii="Times New Roman"/>
                              <w:color w:val="000000"/>
                              <w:sz w:val="28"/>
                              <w:szCs w:val="28"/>
                            </w:rPr>
                            <w:fldChar w:fldCharType="separate"/>
                          </w:r>
                          <w:r>
                            <w:rPr>
                              <w:rStyle w:val="19"/>
                              <w:rFonts w:ascii="Times New Roman"/>
                              <w:color w:val="000000"/>
                              <w:sz w:val="28"/>
                              <w:szCs w:val="28"/>
                            </w:rPr>
                            <w:t>3</w:t>
                          </w:r>
                          <w:r>
                            <w:rPr>
                              <w:rStyle w:val="19"/>
                              <w:rFonts w:ascii="Times New Roman"/>
                              <w:color w:val="000000"/>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2328A0D">
                    <w:pPr>
                      <w:pStyle w:val="11"/>
                      <w:rPr>
                        <w:rStyle w:val="19"/>
                        <w:rFonts w:ascii="Times New Roman"/>
                        <w:color w:val="000000"/>
                        <w:sz w:val="28"/>
                        <w:szCs w:val="28"/>
                      </w:rPr>
                    </w:pPr>
                    <w:r>
                      <w:rPr>
                        <w:rStyle w:val="19"/>
                        <w:rFonts w:ascii="Times New Roman"/>
                        <w:color w:val="000000"/>
                        <w:sz w:val="28"/>
                        <w:szCs w:val="28"/>
                      </w:rPr>
                      <w:fldChar w:fldCharType="begin"/>
                    </w:r>
                    <w:r>
                      <w:rPr>
                        <w:rStyle w:val="19"/>
                        <w:rFonts w:ascii="Times New Roman"/>
                        <w:color w:val="000000"/>
                        <w:sz w:val="28"/>
                        <w:szCs w:val="28"/>
                      </w:rPr>
                      <w:instrText xml:space="preserve"> PAGE </w:instrText>
                    </w:r>
                    <w:r>
                      <w:rPr>
                        <w:rStyle w:val="19"/>
                        <w:rFonts w:ascii="Times New Roman"/>
                        <w:color w:val="000000"/>
                        <w:sz w:val="28"/>
                        <w:szCs w:val="28"/>
                      </w:rPr>
                      <w:fldChar w:fldCharType="separate"/>
                    </w:r>
                    <w:r>
                      <w:rPr>
                        <w:rStyle w:val="19"/>
                        <w:rFonts w:ascii="Times New Roman"/>
                        <w:color w:val="000000"/>
                        <w:sz w:val="28"/>
                        <w:szCs w:val="28"/>
                      </w:rPr>
                      <w:t>3</w:t>
                    </w:r>
                    <w:r>
                      <w:rPr>
                        <w:rStyle w:val="19"/>
                        <w:rFonts w:ascii="Times New Roman"/>
                        <w:color w:val="000000"/>
                        <w:sz w:val="28"/>
                        <w:szCs w:val="28"/>
                      </w:rPr>
                      <w:fldChar w:fldCharType="end"/>
                    </w:r>
                  </w:p>
                </w:txbxContent>
              </v:textbox>
            </v:shape>
          </w:pict>
        </mc:Fallback>
      </mc:AlternateContent>
    </w:r>
    <w:r>
      <w:rPr>
        <w:rFonts w:hAnsi="宋体"/>
        <w:sz w:val="28"/>
        <w:szCs w:val="28"/>
      </w:rPr>
      <mc:AlternateContent>
        <mc:Choice Requires="wps">
          <w:drawing>
            <wp:anchor distT="0" distB="0" distL="114300" distR="114300" simplePos="0" relativeHeight="251664384" behindDoc="0" locked="0" layoutInCell="1" allowOverlap="1">
              <wp:simplePos x="0" y="0"/>
              <wp:positionH relativeFrom="column">
                <wp:posOffset>7838440</wp:posOffset>
              </wp:positionH>
              <wp:positionV relativeFrom="paragraph">
                <wp:posOffset>-1905</wp:posOffset>
              </wp:positionV>
              <wp:extent cx="347980" cy="198120"/>
              <wp:effectExtent l="0" t="0" r="13970" b="11430"/>
              <wp:wrapNone/>
              <wp:docPr id="5" name="矩形 5"/>
              <wp:cNvGraphicFramePr/>
              <a:graphic xmlns:a="http://schemas.openxmlformats.org/drawingml/2006/main">
                <a:graphicData uri="http://schemas.microsoft.com/office/word/2010/wordprocessingShape">
                  <wps:wsp>
                    <wps:cNvSpPr/>
                    <wps:spPr>
                      <a:xfrm>
                        <a:off x="0" y="0"/>
                        <a:ext cx="348255" cy="197963"/>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17.2pt;margin-top:-0.15pt;height:15.6pt;width:27.4pt;z-index:251664384;v-text-anchor:middle;mso-width-relative:page;mso-height-relative:page;" fillcolor="#FFFFFF" filled="t" stroked="f" coordsize="21600,21600" o:gfxdata="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3AuqJtoAAAAKAQAADwAAAAAAAAABACAAAAAiAAAAZHJzL2Rv&#10;d25yZXYueG1sUEsBAhQAFAAAAAgAh07iQDQtFLVxAgAA2AQAAA4AAAAAAAAAAQAgAAAAKQEAAGRy&#10;cy9lMm9Eb2MueG1sUEsFBgAAAAAGAAYAWQEAAAwGAAAAAA==&#10;">
              <v:fill on="t" focussize="0,0"/>
              <v:stroke on="f" weight="1pt" miterlimit="8" joinstyle="miter"/>
              <v:imagedata o:title=""/>
              <o:lock v:ext="edit" aspectratio="f"/>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EDF4D">
    <w:pPr>
      <w:pStyle w:val="11"/>
      <w:ind w:right="360" w:firstLine="360"/>
      <w:rPr>
        <w:rFonts w:ascii="Times New Roman"/>
        <w:color w:val="000000"/>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8A02D6">
                          <w:pPr>
                            <w:pStyle w:val="11"/>
                            <w:rPr>
                              <w:rStyle w:val="19"/>
                              <w:rFonts w:ascii="Times New Roman"/>
                              <w:color w:val="000000"/>
                              <w:sz w:val="28"/>
                              <w:szCs w:val="28"/>
                            </w:rPr>
                          </w:pPr>
                          <w:r>
                            <w:rPr>
                              <w:rStyle w:val="19"/>
                              <w:rFonts w:ascii="Times New Roman"/>
                              <w:color w:val="000000"/>
                              <w:sz w:val="28"/>
                              <w:szCs w:val="28"/>
                            </w:rPr>
                            <w:fldChar w:fldCharType="begin"/>
                          </w:r>
                          <w:r>
                            <w:rPr>
                              <w:rStyle w:val="19"/>
                              <w:rFonts w:ascii="Times New Roman"/>
                              <w:color w:val="000000"/>
                              <w:sz w:val="28"/>
                              <w:szCs w:val="28"/>
                            </w:rPr>
                            <w:instrText xml:space="preserve"> PAGE </w:instrText>
                          </w:r>
                          <w:r>
                            <w:rPr>
                              <w:rStyle w:val="19"/>
                              <w:rFonts w:ascii="Times New Roman"/>
                              <w:color w:val="000000"/>
                              <w:sz w:val="28"/>
                              <w:szCs w:val="28"/>
                            </w:rPr>
                            <w:fldChar w:fldCharType="separate"/>
                          </w:r>
                          <w:r>
                            <w:rPr>
                              <w:rStyle w:val="19"/>
                              <w:rFonts w:ascii="Times New Roman"/>
                              <w:color w:val="000000"/>
                              <w:sz w:val="28"/>
                              <w:szCs w:val="28"/>
                            </w:rPr>
                            <w:t>2</w:t>
                          </w:r>
                          <w:r>
                            <w:rPr>
                              <w:rStyle w:val="19"/>
                              <w:rFonts w:ascii="Times New Roman"/>
                              <w:color w:val="000000"/>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08A02D6">
                    <w:pPr>
                      <w:pStyle w:val="11"/>
                      <w:rPr>
                        <w:rStyle w:val="19"/>
                        <w:rFonts w:ascii="Times New Roman"/>
                        <w:color w:val="000000"/>
                        <w:sz w:val="28"/>
                        <w:szCs w:val="28"/>
                      </w:rPr>
                    </w:pPr>
                    <w:r>
                      <w:rPr>
                        <w:rStyle w:val="19"/>
                        <w:rFonts w:ascii="Times New Roman"/>
                        <w:color w:val="000000"/>
                        <w:sz w:val="28"/>
                        <w:szCs w:val="28"/>
                      </w:rPr>
                      <w:fldChar w:fldCharType="begin"/>
                    </w:r>
                    <w:r>
                      <w:rPr>
                        <w:rStyle w:val="19"/>
                        <w:rFonts w:ascii="Times New Roman"/>
                        <w:color w:val="000000"/>
                        <w:sz w:val="28"/>
                        <w:szCs w:val="28"/>
                      </w:rPr>
                      <w:instrText xml:space="preserve"> PAGE </w:instrText>
                    </w:r>
                    <w:r>
                      <w:rPr>
                        <w:rStyle w:val="19"/>
                        <w:rFonts w:ascii="Times New Roman"/>
                        <w:color w:val="000000"/>
                        <w:sz w:val="28"/>
                        <w:szCs w:val="28"/>
                      </w:rPr>
                      <w:fldChar w:fldCharType="separate"/>
                    </w:r>
                    <w:r>
                      <w:rPr>
                        <w:rStyle w:val="19"/>
                        <w:rFonts w:ascii="Times New Roman"/>
                        <w:color w:val="000000"/>
                        <w:sz w:val="28"/>
                        <w:szCs w:val="28"/>
                      </w:rPr>
                      <w:t>2</w:t>
                    </w:r>
                    <w:r>
                      <w:rPr>
                        <w:rStyle w:val="19"/>
                        <w:rFonts w:ascii="Times New Roman"/>
                        <w:color w:val="000000"/>
                        <w:sz w:val="28"/>
                        <w:szCs w:val="2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79347">
    <w:pPr>
      <w:pStyle w:val="11"/>
      <w:ind w:right="360" w:firstLine="360"/>
      <w:rPr>
        <w:rFonts w:ascii="Times New Roman"/>
        <w:color w:val="000000"/>
        <w:sz w:val="24"/>
        <w:szCs w:val="24"/>
      </w:rPr>
    </w:pPr>
    <w:r>
      <w:rPr>
        <w:sz w:val="24"/>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479081">
                          <w:pPr>
                            <w:pStyle w:val="11"/>
                            <w:rPr>
                              <w:rStyle w:val="19"/>
                              <w:rFonts w:ascii="Times New Roman"/>
                              <w:color w:val="000000"/>
                              <w:sz w:val="28"/>
                              <w:szCs w:val="28"/>
                            </w:rPr>
                          </w:pPr>
                          <w:r>
                            <w:rPr>
                              <w:rStyle w:val="19"/>
                              <w:rFonts w:ascii="Times New Roman"/>
                              <w:color w:val="000000"/>
                              <w:sz w:val="28"/>
                              <w:szCs w:val="28"/>
                            </w:rPr>
                            <w:fldChar w:fldCharType="begin"/>
                          </w:r>
                          <w:r>
                            <w:rPr>
                              <w:rStyle w:val="19"/>
                              <w:rFonts w:ascii="Times New Roman"/>
                              <w:color w:val="000000"/>
                              <w:sz w:val="28"/>
                              <w:szCs w:val="28"/>
                            </w:rPr>
                            <w:instrText xml:space="preserve"> PAGE </w:instrText>
                          </w:r>
                          <w:r>
                            <w:rPr>
                              <w:rStyle w:val="19"/>
                              <w:rFonts w:ascii="Times New Roman"/>
                              <w:color w:val="000000"/>
                              <w:sz w:val="28"/>
                              <w:szCs w:val="28"/>
                            </w:rPr>
                            <w:fldChar w:fldCharType="separate"/>
                          </w:r>
                          <w:r>
                            <w:rPr>
                              <w:rStyle w:val="19"/>
                              <w:rFonts w:ascii="Times New Roman"/>
                              <w:color w:val="000000"/>
                              <w:sz w:val="28"/>
                              <w:szCs w:val="28"/>
                            </w:rPr>
                            <w:t>2</w:t>
                          </w:r>
                          <w:r>
                            <w:rPr>
                              <w:rStyle w:val="19"/>
                              <w:rFonts w:ascii="Times New Roman"/>
                              <w:color w:val="000000"/>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41479081">
                    <w:pPr>
                      <w:pStyle w:val="11"/>
                      <w:rPr>
                        <w:rStyle w:val="19"/>
                        <w:rFonts w:ascii="Times New Roman"/>
                        <w:color w:val="000000"/>
                        <w:sz w:val="28"/>
                        <w:szCs w:val="28"/>
                      </w:rPr>
                    </w:pPr>
                    <w:r>
                      <w:rPr>
                        <w:rStyle w:val="19"/>
                        <w:rFonts w:ascii="Times New Roman"/>
                        <w:color w:val="000000"/>
                        <w:sz w:val="28"/>
                        <w:szCs w:val="28"/>
                      </w:rPr>
                      <w:fldChar w:fldCharType="begin"/>
                    </w:r>
                    <w:r>
                      <w:rPr>
                        <w:rStyle w:val="19"/>
                        <w:rFonts w:ascii="Times New Roman"/>
                        <w:color w:val="000000"/>
                        <w:sz w:val="28"/>
                        <w:szCs w:val="28"/>
                      </w:rPr>
                      <w:instrText xml:space="preserve"> PAGE </w:instrText>
                    </w:r>
                    <w:r>
                      <w:rPr>
                        <w:rStyle w:val="19"/>
                        <w:rFonts w:ascii="Times New Roman"/>
                        <w:color w:val="000000"/>
                        <w:sz w:val="28"/>
                        <w:szCs w:val="28"/>
                      </w:rPr>
                      <w:fldChar w:fldCharType="separate"/>
                    </w:r>
                    <w:r>
                      <w:rPr>
                        <w:rStyle w:val="19"/>
                        <w:rFonts w:ascii="Times New Roman"/>
                        <w:color w:val="000000"/>
                        <w:sz w:val="28"/>
                        <w:szCs w:val="28"/>
                      </w:rPr>
                      <w:t>2</w:t>
                    </w:r>
                    <w:r>
                      <w:rPr>
                        <w:rStyle w:val="19"/>
                        <w:rFonts w:ascii="Times New Roman"/>
                        <w:color w:val="000000"/>
                        <w:sz w:val="28"/>
                        <w:szCs w:val="28"/>
                      </w:rPr>
                      <w:fldChar w:fldCharType="end"/>
                    </w:r>
                  </w:p>
                </w:txbxContent>
              </v:textbox>
            </v:shape>
          </w:pict>
        </mc:Fallback>
      </mc:AlternateContent>
    </w:r>
    <w:r>
      <w:rPr>
        <w:rFonts w:hint="eastAsia" w:ascii="Times New Roman"/>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-393700</wp:posOffset>
              </wp:positionH>
              <wp:positionV relativeFrom="paragraph">
                <wp:posOffset>30480</wp:posOffset>
              </wp:positionV>
              <wp:extent cx="169545" cy="151130"/>
              <wp:effectExtent l="0" t="0" r="1905" b="1270"/>
              <wp:wrapNone/>
              <wp:docPr id="18" name="矩形 18"/>
              <wp:cNvGraphicFramePr/>
              <a:graphic xmlns:a="http://schemas.openxmlformats.org/drawingml/2006/main">
                <a:graphicData uri="http://schemas.microsoft.com/office/word/2010/wordprocessingShape">
                  <wps:wsp>
                    <wps:cNvSpPr/>
                    <wps:spPr>
                      <a:xfrm>
                        <a:off x="0" y="0"/>
                        <a:ext cx="169683" cy="150829"/>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pt;margin-top:2.4pt;height:11.9pt;width:13.35pt;z-index:251661312;v-text-anchor:middle;mso-width-relative:page;mso-height-relative:page;" fillcolor="#FFFFFF" filled="t" stroked="f" coordsize="21600,21600" o:gfxdata="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EZxfV2QAAAAgBAAAPAAAAAAAAAAEAIAAAACIAAABkcnMvZG93&#10;bnJldi54bWxQSwECFAAUAAAACACHTuJAVDXMQnECAADaBAAADgAAAAAAAAABACAAAAAoAQAAZHJz&#10;L2Uyb0RvYy54bWxQSwUGAAAAAAYABgBZAQAACwYAAAAA&#10;">
              <v:fill on="t" focussize="0,0"/>
              <v:stroke on="f" weight="1pt" miterlimit="8" joinstyle="miter"/>
              <v:imagedata o:title=""/>
              <o:lock v:ext="edit" aspectratio="f"/>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7B916">
    <w:pPr>
      <w:pStyle w:val="11"/>
      <w:ind w:right="360" w:firstLine="360"/>
      <w:rPr>
        <w:rFonts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3B3D1">
    <w:pPr>
      <w:pStyle w:val="11"/>
      <w:tabs>
        <w:tab w:val="left" w:pos="7616"/>
        <w:tab w:val="right" w:pos="8484"/>
      </w:tabs>
      <w:ind w:right="360" w:firstLine="360"/>
      <w:rPr>
        <w:rFonts w:hAnsi="宋体"/>
        <w:sz w:val="28"/>
        <w:szCs w:val="28"/>
      </w:rPr>
    </w:pPr>
    <w:r>
      <w:rPr>
        <w:rFonts w:hAnsi="宋体"/>
        <w:sz w:val="28"/>
        <w:szCs w:val="28"/>
      </w:rPr>
      <mc:AlternateContent>
        <mc:Choice Requires="wps">
          <w:drawing>
            <wp:anchor distT="0" distB="0" distL="114300" distR="114300" simplePos="0" relativeHeight="251662336" behindDoc="0" locked="0" layoutInCell="1" allowOverlap="1">
              <wp:simplePos x="0" y="0"/>
              <wp:positionH relativeFrom="column">
                <wp:posOffset>7838440</wp:posOffset>
              </wp:positionH>
              <wp:positionV relativeFrom="paragraph">
                <wp:posOffset>-1905</wp:posOffset>
              </wp:positionV>
              <wp:extent cx="347980" cy="198120"/>
              <wp:effectExtent l="0" t="0" r="13970" b="11430"/>
              <wp:wrapNone/>
              <wp:docPr id="3" name="矩形 3"/>
              <wp:cNvGraphicFramePr/>
              <a:graphic xmlns:a="http://schemas.openxmlformats.org/drawingml/2006/main">
                <a:graphicData uri="http://schemas.microsoft.com/office/word/2010/wordprocessingShape">
                  <wps:wsp>
                    <wps:cNvSpPr/>
                    <wps:spPr>
                      <a:xfrm>
                        <a:off x="0" y="0"/>
                        <a:ext cx="348255" cy="197963"/>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17.2pt;margin-top:-0.15pt;height:15.6pt;width:27.4pt;z-index:251662336;v-text-anchor:middle;mso-width-relative:page;mso-height-relative:page;" fillcolor="#FFFFFF" filled="t" stroked="f" coordsize="21600,21600" o:gfxdata="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3AuqJtoAAAAKAQAADwAAAAAAAAABACAAAAAiAAAAZHJzL2Rv&#10;d25yZXYueG1sUEsBAhQAFAAAAAgAh07iQIAW6/RxAgAA2AQAAA4AAAAAAAAAAQAgAAAAKQEAAGRy&#10;cy9lMm9Eb2MueG1sUEsFBgAAAAAGAAYAWQEAAAwGAAAAAA==&#10;">
              <v:fill on="t" focussize="0,0"/>
              <v:stroke on="f" weight="1pt" miterlimit="8" joinstyle="miter"/>
              <v:imagedata o:title=""/>
              <o:lock v:ext="edit" aspectratio="f"/>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EFF1">
    <w:pPr>
      <w:pStyle w:val="11"/>
      <w:ind w:right="360" w:firstLine="360"/>
      <w:rPr>
        <w:rFonts w:ascii="Times New Roman"/>
        <w:color w:val="000000"/>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D6B45">
    <w:pPr>
      <w:pStyle w:val="11"/>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9EBBE">
    <w:pPr>
      <w:pStyle w:val="11"/>
      <w:tabs>
        <w:tab w:val="left" w:pos="7616"/>
        <w:tab w:val="right" w:pos="8484"/>
      </w:tabs>
      <w:ind w:right="360" w:firstLine="360"/>
      <w:rPr>
        <w:rFonts w:hAnsi="宋体"/>
        <w:sz w:val="28"/>
        <w:szCs w:val="28"/>
      </w:rPr>
    </w:pPr>
    <w:r>
      <w:rPr>
        <w:rFonts w:hAnsi="宋体"/>
        <w:sz w:val="28"/>
        <w:szCs w:val="28"/>
      </w:rPr>
      <mc:AlternateContent>
        <mc:Choice Requires="wps">
          <w:drawing>
            <wp:anchor distT="0" distB="0" distL="114300" distR="114300" simplePos="0" relativeHeight="251665408" behindDoc="0" locked="0" layoutInCell="1" allowOverlap="1">
              <wp:simplePos x="0" y="0"/>
              <wp:positionH relativeFrom="column">
                <wp:posOffset>7838440</wp:posOffset>
              </wp:positionH>
              <wp:positionV relativeFrom="paragraph">
                <wp:posOffset>-1905</wp:posOffset>
              </wp:positionV>
              <wp:extent cx="347980" cy="198120"/>
              <wp:effectExtent l="0" t="0" r="13970" b="11430"/>
              <wp:wrapNone/>
              <wp:docPr id="1" name="矩形 1"/>
              <wp:cNvGraphicFramePr/>
              <a:graphic xmlns:a="http://schemas.openxmlformats.org/drawingml/2006/main">
                <a:graphicData uri="http://schemas.microsoft.com/office/word/2010/wordprocessingShape">
                  <wps:wsp>
                    <wps:cNvSpPr/>
                    <wps:spPr>
                      <a:xfrm>
                        <a:off x="0" y="0"/>
                        <a:ext cx="348255" cy="197963"/>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17.2pt;margin-top:-0.15pt;height:15.6pt;width:27.4pt;z-index:251665408;v-text-anchor:middle;mso-width-relative:page;mso-height-relative:page;" fillcolor="#FFFFFF" filled="t" stroked="f" coordsize="21600,21600" o:gfxdata="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cC6om2gAAAAoBAAAPAAAAAAAAAAEAIAAAACIAAABkcnMvZG93&#10;bnJldi54bWxQSwECFAAUAAAACACHTuJA0/1ufXACAADYBAAADgAAAAAAAAABACAAAAApAQAAZHJz&#10;L2Uyb0RvYy54bWxQSwUGAAAAAAYABgBZAQAACwYAAAAA&#10;">
              <v:fill on="t" focussize="0,0"/>
              <v:stroke on="f" weight="1pt" miterlimit="8" joinstyle="miter"/>
              <v:imagedata o:title=""/>
              <o:lock v:ext="edit" aspectratio="f"/>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CBAFB">
    <w:pPr>
      <w:pStyle w:val="11"/>
      <w:ind w:right="360" w:firstLine="360"/>
      <w:rPr>
        <w:rFonts w:ascii="Times New Roman"/>
        <w:color w:val="000000"/>
        <w:sz w:val="24"/>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D94BB">
    <w:pPr>
      <w:pStyle w:val="11"/>
      <w:tabs>
        <w:tab w:val="left" w:pos="7616"/>
        <w:tab w:val="right" w:pos="8484"/>
      </w:tabs>
      <w:ind w:right="360" w:firstLine="360"/>
      <w:rPr>
        <w:rFonts w:hAnsi="宋体"/>
        <w:sz w:val="28"/>
        <w:szCs w:val="28"/>
      </w:rPr>
    </w:pPr>
    <w:r>
      <w:rPr>
        <w:rFonts w:hAnsi="宋体"/>
        <w:sz w:val="28"/>
        <w:szCs w:val="28"/>
      </w:rPr>
      <mc:AlternateContent>
        <mc:Choice Requires="wps">
          <w:drawing>
            <wp:anchor distT="0" distB="0" distL="114300" distR="114300" simplePos="0" relativeHeight="251663360" behindDoc="0" locked="0" layoutInCell="1" allowOverlap="1">
              <wp:simplePos x="0" y="0"/>
              <wp:positionH relativeFrom="column">
                <wp:posOffset>7838440</wp:posOffset>
              </wp:positionH>
              <wp:positionV relativeFrom="paragraph">
                <wp:posOffset>-1905</wp:posOffset>
              </wp:positionV>
              <wp:extent cx="347980" cy="198120"/>
              <wp:effectExtent l="0" t="0" r="13970" b="11430"/>
              <wp:wrapNone/>
              <wp:docPr id="2" name="矩形 2"/>
              <wp:cNvGraphicFramePr/>
              <a:graphic xmlns:a="http://schemas.openxmlformats.org/drawingml/2006/main">
                <a:graphicData uri="http://schemas.microsoft.com/office/word/2010/wordprocessingShape">
                  <wps:wsp>
                    <wps:cNvSpPr/>
                    <wps:spPr>
                      <a:xfrm>
                        <a:off x="0" y="0"/>
                        <a:ext cx="348255" cy="197963"/>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17.2pt;margin-top:-0.15pt;height:15.6pt;width:27.4pt;z-index:251663360;v-text-anchor:middle;mso-width-relative:page;mso-height-relative:page;" fillcolor="#FFFFFF" filled="t" stroked="f" coordsize="21600,21600" o:gfxdata="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cC6om2gAAAAoBAAAPAAAAAAAAAAEAIAAAACIAAABkcnMvZG93&#10;bnJldi54bWxQSwECFAAUAAAACACHTuJACWCRXXACAADYBAAADgAAAAAAAAABACAAAAApAQAAZHJz&#10;L2Uyb0RvYy54bWxQSwUGAAAAAAYABgBZAQAACwYAAAAA&#10;">
              <v:fill on="t" focussize="0,0"/>
              <v:stroke on="f" weight="1pt" miterlimit="8" joinstyle="miter"/>
              <v:imagedata o:title=""/>
              <o:lock v:ext="edit" aspectratio="f"/>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E3DE1">
    <w:pPr>
      <w:pStyle w:val="11"/>
      <w:ind w:right="360" w:firstLine="360"/>
      <w:rPr>
        <w:rFonts w:ascii="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338CAAF1">
      <w:pPr>
        <w:pStyle w:val="14"/>
      </w:pPr>
      <w:r>
        <w:rPr>
          <w:rStyle w:val="21"/>
          <w:sz w:val="21"/>
          <w:szCs w:val="21"/>
          <w:vertAlign w:val="baseline"/>
        </w:rPr>
        <w:t>1</w:t>
      </w:r>
      <w:r>
        <w:rPr>
          <w:sz w:val="21"/>
          <w:szCs w:val="21"/>
        </w:rPr>
        <w:t>.</w:t>
      </w:r>
      <w:r>
        <w:rPr>
          <w:rFonts w:ascii="Times New Roman"/>
          <w:sz w:val="21"/>
          <w:szCs w:val="21"/>
        </w:rPr>
        <w:t xml:space="preserve"> 2016-2020年，</w:t>
      </w:r>
      <w:r>
        <w:rPr>
          <w:rFonts w:hint="eastAsia" w:ascii="Times New Roman"/>
          <w:sz w:val="21"/>
          <w:szCs w:val="21"/>
        </w:rPr>
        <w:t>全市</w:t>
      </w:r>
      <w:r>
        <w:rPr>
          <w:rFonts w:ascii="Times New Roman"/>
          <w:sz w:val="21"/>
          <w:szCs w:val="21"/>
        </w:rPr>
        <w:t>累计改造双低家庭危房415户，投入改造资金3564万元</w:t>
      </w:r>
      <w:r>
        <w:rPr>
          <w:rFonts w:hint="eastAsia" w:ascii="Times New Roman"/>
          <w:sz w:val="21"/>
          <w:szCs w:val="21"/>
        </w:rPr>
        <w:t>。</w:t>
      </w:r>
    </w:p>
  </w:footnote>
  <w:footnote w:id="1">
    <w:p w14:paraId="51B5D1A7">
      <w:pPr>
        <w:pStyle w:val="14"/>
      </w:pPr>
      <w:r>
        <w:rPr>
          <w:rStyle w:val="21"/>
          <w:rFonts w:ascii="Times New Roman"/>
          <w:sz w:val="21"/>
          <w:szCs w:val="21"/>
          <w:vertAlign w:val="baseline"/>
        </w:rPr>
        <w:footnoteRef/>
      </w:r>
      <w:r>
        <w:rPr>
          <w:rFonts w:ascii="Times New Roman"/>
          <w:sz w:val="21"/>
          <w:szCs w:val="21"/>
        </w:rPr>
        <w:t>.指</w:t>
      </w:r>
      <w:r>
        <w:rPr>
          <w:rFonts w:ascii="Times New Roman"/>
          <w:sz w:val="21"/>
          <w:szCs w:val="21"/>
          <w:lang w:bidi="ar"/>
        </w:rPr>
        <w:t>1个服务中心、2项主功能服务、N项拓展服务。</w:t>
      </w:r>
    </w:p>
  </w:footnote>
  <w:footnote w:id="2">
    <w:p w14:paraId="570343F6">
      <w:pPr>
        <w:pStyle w:val="14"/>
      </w:pPr>
      <w:r>
        <w:rPr>
          <w:rStyle w:val="21"/>
          <w:rFonts w:ascii="Times New Roman"/>
          <w:sz w:val="21"/>
          <w:szCs w:val="21"/>
          <w:vertAlign w:val="baseline"/>
        </w:rPr>
        <w:footnoteRef/>
      </w:r>
      <w:r>
        <w:rPr>
          <w:rFonts w:ascii="Times New Roman"/>
          <w:sz w:val="21"/>
          <w:szCs w:val="21"/>
        </w:rPr>
        <w:t>.指</w:t>
      </w:r>
      <w:r>
        <w:rPr>
          <w:rFonts w:ascii="Times New Roman"/>
          <w:sz w:val="21"/>
          <w:szCs w:val="21"/>
          <w:lang w:bidi="ar"/>
        </w:rPr>
        <w:t>打造居家养老服务中心、居家养老体系建设、“互联网+”3大平台，做强助洁、助餐、助医、助安服务4项服务，拓展精神慰藉等N项服务</w:t>
      </w:r>
      <w:r>
        <w:rPr>
          <w:rFonts w:hint="eastAsia" w:ascii="Times New Roman"/>
          <w:sz w:val="21"/>
          <w:szCs w:val="21"/>
          <w:lang w:bidi="a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6CCD">
    <w:pPr>
      <w:pStyle w:val="12"/>
    </w:pPr>
    <w: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81280</wp:posOffset>
              </wp:positionV>
              <wp:extent cx="8239125" cy="141605"/>
              <wp:effectExtent l="0" t="0" r="9525" b="10795"/>
              <wp:wrapNone/>
              <wp:docPr id="8" name="矩形 8"/>
              <wp:cNvGraphicFramePr/>
              <a:graphic xmlns:a="http://schemas.openxmlformats.org/drawingml/2006/main">
                <a:graphicData uri="http://schemas.microsoft.com/office/word/2010/wordprocessingShape">
                  <wps:wsp>
                    <wps:cNvSpPr/>
                    <wps:spPr>
                      <a:xfrm>
                        <a:off x="0" y="0"/>
                        <a:ext cx="8239027" cy="141402"/>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3pt;margin-top:6.4pt;height:11.15pt;width:648.75pt;z-index:251659264;v-text-anchor:middle;mso-width-relative:page;mso-height-relative:page;" fillcolor="#FFFFFF" filled="t" stroked="f" coordsize="21600,21600" o:gfxdata="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OKrO7ZAAAACQEAAA8AAAAAAAAAAQAgAAAAIgAAAGRycy9kb3du&#10;cmV2LnhtbFBLAQIUABQAAAAIAIdO4kDa3Tq1cAIAANkEAAAOAAAAAAAAAAEAIAAAACgBAABkcnMv&#10;ZTJvRG9jLnhtbFBLBQYAAAAABgAGAFkBAAAKBgAAAAA=&#10;">
              <v:fill on="t" focussize="0,0"/>
              <v:stroke on="f" weight="1pt" miterlimit="8" joinstyle="miter"/>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A756">
    <w:pPr>
      <w:pStyle w:val="12"/>
    </w:pPr>
    <w:r>
      <mc:AlternateContent>
        <mc:Choice Requires="wps">
          <w:drawing>
            <wp:anchor distT="0" distB="0" distL="114300" distR="114300" simplePos="0" relativeHeight="251660288" behindDoc="0" locked="0" layoutInCell="1" allowOverlap="1">
              <wp:simplePos x="0" y="0"/>
              <wp:positionH relativeFrom="column">
                <wp:posOffset>-75565</wp:posOffset>
              </wp:positionH>
              <wp:positionV relativeFrom="paragraph">
                <wp:posOffset>99695</wp:posOffset>
              </wp:positionV>
              <wp:extent cx="5825490" cy="216535"/>
              <wp:effectExtent l="0" t="0" r="3810" b="12065"/>
              <wp:wrapNone/>
              <wp:docPr id="12" name="矩形 12"/>
              <wp:cNvGraphicFramePr/>
              <a:graphic xmlns:a="http://schemas.openxmlformats.org/drawingml/2006/main">
                <a:graphicData uri="http://schemas.microsoft.com/office/word/2010/wordprocessingShape">
                  <wps:wsp>
                    <wps:cNvSpPr/>
                    <wps:spPr>
                      <a:xfrm>
                        <a:off x="0" y="0"/>
                        <a:ext cx="5825228" cy="216816"/>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95pt;margin-top:7.85pt;height:17.05pt;width:458.7pt;z-index:251660288;v-text-anchor:middle;mso-width-relative:page;mso-height-relative:page;" fillcolor="#FFFFFF" filled="t" stroked="f" coordsize="21600,21600" o:gfxdata="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b+jTz2QAAAAkBAAAPAAAAAAAAAAEAIAAAACIAAABkcnMvZG93&#10;bnJldi54bWxQSwECFAAUAAAACACHTuJAibU0tnECAADbBAAADgAAAAAAAAABACAAAAAoAQAAZHJz&#10;L2Uyb0RvYy54bWxQSwUGAAAAAAYABgBZAQAACwY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FAFB0"/>
    <w:multiLevelType w:val="multilevel"/>
    <w:tmpl w:val="1DAFAFB0"/>
    <w:lvl w:ilvl="0" w:tentative="0">
      <w:start w:val="1"/>
      <w:numFmt w:val="chineseCounting"/>
      <w:suff w:val="nothing"/>
      <w:lvlText w:val="%1、"/>
      <w:lvlJc w:val="left"/>
      <w:pPr>
        <w:tabs>
          <w:tab w:val="left" w:pos="0"/>
        </w:tabs>
        <w:ind w:left="0" w:firstLine="0"/>
      </w:pPr>
      <w:rPr>
        <w:rFonts w:hint="eastAsia" w:eastAsia="黑体"/>
        <w:sz w:val="32"/>
      </w:rPr>
    </w:lvl>
    <w:lvl w:ilvl="1" w:tentative="0">
      <w:start w:val="1"/>
      <w:numFmt w:val="chineseCounting"/>
      <w:pStyle w:val="24"/>
      <w:suff w:val="nothing"/>
      <w:lvlText w:val="（%2）"/>
      <w:lvlJc w:val="left"/>
      <w:pPr>
        <w:ind w:left="1134" w:firstLine="0"/>
      </w:pPr>
      <w:rPr>
        <w:rFonts w:hint="eastAsia" w:ascii="宋体" w:hAnsi="宋体" w:eastAsia="楷体_GB2312" w:cs="宋体"/>
        <w:sz w:val="32"/>
      </w:rPr>
    </w:lvl>
    <w:lvl w:ilvl="2" w:tentative="0">
      <w:start w:val="1"/>
      <w:numFmt w:val="decimal"/>
      <w:suff w:val="nothing"/>
      <w:lvlText w:val="%3、"/>
      <w:lvlJc w:val="left"/>
      <w:pPr>
        <w:ind w:left="0" w:firstLine="0"/>
      </w:pPr>
      <w:rPr>
        <w:rFonts w:hint="eastAsia" w:ascii="宋体" w:hAnsi="宋体" w:eastAsia="仿宋_GB2312" w:cs="宋体"/>
        <w:sz w:val="32"/>
      </w:rPr>
    </w:lvl>
    <w:lvl w:ilvl="3" w:tentative="0">
      <w:start w:val="1"/>
      <w:numFmt w:val="decimal"/>
      <w:suff w:val="nothing"/>
      <w:lvlText w:val="（%4）"/>
      <w:lvlJc w:val="left"/>
      <w:pPr>
        <w:ind w:left="0" w:firstLine="0"/>
      </w:pPr>
      <w:rPr>
        <w:rFonts w:hint="eastAsia" w:ascii="宋体" w:hAnsi="宋体" w:eastAsia="仿宋_GB2312" w:cs="宋体"/>
        <w:sz w:val="32"/>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5D3D4F"/>
    <w:rsid w:val="25FE3934"/>
    <w:rsid w:val="30613B4C"/>
    <w:rsid w:val="335D3D4F"/>
    <w:rsid w:val="5D8B6C4B"/>
    <w:rsid w:val="62F37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4">
    <w:name w:val="heading 1"/>
    <w:basedOn w:val="1"/>
    <w:next w:val="1"/>
    <w:qFormat/>
    <w:uiPriority w:val="0"/>
    <w:pPr>
      <w:keepNext/>
      <w:keepLines/>
      <w:spacing w:line="600" w:lineRule="exact"/>
      <w:ind w:firstLine="864" w:firstLineChars="200"/>
      <w:outlineLvl w:val="0"/>
    </w:pPr>
    <w:rPr>
      <w:rFonts w:hAnsi="仿宋_GB2312" w:eastAsia="黑体"/>
      <w:kern w:val="44"/>
    </w:rPr>
  </w:style>
  <w:style w:type="paragraph" w:styleId="5">
    <w:name w:val="heading 2"/>
    <w:basedOn w:val="1"/>
    <w:next w:val="1"/>
    <w:link w:val="27"/>
    <w:qFormat/>
    <w:uiPriority w:val="0"/>
    <w:pPr>
      <w:keepNext/>
      <w:keepLines/>
      <w:spacing w:line="600" w:lineRule="exact"/>
      <w:ind w:firstLine="864" w:firstLineChars="200"/>
      <w:outlineLvl w:val="1"/>
    </w:pPr>
    <w:rPr>
      <w:rFonts w:ascii="Arial" w:hAnsi="Arial" w:eastAsia="楷体_GB2312"/>
      <w:b/>
      <w:bCs/>
    </w:rPr>
  </w:style>
  <w:style w:type="paragraph" w:styleId="6">
    <w:name w:val="heading 3"/>
    <w:basedOn w:val="1"/>
    <w:next w:val="1"/>
    <w:link w:val="25"/>
    <w:qFormat/>
    <w:uiPriority w:val="0"/>
    <w:pPr>
      <w:keepNext/>
      <w:keepLines/>
      <w:spacing w:line="600" w:lineRule="exact"/>
      <w:ind w:firstLine="864" w:firstLineChars="200"/>
      <w:outlineLvl w:val="2"/>
    </w:pPr>
    <w:rPr>
      <w:rFonts w:hAnsi="仿宋_GB2312"/>
    </w:rPr>
  </w:style>
  <w:style w:type="paragraph" w:styleId="7">
    <w:name w:val="heading 4"/>
    <w:basedOn w:val="1"/>
    <w:next w:val="1"/>
    <w:qFormat/>
    <w:uiPriority w:val="99"/>
    <w:pPr>
      <w:keepNext/>
      <w:jc w:val="center"/>
      <w:outlineLvl w:val="3"/>
    </w:pPr>
    <w:rPr>
      <w:rFonts w:hint="eastAsia" w:eastAsia="公文小标宋简"/>
      <w:b/>
      <w:sz w:val="44"/>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ind w:firstLine="640" w:firstLineChars="200"/>
    </w:pPr>
    <w:rPr>
      <w:rFonts w:ascii="仿宋_GB2312" w:eastAsia="仿宋_GB2312"/>
      <w:sz w:val="32"/>
    </w:rPr>
  </w:style>
  <w:style w:type="paragraph" w:styleId="8">
    <w:name w:val="toa heading"/>
    <w:basedOn w:val="1"/>
    <w:next w:val="1"/>
    <w:qFormat/>
    <w:uiPriority w:val="0"/>
    <w:pPr>
      <w:spacing w:before="120" w:after="100" w:afterAutospacing="1"/>
    </w:pPr>
    <w:rPr>
      <w:rFonts w:ascii="Arial" w:hAnsi="Arial" w:cs="Arial"/>
      <w:sz w:val="24"/>
      <w:szCs w:val="24"/>
    </w:rPr>
  </w:style>
  <w:style w:type="paragraph" w:styleId="9">
    <w:name w:val="Body Text"/>
    <w:basedOn w:val="1"/>
    <w:qFormat/>
    <w:uiPriority w:val="1"/>
    <w:rPr>
      <w:rFonts w:ascii="宋体" w:hAnsi="宋体" w:eastAsia="宋体" w:cs="宋体"/>
      <w:lang w:val="zh-CN" w:bidi="zh-CN"/>
    </w:rPr>
  </w:style>
  <w:style w:type="paragraph" w:styleId="10">
    <w:name w:val="toc 3"/>
    <w:basedOn w:val="1"/>
    <w:next w:val="1"/>
    <w:unhideWhenUsed/>
    <w:qFormat/>
    <w:uiPriority w:val="39"/>
    <w:pPr>
      <w:ind w:left="840" w:leftChars="4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footnote text"/>
    <w:basedOn w:val="1"/>
    <w:qFormat/>
    <w:uiPriority w:val="0"/>
    <w:pPr>
      <w:snapToGrid w:val="0"/>
      <w:jc w:val="left"/>
    </w:pPr>
    <w:rPr>
      <w:sz w:val="18"/>
      <w:szCs w:val="18"/>
    </w:rPr>
  </w:style>
  <w:style w:type="paragraph" w:styleId="15">
    <w:name w:val="toc 2"/>
    <w:basedOn w:val="1"/>
    <w:next w:val="1"/>
    <w:unhideWhenUsed/>
    <w:qFormat/>
    <w:uiPriority w:val="39"/>
    <w:pPr>
      <w:ind w:left="420" w:leftChars="200"/>
    </w:pPr>
  </w:style>
  <w:style w:type="paragraph" w:styleId="16">
    <w:name w:val="Normal (Web)"/>
    <w:basedOn w:val="1"/>
    <w:qFormat/>
    <w:uiPriority w:val="0"/>
    <w:pPr>
      <w:widowControl/>
      <w:spacing w:before="100" w:beforeAutospacing="1" w:after="100" w:afterAutospacing="1" w:line="480" w:lineRule="auto"/>
      <w:jc w:val="left"/>
    </w:pPr>
    <w:rPr>
      <w:rFonts w:ascii="微软雅黑" w:hAnsi="微软雅黑" w:cs="宋体"/>
      <w:kern w:val="0"/>
      <w:sz w:val="18"/>
      <w:szCs w:val="18"/>
    </w:rPr>
  </w:style>
  <w:style w:type="character" w:styleId="19">
    <w:name w:val="page number"/>
    <w:qFormat/>
    <w:uiPriority w:val="0"/>
  </w:style>
  <w:style w:type="character" w:styleId="20">
    <w:name w:val="Hyperlink"/>
    <w:qFormat/>
    <w:uiPriority w:val="99"/>
    <w:rPr>
      <w:rFonts w:cs="Times New Roman"/>
      <w:color w:val="0000FF"/>
      <w:u w:val="single"/>
    </w:rPr>
  </w:style>
  <w:style w:type="character" w:styleId="21">
    <w:name w:val="footnote reference"/>
    <w:qFormat/>
    <w:uiPriority w:val="0"/>
    <w:rPr>
      <w:vertAlign w:val="superscript"/>
    </w:rPr>
  </w:style>
  <w:style w:type="character" w:customStyle="1" w:styleId="22">
    <w:name w:val="标题 3 字符"/>
    <w:link w:val="6"/>
    <w:qFormat/>
    <w:uiPriority w:val="0"/>
    <w:rPr>
      <w:rFonts w:hAnsi="仿宋_GB2312"/>
    </w:rPr>
  </w:style>
  <w:style w:type="character" w:customStyle="1" w:styleId="23">
    <w:name w:val="（一）公文二级标题 Char"/>
    <w:link w:val="24"/>
    <w:qFormat/>
    <w:uiPriority w:val="0"/>
    <w:rPr>
      <w:rFonts w:hint="eastAsia" w:ascii="Calibri" w:hAnsi="Calibri" w:eastAsia="楷体_GB2312" w:cs="Times New Roman"/>
      <w:sz w:val="32"/>
      <w:lang w:val="en-US" w:eastAsia="zh-CN" w:bidi="ar-SA"/>
    </w:rPr>
  </w:style>
  <w:style w:type="paragraph" w:customStyle="1" w:styleId="24">
    <w:name w:val="（一）公文二级标题"/>
    <w:next w:val="1"/>
    <w:link w:val="23"/>
    <w:qFormat/>
    <w:uiPriority w:val="0"/>
    <w:pPr>
      <w:numPr>
        <w:ilvl w:val="1"/>
        <w:numId w:val="1"/>
      </w:numPr>
      <w:spacing w:line="600" w:lineRule="exact"/>
      <w:ind w:firstLine="924" w:firstLineChars="200"/>
      <w:jc w:val="both"/>
    </w:pPr>
    <w:rPr>
      <w:rFonts w:hint="eastAsia" w:ascii="Calibri" w:hAnsi="Calibri" w:eastAsia="楷体_GB2312" w:cs="Times New Roman"/>
      <w:sz w:val="32"/>
      <w:lang w:val="en-US" w:eastAsia="zh-CN" w:bidi="ar-SA"/>
    </w:rPr>
  </w:style>
  <w:style w:type="character" w:customStyle="1" w:styleId="25">
    <w:name w:val="标题 3 Char"/>
    <w:link w:val="6"/>
    <w:qFormat/>
    <w:uiPriority w:val="0"/>
    <w:rPr>
      <w:rFonts w:hAnsi="仿宋_GB2312" w:eastAsia="仿宋_GB2312"/>
    </w:rPr>
  </w:style>
  <w:style w:type="character" w:customStyle="1" w:styleId="26">
    <w:name w:val="15"/>
    <w:basedOn w:val="18"/>
    <w:qFormat/>
    <w:uiPriority w:val="0"/>
    <w:rPr>
      <w:rFonts w:hint="default" w:ascii="Times New Roman" w:hAnsi="仿宋_GB2312" w:eastAsia="仿宋_GB2312" w:cs="Times New Roman"/>
    </w:rPr>
  </w:style>
  <w:style w:type="character" w:customStyle="1" w:styleId="27">
    <w:name w:val="标题 2 字符"/>
    <w:link w:val="5"/>
    <w:qFormat/>
    <w:uiPriority w:val="0"/>
    <w:rPr>
      <w:rFonts w:ascii="Arial" w:hAnsi="Arial" w:eastAsia="楷体_GB2312"/>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2.xml"/><Relationship Id="rId16" Type="http://schemas.openxmlformats.org/officeDocument/2006/relationships/footer" Target="footer12.xml"/><Relationship Id="rId15" Type="http://schemas.openxmlformats.org/officeDocument/2006/relationships/header" Target="header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中山市民政局</Company>
  <Pages>54</Pages>
  <Words>27282</Words>
  <Characters>28354</Characters>
  <Lines>0</Lines>
  <Paragraphs>0</Paragraphs>
  <TotalTime>2</TotalTime>
  <ScaleCrop>false</ScaleCrop>
  <LinksUpToDate>false</LinksUpToDate>
  <CharactersWithSpaces>28461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2022-01-26T01:45:00Z</dcterms:created>
  <dc:creator>西米露</dc:creator>
  <cp:lastModifiedBy>冯绮婷</cp:lastModifiedBy>
  <dcterms:modified xsi:type="dcterms:W3CDTF">2026-04-23T07:01:14Z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9FB721D685AB43D8999752E23E95249E</vt:lpwstr>
  </property>
  <property fmtid="{D5CDD505-2E9C-101B-9397-08002B2CF9AE}" pid="4" name="KSOTemplateDocerSaveRecord">
    <vt:lpwstr>eyJoZGlkIjoiY2RhNDc3NTBjN2Q1Zjc0YmMyYjAwZjBmNWU0YjJhZmYiLCJ1c2VySWQiOiI0MTIxMzY1OTEifQ==</vt:lpwstr>
  </property>
</Properties>
</file>