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212A">
      <w:pPr>
        <w:pStyle w:val="2"/>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2E9154D0">
      <w:pPr>
        <w:pStyle w:val="2"/>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服务协议</w:t>
      </w:r>
      <w:r>
        <w:rPr>
          <w:rFonts w:hint="eastAsia" w:ascii="Times New Roman" w:hAnsi="Times New Roman" w:eastAsia="方正小标宋简体" w:cs="Times New Roman"/>
          <w:color w:val="auto"/>
          <w:sz w:val="44"/>
          <w:szCs w:val="44"/>
          <w:lang w:val="en-US" w:eastAsia="zh-CN"/>
        </w:rPr>
        <w:t>模板</w:t>
      </w:r>
    </w:p>
    <w:p w14:paraId="0D1F0A6A">
      <w:pPr>
        <w:pStyle w:val="2"/>
        <w:keepNext w:val="0"/>
        <w:keepLines w:val="0"/>
        <w:pageBreakBefore w:val="0"/>
        <w:kinsoku/>
        <w:overflowPunct/>
        <w:topLinePunct w:val="0"/>
        <w:autoSpaceDE/>
        <w:autoSpaceDN/>
        <w:bidi w:val="0"/>
        <w:spacing w:line="560" w:lineRule="exact"/>
        <w:rPr>
          <w:rFonts w:hint="default" w:ascii="Times New Roman" w:hAnsi="Times New Roman" w:cs="Times New Roman"/>
          <w:color w:val="auto"/>
        </w:rPr>
      </w:pPr>
    </w:p>
    <w:p w14:paraId="1A7956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甲方（服务购买方）：</w:t>
      </w:r>
      <w:r>
        <w:rPr>
          <w:rFonts w:hint="default" w:ascii="Times New Roman" w:hAnsi="Times New Roman" w:eastAsia="黑体" w:cs="Times New Roman"/>
          <w:bCs/>
          <w:color w:val="auto"/>
          <w:sz w:val="32"/>
          <w:szCs w:val="32"/>
          <w:u w:val="single"/>
        </w:rPr>
        <w:t>中山市民政局</w:t>
      </w:r>
    </w:p>
    <w:p w14:paraId="6EC686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乙方（服务提供方）：</w:t>
      </w:r>
      <w:r>
        <w:rPr>
          <w:rFonts w:hint="default" w:ascii="Times New Roman" w:hAnsi="Times New Roman" w:eastAsia="黑体" w:cs="Times New Roman"/>
          <w:bCs/>
          <w:color w:val="auto"/>
          <w:sz w:val="32"/>
          <w:szCs w:val="32"/>
          <w:u w:val="single"/>
          <w:lang w:val="en-US" w:eastAsia="zh-CN"/>
        </w:rPr>
        <w:t xml:space="preserve">            </w:t>
      </w:r>
    </w:p>
    <w:p w14:paraId="2FF8920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14:paraId="378F9C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根据国家有关政策法规规定，经双方协商，本着平等、自愿、公平和诚实信用的原则，就乙方向甲方提供相关服务事宜，签订本合同</w:t>
      </w:r>
      <w:r>
        <w:rPr>
          <w:rFonts w:hint="default" w:ascii="Times New Roman" w:hAnsi="Times New Roman" w:eastAsia="仿宋_GB2312" w:cs="Times New Roman"/>
          <w:color w:val="auto"/>
          <w:sz w:val="32"/>
          <w:szCs w:val="32"/>
          <w:lang w:eastAsia="zh-CN"/>
        </w:rPr>
        <w:t>：</w:t>
      </w:r>
    </w:p>
    <w:p w14:paraId="014AC9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一、</w:t>
      </w:r>
      <w:r>
        <w:rPr>
          <w:rFonts w:hint="default" w:ascii="Times New Roman" w:hAnsi="Times New Roman" w:eastAsia="黑体" w:cs="Times New Roman"/>
          <w:b w:val="0"/>
          <w:bCs/>
          <w:color w:val="auto"/>
          <w:sz w:val="32"/>
          <w:szCs w:val="32"/>
        </w:rPr>
        <w:t>服务期限</w:t>
      </w:r>
    </w:p>
    <w:p w14:paraId="0E24BB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本服务合同书所述的购买服务期限</w:t>
      </w:r>
      <w:r>
        <w:rPr>
          <w:rFonts w:hint="default" w:ascii="Times New Roman" w:hAnsi="Times New Roman" w:eastAsia="仿宋_GB2312" w:cs="Times New Roman"/>
          <w:color w:val="auto"/>
          <w:sz w:val="32"/>
          <w:szCs w:val="32"/>
          <w:lang w:val="en-US" w:eastAsia="zh-CN"/>
        </w:rPr>
        <w:t>从本合同签订日期起</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2027</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乙方承接项目的运营，按要求提供服务。</w:t>
      </w:r>
    </w:p>
    <w:p w14:paraId="01FCE6F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二、服务内容（指标）</w:t>
      </w:r>
    </w:p>
    <w:p w14:paraId="531859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宋体" w:eastAsia="仿宋_GB2312" w:cs="宋体"/>
          <w:sz w:val="32"/>
          <w:szCs w:val="32"/>
          <w:u w:val="none"/>
          <w:lang w:val="en-US" w:eastAsia="zh-CN"/>
        </w:rPr>
        <w:t>按照全市新增残疾人两项补贴对象约1183名不低于50%的比例，开展入户核查工作并建档，完成入户数不得少于600人次。</w:t>
      </w:r>
    </w:p>
    <w:p w14:paraId="13A4BE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宋体" w:eastAsia="仿宋_GB2312" w:cs="宋体"/>
          <w:sz w:val="32"/>
          <w:szCs w:val="32"/>
          <w:u w:val="none"/>
          <w:lang w:val="en-US" w:eastAsia="zh-CN"/>
        </w:rPr>
        <w:t>电话抽查不少于500名残疾人两项补贴对象有关补贴领取及生活情况</w:t>
      </w:r>
      <w:r>
        <w:rPr>
          <w:rFonts w:hint="eastAsia" w:ascii="仿宋_GB2312" w:hAnsi="仿宋_GB2312" w:eastAsia="仿宋_GB2312" w:cs="仿宋_GB2312"/>
          <w:sz w:val="32"/>
          <w:szCs w:val="32"/>
          <w:u w:val="none"/>
        </w:rPr>
        <w:t>。</w:t>
      </w:r>
    </w:p>
    <w:p w14:paraId="4E7046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w:t>
      </w:r>
      <w:r>
        <w:rPr>
          <w:rFonts w:hint="eastAsia" w:ascii="仿宋_GB2312" w:hAnsi="宋体" w:eastAsia="仿宋_GB2312" w:cs="宋体"/>
          <w:sz w:val="32"/>
          <w:szCs w:val="32"/>
          <w:u w:val="none"/>
          <w:lang w:val="en-US" w:eastAsia="zh-CN"/>
        </w:rPr>
        <w:t>跟踪了解情况不少于350户残疾人两项补贴对象</w:t>
      </w:r>
      <w:r>
        <w:rPr>
          <w:rFonts w:hint="eastAsia" w:ascii="仿宋_GB2312" w:hAnsi="仿宋_GB2312" w:eastAsia="仿宋_GB2312" w:cs="仿宋_GB2312"/>
          <w:sz w:val="32"/>
          <w:szCs w:val="32"/>
          <w:u w:val="none"/>
        </w:rPr>
        <w:t>。</w:t>
      </w:r>
    </w:p>
    <w:p w14:paraId="7A5EDE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4.对全市23个镇街精神障碍社区康复服务机构开展实地走访，全面了解</w:t>
      </w:r>
      <w:r>
        <w:rPr>
          <w:rFonts w:hint="eastAsia" w:ascii="仿宋_GB2312" w:hAnsi="仿宋_GB2312" w:eastAsia="仿宋_GB2312" w:cs="仿宋_GB2312"/>
          <w:sz w:val="32"/>
          <w:szCs w:val="32"/>
          <w:u w:val="none"/>
          <w:lang w:eastAsia="zh-CN"/>
        </w:rPr>
        <w:t>精康服务</w:t>
      </w:r>
      <w:r>
        <w:rPr>
          <w:rFonts w:hint="eastAsia" w:ascii="仿宋_GB2312" w:hAnsi="仿宋_GB2312" w:eastAsia="仿宋_GB2312" w:cs="仿宋_GB2312"/>
          <w:sz w:val="32"/>
          <w:szCs w:val="32"/>
          <w:u w:val="none"/>
        </w:rPr>
        <w:t>工作开展情况</w:t>
      </w:r>
      <w:r>
        <w:rPr>
          <w:rFonts w:hint="eastAsia" w:ascii="仿宋_GB2312" w:hAnsi="仿宋_GB2312" w:eastAsia="仿宋_GB2312" w:cs="仿宋_GB2312"/>
          <w:sz w:val="32"/>
          <w:szCs w:val="32"/>
          <w:u w:val="none"/>
          <w:lang w:eastAsia="zh-CN"/>
        </w:rPr>
        <w:t>，项目期内需</w:t>
      </w:r>
      <w:r>
        <w:rPr>
          <w:rFonts w:hint="eastAsia" w:ascii="仿宋_GB2312" w:hAnsi="仿宋_GB2312" w:eastAsia="仿宋_GB2312" w:cs="仿宋_GB2312"/>
          <w:sz w:val="32"/>
          <w:szCs w:val="32"/>
          <w:u w:val="none"/>
        </w:rPr>
        <w:t>形成书面简报</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p>
    <w:p w14:paraId="27EC87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u w:val="none"/>
          <w:lang w:val="en-US"/>
        </w:rPr>
      </w:pPr>
      <w:r>
        <w:rPr>
          <w:rFonts w:hint="eastAsia" w:ascii="仿宋_GB2312" w:hAnsi="仿宋_GB2312" w:eastAsia="仿宋_GB2312" w:cs="仿宋_GB2312"/>
          <w:sz w:val="32"/>
          <w:szCs w:val="32"/>
          <w:u w:val="none"/>
          <w:lang w:val="en-US" w:eastAsia="zh-CN"/>
        </w:rPr>
        <w:t>5.做好残疾人两项补贴数据统计分析以及精康服务评估工作，定期对两项补贴对象的信息采集、入户调查、跟踪了解、电话抽查以及</w:t>
      </w:r>
      <w:r>
        <w:rPr>
          <w:rFonts w:hint="eastAsia" w:ascii="仿宋_GB2312" w:hAnsi="仿宋_GB2312" w:eastAsia="仿宋_GB2312" w:cs="仿宋_GB2312"/>
          <w:sz w:val="32"/>
          <w:szCs w:val="32"/>
          <w:u w:val="none"/>
        </w:rPr>
        <w:t>镇街开展精康服务工作</w:t>
      </w:r>
      <w:r>
        <w:rPr>
          <w:rFonts w:hint="eastAsia" w:ascii="仿宋_GB2312" w:hAnsi="仿宋_GB2312" w:eastAsia="仿宋_GB2312" w:cs="仿宋_GB2312"/>
          <w:sz w:val="32"/>
          <w:szCs w:val="32"/>
          <w:u w:val="none"/>
          <w:lang w:val="en-US" w:eastAsia="zh-CN"/>
        </w:rPr>
        <w:t>等资料进行整理后递交给采购方。</w:t>
      </w:r>
    </w:p>
    <w:p w14:paraId="6F662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自签订合同即日起，每6个月进行一次工作小结并向采购人书面报告管理情况，并及时做好核查资料整理归档。</w:t>
      </w:r>
    </w:p>
    <w:p w14:paraId="26D125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7.2027年4月前</w:t>
      </w:r>
      <w:r>
        <w:rPr>
          <w:rFonts w:hint="eastAsia" w:ascii="仿宋_GB2312" w:hAnsi="仿宋_GB2312" w:eastAsia="仿宋_GB2312" w:cs="仿宋_GB2312"/>
          <w:sz w:val="32"/>
          <w:szCs w:val="32"/>
          <w:u w:val="none"/>
        </w:rPr>
        <w:t>出具一份残疾人帮扶及精康督导项目</w:t>
      </w:r>
      <w:r>
        <w:rPr>
          <w:rFonts w:hint="eastAsia" w:ascii="仿宋_GB2312" w:hAnsi="仿宋_GB2312" w:eastAsia="仿宋_GB2312" w:cs="仿宋_GB2312"/>
          <w:sz w:val="32"/>
          <w:szCs w:val="32"/>
          <w:u w:val="none"/>
          <w:lang w:eastAsia="zh-CN"/>
        </w:rPr>
        <w:t>工作情况</w:t>
      </w:r>
      <w:r>
        <w:rPr>
          <w:rFonts w:hint="eastAsia" w:ascii="仿宋_GB2312" w:hAnsi="仿宋_GB2312" w:eastAsia="仿宋_GB2312" w:cs="仿宋_GB2312"/>
          <w:sz w:val="32"/>
          <w:szCs w:val="32"/>
          <w:u w:val="none"/>
        </w:rPr>
        <w:t>书面报告提交至采购方。</w:t>
      </w:r>
    </w:p>
    <w:p w14:paraId="41B808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三、项目经费及拨付方式</w:t>
      </w:r>
    </w:p>
    <w:p w14:paraId="5E82FB58">
      <w:pPr>
        <w:keepNext w:val="0"/>
        <w:keepLines w:val="0"/>
        <w:pageBreakBefore w:val="0"/>
        <w:numPr>
          <w:ilvl w:val="0"/>
          <w:numId w:val="1"/>
        </w:numPr>
        <w:tabs>
          <w:tab w:val="left" w:pos="731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kern w:val="28"/>
          <w:sz w:val="32"/>
          <w:szCs w:val="32"/>
        </w:rPr>
      </w:pPr>
      <w:r>
        <w:rPr>
          <w:rFonts w:hint="default" w:ascii="Times New Roman" w:hAnsi="Times New Roman" w:eastAsia="楷体_GB2312" w:cs="Times New Roman"/>
          <w:b w:val="0"/>
          <w:bCs/>
          <w:color w:val="auto"/>
          <w:kern w:val="28"/>
          <w:sz w:val="32"/>
          <w:szCs w:val="32"/>
        </w:rPr>
        <w:t>项目经费</w:t>
      </w:r>
      <w:r>
        <w:rPr>
          <w:rFonts w:hint="default" w:ascii="Times New Roman" w:hAnsi="Times New Roman" w:eastAsia="仿宋_GB2312" w:cs="Times New Roman"/>
          <w:b/>
          <w:color w:val="auto"/>
          <w:kern w:val="28"/>
          <w:sz w:val="32"/>
          <w:szCs w:val="32"/>
          <w:lang w:eastAsia="zh-CN"/>
        </w:rPr>
        <w:tab/>
      </w:r>
    </w:p>
    <w:p w14:paraId="01BC9A49">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项目经费合计人民币</w:t>
      </w:r>
      <w:r>
        <w:rPr>
          <w:rFonts w:hint="default" w:ascii="Times New Roman" w:hAnsi="Times New Roman" w:eastAsia="仿宋_GB2312" w:cs="Times New Roman"/>
          <w:color w:val="auto"/>
          <w:sz w:val="32"/>
          <w:szCs w:val="32"/>
          <w:highlight w:val="none"/>
        </w:rPr>
        <w:t>￥</w:t>
      </w:r>
      <w:r>
        <w:rPr>
          <w:rFonts w:hint="default" w:ascii="Times New Roman" w:hAnsi="Times New Roman" w:eastAsia="宋体" w:cs="Times New Roman"/>
          <w:color w:val="auto"/>
          <w:sz w:val="28"/>
          <w:szCs w:val="28"/>
          <w:lang w:val="en-US" w:eastAsia="zh-CN"/>
        </w:rPr>
        <w:t>______</w:t>
      </w:r>
      <w:r>
        <w:rPr>
          <w:rFonts w:hint="default" w:ascii="Times New Roman" w:hAnsi="Times New Roman" w:eastAsia="仿宋_GB2312" w:cs="Times New Roman"/>
          <w:color w:val="auto"/>
          <w:sz w:val="28"/>
          <w:szCs w:val="28"/>
        </w:rPr>
        <w:t>元</w:t>
      </w:r>
      <w:r>
        <w:rPr>
          <w:rFonts w:hint="default" w:ascii="Times New Roman" w:hAnsi="Times New Roman" w:eastAsia="仿宋_GB2312" w:cs="Times New Roman"/>
          <w:color w:val="auto"/>
          <w:sz w:val="32"/>
          <w:szCs w:val="32"/>
        </w:rPr>
        <w:t>（大写：</w:t>
      </w:r>
      <w:r>
        <w:rPr>
          <w:rFonts w:hint="default" w:ascii="Times New Roman" w:hAnsi="Times New Roman" w:eastAsia="宋体" w:cs="Times New Roman"/>
          <w:color w:val="auto"/>
          <w:sz w:val="28"/>
          <w:szCs w:val="28"/>
          <w:lang w:val="en-US" w:eastAsia="zh-CN"/>
        </w:rPr>
        <w:t>______</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含税）</w:t>
      </w:r>
    </w:p>
    <w:p w14:paraId="2B56FCA2">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支付方式</w:t>
      </w:r>
    </w:p>
    <w:p w14:paraId="5C2CB5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经费分</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期支付：</w:t>
      </w:r>
    </w:p>
    <w:p w14:paraId="6A0BA3D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第一期：</w:t>
      </w:r>
      <w:r>
        <w:rPr>
          <w:rFonts w:hint="eastAsia" w:ascii="仿宋_GB2312" w:hAnsi="仿宋" w:eastAsia="仿宋_GB2312" w:cs="仿宋"/>
          <w:sz w:val="32"/>
          <w:szCs w:val="32"/>
        </w:rPr>
        <w:t>双方签署</w:t>
      </w:r>
      <w:r>
        <w:rPr>
          <w:rFonts w:hint="eastAsia" w:ascii="仿宋_GB2312" w:hAnsi="仿宋" w:eastAsia="仿宋_GB2312" w:cs="仿宋"/>
          <w:sz w:val="32"/>
          <w:szCs w:val="32"/>
          <w:lang w:eastAsia="zh-Hans"/>
        </w:rPr>
        <w:t>本</w:t>
      </w:r>
      <w:r>
        <w:rPr>
          <w:rFonts w:hint="eastAsia" w:ascii="仿宋_GB2312" w:hAnsi="仿宋" w:eastAsia="仿宋_GB2312" w:cs="仿宋"/>
          <w:sz w:val="32"/>
          <w:szCs w:val="32"/>
        </w:rPr>
        <w:t>合同后，乙方向甲方开具</w:t>
      </w:r>
      <w:r>
        <w:rPr>
          <w:rFonts w:hint="eastAsia" w:ascii="仿宋_GB2312" w:hAnsi="仿宋" w:eastAsia="仿宋_GB2312" w:cs="仿宋"/>
          <w:sz w:val="32"/>
          <w:szCs w:val="32"/>
          <w:lang w:val="en-US" w:eastAsia="zh-CN"/>
        </w:rPr>
        <w:t>等额</w:t>
      </w:r>
      <w:r>
        <w:rPr>
          <w:rFonts w:hint="eastAsia" w:ascii="仿宋_GB2312" w:hAnsi="仿宋" w:eastAsia="仿宋_GB2312" w:cs="仿宋"/>
          <w:sz w:val="32"/>
          <w:szCs w:val="32"/>
        </w:rPr>
        <w:t>有效发票，甲方在收到发票后15个工作日内向乙方支付</w:t>
      </w:r>
      <w:r>
        <w:rPr>
          <w:rFonts w:hint="eastAsia" w:ascii="仿宋_GB2312" w:hAnsi="仿宋" w:eastAsia="仿宋_GB2312" w:cs="仿宋"/>
          <w:sz w:val="32"/>
          <w:szCs w:val="32"/>
          <w:lang w:val="en-US" w:eastAsia="zh-CN"/>
        </w:rPr>
        <w:t>合同总金额的30%，即</w:t>
      </w:r>
      <w:r>
        <w:rPr>
          <w:rFonts w:hint="default" w:ascii="Times New Roman" w:hAnsi="Times New Roman" w:eastAsia="仿宋_GB2312" w:cs="Times New Roman"/>
          <w:color w:val="auto"/>
          <w:sz w:val="32"/>
          <w:szCs w:val="32"/>
          <w:highlight w:val="none"/>
        </w:rPr>
        <w:t>人民币￥______元，大写</w:t>
      </w:r>
      <w:r>
        <w:rPr>
          <w:rFonts w:hint="default" w:ascii="Times New Roman" w:hAnsi="Times New Roman" w:eastAsia="仿宋_GB2312" w:cs="Times New Roman"/>
          <w:color w:val="auto"/>
          <w:sz w:val="32"/>
          <w:szCs w:val="32"/>
          <w:highlight w:val="none"/>
          <w:lang w:eastAsia="zh-CN"/>
        </w:rPr>
        <w:t>：_</w:t>
      </w:r>
      <w:r>
        <w:rPr>
          <w:rFonts w:hint="default" w:ascii="Times New Roman" w:hAnsi="Times New Roman" w:eastAsia="仿宋_GB2312" w:cs="Times New Roman"/>
          <w:color w:val="auto"/>
          <w:sz w:val="32"/>
          <w:szCs w:val="32"/>
          <w:highlight w:val="none"/>
        </w:rPr>
        <w:t>_____。</w:t>
      </w:r>
    </w:p>
    <w:p w14:paraId="71400A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年11月底，</w:t>
      </w:r>
      <w:r>
        <w:rPr>
          <w:rFonts w:hint="eastAsia" w:ascii="仿宋_GB2312" w:hAnsi="仿宋" w:eastAsia="仿宋_GB2312" w:cs="仿宋"/>
          <w:sz w:val="32"/>
          <w:szCs w:val="32"/>
          <w:lang w:eastAsia="zh-CN"/>
        </w:rPr>
        <w:t>当</w:t>
      </w:r>
      <w:r>
        <w:rPr>
          <w:rFonts w:hint="eastAsia" w:ascii="仿宋_GB2312" w:hAnsi="仿宋" w:eastAsia="仿宋_GB2312" w:cs="仿宋"/>
          <w:sz w:val="32"/>
          <w:szCs w:val="32"/>
        </w:rPr>
        <w:t>乙方</w:t>
      </w:r>
      <w:r>
        <w:rPr>
          <w:rFonts w:hint="eastAsia" w:ascii="仿宋_GB2312" w:hAnsi="仿宋" w:eastAsia="仿宋_GB2312" w:cs="仿宋"/>
          <w:sz w:val="32"/>
          <w:szCs w:val="32"/>
          <w:lang w:eastAsia="zh-CN"/>
        </w:rPr>
        <w:t>完成不低于</w:t>
      </w:r>
      <w:r>
        <w:rPr>
          <w:rFonts w:hint="eastAsia" w:ascii="仿宋_GB2312" w:hAnsi="仿宋" w:eastAsia="仿宋_GB2312" w:cs="仿宋"/>
          <w:sz w:val="32"/>
          <w:szCs w:val="32"/>
          <w:lang w:val="en-US" w:eastAsia="zh-CN"/>
        </w:rPr>
        <w:t>80%的项目指标，并</w:t>
      </w:r>
      <w:r>
        <w:rPr>
          <w:rFonts w:hint="eastAsia" w:ascii="仿宋_GB2312" w:hAnsi="仿宋" w:eastAsia="仿宋_GB2312" w:cs="仿宋"/>
          <w:sz w:val="32"/>
          <w:szCs w:val="32"/>
        </w:rPr>
        <w:t>经甲方</w:t>
      </w:r>
      <w:bookmarkStart w:id="0" w:name="_GoBack"/>
      <w:bookmarkEnd w:id="0"/>
      <w:r>
        <w:rPr>
          <w:rFonts w:hint="eastAsia" w:ascii="仿宋_GB2312" w:hAnsi="仿宋" w:eastAsia="仿宋_GB2312" w:cs="仿宋"/>
          <w:sz w:val="32"/>
          <w:szCs w:val="32"/>
        </w:rPr>
        <w:t>验收合格后</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乙方向甲方开具</w:t>
      </w:r>
      <w:r>
        <w:rPr>
          <w:rFonts w:hint="eastAsia" w:ascii="仿宋_GB2312" w:hAnsi="仿宋" w:eastAsia="仿宋_GB2312" w:cs="仿宋"/>
          <w:sz w:val="32"/>
          <w:szCs w:val="32"/>
          <w:lang w:val="en-US" w:eastAsia="zh-CN"/>
        </w:rPr>
        <w:t>等额</w:t>
      </w:r>
      <w:r>
        <w:rPr>
          <w:rFonts w:hint="eastAsia" w:ascii="仿宋_GB2312" w:hAnsi="仿宋" w:eastAsia="仿宋_GB2312" w:cs="仿宋"/>
          <w:sz w:val="32"/>
          <w:szCs w:val="32"/>
        </w:rPr>
        <w:t>有效发票，</w:t>
      </w:r>
      <w:r>
        <w:rPr>
          <w:rFonts w:hint="eastAsia" w:ascii="仿宋_GB2312" w:hAnsi="宋体" w:eastAsia="仿宋_GB2312" w:cs="宋体"/>
          <w:bCs/>
          <w:kern w:val="28"/>
          <w:sz w:val="32"/>
          <w:szCs w:val="32"/>
        </w:rPr>
        <w:t>甲方</w:t>
      </w:r>
      <w:r>
        <w:rPr>
          <w:rFonts w:hint="eastAsia" w:ascii="仿宋_GB2312" w:hAnsi="仿宋" w:eastAsia="仿宋_GB2312" w:cs="仿宋"/>
          <w:sz w:val="32"/>
          <w:szCs w:val="32"/>
        </w:rPr>
        <w:t>在收到发票后</w:t>
      </w:r>
      <w:r>
        <w:rPr>
          <w:rFonts w:hint="eastAsia" w:ascii="仿宋_GB2312" w:hAnsi="宋体" w:eastAsia="仿宋_GB2312" w:cs="宋体"/>
          <w:bCs/>
          <w:kern w:val="28"/>
          <w:sz w:val="32"/>
          <w:szCs w:val="32"/>
        </w:rPr>
        <w:t>15个工作日内向乙方</w:t>
      </w:r>
      <w:r>
        <w:rPr>
          <w:rFonts w:hint="eastAsia" w:ascii="仿宋_GB2312" w:hAnsi="仿宋" w:eastAsia="仿宋_GB2312" w:cs="仿宋"/>
          <w:sz w:val="32"/>
          <w:szCs w:val="32"/>
        </w:rPr>
        <w:t>支付</w:t>
      </w:r>
      <w:r>
        <w:rPr>
          <w:rFonts w:hint="eastAsia" w:ascii="仿宋_GB2312" w:hAnsi="仿宋" w:eastAsia="仿宋_GB2312" w:cs="仿宋"/>
          <w:sz w:val="32"/>
          <w:szCs w:val="32"/>
          <w:lang w:val="en-US" w:eastAsia="zh-CN"/>
        </w:rPr>
        <w:t>合同总金额的50%，即</w:t>
      </w:r>
      <w:r>
        <w:rPr>
          <w:rFonts w:hint="eastAsia"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highlight w:val="none"/>
        </w:rPr>
        <w:t>￥______元，大写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77AF35B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第三期</w:t>
      </w:r>
      <w:r>
        <w:rPr>
          <w:rFonts w:hint="default" w:ascii="Times New Roman" w:hAnsi="Times New Roman" w:eastAsia="仿宋_GB2312" w:cs="Times New Roman"/>
          <w:color w:val="auto"/>
          <w:sz w:val="32"/>
          <w:szCs w:val="32"/>
          <w:highlight w:val="none"/>
        </w:rPr>
        <w:t>：</w:t>
      </w:r>
      <w:r>
        <w:rPr>
          <w:rFonts w:hint="eastAsia" w:ascii="仿宋_GB2312" w:hAnsi="仿宋" w:eastAsia="仿宋_GB2312" w:cs="仿宋"/>
          <w:sz w:val="32"/>
          <w:szCs w:val="32"/>
          <w:lang w:val="en-US" w:eastAsia="zh-CN"/>
        </w:rPr>
        <w:t>本</w:t>
      </w:r>
      <w:r>
        <w:rPr>
          <w:rFonts w:hint="eastAsia" w:ascii="仿宋_GB2312" w:hAnsi="仿宋" w:eastAsia="仿宋_GB2312" w:cs="仿宋"/>
          <w:sz w:val="32"/>
          <w:szCs w:val="32"/>
        </w:rPr>
        <w:t>项目</w:t>
      </w:r>
      <w:r>
        <w:rPr>
          <w:rFonts w:hint="eastAsia" w:ascii="仿宋_GB2312" w:hAnsi="仿宋" w:eastAsia="仿宋_GB2312" w:cs="仿宋"/>
          <w:sz w:val="32"/>
          <w:szCs w:val="32"/>
          <w:lang w:val="en-US" w:eastAsia="zh-CN"/>
        </w:rPr>
        <w:t>全部</w:t>
      </w:r>
      <w:r>
        <w:rPr>
          <w:rFonts w:hint="eastAsia" w:ascii="仿宋_GB2312" w:hAnsi="仿宋" w:eastAsia="仿宋_GB2312" w:cs="仿宋"/>
          <w:sz w:val="32"/>
          <w:szCs w:val="32"/>
        </w:rPr>
        <w:t>完成</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乙方</w:t>
      </w:r>
      <w:r>
        <w:rPr>
          <w:rFonts w:hint="eastAsia" w:ascii="仿宋_GB2312" w:hAnsi="仿宋" w:eastAsia="仿宋_GB2312" w:cs="仿宋"/>
          <w:sz w:val="32"/>
          <w:szCs w:val="32"/>
        </w:rPr>
        <w:t>出具</w:t>
      </w:r>
      <w:r>
        <w:rPr>
          <w:rFonts w:hint="eastAsia" w:ascii="仿宋_GB2312" w:hAnsi="宋体" w:eastAsia="仿宋_GB2312"/>
          <w:sz w:val="32"/>
          <w:szCs w:val="32"/>
          <w:u w:val="single"/>
        </w:rPr>
        <w:t>工作情况</w:t>
      </w:r>
      <w:r>
        <w:rPr>
          <w:rFonts w:hint="eastAsia" w:ascii="仿宋_GB2312" w:hAnsi="仿宋_GB2312" w:eastAsia="仿宋_GB2312" w:cs="仿宋_GB2312"/>
          <w:sz w:val="32"/>
          <w:szCs w:val="32"/>
        </w:rPr>
        <w:t>书面</w:t>
      </w:r>
      <w:r>
        <w:rPr>
          <w:rFonts w:hint="eastAsia" w:ascii="仿宋_GB2312" w:hAnsi="仿宋" w:eastAsia="仿宋_GB2312" w:cs="仿宋"/>
          <w:sz w:val="32"/>
          <w:szCs w:val="32"/>
        </w:rPr>
        <w:t>报告</w:t>
      </w:r>
      <w:r>
        <w:rPr>
          <w:rFonts w:hint="eastAsia" w:ascii="仿宋_GB2312" w:hAnsi="仿宋" w:eastAsia="仿宋_GB2312" w:cs="仿宋"/>
          <w:sz w:val="32"/>
          <w:szCs w:val="32"/>
          <w:lang w:val="en-US" w:eastAsia="zh-CN"/>
        </w:rPr>
        <w:t>并经甲方期末验收合格</w:t>
      </w:r>
      <w:r>
        <w:rPr>
          <w:rFonts w:hint="eastAsia" w:ascii="仿宋_GB2312" w:hAnsi="仿宋" w:eastAsia="仿宋_GB2312" w:cs="仿宋"/>
          <w:sz w:val="32"/>
          <w:szCs w:val="32"/>
        </w:rPr>
        <w:t>后，乙方向甲方开具</w:t>
      </w:r>
      <w:r>
        <w:rPr>
          <w:rFonts w:hint="eastAsia" w:ascii="仿宋_GB2312" w:hAnsi="仿宋" w:eastAsia="仿宋_GB2312" w:cs="仿宋"/>
          <w:sz w:val="32"/>
          <w:szCs w:val="32"/>
          <w:lang w:val="en-US" w:eastAsia="zh-CN"/>
        </w:rPr>
        <w:t>等额</w:t>
      </w:r>
      <w:r>
        <w:rPr>
          <w:rFonts w:hint="eastAsia" w:ascii="仿宋_GB2312" w:hAnsi="仿宋" w:eastAsia="仿宋_GB2312" w:cs="仿宋"/>
          <w:sz w:val="32"/>
          <w:szCs w:val="32"/>
        </w:rPr>
        <w:t>有效</w:t>
      </w:r>
      <w:r>
        <w:rPr>
          <w:rFonts w:hint="eastAsia" w:ascii="仿宋_GB2312" w:hAnsi="仿宋" w:eastAsia="仿宋_GB2312" w:cs="仿宋"/>
          <w:sz w:val="32"/>
          <w:szCs w:val="32"/>
          <w:lang w:val="en-US" w:eastAsia="zh-CN"/>
        </w:rPr>
        <w:t>发票，</w:t>
      </w:r>
      <w:r>
        <w:rPr>
          <w:rFonts w:hint="eastAsia" w:ascii="仿宋_GB2312" w:hAnsi="仿宋" w:eastAsia="仿宋_GB2312" w:cs="仿宋"/>
          <w:sz w:val="32"/>
          <w:szCs w:val="32"/>
        </w:rPr>
        <w:t>甲方在收到发票后15个工作日内向乙方支付</w:t>
      </w:r>
      <w:r>
        <w:rPr>
          <w:rFonts w:hint="eastAsia" w:ascii="仿宋_GB2312" w:hAnsi="仿宋" w:eastAsia="仿宋_GB2312" w:cs="仿宋"/>
          <w:sz w:val="32"/>
          <w:szCs w:val="32"/>
          <w:lang w:val="en-US" w:eastAsia="zh-CN"/>
        </w:rPr>
        <w:t>合同总金额的20%，即</w:t>
      </w:r>
      <w:r>
        <w:rPr>
          <w:rFonts w:hint="eastAsia"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highlight w:val="none"/>
        </w:rPr>
        <w:t>￥______元，大写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559BA3B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rPr>
        <w:t>乙方须于每期支付</w:t>
      </w:r>
      <w:r>
        <w:rPr>
          <w:rFonts w:hint="default"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rPr>
        <w:t>向甲方</w:t>
      </w:r>
      <w:r>
        <w:rPr>
          <w:rFonts w:hint="default" w:ascii="Times New Roman" w:hAnsi="Times New Roman" w:eastAsia="仿宋_GB2312" w:cs="Times New Roman"/>
          <w:color w:val="auto"/>
          <w:sz w:val="32"/>
          <w:szCs w:val="32"/>
          <w:highlight w:val="none"/>
          <w:lang w:eastAsia="zh-CN"/>
        </w:rPr>
        <w:t>开具</w:t>
      </w:r>
      <w:r>
        <w:rPr>
          <w:rFonts w:hint="default" w:ascii="Times New Roman" w:hAnsi="Times New Roman" w:eastAsia="仿宋_GB2312" w:cs="Times New Roman"/>
          <w:color w:val="auto"/>
          <w:sz w:val="32"/>
          <w:szCs w:val="32"/>
          <w:highlight w:val="none"/>
        </w:rPr>
        <w:t>相应金额的合法</w:t>
      </w:r>
      <w:r>
        <w:rPr>
          <w:rFonts w:hint="default" w:ascii="Times New Roman" w:hAnsi="Times New Roman" w:eastAsia="仿宋_GB2312" w:cs="Times New Roman"/>
          <w:color w:val="auto"/>
          <w:sz w:val="32"/>
          <w:szCs w:val="32"/>
        </w:rPr>
        <w:t>有效发票。</w:t>
      </w:r>
      <w:r>
        <w:rPr>
          <w:rFonts w:hint="default" w:ascii="Times New Roman" w:hAnsi="Times New Roman" w:eastAsia="仿宋_GB2312" w:cs="Times New Roman"/>
          <w:color w:val="auto"/>
          <w:sz w:val="32"/>
          <w:szCs w:val="32"/>
          <w:lang w:val="en-US" w:eastAsia="zh-CN"/>
        </w:rPr>
        <w:t>乙方迟延提供发票的，甲方的付款时间相应顺延。</w:t>
      </w:r>
    </w:p>
    <w:p w14:paraId="42BEBBBF">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乙方账户信息</w:t>
      </w:r>
    </w:p>
    <w:p w14:paraId="5F4716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户名：</w:t>
      </w:r>
      <w:r>
        <w:rPr>
          <w:rFonts w:hint="default" w:ascii="Times New Roman" w:hAnsi="Times New Roman" w:eastAsia="仿宋_GB2312" w:cs="Times New Roman"/>
          <w:color w:val="auto"/>
          <w:sz w:val="32"/>
          <w:szCs w:val="32"/>
          <w:u w:val="single"/>
          <w:lang w:val="en-US" w:eastAsia="zh-CN"/>
        </w:rPr>
        <w:t xml:space="preserve">                   </w:t>
      </w:r>
    </w:p>
    <w:p w14:paraId="104A96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w:t>
      </w:r>
      <w:r>
        <w:rPr>
          <w:rFonts w:hint="default" w:ascii="Times New Roman" w:hAnsi="Times New Roman" w:eastAsia="仿宋_GB2312" w:cs="Times New Roman"/>
          <w:color w:val="auto"/>
          <w:sz w:val="32"/>
          <w:szCs w:val="32"/>
          <w:u w:val="single"/>
          <w:lang w:val="en-US" w:eastAsia="zh-CN"/>
        </w:rPr>
        <w:t xml:space="preserve">                   </w:t>
      </w:r>
    </w:p>
    <w:p w14:paraId="3ABC43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color w:val="auto"/>
          <w:sz w:val="32"/>
          <w:szCs w:val="32"/>
        </w:rPr>
        <w:t>开户行：</w:t>
      </w:r>
      <w:r>
        <w:rPr>
          <w:rFonts w:hint="default" w:ascii="Times New Roman" w:hAnsi="Times New Roman" w:eastAsia="仿宋_GB2312" w:cs="Times New Roman"/>
          <w:color w:val="auto"/>
          <w:sz w:val="32"/>
          <w:szCs w:val="32"/>
          <w:u w:val="single"/>
          <w:lang w:val="en-US" w:eastAsia="zh-CN"/>
        </w:rPr>
        <w:t xml:space="preserve">                  </w:t>
      </w:r>
    </w:p>
    <w:p w14:paraId="3CE5A0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四、各方权利义务</w:t>
      </w:r>
    </w:p>
    <w:p w14:paraId="725544EF">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甲方</w:t>
      </w:r>
    </w:p>
    <w:p w14:paraId="6C90CBAF">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甲方负责指导本项目工作，对乙方在项目运作过程中各项工作目标的完成情况、项目经费使用及各项机制落实情况进行监管、考核、验收，必要时提出修改意见和建议。</w:t>
      </w:r>
    </w:p>
    <w:p w14:paraId="2CA1B7F0">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负责乙方在开展本项</w:t>
      </w:r>
      <w:r>
        <w:rPr>
          <w:rFonts w:hint="default" w:ascii="Times New Roman" w:hAnsi="Times New Roman" w:eastAsia="仿宋_GB2312" w:cs="Times New Roman"/>
          <w:color w:val="auto"/>
          <w:kern w:val="28"/>
          <w:sz w:val="32"/>
          <w:szCs w:val="32"/>
          <w:lang w:val="en-US" w:eastAsia="zh-CN"/>
        </w:rPr>
        <w:t>目</w:t>
      </w:r>
      <w:r>
        <w:rPr>
          <w:rFonts w:hint="default" w:ascii="Times New Roman" w:hAnsi="Times New Roman" w:eastAsia="仿宋_GB2312" w:cs="Times New Roman"/>
          <w:color w:val="auto"/>
          <w:kern w:val="28"/>
          <w:sz w:val="32"/>
          <w:szCs w:val="32"/>
        </w:rPr>
        <w:t>工作过程中与市、</w:t>
      </w:r>
      <w:r>
        <w:rPr>
          <w:rFonts w:hint="default" w:ascii="Times New Roman" w:hAnsi="Times New Roman" w:eastAsia="仿宋_GB2312" w:cs="Times New Roman"/>
          <w:color w:val="auto"/>
          <w:kern w:val="28"/>
          <w:sz w:val="32"/>
          <w:szCs w:val="32"/>
          <w:lang w:val="en-US" w:eastAsia="zh-CN"/>
        </w:rPr>
        <w:t>镇街</w:t>
      </w:r>
      <w:r>
        <w:rPr>
          <w:rFonts w:hint="default" w:ascii="Times New Roman" w:hAnsi="Times New Roman" w:eastAsia="仿宋_GB2312" w:cs="Times New Roman"/>
          <w:color w:val="auto"/>
          <w:kern w:val="28"/>
          <w:sz w:val="32"/>
          <w:szCs w:val="32"/>
        </w:rPr>
        <w:t>及有关部门的协调工作。</w:t>
      </w:r>
    </w:p>
    <w:p w14:paraId="09D4BB5D">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对乙方开展服务提供必要的协助及便利，包括：</w:t>
      </w:r>
      <w:r>
        <w:rPr>
          <w:rFonts w:hint="default" w:ascii="Times New Roman" w:hAnsi="Times New Roman" w:eastAsia="仿宋_GB2312" w:cs="Times New Roman"/>
          <w:color w:val="auto"/>
          <w:kern w:val="28"/>
          <w:sz w:val="32"/>
          <w:szCs w:val="32"/>
          <w:lang w:val="en-US" w:eastAsia="zh-CN"/>
        </w:rPr>
        <w:t>提供办公场所（含水电，无偿）；</w:t>
      </w:r>
      <w:r>
        <w:rPr>
          <w:rFonts w:hint="default" w:ascii="Times New Roman" w:hAnsi="Times New Roman" w:eastAsia="仿宋_GB2312" w:cs="Times New Roman"/>
          <w:color w:val="auto"/>
          <w:kern w:val="28"/>
          <w:sz w:val="32"/>
          <w:szCs w:val="32"/>
        </w:rPr>
        <w:t>业务指导和支持；有关情况及相关资料的提供；乙方社工及工作人员出入有关部门及场所的便利等。</w:t>
      </w:r>
    </w:p>
    <w:p w14:paraId="2D95975D">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按本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的约定，及时拨付项目经费。</w:t>
      </w:r>
    </w:p>
    <w:p w14:paraId="25B9A7B8">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乙方</w:t>
      </w:r>
    </w:p>
    <w:p w14:paraId="0FB0D5F8">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根据本项目的目标要求，</w:t>
      </w:r>
      <w:r>
        <w:rPr>
          <w:rFonts w:hint="default" w:ascii="Times New Roman" w:hAnsi="Times New Roman" w:eastAsia="仿宋_GB2312" w:cs="Times New Roman"/>
          <w:color w:val="auto"/>
          <w:sz w:val="32"/>
          <w:szCs w:val="32"/>
        </w:rPr>
        <w:t>乙方于</w:t>
      </w:r>
      <w:r>
        <w:rPr>
          <w:rFonts w:hint="default" w:ascii="Times New Roman" w:hAnsi="Times New Roman" w:eastAsia="仿宋_GB2312" w:cs="Times New Roman"/>
          <w:color w:val="auto"/>
          <w:sz w:val="32"/>
          <w:szCs w:val="32"/>
          <w:lang w:val="en-US" w:eastAsia="zh-CN"/>
        </w:rPr>
        <w:t>本合同</w:t>
      </w:r>
      <w:r>
        <w:rPr>
          <w:rFonts w:hint="default" w:ascii="Times New Roman" w:hAnsi="Times New Roman" w:eastAsia="仿宋_GB2312" w:cs="Times New Roman"/>
          <w:color w:val="auto"/>
          <w:sz w:val="32"/>
          <w:szCs w:val="32"/>
        </w:rPr>
        <w:t>生效之日起10日内</w:t>
      </w:r>
      <w:r>
        <w:rPr>
          <w:rFonts w:hint="default" w:ascii="Times New Roman" w:hAnsi="Times New Roman" w:eastAsia="仿宋_GB2312" w:cs="Times New Roman"/>
          <w:color w:val="auto"/>
          <w:kern w:val="28"/>
          <w:sz w:val="32"/>
          <w:szCs w:val="32"/>
        </w:rPr>
        <w:t>配备专职项目人员，组建管理及服务团队，并报送甲方备案。合同期内，</w:t>
      </w:r>
      <w:r>
        <w:rPr>
          <w:rFonts w:hint="default" w:ascii="Times New Roman" w:hAnsi="Times New Roman" w:eastAsia="仿宋_GB2312" w:cs="Times New Roman"/>
          <w:color w:val="auto"/>
          <w:kern w:val="28"/>
          <w:sz w:val="32"/>
          <w:szCs w:val="32"/>
          <w:lang w:val="en-US" w:eastAsia="zh-CN"/>
        </w:rPr>
        <w:t>乙方应保持服务团队的人员稳定，如</w:t>
      </w:r>
      <w:r>
        <w:rPr>
          <w:rFonts w:hint="default" w:ascii="Times New Roman" w:hAnsi="Times New Roman" w:eastAsia="仿宋_GB2312" w:cs="Times New Roman"/>
          <w:color w:val="auto"/>
          <w:kern w:val="28"/>
          <w:sz w:val="32"/>
          <w:szCs w:val="32"/>
        </w:rPr>
        <w:t>工作人员因个人原因或因未能胜任本职工作而离岗及离职的，乙方应在</w:t>
      </w:r>
      <w:r>
        <w:rPr>
          <w:rFonts w:hint="default" w:ascii="Times New Roman" w:hAnsi="Times New Roman" w:eastAsia="仿宋_GB2312" w:cs="Times New Roman"/>
          <w:color w:val="auto"/>
          <w:kern w:val="28"/>
          <w:sz w:val="32"/>
          <w:szCs w:val="32"/>
          <w:lang w:val="en-US" w:eastAsia="zh-CN"/>
        </w:rPr>
        <w:t>工作人员</w:t>
      </w:r>
      <w:r>
        <w:rPr>
          <w:rFonts w:hint="default" w:ascii="Times New Roman" w:hAnsi="Times New Roman" w:eastAsia="仿宋_GB2312" w:cs="Times New Roman"/>
          <w:color w:val="auto"/>
          <w:kern w:val="28"/>
          <w:sz w:val="32"/>
          <w:szCs w:val="32"/>
        </w:rPr>
        <w:t>离岗或离职时及时补充，并报送甲方备案。</w:t>
      </w:r>
    </w:p>
    <w:p w14:paraId="113F2CCB">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乙方应根据项目的实际情况，制定并完善本项目计划，结合实际制定工作规划及具体实施方案。各项计划及有关实施方案应报甲方认可</w:t>
      </w:r>
      <w:r>
        <w:rPr>
          <w:rFonts w:hint="default" w:ascii="Times New Roman" w:hAnsi="Times New Roman" w:eastAsia="仿宋_GB2312" w:cs="Times New Roman"/>
          <w:color w:val="auto"/>
          <w:kern w:val="28"/>
          <w:sz w:val="32"/>
          <w:szCs w:val="32"/>
          <w:lang w:eastAsia="zh-CN"/>
        </w:rPr>
        <w:t>；</w:t>
      </w:r>
      <w:r>
        <w:rPr>
          <w:rFonts w:hint="default" w:ascii="Times New Roman" w:hAnsi="Times New Roman" w:eastAsia="仿宋_GB2312" w:cs="Times New Roman"/>
          <w:color w:val="auto"/>
          <w:kern w:val="28"/>
          <w:sz w:val="32"/>
          <w:szCs w:val="32"/>
        </w:rPr>
        <w:t>如有改变，应征得甲方同意。</w:t>
      </w:r>
    </w:p>
    <w:p w14:paraId="5F408BC6">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遵守国家法律法规及社会工作伦理道德，按照中山市的相关规定，执行项目计划，全面完成本项目的各项考核指标，为服务对象提供优质的服务。</w:t>
      </w:r>
    </w:p>
    <w:p w14:paraId="202371CC">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严格按照有关规定管理及使用经费，确保专款专用，并接受甲方及有关主管部门的监督。</w:t>
      </w:r>
    </w:p>
    <w:p w14:paraId="07DD2150">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5.</w:t>
      </w:r>
      <w:r>
        <w:rPr>
          <w:rFonts w:hint="default" w:ascii="Times New Roman" w:hAnsi="Times New Roman" w:eastAsia="仿宋_GB2312" w:cs="Times New Roman"/>
          <w:color w:val="auto"/>
          <w:kern w:val="28"/>
          <w:sz w:val="32"/>
          <w:szCs w:val="32"/>
        </w:rPr>
        <w:t>乙方需根据《</w:t>
      </w:r>
      <w:r>
        <w:rPr>
          <w:rFonts w:hint="default" w:ascii="Times New Roman" w:hAnsi="Times New Roman" w:eastAsia="仿宋_GB2312" w:cs="Times New Roman"/>
          <w:color w:val="auto"/>
          <w:kern w:val="28"/>
          <w:sz w:val="32"/>
          <w:szCs w:val="32"/>
          <w:lang w:eastAsia="zh-CN"/>
        </w:rPr>
        <w:t>中华人民共和国劳动合同法</w:t>
      </w:r>
      <w:r>
        <w:rPr>
          <w:rFonts w:hint="default" w:ascii="Times New Roman" w:hAnsi="Times New Roman" w:eastAsia="仿宋_GB2312" w:cs="Times New Roman"/>
          <w:color w:val="auto"/>
          <w:kern w:val="28"/>
          <w:sz w:val="32"/>
          <w:szCs w:val="32"/>
        </w:rPr>
        <w:t>》</w:t>
      </w:r>
      <w:r>
        <w:rPr>
          <w:rFonts w:hint="default" w:ascii="Times New Roman" w:hAnsi="Times New Roman" w:eastAsia="仿宋_GB2312" w:cs="Times New Roman"/>
          <w:color w:val="auto"/>
          <w:kern w:val="28"/>
          <w:sz w:val="32"/>
          <w:szCs w:val="32"/>
          <w:lang w:val="en-US" w:eastAsia="zh-CN"/>
        </w:rPr>
        <w:t>等</w:t>
      </w:r>
      <w:r>
        <w:rPr>
          <w:rFonts w:hint="default" w:ascii="Times New Roman" w:hAnsi="Times New Roman" w:eastAsia="仿宋_GB2312" w:cs="Times New Roman"/>
          <w:color w:val="auto"/>
          <w:kern w:val="28"/>
          <w:sz w:val="32"/>
          <w:szCs w:val="32"/>
        </w:rPr>
        <w:t>相关</w:t>
      </w:r>
      <w:r>
        <w:rPr>
          <w:rFonts w:hint="default" w:ascii="Times New Roman" w:hAnsi="Times New Roman" w:eastAsia="仿宋_GB2312" w:cs="Times New Roman"/>
          <w:color w:val="auto"/>
          <w:kern w:val="28"/>
          <w:sz w:val="32"/>
          <w:szCs w:val="32"/>
          <w:lang w:val="en-US" w:eastAsia="zh-CN"/>
        </w:rPr>
        <w:t>法律法规</w:t>
      </w:r>
      <w:r>
        <w:rPr>
          <w:rFonts w:hint="default" w:ascii="Times New Roman" w:hAnsi="Times New Roman" w:eastAsia="仿宋_GB2312" w:cs="Times New Roman"/>
          <w:color w:val="auto"/>
          <w:kern w:val="28"/>
          <w:sz w:val="32"/>
          <w:szCs w:val="32"/>
        </w:rPr>
        <w:t>要求，为所配备的工作人员购买五险一金，保障工作人员在安全的环境中提供服务。</w:t>
      </w:r>
    </w:p>
    <w:p w14:paraId="6DEB3AD8">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6.</w:t>
      </w:r>
      <w:r>
        <w:rPr>
          <w:rFonts w:hint="default" w:ascii="Times New Roman" w:hAnsi="Times New Roman" w:eastAsia="仿宋_GB2312" w:cs="Times New Roman"/>
          <w:color w:val="auto"/>
          <w:kern w:val="28"/>
          <w:sz w:val="32"/>
          <w:szCs w:val="32"/>
        </w:rPr>
        <w:t>乙方应对项目专职工作人员实施绩效考核。</w:t>
      </w:r>
    </w:p>
    <w:p w14:paraId="20DBFB32">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8"/>
          <w:sz w:val="32"/>
          <w:szCs w:val="32"/>
          <w:lang w:val="en-US" w:eastAsia="zh-CN"/>
        </w:rPr>
        <w:t>7.</w:t>
      </w:r>
      <w:r>
        <w:rPr>
          <w:rFonts w:hint="default" w:ascii="Times New Roman" w:hAnsi="Times New Roman" w:eastAsia="仿宋_GB2312" w:cs="Times New Roman"/>
          <w:color w:val="auto"/>
          <w:kern w:val="28"/>
          <w:sz w:val="32"/>
          <w:szCs w:val="32"/>
          <w:lang w:eastAsia="zh-CN"/>
        </w:rPr>
        <w:t>乙方应对因履行本合同而获知的服务对象信息、项目信息等承担保密义务，未经甲方书面许可，不得向第三人透露。</w:t>
      </w:r>
    </w:p>
    <w:p w14:paraId="4F285A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五、项目验收</w:t>
      </w:r>
    </w:p>
    <w:p w14:paraId="036472B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color w:val="auto"/>
          <w:kern w:val="28"/>
          <w:sz w:val="32"/>
          <w:szCs w:val="32"/>
        </w:rPr>
        <w:t>乙方应于项目期结束前15天</w:t>
      </w:r>
      <w:r>
        <w:rPr>
          <w:rFonts w:hint="default" w:ascii="Times New Roman" w:hAnsi="Times New Roman" w:eastAsia="仿宋_GB2312" w:cs="Times New Roman"/>
          <w:color w:val="auto"/>
          <w:kern w:val="28"/>
          <w:sz w:val="32"/>
          <w:szCs w:val="32"/>
          <w:lang w:eastAsia="zh-CN"/>
        </w:rPr>
        <w:t>内向</w:t>
      </w:r>
      <w:r>
        <w:rPr>
          <w:rFonts w:hint="default" w:ascii="Times New Roman" w:hAnsi="Times New Roman" w:eastAsia="仿宋_GB2312" w:cs="Times New Roman"/>
          <w:color w:val="auto"/>
          <w:kern w:val="28"/>
          <w:sz w:val="32"/>
          <w:szCs w:val="32"/>
        </w:rPr>
        <w:t>甲方提交项目总结的书面报告，甲方按合同相关指标条款进行核实并验收。验收不合格的，乙方应按甲方要求进行整改，承担继续履行责任至验收合格。</w:t>
      </w:r>
    </w:p>
    <w:p w14:paraId="44EF16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六、违约责任</w:t>
      </w:r>
    </w:p>
    <w:p w14:paraId="051872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合同期内乙方与第三人之间产生的任何债权债务与甲方无关。</w:t>
      </w:r>
    </w:p>
    <w:p w14:paraId="56CF4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乙方未按照约定日期完成项目工作指标或未按本合同约定履行相关义务的，甲方有权解除合同，</w:t>
      </w:r>
      <w:r>
        <w:rPr>
          <w:rFonts w:hint="default" w:ascii="Times New Roman" w:hAnsi="Times New Roman" w:eastAsia="仿宋_GB2312" w:cs="Times New Roman"/>
          <w:color w:val="auto"/>
          <w:kern w:val="28"/>
          <w:sz w:val="32"/>
          <w:szCs w:val="32"/>
          <w:lang w:val="en-US" w:eastAsia="zh-CN"/>
        </w:rPr>
        <w:t>要求</w:t>
      </w:r>
      <w:r>
        <w:rPr>
          <w:rFonts w:hint="default" w:ascii="Times New Roman" w:hAnsi="Times New Roman" w:eastAsia="仿宋_GB2312" w:cs="Times New Roman"/>
          <w:color w:val="auto"/>
          <w:kern w:val="28"/>
          <w:sz w:val="32"/>
          <w:szCs w:val="32"/>
        </w:rPr>
        <w:t>乙方应按未完成部分指标的比例退回相应的项目经费，或在支付项目经费时按比例扣减相应费用（具体应退或扣减金额以甲方认定的数额为准）。造成甲方直接损失的，赔偿甲方所受到的直接损失（包括但不限于实际经济损失、律师费、诉讼费用等）。</w:t>
      </w:r>
    </w:p>
    <w:p w14:paraId="114653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任何一方违约造成的对方损失（包括但不限于实际</w:t>
      </w:r>
      <w:r>
        <w:rPr>
          <w:rFonts w:hint="default" w:ascii="Times New Roman" w:hAnsi="Times New Roman" w:eastAsia="仿宋_GB2312" w:cs="Times New Roman"/>
          <w:color w:val="auto"/>
          <w:kern w:val="28"/>
          <w:sz w:val="32"/>
          <w:szCs w:val="32"/>
          <w:lang w:eastAsia="zh-CN"/>
        </w:rPr>
        <w:t>经济损失</w:t>
      </w:r>
      <w:r>
        <w:rPr>
          <w:rFonts w:hint="default" w:ascii="Times New Roman" w:hAnsi="Times New Roman" w:eastAsia="仿宋_GB2312" w:cs="Times New Roman"/>
          <w:color w:val="auto"/>
          <w:kern w:val="28"/>
          <w:sz w:val="32"/>
          <w:szCs w:val="32"/>
        </w:rPr>
        <w:t>、律师费、诉讼费、诉讼保全费、交通费等因维权所产生的</w:t>
      </w:r>
      <w:r>
        <w:rPr>
          <w:rFonts w:hint="default" w:ascii="Times New Roman" w:hAnsi="Times New Roman" w:eastAsia="仿宋_GB2312" w:cs="Times New Roman"/>
          <w:color w:val="auto"/>
          <w:kern w:val="28"/>
          <w:sz w:val="32"/>
          <w:szCs w:val="32"/>
          <w:lang w:val="en-US" w:eastAsia="zh-CN"/>
        </w:rPr>
        <w:t>全部</w:t>
      </w:r>
      <w:r>
        <w:rPr>
          <w:rFonts w:hint="default" w:ascii="Times New Roman" w:hAnsi="Times New Roman" w:eastAsia="仿宋_GB2312" w:cs="Times New Roman"/>
          <w:color w:val="auto"/>
          <w:kern w:val="28"/>
          <w:sz w:val="32"/>
          <w:szCs w:val="32"/>
        </w:rPr>
        <w:t>费用），由违约方向守约方赔偿损失。</w:t>
      </w:r>
    </w:p>
    <w:p w14:paraId="2FE0767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乙方应对因履行本合同而获知的服务对象信息、项目信息等进行保密，未经甲方书面同意，不得直接或间接以告知、公布、发布或者其他任何方式向第三方泄露，或将其使用于其他项目。否则，应赔偿因泄密而给甲方造成的一切损失并承担相应的法律责任。</w:t>
      </w:r>
    </w:p>
    <w:p w14:paraId="231B6C7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color w:val="auto"/>
          <w:kern w:val="28"/>
          <w:sz w:val="32"/>
          <w:szCs w:val="32"/>
          <w:lang w:eastAsia="zh-CN"/>
        </w:rPr>
        <w:t>5.</w:t>
      </w:r>
      <w:r>
        <w:rPr>
          <w:rFonts w:hint="default" w:ascii="Times New Roman" w:hAnsi="Times New Roman" w:eastAsia="仿宋_GB2312" w:cs="Times New Roman"/>
          <w:color w:val="auto"/>
          <w:kern w:val="28"/>
          <w:sz w:val="32"/>
          <w:szCs w:val="32"/>
        </w:rPr>
        <w:t>乙方应在</w:t>
      </w:r>
      <w:r>
        <w:rPr>
          <w:rFonts w:hint="default" w:ascii="Times New Roman" w:hAnsi="Times New Roman" w:eastAsia="仿宋_GB2312" w:cs="Times New Roman"/>
          <w:color w:val="auto"/>
          <w:kern w:val="28"/>
          <w:sz w:val="32"/>
          <w:szCs w:val="32"/>
          <w:lang w:val="en-US" w:eastAsia="zh-CN"/>
        </w:rPr>
        <w:t>本</w:t>
      </w:r>
      <w:r>
        <w:rPr>
          <w:rFonts w:hint="default" w:ascii="Times New Roman" w:hAnsi="Times New Roman" w:eastAsia="仿宋_GB2312" w:cs="Times New Roman"/>
          <w:color w:val="auto"/>
          <w:kern w:val="28"/>
          <w:sz w:val="32"/>
          <w:szCs w:val="32"/>
        </w:rPr>
        <w:t>合同所规定的工作范围</w:t>
      </w:r>
      <w:r>
        <w:rPr>
          <w:rFonts w:hint="default" w:ascii="Times New Roman" w:hAnsi="Times New Roman" w:eastAsia="仿宋_GB2312" w:cs="Times New Roman"/>
          <w:color w:val="auto"/>
          <w:kern w:val="28"/>
          <w:sz w:val="32"/>
          <w:szCs w:val="32"/>
          <w:lang w:val="en-US" w:eastAsia="zh-CN"/>
        </w:rPr>
        <w:t>内</w:t>
      </w:r>
      <w:r>
        <w:rPr>
          <w:rFonts w:hint="default" w:ascii="Times New Roman" w:hAnsi="Times New Roman" w:eastAsia="仿宋_GB2312" w:cs="Times New Roman"/>
          <w:color w:val="auto"/>
          <w:kern w:val="28"/>
          <w:sz w:val="32"/>
          <w:szCs w:val="32"/>
        </w:rPr>
        <w:t>服从甲方合理安排</w:t>
      </w:r>
      <w:r>
        <w:rPr>
          <w:rFonts w:hint="default" w:ascii="Times New Roman" w:hAnsi="Times New Roman" w:eastAsia="仿宋_GB2312" w:cs="Times New Roman"/>
          <w:color w:val="auto"/>
          <w:kern w:val="28"/>
          <w:sz w:val="32"/>
          <w:szCs w:val="32"/>
          <w:lang w:val="en-US" w:eastAsia="zh-CN"/>
        </w:rPr>
        <w:t>及</w:t>
      </w:r>
      <w:r>
        <w:rPr>
          <w:rFonts w:hint="default" w:ascii="Times New Roman" w:hAnsi="Times New Roman" w:eastAsia="仿宋_GB2312" w:cs="Times New Roman"/>
          <w:color w:val="auto"/>
          <w:kern w:val="28"/>
          <w:sz w:val="32"/>
          <w:szCs w:val="32"/>
        </w:rPr>
        <w:t>要求，乙方项目人员出现不服从或不胜任情况并警告</w:t>
      </w:r>
      <w:r>
        <w:rPr>
          <w:rFonts w:hint="default" w:ascii="Times New Roman" w:hAnsi="Times New Roman" w:eastAsia="仿宋_GB2312" w:cs="Times New Roman"/>
          <w:color w:val="auto"/>
          <w:kern w:val="28"/>
          <w:sz w:val="32"/>
          <w:szCs w:val="32"/>
          <w:lang w:eastAsia="zh-CN"/>
        </w:rPr>
        <w:t>两次</w:t>
      </w:r>
      <w:r>
        <w:rPr>
          <w:rFonts w:hint="default" w:ascii="Times New Roman" w:hAnsi="Times New Roman" w:eastAsia="仿宋_GB2312" w:cs="Times New Roman"/>
          <w:color w:val="auto"/>
          <w:kern w:val="28"/>
          <w:sz w:val="32"/>
          <w:szCs w:val="32"/>
        </w:rPr>
        <w:t>以上者，甲方有权要求乙方重新安排合适人选替换该项目人员。</w:t>
      </w:r>
    </w:p>
    <w:p w14:paraId="0BE021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七、其他事项</w:t>
      </w:r>
    </w:p>
    <w:p w14:paraId="3138A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未尽事宜，由双方根据相关法律法规及有关规定协商后签订补充协议。</w:t>
      </w:r>
    </w:p>
    <w:p w14:paraId="083ACC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本合同所致争议或纠纷</w:t>
      </w:r>
      <w:r>
        <w:rPr>
          <w:rFonts w:hint="default" w:ascii="Times New Roman" w:hAnsi="Times New Roman" w:eastAsia="仿宋_GB2312" w:cs="Times New Roman"/>
          <w:color w:val="auto"/>
          <w:kern w:val="28"/>
          <w:sz w:val="32"/>
          <w:szCs w:val="32"/>
          <w:lang w:eastAsia="zh-CN"/>
        </w:rPr>
        <w:t>，</w:t>
      </w:r>
      <w:r>
        <w:rPr>
          <w:rFonts w:hint="default" w:ascii="Times New Roman" w:hAnsi="Times New Roman" w:eastAsia="仿宋_GB2312" w:cs="Times New Roman"/>
          <w:color w:val="auto"/>
          <w:kern w:val="28"/>
          <w:sz w:val="32"/>
          <w:szCs w:val="32"/>
        </w:rPr>
        <w:t>双方可友好协商解决，如协商不成，任何一方可向甲方住所地有管辖权的人民法院起诉。</w:t>
      </w:r>
    </w:p>
    <w:p w14:paraId="3A87CC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一式</w:t>
      </w:r>
      <w:r>
        <w:rPr>
          <w:rFonts w:hint="default" w:ascii="Times New Roman" w:hAnsi="Times New Roman" w:eastAsia="仿宋_GB2312" w:cs="Times New Roman"/>
          <w:color w:val="auto"/>
          <w:kern w:val="28"/>
          <w:sz w:val="32"/>
          <w:szCs w:val="32"/>
          <w:lang w:eastAsia="zh-CN"/>
        </w:rPr>
        <w:t>四份</w:t>
      </w:r>
      <w:r>
        <w:rPr>
          <w:rFonts w:hint="default" w:ascii="Times New Roman" w:hAnsi="Times New Roman" w:eastAsia="仿宋_GB2312" w:cs="Times New Roman"/>
          <w:color w:val="auto"/>
          <w:kern w:val="28"/>
          <w:sz w:val="32"/>
          <w:szCs w:val="32"/>
        </w:rPr>
        <w:t>，甲乙双方各执两份，</w:t>
      </w:r>
      <w:r>
        <w:rPr>
          <w:rFonts w:hint="default" w:ascii="Times New Roman" w:hAnsi="Times New Roman" w:eastAsia="仿宋_GB2312" w:cs="Times New Roman"/>
          <w:color w:val="auto"/>
          <w:kern w:val="28"/>
          <w:sz w:val="32"/>
          <w:szCs w:val="32"/>
          <w:lang w:val="en-US" w:eastAsia="zh-Hans"/>
        </w:rPr>
        <w:t>均具有同等法律效力</w:t>
      </w:r>
      <w:r>
        <w:rPr>
          <w:rFonts w:hint="default" w:ascii="Times New Roman" w:hAnsi="Times New Roman" w:eastAsia="仿宋_GB2312" w:cs="Times New Roman"/>
          <w:color w:val="auto"/>
          <w:kern w:val="28"/>
          <w:sz w:val="32"/>
          <w:szCs w:val="32"/>
        </w:rPr>
        <w:t>。</w:t>
      </w:r>
    </w:p>
    <w:p w14:paraId="5D3AFD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经双方签字盖章后生效。</w:t>
      </w:r>
    </w:p>
    <w:p w14:paraId="525B7169">
      <w:pPr>
        <w:pStyle w:val="2"/>
        <w:rPr>
          <w:rFonts w:hint="default" w:ascii="Times New Roman" w:hAnsi="Times New Roman" w:eastAsia="宋体" w:cs="Times New Roman"/>
          <w:b/>
          <w:color w:val="auto"/>
          <w:spacing w:val="-20"/>
          <w:kern w:val="0"/>
          <w:sz w:val="28"/>
          <w:szCs w:val="28"/>
          <w:lang w:val="en-US" w:eastAsia="zh-CN"/>
        </w:rPr>
      </w:pPr>
    </w:p>
    <w:p w14:paraId="499BD542">
      <w:pPr>
        <w:rPr>
          <w:rFonts w:hint="default" w:ascii="Times New Roman" w:hAnsi="Times New Roman" w:cs="Times New Roman"/>
          <w:color w:val="auto"/>
          <w:lang w:val="en-US" w:eastAsia="zh-CN"/>
        </w:rPr>
      </w:pPr>
    </w:p>
    <w:p w14:paraId="519755DB">
      <w:pPr>
        <w:keepNext w:val="0"/>
        <w:keepLines w:val="0"/>
        <w:pageBreakBefore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cs="Times New Roman"/>
          <w:b/>
          <w:color w:val="auto"/>
          <w:spacing w:val="-20"/>
          <w:kern w:val="0"/>
          <w:sz w:val="28"/>
          <w:szCs w:val="28"/>
        </w:rPr>
      </w:pPr>
    </w:p>
    <w:p w14:paraId="7130F3C9">
      <w:pPr>
        <w:keepNext w:val="0"/>
        <w:keepLines w:val="0"/>
        <w:pageBreakBefore w:val="0"/>
        <w:widowControl w:val="0"/>
        <w:kinsoku/>
        <w:wordWrap/>
        <w:overflowPunct/>
        <w:topLinePunct w:val="0"/>
        <w:autoSpaceDE/>
        <w:autoSpaceDN/>
        <w:bidi w:val="0"/>
        <w:adjustRightInd/>
        <w:snapToGrid/>
        <w:spacing w:after="313" w:afterLines="100" w:line="720" w:lineRule="auto"/>
        <w:ind w:firstLine="0" w:firstLineChars="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pacing w:val="-20"/>
          <w:kern w:val="0"/>
          <w:sz w:val="28"/>
          <w:szCs w:val="28"/>
        </w:rPr>
        <w:t xml:space="preserve">甲方（盖章）：                                 </w:t>
      </w:r>
      <w:r>
        <w:rPr>
          <w:rFonts w:hint="eastAsia" w:ascii="黑体" w:hAnsi="黑体" w:eastAsia="黑体" w:cs="黑体"/>
          <w:b w:val="0"/>
          <w:bCs/>
          <w:color w:val="auto"/>
          <w:sz w:val="28"/>
          <w:szCs w:val="28"/>
        </w:rPr>
        <w:t>乙方（盖章）：</w:t>
      </w:r>
    </w:p>
    <w:p w14:paraId="4747DD6E">
      <w:pPr>
        <w:keepNext w:val="0"/>
        <w:keepLines w:val="0"/>
        <w:pageBreakBefore w:val="0"/>
        <w:widowControl w:val="0"/>
        <w:kinsoku/>
        <w:wordWrap/>
        <w:overflowPunct/>
        <w:topLinePunct w:val="0"/>
        <w:autoSpaceDE/>
        <w:autoSpaceDN/>
        <w:bidi w:val="0"/>
        <w:adjustRightInd/>
        <w:snapToGrid/>
        <w:spacing w:after="313" w:afterLines="100" w:line="720" w:lineRule="auto"/>
        <w:ind w:firstLine="0" w:firstLineChars="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kern w:val="0"/>
          <w:sz w:val="28"/>
          <w:szCs w:val="28"/>
        </w:rPr>
        <w:t xml:space="preserve">法定代表人/签约代表：               </w:t>
      </w:r>
      <w:r>
        <w:rPr>
          <w:rFonts w:hint="eastAsia" w:ascii="黑体" w:hAnsi="黑体" w:eastAsia="黑体" w:cs="黑体"/>
          <w:b w:val="0"/>
          <w:bCs/>
          <w:color w:val="auto"/>
          <w:sz w:val="28"/>
          <w:szCs w:val="28"/>
        </w:rPr>
        <w:t>法定代表人/签约代表：</w:t>
      </w:r>
    </w:p>
    <w:p w14:paraId="0DFAAB55">
      <w:pPr>
        <w:pStyle w:val="2"/>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color w:val="auto"/>
          <w:sz w:val="32"/>
          <w:szCs w:val="32"/>
          <w:lang w:val="en-US" w:eastAsia="zh-CN"/>
        </w:rPr>
      </w:pPr>
      <w:r>
        <w:rPr>
          <w:rFonts w:hint="eastAsia" w:ascii="黑体" w:hAnsi="黑体" w:eastAsia="黑体" w:cs="黑体"/>
          <w:b w:val="0"/>
          <w:bCs/>
          <w:color w:val="auto"/>
          <w:kern w:val="0"/>
          <w:sz w:val="28"/>
          <w:szCs w:val="28"/>
        </w:rPr>
        <w:t xml:space="preserve">签订日期：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年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月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日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签订日期：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年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月  日</w:t>
      </w:r>
    </w:p>
    <w:p w14:paraId="412E8DA5"/>
    <w:sectPr>
      <w:pgSz w:w="11906" w:h="16838"/>
      <w:pgMar w:top="1440" w:right="1800" w:bottom="1440" w:left="180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1902D"/>
    <w:multiLevelType w:val="singleLevel"/>
    <w:tmpl w:val="BE91902D"/>
    <w:lvl w:ilvl="0" w:tentative="0">
      <w:start w:val="1"/>
      <w:numFmt w:val="chineseCounting"/>
      <w:suff w:val="nothing"/>
      <w:lvlText w:val="（%1）"/>
      <w:lvlJc w:val="left"/>
      <w:pPr>
        <w:ind w:left="0" w:firstLine="1134"/>
      </w:pPr>
      <w:rPr>
        <w:rFonts w:hint="eastAsia" w:ascii="楷体_GB2312" w:hAnsi="楷体_GB2312" w:eastAsia="楷体_GB2312" w:cs="楷体_GB2312"/>
        <w:b w:val="0"/>
        <w:bCs w:val="0"/>
        <w:sz w:val="32"/>
        <w:szCs w:val="32"/>
      </w:rPr>
    </w:lvl>
  </w:abstractNum>
  <w:abstractNum w:abstractNumId="1">
    <w:nsid w:val="4980AE8D"/>
    <w:multiLevelType w:val="singleLevel"/>
    <w:tmpl w:val="4980AE8D"/>
    <w:lvl w:ilvl="0" w:tentative="0">
      <w:start w:val="1"/>
      <w:numFmt w:val="chineseCounting"/>
      <w:suff w:val="nothing"/>
      <w:lvlText w:val="（%1）"/>
      <w:lvlJc w:val="left"/>
      <w:pPr>
        <w:ind w:left="0" w:firstLine="113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97B8B"/>
    <w:rsid w:val="2211284D"/>
    <w:rsid w:val="2F566A12"/>
    <w:rsid w:val="58262368"/>
    <w:rsid w:val="6BC4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2026-03-17T09:20:00Z</dcterms:created>
  <dc:creator>Administrator</dc:creator>
  <cp:lastModifiedBy>余薇</cp:lastModifiedBy>
  <cp:lastPrinted>2026-04-02T06:56:00Z</cp:lastPrinted>
  <dcterms:modified xsi:type="dcterms:W3CDTF">2026-04-07T08:31:49Z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eyJoZGlkIjoiY2Q5ZWY2NDNhZTg2Yzg4ZDY1NzczMDQ3NjhhNzgyMjciLCJ1c2VySWQiOiIxNDIxNTQ4NDY5In0=</vt:lpwstr>
  </property>
  <property fmtid="{D5CDD505-2E9C-101B-9397-08002B2CF9AE}" pid="4" name="ICV">
    <vt:lpwstr>2570693D6B884898B7333779080FA04C_12</vt:lpwstr>
  </property>
</Properties>
</file>