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0"/>
          <w:numId w:val="0"/>
        </w:numPr>
        <w:kinsoku/>
        <w:wordWrap/>
        <w:topLinePunct w:val="0"/>
        <w:bidi w:val="0"/>
        <w:adjustRightInd/>
        <w:snapToGrid/>
        <w:spacing w:after="0" w:afterLines="0" w:line="240" w:lineRule="auto"/>
        <w:ind w:left="0" w:leftChars="0" w:right="0" w:rightChars="0"/>
        <w:jc w:val="both"/>
        <w:textAlignment w:val="auto"/>
        <w:outlineLvl w:val="9"/>
        <w:rPr>
          <w:rFonts w:hint="default" w:ascii="Times New Roman" w:hAnsi="Times New Roman" w:eastAsia="黑体" w:cs="Times New Roman"/>
          <w:snapToGrid w:val="0"/>
          <w:color w:val="000000"/>
          <w:spacing w:val="6"/>
          <w:kern w:val="32"/>
          <w:sz w:val="32"/>
          <w:lang w:val="en-US" w:eastAsia="zh-CN"/>
        </w:rPr>
      </w:pPr>
      <w:r>
        <w:rPr>
          <w:rFonts w:hint="default" w:ascii="Times New Roman" w:hAnsi="Times New Roman" w:eastAsia="黑体" w:cs="Times New Roman"/>
          <w:snapToGrid w:val="0"/>
          <w:color w:val="000000"/>
          <w:spacing w:val="6"/>
          <w:kern w:val="32"/>
          <w:sz w:val="32"/>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微软简标宋" w:cs="Times New Roman"/>
          <w:color w:val="000000"/>
          <w:sz w:val="44"/>
          <w:szCs w:val="44"/>
          <w:lang w:val="en-US" w:eastAsia="zh-CN" w:bidi="ar-SA"/>
        </w:rPr>
      </w:pPr>
      <w:r>
        <w:rPr>
          <w:rFonts w:hint="default" w:ascii="Times New Roman" w:hAnsi="Times New Roman" w:eastAsia="微软简标宋" w:cs="Times New Roman"/>
          <w:color w:val="000000"/>
          <w:sz w:val="44"/>
          <w:szCs w:val="44"/>
          <w:lang w:val="en-US" w:eastAsia="zh-CN" w:bidi="ar-SA"/>
        </w:rPr>
        <w:t>中山市自然资源局202</w:t>
      </w:r>
      <w:r>
        <w:rPr>
          <w:rFonts w:hint="eastAsia" w:ascii="Times New Roman" w:hAnsi="Times New Roman" w:eastAsia="微软简标宋" w:cs="Times New Roman"/>
          <w:color w:val="000000"/>
          <w:sz w:val="44"/>
          <w:szCs w:val="44"/>
          <w:lang w:val="en-US" w:eastAsia="zh-CN" w:bidi="ar-SA"/>
        </w:rPr>
        <w:t>5</w:t>
      </w:r>
      <w:r>
        <w:rPr>
          <w:rFonts w:hint="default" w:ascii="Times New Roman" w:hAnsi="Times New Roman" w:eastAsia="微软简标宋" w:cs="Times New Roman"/>
          <w:color w:val="000000"/>
          <w:sz w:val="44"/>
          <w:szCs w:val="44"/>
          <w:lang w:val="en-US" w:eastAsia="zh-CN" w:bidi="ar-SA"/>
        </w:rPr>
        <w:t>年行政许可实施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微软简标宋" w:cs="Times New Roman"/>
          <w:color w:val="000000"/>
          <w:sz w:val="44"/>
          <w:szCs w:val="44"/>
          <w:lang w:val="en-US" w:eastAsia="zh-CN" w:bidi="ar-SA"/>
        </w:rPr>
      </w:pPr>
      <w:r>
        <w:rPr>
          <w:rFonts w:hint="default" w:ascii="Times New Roman" w:hAnsi="Times New Roman" w:eastAsia="微软简标宋" w:cs="Times New Roman"/>
          <w:color w:val="000000"/>
          <w:sz w:val="44"/>
          <w:szCs w:val="44"/>
          <w:lang w:val="en-US" w:eastAsia="zh-CN" w:bidi="ar-SA"/>
        </w:rPr>
        <w:t>和监督管理情况报告</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textAlignment w:val="auto"/>
        <w:rPr>
          <w:rFonts w:hint="default" w:ascii="Times New Roman" w:hAnsi="Times New Roman" w:cs="Times New Roman"/>
          <w:lang w:val="en-US" w:eastAsia="zh-CN"/>
        </w:rPr>
      </w:pPr>
    </w:p>
    <w:p>
      <w:pPr>
        <w:keepNext w:val="0"/>
        <w:keepLines w:val="0"/>
        <w:pageBreakBefore w:val="0"/>
        <w:widowControl w:val="0"/>
        <w:kinsoku/>
        <w:wordWrap/>
        <w:overflowPunct w:val="0"/>
        <w:topLinePunct w:val="0"/>
        <w:autoSpaceDE w:val="0"/>
        <w:autoSpaceDN w:val="0"/>
        <w:bidi w:val="0"/>
        <w:adjustRightInd/>
        <w:snapToGrid/>
        <w:spacing w:line="240" w:lineRule="auto"/>
        <w:ind w:left="0" w:leftChars="0" w:right="0" w:rightChars="0"/>
        <w:textAlignment w:val="auto"/>
        <w:rPr>
          <w:rFonts w:hint="default" w:ascii="Times New Roman" w:hAnsi="Times New Roman" w:eastAsia="仿宋_GB2312" w:cs="Times New Roman"/>
          <w:snapToGrid w:val="0"/>
          <w:color w:val="000000"/>
          <w:spacing w:val="6"/>
          <w:kern w:val="32"/>
          <w:sz w:val="32"/>
          <w:szCs w:val="22"/>
          <w:lang w:val="en-US" w:eastAsia="zh-CN" w:bidi="ar-SA"/>
        </w:rPr>
      </w:pPr>
      <w:r>
        <w:rPr>
          <w:rFonts w:hint="default" w:ascii="Times New Roman" w:hAnsi="Times New Roman" w:eastAsia="仿宋_GB2312" w:cs="Times New Roman"/>
          <w:snapToGrid w:val="0"/>
          <w:color w:val="000000"/>
          <w:spacing w:val="6"/>
          <w:kern w:val="32"/>
          <w:sz w:val="32"/>
          <w:szCs w:val="22"/>
          <w:lang w:val="en-US" w:eastAsia="zh-CN" w:bidi="ar-SA"/>
        </w:rPr>
        <w:t>市政府：</w:t>
      </w:r>
    </w:p>
    <w:p>
      <w:pPr>
        <w:keepNext w:val="0"/>
        <w:keepLines w:val="0"/>
        <w:pageBreakBefore w:val="0"/>
        <w:widowControl w:val="0"/>
        <w:kinsoku/>
        <w:wordWrap/>
        <w:overflowPunct w:val="0"/>
        <w:topLinePunct w:val="0"/>
        <w:autoSpaceDE w:val="0"/>
        <w:autoSpaceDN w:val="0"/>
        <w:bidi w:val="0"/>
        <w:adjustRightInd/>
        <w:snapToGrid/>
        <w:spacing w:line="240" w:lineRule="auto"/>
        <w:ind w:left="0" w:leftChars="0" w:right="0" w:rightChars="0" w:firstLine="664" w:firstLineChars="200"/>
        <w:textAlignment w:val="auto"/>
        <w:rPr>
          <w:rFonts w:hint="default" w:ascii="Times New Roman" w:hAnsi="Times New Roman" w:eastAsia="仿宋_GB2312" w:cs="Times New Roman"/>
          <w:snapToGrid w:val="0"/>
          <w:color w:val="000000"/>
          <w:spacing w:val="6"/>
          <w:kern w:val="32"/>
          <w:sz w:val="32"/>
          <w:szCs w:val="22"/>
          <w:lang w:val="en-US" w:eastAsia="zh-CN" w:bidi="ar-SA"/>
        </w:rPr>
      </w:pPr>
      <w:r>
        <w:rPr>
          <w:rFonts w:hint="default" w:ascii="Times New Roman" w:hAnsi="Times New Roman" w:eastAsia="仿宋_GB2312" w:cs="Times New Roman"/>
          <w:snapToGrid w:val="0"/>
          <w:color w:val="000000"/>
          <w:spacing w:val="6"/>
          <w:kern w:val="32"/>
          <w:sz w:val="32"/>
          <w:szCs w:val="22"/>
          <w:lang w:val="en-US" w:eastAsia="zh-CN" w:bidi="ar-SA"/>
        </w:rPr>
        <w:t>根据《关于开展行政许可实施和监督管理情况年度报告工作的通知》要求，现将我局202</w:t>
      </w:r>
      <w:r>
        <w:rPr>
          <w:rFonts w:hint="eastAsia" w:ascii="Times New Roman" w:hAnsi="Times New Roman" w:eastAsia="仿宋_GB2312" w:cs="Times New Roman"/>
          <w:snapToGrid w:val="0"/>
          <w:color w:val="000000"/>
          <w:spacing w:val="6"/>
          <w:kern w:val="32"/>
          <w:sz w:val="32"/>
          <w:szCs w:val="22"/>
          <w:lang w:val="en-US" w:eastAsia="zh-CN" w:bidi="ar-SA"/>
        </w:rPr>
        <w:t>5</w:t>
      </w:r>
      <w:r>
        <w:rPr>
          <w:rFonts w:hint="default" w:ascii="Times New Roman" w:hAnsi="Times New Roman" w:eastAsia="仿宋_GB2312" w:cs="Times New Roman"/>
          <w:snapToGrid w:val="0"/>
          <w:color w:val="000000"/>
          <w:spacing w:val="6"/>
          <w:kern w:val="32"/>
          <w:sz w:val="32"/>
          <w:szCs w:val="22"/>
          <w:lang w:val="en-US" w:eastAsia="zh-CN" w:bidi="ar-SA"/>
        </w:rPr>
        <w:t>年行政许可实施和监督管理情况报告如下：</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黑体" w:cs="Times New Roman"/>
          <w:snapToGrid w:val="0"/>
          <w:color w:val="000000"/>
          <w:spacing w:val="6"/>
          <w:kern w:val="32"/>
          <w:sz w:val="32"/>
          <w:lang w:val="en-US" w:eastAsia="zh-CN"/>
        </w:rPr>
      </w:pPr>
      <w:r>
        <w:rPr>
          <w:rFonts w:hint="default" w:ascii="Times New Roman" w:hAnsi="Times New Roman" w:eastAsia="黑体" w:cs="Times New Roman"/>
          <w:snapToGrid w:val="0"/>
          <w:color w:val="000000"/>
          <w:spacing w:val="6"/>
          <w:kern w:val="32"/>
          <w:sz w:val="32"/>
          <w:lang w:val="en-US" w:eastAsia="zh-CN"/>
        </w:rPr>
        <w:t>一、基本情况</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lang w:val="en-US" w:eastAsia="zh-CN"/>
        </w:rPr>
        <w:t>（一）现有事项及办理情况。</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自然资源</w:t>
      </w:r>
      <w:r>
        <w:rPr>
          <w:rFonts w:hint="eastAsia"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lang w:val="en-US" w:eastAsia="zh-CN"/>
        </w:rPr>
        <w:t>行政许可事项共</w:t>
      </w:r>
      <w:r>
        <w:rPr>
          <w:rFonts w:hint="eastAsia" w:ascii="Times New Roman" w:hAnsi="Times New Roman" w:eastAsia="仿宋_GB2312" w:cs="Times New Roman"/>
          <w:sz w:val="32"/>
          <w:szCs w:val="32"/>
          <w:lang w:val="en-US" w:eastAsia="zh-CN"/>
        </w:rPr>
        <w:t>81</w:t>
      </w:r>
      <w:r>
        <w:rPr>
          <w:rFonts w:hint="default" w:ascii="Times New Roman" w:hAnsi="Times New Roman" w:eastAsia="仿宋_GB2312" w:cs="Times New Roman"/>
          <w:sz w:val="32"/>
          <w:szCs w:val="32"/>
          <w:lang w:val="en-US" w:eastAsia="zh-CN"/>
        </w:rPr>
        <w:t>项，均已进驻省政务服务网，</w:t>
      </w:r>
      <w:r>
        <w:rPr>
          <w:rFonts w:hint="eastAsia" w:ascii="Times New Roman" w:hAnsi="Times New Roman" w:eastAsia="仿宋_GB2312" w:cs="Times New Roman"/>
          <w:sz w:val="32"/>
          <w:szCs w:val="32"/>
          <w:lang w:val="en-US" w:eastAsia="zh-CN"/>
        </w:rPr>
        <w:t>2025年转移行政许可事项3项：建设工程规划类许可证变更（建筑类）、建设工程规划类许可证变更（市政类）、其他建设用地改变土地用途为工业用地（不含M0），取消行政许可事项3项：草种进出口审批、森林公园设立审批、国家二级保护野生动物特许猎捕证核发</w:t>
      </w:r>
      <w:r>
        <w:rPr>
          <w:rFonts w:hint="default" w:ascii="Times New Roman" w:hAnsi="Times New Roman" w:eastAsia="仿宋_GB2312" w:cs="Times New Roman"/>
          <w:color w:val="auto"/>
          <w:sz w:val="32"/>
          <w:szCs w:val="32"/>
          <w:highlight w:val="none"/>
        </w:rPr>
        <w:t>，全年</w:t>
      </w:r>
      <w:r>
        <w:rPr>
          <w:rFonts w:hint="eastAsia" w:ascii="Times New Roman" w:hAnsi="Times New Roman" w:eastAsia="仿宋_GB2312" w:cs="Times New Roman"/>
          <w:color w:val="auto"/>
          <w:sz w:val="32"/>
          <w:szCs w:val="32"/>
          <w:highlight w:val="none"/>
          <w:lang w:eastAsia="zh-CN"/>
        </w:rPr>
        <w:t>行政许可审批的申请共</w:t>
      </w:r>
      <w:r>
        <w:rPr>
          <w:rFonts w:hint="eastAsia" w:ascii="Times New Roman" w:hAnsi="Times New Roman" w:eastAsia="仿宋_GB2312" w:cs="Times New Roman"/>
          <w:color w:val="auto"/>
          <w:sz w:val="32"/>
          <w:szCs w:val="32"/>
          <w:highlight w:val="none"/>
          <w:lang w:val="en-US" w:eastAsia="zh-CN"/>
        </w:rPr>
        <w:t>9742件、</w:t>
      </w:r>
      <w:r>
        <w:rPr>
          <w:rFonts w:hint="default" w:ascii="Times New Roman" w:hAnsi="Times New Roman" w:eastAsia="仿宋_GB2312" w:cs="Times New Roman"/>
          <w:color w:val="auto"/>
          <w:sz w:val="32"/>
          <w:szCs w:val="32"/>
          <w:highlight w:val="none"/>
        </w:rPr>
        <w:t>受理</w:t>
      </w:r>
      <w:r>
        <w:rPr>
          <w:rFonts w:hint="eastAsia" w:ascii="Times New Roman" w:hAnsi="Times New Roman" w:eastAsia="仿宋_GB2312" w:cs="Times New Roman"/>
          <w:color w:val="auto"/>
          <w:sz w:val="32"/>
          <w:szCs w:val="32"/>
          <w:highlight w:val="none"/>
          <w:lang w:eastAsia="zh-CN"/>
        </w:rPr>
        <w:t>共</w:t>
      </w:r>
      <w:r>
        <w:rPr>
          <w:rFonts w:hint="eastAsia" w:ascii="Times New Roman" w:hAnsi="Times New Roman" w:eastAsia="仿宋_GB2312" w:cs="Times New Roman"/>
          <w:color w:val="auto"/>
          <w:sz w:val="32"/>
          <w:szCs w:val="32"/>
          <w:highlight w:val="none"/>
          <w:lang w:val="en-US" w:eastAsia="zh-CN"/>
        </w:rPr>
        <w:t>9289</w:t>
      </w:r>
      <w:r>
        <w:rPr>
          <w:rFonts w:hint="default" w:ascii="Times New Roman" w:hAnsi="Times New Roman" w:eastAsia="仿宋_GB2312" w:cs="Times New Roman"/>
          <w:color w:val="auto"/>
          <w:sz w:val="32"/>
          <w:szCs w:val="32"/>
          <w:highlight w:val="none"/>
        </w:rPr>
        <w:t>件、按时办结</w:t>
      </w:r>
      <w:r>
        <w:rPr>
          <w:rFonts w:hint="eastAsia" w:ascii="Times New Roman" w:hAnsi="Times New Roman" w:eastAsia="仿宋_GB2312" w:cs="Times New Roman"/>
          <w:color w:val="auto"/>
          <w:sz w:val="32"/>
          <w:szCs w:val="32"/>
          <w:highlight w:val="none"/>
          <w:lang w:eastAsia="zh-CN"/>
        </w:rPr>
        <w:t>共</w:t>
      </w:r>
      <w:r>
        <w:rPr>
          <w:rFonts w:hint="eastAsia" w:ascii="Times New Roman" w:hAnsi="Times New Roman" w:eastAsia="仿宋_GB2312" w:cs="Times New Roman"/>
          <w:color w:val="auto"/>
          <w:sz w:val="32"/>
          <w:szCs w:val="32"/>
          <w:highlight w:val="none"/>
          <w:lang w:val="en-US" w:eastAsia="zh-CN"/>
        </w:rPr>
        <w:t>9289</w:t>
      </w:r>
      <w:r>
        <w:rPr>
          <w:rFonts w:hint="default" w:ascii="Times New Roman" w:hAnsi="Times New Roman" w:eastAsia="仿宋_GB2312" w:cs="Times New Roman"/>
          <w:color w:val="auto"/>
          <w:sz w:val="32"/>
          <w:szCs w:val="32"/>
          <w:highlight w:val="none"/>
        </w:rPr>
        <w:t>件，按时办结率为</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仿宋_GB2312" w:hAnsi="仿宋_GB2312" w:eastAsia="仿宋_GB2312" w:cs="仿宋_GB2312"/>
          <w:sz w:val="32"/>
          <w:szCs w:val="32"/>
          <w:lang w:val="en-US" w:eastAsia="zh-CN"/>
        </w:rPr>
        <w:t>未受理数量为</w:t>
      </w:r>
      <w:r>
        <w:rPr>
          <w:rFonts w:hint="eastAsia" w:ascii="Times New Roman" w:hAnsi="Times New Roman" w:eastAsia="仿宋_GB2312" w:cs="Times New Roman"/>
          <w:color w:val="auto"/>
          <w:sz w:val="32"/>
          <w:szCs w:val="32"/>
          <w:highlight w:val="none"/>
          <w:lang w:val="en-US" w:eastAsia="zh-CN"/>
        </w:rPr>
        <w:t>453</w:t>
      </w:r>
      <w:r>
        <w:rPr>
          <w:rFonts w:hint="eastAsia" w:ascii="仿宋_GB2312" w:hAnsi="仿宋_GB2312" w:eastAsia="仿宋_GB2312" w:cs="仿宋_GB2312"/>
          <w:color w:val="auto"/>
          <w:sz w:val="32"/>
          <w:szCs w:val="32"/>
          <w:lang w:val="en-US" w:eastAsia="zh-CN"/>
        </w:rPr>
        <w:t>件</w:t>
      </w:r>
      <w:r>
        <w:rPr>
          <w:rFonts w:hint="eastAsia" w:ascii="仿宋_GB2312" w:hAnsi="仿宋_GB2312" w:eastAsia="仿宋_GB2312" w:cs="仿宋_GB2312"/>
          <w:sz w:val="32"/>
          <w:szCs w:val="32"/>
          <w:lang w:val="en-US" w:eastAsia="zh-CN"/>
        </w:rPr>
        <w:t>，未受理的主要原因</w:t>
      </w:r>
      <w:r>
        <w:rPr>
          <w:rFonts w:hint="eastAsia" w:ascii="仿宋_GB2312" w:hAnsi="仿宋_GB2312" w:eastAsia="仿宋_GB2312" w:cs="仿宋_GB2312"/>
          <w:color w:val="auto"/>
          <w:sz w:val="32"/>
          <w:szCs w:val="32"/>
          <w:lang w:val="en-US" w:eastAsia="zh-CN"/>
        </w:rPr>
        <w:t>包括建设单位申请退件、申请单位的材料不符合受理要求、申请材料需部分修改或补充、业务申请表填写有误等，无未办结事项</w:t>
      </w:r>
      <w:r>
        <w:rPr>
          <w:rFonts w:hint="default" w:ascii="Times New Roman" w:hAnsi="Times New Roman" w:eastAsia="仿宋_GB2312" w:cs="Times New Roman"/>
          <w:color w:val="auto"/>
          <w:sz w:val="32"/>
          <w:szCs w:val="32"/>
          <w:highlight w:val="none"/>
          <w:lang w:eastAsia="zh-CN"/>
        </w:rPr>
        <w:t>。</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eastAsia"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lang w:val="en-US" w:eastAsia="zh-CN"/>
        </w:rPr>
        <w:t>（二）依法实施情况。按照国家、省、市关于政务服务改革的工作部署，围绕市委市政府关于行政审批改革工作要求，</w:t>
      </w:r>
      <w:r>
        <w:rPr>
          <w:rFonts w:hint="default" w:ascii="Times New Roman" w:hAnsi="Times New Roman" w:eastAsia="仿宋_GB2312" w:cs="Times New Roman"/>
          <w:snapToGrid w:val="0"/>
          <w:spacing w:val="-6"/>
          <w:kern w:val="0"/>
          <w:sz w:val="32"/>
          <w:szCs w:val="32"/>
          <w:lang w:val="en-US" w:eastAsia="zh-CN"/>
        </w:rPr>
        <w:t>切实做好权责清单管理工作，</w:t>
      </w:r>
      <w:r>
        <w:rPr>
          <w:rFonts w:hint="default" w:ascii="Times New Roman" w:hAnsi="Times New Roman" w:eastAsia="仿宋_GB2312" w:cs="Times New Roman"/>
          <w:snapToGrid w:val="0"/>
          <w:color w:val="000000"/>
          <w:spacing w:val="6"/>
          <w:kern w:val="32"/>
          <w:sz w:val="32"/>
          <w:lang w:val="en-US" w:eastAsia="zh-CN"/>
        </w:rPr>
        <w:t>持续推进行政许可事项标准化，根据</w:t>
      </w:r>
      <w:r>
        <w:rPr>
          <w:rFonts w:hint="eastAsia" w:ascii="Times New Roman" w:hAnsi="Times New Roman" w:eastAsia="仿宋_GB2312" w:cs="Times New Roman"/>
          <w:snapToGrid w:val="0"/>
          <w:color w:val="000000"/>
          <w:spacing w:val="6"/>
          <w:kern w:val="32"/>
          <w:sz w:val="32"/>
          <w:lang w:val="en-US" w:eastAsia="zh-CN"/>
        </w:rPr>
        <w:t>最新</w:t>
      </w:r>
      <w:r>
        <w:rPr>
          <w:rFonts w:hint="default" w:ascii="Times New Roman" w:hAnsi="Times New Roman" w:eastAsia="仿宋_GB2312" w:cs="Times New Roman"/>
          <w:snapToGrid w:val="0"/>
          <w:color w:val="000000"/>
          <w:spacing w:val="6"/>
          <w:kern w:val="32"/>
          <w:sz w:val="32"/>
          <w:lang w:val="en-US" w:eastAsia="zh-CN"/>
        </w:rPr>
        <w:t>政策法规以及结合实际情况，及时调整行政许可事项办事指南和业务手册，同步更新省政务服务网办事信息，确保行政许可事项依法依规办理</w:t>
      </w:r>
      <w:r>
        <w:rPr>
          <w:rFonts w:hint="eastAsia" w:ascii="Times New Roman" w:hAnsi="Times New Roman" w:eastAsia="仿宋_GB2312" w:cs="Times New Roman"/>
          <w:snapToGrid w:val="0"/>
          <w:color w:val="000000"/>
          <w:spacing w:val="6"/>
          <w:kern w:val="32"/>
          <w:sz w:val="32"/>
          <w:lang w:val="en-US" w:eastAsia="zh-CN"/>
        </w:rPr>
        <w:t>。</w:t>
      </w:r>
      <w:r>
        <w:rPr>
          <w:rFonts w:hint="eastAsia" w:ascii="Times New Roman" w:hAnsi="Times New Roman" w:eastAsia="仿宋_GB2312" w:cs="Times New Roman"/>
          <w:snapToGrid w:val="0"/>
          <w:color w:val="auto"/>
          <w:spacing w:val="6"/>
          <w:kern w:val="32"/>
          <w:sz w:val="32"/>
          <w:lang w:val="en-US" w:eastAsia="zh-CN"/>
        </w:rPr>
        <w:t>同时，</w:t>
      </w:r>
      <w:r>
        <w:rPr>
          <w:rFonts w:hint="eastAsia" w:ascii="仿宋_GB2312" w:hAnsi="仿宋_GB2312" w:eastAsia="仿宋_GB2312" w:cs="仿宋_GB2312"/>
          <w:sz w:val="32"/>
          <w:szCs w:val="32"/>
          <w:lang w:val="en-US" w:eastAsia="zh-CN"/>
        </w:rPr>
        <w:t>我局严格落实《中华人民共和国城乡规划法》等法律法规以及《关于加强和规范规划实施监督管理工作的通知》等自然资源部公布的规划许可实施规范文件要求，依据经依法批准的国土空间规划和详细规划核发规划许可，加强规划许可审批规范化管理。我局以提升企业群众规划审批业务办事体验为出发点和落脚点，按照全链条、全流程思维，通过“</w:t>
      </w:r>
      <w:r>
        <w:rPr>
          <w:rFonts w:hint="eastAsia" w:ascii="Times New Roman" w:hAnsi="Times New Roman" w:eastAsia="仿宋_GB2312" w:cs="Times New Roman"/>
          <w:snapToGrid w:val="0"/>
          <w:color w:val="auto"/>
          <w:spacing w:val="6"/>
          <w:kern w:val="32"/>
          <w:sz w:val="32"/>
          <w:lang w:val="en-US" w:eastAsia="zh-CN"/>
        </w:rPr>
        <w:t>简化审批程序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优化规划审批</w:t>
      </w:r>
      <w:r>
        <w:rPr>
          <w:rFonts w:hint="eastAsia" w:ascii="仿宋_GB2312" w:hAnsi="仿宋_GB2312" w:eastAsia="仿宋_GB2312" w:cs="仿宋_GB2312"/>
          <w:sz w:val="32"/>
          <w:szCs w:val="32"/>
          <w:lang w:val="en-US" w:eastAsia="zh-CN"/>
        </w:rPr>
        <w:t>系统”等系列举措提升规划审批服务效能。</w:t>
      </w:r>
      <w:r>
        <w:rPr>
          <w:rFonts w:hint="eastAsia" w:ascii="Times New Roman" w:hAnsi="Times New Roman" w:eastAsia="仿宋_GB2312" w:cs="Times New Roman"/>
          <w:snapToGrid w:val="0"/>
          <w:color w:val="000000"/>
          <w:spacing w:val="6"/>
          <w:kern w:val="32"/>
          <w:sz w:val="32"/>
          <w:lang w:val="en-US" w:eastAsia="zh-CN"/>
        </w:rPr>
        <w:t>具体如下：</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仿宋_GB2312" w:cs="Times New Roman"/>
          <w:snapToGrid w:val="0"/>
          <w:color w:val="FF0000"/>
          <w:spacing w:val="6"/>
          <w:kern w:val="32"/>
          <w:sz w:val="32"/>
          <w:lang w:val="en-US" w:eastAsia="zh-CN"/>
        </w:rPr>
      </w:pPr>
      <w:r>
        <w:rPr>
          <w:rFonts w:hint="eastAsia" w:ascii="Times New Roman" w:hAnsi="Times New Roman" w:eastAsia="仿宋_GB2312" w:cs="Times New Roman"/>
          <w:snapToGrid w:val="0"/>
          <w:color w:val="auto"/>
          <w:spacing w:val="6"/>
          <w:kern w:val="32"/>
          <w:sz w:val="32"/>
          <w:lang w:val="en-US" w:eastAsia="zh-CN"/>
        </w:rPr>
        <w:t>1.在简化审批程序方面，一是</w:t>
      </w:r>
      <w:r>
        <w:rPr>
          <w:rFonts w:hint="eastAsia" w:ascii="仿宋_GB2312" w:hAnsi="仿宋_GB2312" w:eastAsia="仿宋_GB2312" w:cs="仿宋_GB2312"/>
          <w:sz w:val="32"/>
          <w:szCs w:val="32"/>
          <w:lang w:val="en-US" w:eastAsia="zh-CN"/>
        </w:rPr>
        <w:t>针对容积率调整环节多、企业跑动频繁问题，</w:t>
      </w:r>
      <w:r>
        <w:rPr>
          <w:rFonts w:hint="eastAsia" w:ascii="仿宋_GB2312" w:hAnsi="Times New Roman" w:eastAsia="仿宋_GB2312" w:cs="仿宋_GB2312"/>
          <w:color w:val="000000"/>
          <w:kern w:val="2"/>
          <w:sz w:val="32"/>
          <w:szCs w:val="32"/>
          <w:lang w:val="en-US" w:eastAsia="zh-CN" w:bidi="ar"/>
        </w:rPr>
        <w:t>我局印发《关于调整容积率业务融合的通知》，将</w:t>
      </w:r>
      <w:r>
        <w:rPr>
          <w:rFonts w:hint="default" w:ascii="仿宋_GB2312" w:hAnsi="Times New Roman" w:eastAsia="仿宋_GB2312" w:cs="仿宋_GB2312"/>
          <w:color w:val="000000"/>
          <w:kern w:val="2"/>
          <w:sz w:val="32"/>
          <w:szCs w:val="32"/>
          <w:lang w:val="en-US" w:eastAsia="zh-CN" w:bidi="ar"/>
        </w:rPr>
        <w:t>建设用地规划条件变更事项中的调整容积率子项和调整容积率补缴地价款事项合并为</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调整容积率</w:t>
      </w:r>
      <w:r>
        <w:rPr>
          <w:rFonts w:hint="eastAsia" w:ascii="Times New Roman" w:hAnsi="Times New Roman" w:eastAsia="仿宋_GB2312" w:cs="Times New Roman"/>
          <w:kern w:val="0"/>
          <w:sz w:val="32"/>
          <w:szCs w:val="32"/>
          <w:lang w:val="en-US" w:eastAsia="zh-CN" w:bidi="ar-SA"/>
        </w:rPr>
        <w:t>”</w:t>
      </w:r>
      <w:r>
        <w:rPr>
          <w:rFonts w:hint="default" w:ascii="Times New Roman" w:hAnsi="Times New Roman" w:eastAsia="仿宋_GB2312" w:cs="Times New Roman"/>
          <w:kern w:val="0"/>
          <w:sz w:val="32"/>
          <w:szCs w:val="32"/>
          <w:lang w:val="en-US" w:eastAsia="zh-CN" w:bidi="ar-SA"/>
        </w:rPr>
        <w:t>事项</w:t>
      </w:r>
      <w:r>
        <w:rPr>
          <w:rFonts w:hint="default" w:ascii="仿宋_GB2312" w:hAnsi="Times New Roman" w:eastAsia="仿宋_GB2312" w:cs="仿宋_GB2312"/>
          <w:color w:val="000000"/>
          <w:kern w:val="2"/>
          <w:sz w:val="32"/>
          <w:szCs w:val="32"/>
          <w:lang w:val="en-US" w:eastAsia="zh-CN" w:bidi="ar"/>
        </w:rPr>
        <w:t>，实行“一套材料、一次收件、并联公示、同步办结”</w:t>
      </w:r>
      <w:r>
        <w:rPr>
          <w:rFonts w:hint="eastAsia" w:ascii="仿宋_GB2312" w:hAnsi="Times New Roman" w:eastAsia="仿宋_GB2312" w:cs="仿宋_GB2312"/>
          <w:color w:val="000000"/>
          <w:kern w:val="2"/>
          <w:sz w:val="32"/>
          <w:szCs w:val="32"/>
          <w:lang w:val="en-US" w:eastAsia="zh-CN" w:bidi="ar"/>
        </w:rPr>
        <w:t>，</w:t>
      </w:r>
      <w:r>
        <w:rPr>
          <w:rFonts w:hint="eastAsia" w:ascii="Times New Roman" w:hAnsi="Times New Roman" w:eastAsia="仿宋_GB2312" w:cs="Times New Roman"/>
          <w:kern w:val="0"/>
          <w:sz w:val="32"/>
          <w:szCs w:val="32"/>
          <w:lang w:val="en-US" w:eastAsia="zh-CN" w:bidi="ar-SA"/>
        </w:rPr>
        <w:t>实现申请材料减少4-6份，跑动次数减少2次，办理时限缩短10日，</w:t>
      </w:r>
      <w:r>
        <w:rPr>
          <w:rFonts w:hint="eastAsia" w:ascii="仿宋_GB2312" w:hAnsi="仿宋_GB2312" w:eastAsia="仿宋_GB2312" w:cs="仿宋_GB2312"/>
          <w:kern w:val="2"/>
          <w:sz w:val="32"/>
          <w:szCs w:val="32"/>
          <w:lang w:val="en-US" w:eastAsia="zh-CN" w:bidi="ar"/>
        </w:rPr>
        <w:t>推动业务从“物理叠加”到“化学融合”，有效</w:t>
      </w:r>
      <w:r>
        <w:rPr>
          <w:rFonts w:hint="eastAsia" w:ascii="仿宋_GB2312" w:hAnsi="Times New Roman" w:eastAsia="仿宋_GB2312" w:cs="仿宋_GB2312"/>
          <w:color w:val="000000"/>
          <w:kern w:val="2"/>
          <w:sz w:val="32"/>
          <w:szCs w:val="32"/>
          <w:lang w:val="en-US" w:eastAsia="zh-CN" w:bidi="ar"/>
        </w:rPr>
        <w:t>减少群众跑动次数，确保办件“零障碍”。二是</w:t>
      </w:r>
      <w:r>
        <w:rPr>
          <w:rFonts w:hint="eastAsia" w:ascii="仿宋_GB2312" w:hAnsi="仿宋_GB2312" w:eastAsia="仿宋_GB2312" w:cs="仿宋_GB2312"/>
          <w:sz w:val="32"/>
          <w:szCs w:val="32"/>
          <w:lang w:val="en-US" w:eastAsia="zh-CN"/>
        </w:rPr>
        <w:t>针对永久使用林地审核许可事项审批环节多、流程长问题，</w:t>
      </w:r>
      <w:r>
        <w:rPr>
          <w:rFonts w:hint="eastAsia" w:ascii="仿宋_GB2312" w:hAnsi="Times New Roman" w:eastAsia="仿宋_GB2312" w:cs="仿宋_GB2312"/>
          <w:color w:val="000000"/>
          <w:kern w:val="2"/>
          <w:sz w:val="32"/>
          <w:szCs w:val="32"/>
          <w:lang w:val="en-US" w:eastAsia="zh-CN" w:bidi="ar"/>
        </w:rPr>
        <w:t>我局创新提出在国土空间规划调整论证阶段同步开展用林必要性审核，项目一经获准，即视为通过林地定额分配论证；同时依靠省</w:t>
      </w:r>
      <w:bookmarkStart w:id="0" w:name="_GoBack"/>
      <w:r>
        <w:rPr>
          <w:rFonts w:hint="eastAsia" w:ascii="仿宋_GB2312" w:hAnsi="Times New Roman" w:eastAsia="仿宋_GB2312" w:cs="仿宋_GB2312"/>
          <w:color w:val="000000"/>
          <w:kern w:val="2"/>
          <w:sz w:val="32"/>
          <w:szCs w:val="32"/>
          <w:lang w:val="en-US" w:eastAsia="zh-CN" w:bidi="ar"/>
        </w:rPr>
        <w:t>珠江口东西两岸</w:t>
      </w:r>
      <w:bookmarkEnd w:id="0"/>
      <w:r>
        <w:rPr>
          <w:rFonts w:hint="eastAsia" w:ascii="仿宋_GB2312" w:hAnsi="Times New Roman" w:eastAsia="仿宋_GB2312" w:cs="仿宋_GB2312"/>
          <w:color w:val="000000"/>
          <w:kern w:val="2"/>
          <w:sz w:val="32"/>
          <w:szCs w:val="32"/>
          <w:lang w:val="en-US" w:eastAsia="zh-CN" w:bidi="ar"/>
        </w:rPr>
        <w:t>融合互动发展改革创新实验区建设，创新性提出用林及后续采伐联动办理创新事项，同步核发用林及采伐许可，加速推进项目落地。以上举措预计可缩短用林审批时间至少5个工作日，有效减少群众跑动次数，助力全市涉林项目加快落地。</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napToGrid w:val="0"/>
          <w:color w:val="000000"/>
          <w:spacing w:val="6"/>
          <w:kern w:val="32"/>
          <w:sz w:val="32"/>
          <w:lang w:val="en-US" w:eastAsia="zh-CN"/>
        </w:rPr>
        <w:t>2.</w:t>
      </w:r>
      <w:r>
        <w:rPr>
          <w:rFonts w:hint="eastAsia" w:ascii="仿宋_GB2312" w:hAnsi="仿宋_GB2312" w:eastAsia="仿宋_GB2312" w:cs="仿宋_GB2312"/>
          <w:sz w:val="32"/>
          <w:szCs w:val="32"/>
          <w:lang w:val="en-US" w:eastAsia="zh-CN"/>
        </w:rPr>
        <w:t>在</w:t>
      </w:r>
      <w:r>
        <w:rPr>
          <w:rFonts w:hint="default" w:ascii="仿宋_GB2312" w:hAnsi="仿宋_GB2312" w:eastAsia="仿宋_GB2312" w:cs="仿宋_GB2312"/>
          <w:sz w:val="32"/>
          <w:szCs w:val="32"/>
          <w:lang w:val="en-US" w:eastAsia="zh-CN"/>
        </w:rPr>
        <w:t>优化规划审批</w:t>
      </w:r>
      <w:r>
        <w:rPr>
          <w:rFonts w:hint="eastAsia" w:ascii="仿宋_GB2312" w:hAnsi="仿宋_GB2312" w:eastAsia="仿宋_GB2312" w:cs="仿宋_GB2312"/>
          <w:sz w:val="32"/>
          <w:szCs w:val="32"/>
          <w:lang w:val="en-US" w:eastAsia="zh-CN"/>
        </w:rPr>
        <w:t>系统方面</w:t>
      </w:r>
      <w:r>
        <w:rPr>
          <w:rFonts w:hint="eastAsia" w:ascii="Times New Roman" w:hAnsi="Times New Roman" w:eastAsia="仿宋_GB2312" w:cs="Times New Roman"/>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一是</w:t>
      </w:r>
      <w:r>
        <w:rPr>
          <w:rFonts w:hint="eastAsia" w:ascii="Times New Roman" w:hAnsi="Times New Roman" w:eastAsia="仿宋_GB2312" w:cs="Times New Roman"/>
          <w:b w:val="0"/>
          <w:bCs w:val="0"/>
          <w:kern w:val="0"/>
          <w:sz w:val="32"/>
          <w:szCs w:val="32"/>
          <w:lang w:val="en-US" w:eastAsia="zh-CN"/>
        </w:rPr>
        <w:t>落实市政府营商环境相关部署，切实做好营商环境评价“办理建筑许可”指标提升。</w:t>
      </w:r>
      <w:r>
        <w:rPr>
          <w:rFonts w:hint="eastAsia" w:ascii="Times New Roman" w:hAnsi="Times New Roman" w:eastAsia="仿宋_GB2312" w:cs="Times New Roman"/>
          <w:kern w:val="0"/>
          <w:sz w:val="32"/>
          <w:szCs w:val="32"/>
          <w:lang w:val="en-US" w:eastAsia="zh-CN" w:bidi="ar-SA"/>
        </w:rPr>
        <w:t>在提升工程建设项目联合验收率、并联审批率方面，积极与市住建局、市政数局对接，研究推进优化规划条件核实业务与城建档案验收业务的联合验收事项，试行建设工程规划许可业务与供水供电业务并联审批；在降低我市规划许可业务逾期率方面，在综合业务平台上开发完善机器人相关功能以及优化业务流程，进一步完善“压占分析模块”的开发和使用，成立逾期业务督办小组，各分局派出一至两名督办员，及时提醒经办人员及时按期办理业务。</w:t>
      </w:r>
      <w:r>
        <w:rPr>
          <w:rFonts w:hint="eastAsia" w:ascii="仿宋_GB2312" w:hAnsi="仿宋_GB2312" w:eastAsia="仿宋_GB2312" w:cs="仿宋_GB2312"/>
          <w:b w:val="0"/>
          <w:bCs w:val="0"/>
          <w:color w:val="auto"/>
          <w:sz w:val="32"/>
          <w:szCs w:val="32"/>
          <w:lang w:val="en-US" w:eastAsia="zh-CN"/>
        </w:rPr>
        <w:t>二是</w:t>
      </w:r>
      <w:r>
        <w:rPr>
          <w:rFonts w:hint="eastAsia" w:ascii="Times New Roman" w:hAnsi="Times New Roman" w:eastAsia="仿宋_GB2312" w:cs="Times New Roman"/>
          <w:b w:val="0"/>
          <w:bCs w:val="0"/>
          <w:kern w:val="0"/>
          <w:sz w:val="32"/>
          <w:szCs w:val="32"/>
          <w:lang w:val="en-US" w:eastAsia="zh-CN"/>
        </w:rPr>
        <w:t>完善省政务服务系统事项调整、局自建系统优化改造工作。</w:t>
      </w:r>
      <w:r>
        <w:rPr>
          <w:rFonts w:hint="eastAsia" w:ascii="Times New Roman" w:hAnsi="Times New Roman" w:eastAsia="仿宋_GB2312" w:cs="Times New Roman"/>
          <w:kern w:val="0"/>
          <w:sz w:val="32"/>
          <w:szCs w:val="32"/>
          <w:lang w:val="en-US" w:eastAsia="zh-CN" w:bidi="ar-SA"/>
        </w:rPr>
        <w:t>落实省政务服务事项管理要求，完成省政务服务系统在规划验线、规划条件核实业务事项关联电子证照工作；自建系统根据日常政策制定以及规划审批细化管理进行优化改造，如取消第三方电子报批、规划验线技术审查服务后完成自建系统业务附件收件目录调整，乡规证核发完成自建系统与省用途管制系统接口对接，公示公告整改内容在自建系统的设计及功能完善等；完成自建系统规划验收业务功能调整，如规划验收业务中新增是否补缴报建费、shp文件检测、业务数据指标导入等部分功能的改进。</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snapToGrid w:val="0"/>
          <w:color w:val="auto"/>
          <w:spacing w:val="6"/>
          <w:kern w:val="32"/>
          <w:sz w:val="32"/>
          <w:lang w:val="en-US" w:eastAsia="zh-CN"/>
        </w:rPr>
        <w:t>3.历史文化街区等保护范围内规划管理方面，</w:t>
      </w:r>
      <w:r>
        <w:rPr>
          <w:rFonts w:hint="eastAsia" w:ascii="Times New Roman" w:hAnsi="Times New Roman" w:eastAsia="仿宋_GB2312" w:cs="Times New Roman"/>
          <w:snapToGrid w:val="0"/>
          <w:color w:val="auto"/>
          <w:spacing w:val="6"/>
          <w:kern w:val="32"/>
          <w:sz w:val="32"/>
          <w:highlight w:val="none"/>
          <w:lang w:val="en-US" w:eastAsia="zh-CN"/>
        </w:rPr>
        <w:t>按照“边实施、边完善”的思路，坚持依法依规、守正创新，加快研究制定中山市自然资源局历史文化街区等核心保护范围改建翻建类规划许可业务管理办法及审批指引，落实最新出台的《广东省历史文化名城名镇名村保护条例》的有关规定，首创性完成保护范围内规划报建1宗</w:t>
      </w:r>
      <w:r>
        <w:rPr>
          <w:rFonts w:hint="eastAsia" w:ascii="仿宋_GB2312" w:hAnsi="仿宋_GB2312" w:eastAsia="仿宋_GB2312" w:cs="仿宋_GB2312"/>
          <w:snapToGrid w:val="0"/>
          <w:color w:val="auto"/>
          <w:spacing w:val="6"/>
          <w:kern w:val="32"/>
          <w:sz w:val="32"/>
          <w:szCs w:val="2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64" w:firstLineChars="200"/>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lang w:val="en-US" w:eastAsia="zh-CN"/>
        </w:rPr>
        <w:t>（三）公开公示情况。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64" w:firstLineChars="200"/>
        <w:textAlignment w:val="auto"/>
        <w:rPr>
          <w:rFonts w:hint="default" w:ascii="Times New Roman" w:hAnsi="Times New Roman" w:eastAsia="仿宋_GB2312" w:cs="Times New Roman"/>
          <w:spacing w:val="-6"/>
          <w:sz w:val="32"/>
          <w:szCs w:val="32"/>
          <w:lang w:eastAsia="zh-CN"/>
        </w:rPr>
      </w:pPr>
      <w:r>
        <w:rPr>
          <w:rFonts w:hint="eastAsia" w:ascii="Times New Roman" w:hAnsi="Times New Roman" w:eastAsia="仿宋_GB2312" w:cs="Times New Roman"/>
          <w:snapToGrid w:val="0"/>
          <w:color w:val="000000"/>
          <w:spacing w:val="6"/>
          <w:kern w:val="32"/>
          <w:sz w:val="32"/>
          <w:lang w:val="en-US" w:eastAsia="zh-CN"/>
        </w:rPr>
        <w:t>1.做好行政许可事项办事指南公开公示。依托</w:t>
      </w:r>
      <w:r>
        <w:rPr>
          <w:rFonts w:hint="default" w:ascii="Times New Roman" w:hAnsi="Times New Roman" w:eastAsia="仿宋_GB2312" w:cs="Times New Roman"/>
          <w:spacing w:val="-6"/>
          <w:sz w:val="32"/>
          <w:szCs w:val="32"/>
          <w:lang w:eastAsia="zh-CN"/>
        </w:rPr>
        <w:t>省</w:t>
      </w:r>
      <w:r>
        <w:rPr>
          <w:rFonts w:hint="eastAsia" w:ascii="Times New Roman" w:hAnsi="Times New Roman" w:eastAsia="仿宋_GB2312" w:cs="Times New Roman"/>
          <w:spacing w:val="-6"/>
          <w:sz w:val="32"/>
          <w:szCs w:val="32"/>
          <w:lang w:eastAsia="zh-CN"/>
        </w:rPr>
        <w:t>政务服务</w:t>
      </w:r>
      <w:r>
        <w:rPr>
          <w:rFonts w:hint="default" w:ascii="Times New Roman" w:hAnsi="Times New Roman" w:eastAsia="仿宋_GB2312" w:cs="Times New Roman"/>
          <w:spacing w:val="-6"/>
          <w:sz w:val="32"/>
          <w:szCs w:val="32"/>
          <w:lang w:eastAsia="zh-CN"/>
        </w:rPr>
        <w:t>事项目录管理系统制定事项办事</w:t>
      </w:r>
      <w:r>
        <w:rPr>
          <w:rFonts w:hint="eastAsia" w:ascii="Times New Roman" w:hAnsi="Times New Roman" w:eastAsia="仿宋_GB2312" w:cs="Times New Roman"/>
          <w:spacing w:val="-6"/>
          <w:sz w:val="32"/>
          <w:szCs w:val="32"/>
          <w:lang w:eastAsia="zh-CN"/>
        </w:rPr>
        <w:t>指南</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将</w:t>
      </w:r>
      <w:r>
        <w:rPr>
          <w:rFonts w:hint="default" w:ascii="Times New Roman" w:hAnsi="Times New Roman" w:eastAsia="仿宋_GB2312" w:cs="Times New Roman"/>
          <w:spacing w:val="-6"/>
          <w:sz w:val="32"/>
          <w:szCs w:val="32"/>
          <w:lang w:eastAsia="zh-CN"/>
        </w:rPr>
        <w:t>行政许可</w:t>
      </w:r>
      <w:r>
        <w:rPr>
          <w:rFonts w:hint="default" w:ascii="Times New Roman" w:hAnsi="Times New Roman" w:eastAsia="仿宋_GB2312" w:cs="Times New Roman"/>
          <w:spacing w:val="-6"/>
          <w:sz w:val="32"/>
          <w:szCs w:val="32"/>
        </w:rPr>
        <w:t>事项的实施主体、</w:t>
      </w:r>
      <w:r>
        <w:rPr>
          <w:rFonts w:hint="eastAsia" w:ascii="Times New Roman" w:hAnsi="Times New Roman" w:eastAsia="仿宋_GB2312" w:cs="Times New Roman"/>
          <w:spacing w:val="-6"/>
          <w:sz w:val="32"/>
          <w:szCs w:val="32"/>
          <w:lang w:eastAsia="zh-CN"/>
        </w:rPr>
        <w:t>实施</w:t>
      </w:r>
      <w:r>
        <w:rPr>
          <w:rFonts w:hint="default" w:ascii="Times New Roman" w:hAnsi="Times New Roman" w:eastAsia="仿宋_GB2312" w:cs="Times New Roman"/>
          <w:spacing w:val="-6"/>
          <w:sz w:val="32"/>
          <w:szCs w:val="32"/>
        </w:rPr>
        <w:t>依据、</w:t>
      </w:r>
      <w:r>
        <w:rPr>
          <w:rFonts w:hint="eastAsia" w:ascii="Times New Roman" w:hAnsi="Times New Roman" w:eastAsia="仿宋_GB2312" w:cs="Times New Roman"/>
          <w:spacing w:val="-6"/>
          <w:sz w:val="32"/>
          <w:szCs w:val="32"/>
          <w:lang w:eastAsia="zh-CN"/>
        </w:rPr>
        <w:t>办理流程</w:t>
      </w:r>
      <w:r>
        <w:rPr>
          <w:rFonts w:hint="default" w:ascii="Times New Roman" w:hAnsi="Times New Roman" w:eastAsia="仿宋_GB2312" w:cs="Times New Roman"/>
          <w:spacing w:val="-6"/>
          <w:sz w:val="32"/>
          <w:szCs w:val="32"/>
        </w:rPr>
        <w:t>、</w:t>
      </w:r>
      <w:r>
        <w:rPr>
          <w:rFonts w:hint="eastAsia" w:ascii="Times New Roman" w:hAnsi="Times New Roman" w:eastAsia="仿宋_GB2312" w:cs="Times New Roman"/>
          <w:spacing w:val="-6"/>
          <w:sz w:val="32"/>
          <w:szCs w:val="32"/>
          <w:lang w:eastAsia="zh-CN"/>
        </w:rPr>
        <w:t>办理</w:t>
      </w:r>
      <w:r>
        <w:rPr>
          <w:rFonts w:hint="default" w:ascii="Times New Roman" w:hAnsi="Times New Roman" w:eastAsia="仿宋_GB2312" w:cs="Times New Roman"/>
          <w:spacing w:val="-6"/>
          <w:sz w:val="32"/>
          <w:szCs w:val="32"/>
        </w:rPr>
        <w:t>条件、</w:t>
      </w:r>
      <w:r>
        <w:rPr>
          <w:rFonts w:hint="eastAsia" w:ascii="Times New Roman" w:hAnsi="Times New Roman" w:eastAsia="仿宋_GB2312" w:cs="Times New Roman"/>
          <w:spacing w:val="-6"/>
          <w:sz w:val="32"/>
          <w:szCs w:val="32"/>
          <w:lang w:eastAsia="zh-CN"/>
        </w:rPr>
        <w:t>办理</w:t>
      </w:r>
      <w:r>
        <w:rPr>
          <w:rFonts w:hint="default" w:ascii="Times New Roman" w:hAnsi="Times New Roman" w:eastAsia="仿宋_GB2312" w:cs="Times New Roman"/>
          <w:spacing w:val="-6"/>
          <w:sz w:val="32"/>
          <w:szCs w:val="32"/>
        </w:rPr>
        <w:t>期限、裁量标准、申请材料、申请书格式文本、咨询投诉途径等信息列为公开公示要点，</w:t>
      </w:r>
      <w:r>
        <w:rPr>
          <w:rFonts w:hint="default" w:ascii="Times New Roman" w:hAnsi="Times New Roman" w:eastAsia="仿宋_GB2312" w:cs="Times New Roman"/>
          <w:spacing w:val="-6"/>
          <w:sz w:val="32"/>
          <w:szCs w:val="32"/>
          <w:lang w:eastAsia="zh-CN"/>
        </w:rPr>
        <w:t>并按有关规定在</w:t>
      </w:r>
      <w:r>
        <w:rPr>
          <w:rFonts w:hint="eastAsia" w:ascii="Times New Roman" w:hAnsi="Times New Roman" w:eastAsia="仿宋_GB2312" w:cs="Times New Roman"/>
          <w:spacing w:val="-6"/>
          <w:sz w:val="32"/>
          <w:szCs w:val="32"/>
          <w:lang w:eastAsia="zh-CN"/>
        </w:rPr>
        <w:t>广东</w:t>
      </w:r>
      <w:r>
        <w:rPr>
          <w:rFonts w:hint="default" w:ascii="Times New Roman" w:hAnsi="Times New Roman" w:eastAsia="仿宋_GB2312" w:cs="Times New Roman"/>
          <w:spacing w:val="-6"/>
          <w:sz w:val="32"/>
          <w:szCs w:val="32"/>
          <w:lang w:eastAsia="zh-CN"/>
        </w:rPr>
        <w:t>省政务服务网</w:t>
      </w:r>
      <w:r>
        <w:rPr>
          <w:rFonts w:hint="eastAsia" w:ascii="Times New Roman" w:hAnsi="Times New Roman" w:eastAsia="仿宋_GB2312" w:cs="Times New Roman"/>
          <w:spacing w:val="-6"/>
          <w:sz w:val="32"/>
          <w:szCs w:val="32"/>
          <w:lang w:eastAsia="zh-CN"/>
        </w:rPr>
        <w:t>对外</w:t>
      </w:r>
      <w:r>
        <w:rPr>
          <w:rFonts w:hint="default" w:ascii="Times New Roman" w:hAnsi="Times New Roman" w:eastAsia="仿宋_GB2312" w:cs="Times New Roman"/>
          <w:spacing w:val="-6"/>
          <w:sz w:val="32"/>
          <w:szCs w:val="32"/>
        </w:rPr>
        <w:t>公示</w:t>
      </w:r>
      <w:r>
        <w:rPr>
          <w:rFonts w:hint="default" w:ascii="Times New Roman" w:hAnsi="Times New Roman" w:eastAsia="仿宋_GB2312" w:cs="Times New Roman"/>
          <w:spacing w:val="-6"/>
          <w:sz w:val="32"/>
          <w:szCs w:val="32"/>
          <w:lang w:eastAsia="zh-CN"/>
        </w:rPr>
        <w:t>。结合实际，我局持续做好办事信息</w:t>
      </w:r>
      <w:r>
        <w:rPr>
          <w:rFonts w:hint="eastAsia" w:ascii="Times New Roman" w:hAnsi="Times New Roman" w:eastAsia="仿宋_GB2312" w:cs="Times New Roman"/>
          <w:spacing w:val="-6"/>
          <w:sz w:val="32"/>
          <w:szCs w:val="32"/>
          <w:lang w:eastAsia="zh-CN"/>
        </w:rPr>
        <w:t>的</w:t>
      </w:r>
      <w:r>
        <w:rPr>
          <w:rFonts w:hint="default" w:ascii="Times New Roman" w:hAnsi="Times New Roman" w:eastAsia="仿宋_GB2312" w:cs="Times New Roman"/>
          <w:spacing w:val="-6"/>
          <w:sz w:val="32"/>
          <w:szCs w:val="32"/>
          <w:lang w:eastAsia="zh-CN"/>
        </w:rPr>
        <w:t>动态调整</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eastAsia="zh-CN"/>
        </w:rPr>
        <w:t>确保</w:t>
      </w:r>
      <w:r>
        <w:rPr>
          <w:rFonts w:hint="default" w:ascii="Times New Roman" w:hAnsi="Times New Roman" w:eastAsia="仿宋_GB2312" w:cs="Times New Roman"/>
          <w:spacing w:val="-6"/>
          <w:sz w:val="32"/>
          <w:szCs w:val="32"/>
        </w:rPr>
        <w:t>信息全面</w:t>
      </w:r>
      <w:r>
        <w:rPr>
          <w:rFonts w:hint="default" w:ascii="Times New Roman" w:hAnsi="Times New Roman" w:eastAsia="仿宋_GB2312" w:cs="Times New Roman"/>
          <w:spacing w:val="-6"/>
          <w:sz w:val="32"/>
          <w:szCs w:val="32"/>
          <w:lang w:eastAsia="zh-CN"/>
        </w:rPr>
        <w:t>、准确</w:t>
      </w:r>
      <w:r>
        <w:rPr>
          <w:rFonts w:hint="default" w:ascii="Times New Roman" w:hAnsi="Times New Roman" w:eastAsia="仿宋_GB2312" w:cs="Times New Roman"/>
          <w:spacing w:val="-6"/>
          <w:sz w:val="32"/>
          <w:szCs w:val="32"/>
        </w:rPr>
        <w:t>，保证办事群众的知情权和监督权。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0"/>
          <w:kern w:val="2"/>
          <w:sz w:val="32"/>
          <w:szCs w:val="32"/>
          <w:lang w:val="en-US" w:eastAsia="zh-CN" w:bidi="ar-SA"/>
        </w:rPr>
        <w:t>2.</w:t>
      </w:r>
      <w:r>
        <w:rPr>
          <w:rFonts w:hint="default" w:ascii="Times New Roman" w:hAnsi="Times New Roman" w:eastAsia="仿宋_GB2312" w:cs="Times New Roman"/>
          <w:spacing w:val="-6"/>
          <w:sz w:val="32"/>
          <w:szCs w:val="32"/>
          <w:lang w:val="en-US" w:eastAsia="zh-CN"/>
        </w:rPr>
        <w:t>做好行政许可决定和办理情况信息公开公示。根据市“双公示”相关工作安排，我局切实做好“双公示”信息报送工作，结合权责清单，全面梳理形成行政许可事项</w:t>
      </w:r>
      <w:r>
        <w:rPr>
          <w:rFonts w:hint="eastAsia" w:ascii="Times New Roman" w:hAnsi="Times New Roman" w:eastAsia="仿宋_GB2312" w:cs="Times New Roman"/>
          <w:spacing w:val="-6"/>
          <w:sz w:val="32"/>
          <w:szCs w:val="32"/>
          <w:lang w:val="en-US" w:eastAsia="zh-CN"/>
        </w:rPr>
        <w:t>、行政处罚事项</w:t>
      </w:r>
      <w:r>
        <w:rPr>
          <w:rFonts w:hint="default" w:ascii="Times New Roman" w:hAnsi="Times New Roman" w:eastAsia="仿宋_GB2312" w:cs="Times New Roman"/>
          <w:spacing w:val="-6"/>
          <w:sz w:val="32"/>
          <w:szCs w:val="32"/>
          <w:lang w:val="en-US" w:eastAsia="zh-CN"/>
        </w:rPr>
        <w:t>“双公示”目录清单，做到应归尽归、应示尽示，完整、清晰、准确地向社会公开，方便公民、法人和其他组织查询查看，自觉接受社</w:t>
      </w:r>
      <w:r>
        <w:rPr>
          <w:rFonts w:hint="default" w:ascii="Times New Roman" w:hAnsi="Times New Roman" w:eastAsia="仿宋_GB2312" w:cs="Times New Roman"/>
          <w:spacing w:val="-6"/>
          <w:sz w:val="32"/>
          <w:szCs w:val="32"/>
          <w:highlight w:val="none"/>
          <w:lang w:val="en-US" w:eastAsia="zh-CN"/>
        </w:rPr>
        <w:t>会监督。</w:t>
      </w:r>
      <w:r>
        <w:rPr>
          <w:rFonts w:hint="default" w:ascii="Times New Roman" w:hAnsi="Times New Roman" w:eastAsia="仿宋_GB2312" w:cs="Times New Roman"/>
          <w:spacing w:val="-6"/>
          <w:sz w:val="32"/>
          <w:szCs w:val="32"/>
          <w:highlight w:val="none"/>
          <w:lang w:eastAsia="zh-CN"/>
        </w:rPr>
        <w:t>据统计，</w:t>
      </w:r>
      <w:r>
        <w:rPr>
          <w:rFonts w:hint="default" w:ascii="Times New Roman" w:hAnsi="Times New Roman" w:eastAsia="仿宋_GB2312" w:cs="Times New Roman"/>
          <w:kern w:val="2"/>
          <w:sz w:val="32"/>
          <w:szCs w:val="32"/>
          <w:highlight w:val="none"/>
          <w:lang w:val="en-US" w:eastAsia="zh-CN" w:bidi="ar-SA"/>
        </w:rPr>
        <w:t>202</w:t>
      </w:r>
      <w:r>
        <w:rPr>
          <w:rFonts w:hint="eastAsia" w:ascii="Times New Roman" w:hAnsi="Times New Roman" w:eastAsia="仿宋_GB2312" w:cs="Times New Roman"/>
          <w:kern w:val="2"/>
          <w:sz w:val="32"/>
          <w:szCs w:val="32"/>
          <w:highlight w:val="none"/>
          <w:lang w:val="en-US" w:eastAsia="zh-CN" w:bidi="ar-SA"/>
        </w:rPr>
        <w:t>5</w:t>
      </w:r>
      <w:r>
        <w:rPr>
          <w:rFonts w:hint="default" w:ascii="Times New Roman" w:hAnsi="Times New Roman" w:eastAsia="仿宋_GB2312" w:cs="Times New Roman"/>
          <w:spacing w:val="-6"/>
          <w:sz w:val="32"/>
          <w:szCs w:val="32"/>
          <w:highlight w:val="none"/>
          <w:lang w:val="en-US" w:eastAsia="zh-CN"/>
        </w:rPr>
        <w:t>年我局已上报并在“信用中山”公示行政许可信用信息</w:t>
      </w:r>
      <w:r>
        <w:rPr>
          <w:rFonts w:hint="default" w:ascii="Times New Roman" w:hAnsi="Times New Roman" w:eastAsia="仿宋_GB2312" w:cs="Times New Roman"/>
          <w:color w:val="auto"/>
          <w:spacing w:val="-6"/>
          <w:sz w:val="32"/>
          <w:szCs w:val="32"/>
          <w:highlight w:val="none"/>
          <w:lang w:val="en-US" w:eastAsia="zh-CN"/>
        </w:rPr>
        <w:t>共</w:t>
      </w:r>
      <w:r>
        <w:rPr>
          <w:rFonts w:hint="eastAsia" w:ascii="Times New Roman" w:hAnsi="Times New Roman" w:eastAsia="仿宋_GB2312" w:cs="Times New Roman"/>
          <w:color w:val="auto"/>
          <w:kern w:val="2"/>
          <w:sz w:val="32"/>
          <w:szCs w:val="32"/>
          <w:highlight w:val="none"/>
          <w:lang w:val="en-US" w:eastAsia="zh-CN" w:bidi="ar-SA"/>
        </w:rPr>
        <w:t>11651</w:t>
      </w:r>
      <w:r>
        <w:rPr>
          <w:rFonts w:hint="default" w:ascii="Times New Roman" w:hAnsi="Times New Roman" w:eastAsia="仿宋_GB2312" w:cs="Times New Roman"/>
          <w:color w:val="auto"/>
          <w:spacing w:val="-6"/>
          <w:sz w:val="32"/>
          <w:szCs w:val="32"/>
          <w:highlight w:val="none"/>
          <w:lang w:val="en-US" w:eastAsia="zh-CN"/>
        </w:rPr>
        <w:t>条。</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pacing w:val="0"/>
          <w:kern w:val="2"/>
          <w:sz w:val="32"/>
          <w:szCs w:val="32"/>
          <w:lang w:val="en-US" w:eastAsia="zh-CN" w:bidi="ar-SA"/>
        </w:rPr>
        <w:t>3.</w:t>
      </w:r>
      <w:r>
        <w:rPr>
          <w:rFonts w:hint="default" w:ascii="Times New Roman" w:hAnsi="Times New Roman" w:eastAsia="仿宋_GB2312" w:cs="Times New Roman"/>
          <w:spacing w:val="-6"/>
          <w:sz w:val="32"/>
          <w:szCs w:val="32"/>
          <w:lang w:eastAsia="zh-CN"/>
        </w:rPr>
        <w:t>做好</w:t>
      </w:r>
      <w:r>
        <w:rPr>
          <w:rFonts w:hint="default" w:ascii="Times New Roman" w:hAnsi="Times New Roman" w:eastAsia="仿宋_GB2312" w:cs="Times New Roman"/>
          <w:spacing w:val="-6"/>
          <w:sz w:val="32"/>
          <w:szCs w:val="32"/>
        </w:rPr>
        <w:t>业务咨询</w:t>
      </w:r>
      <w:r>
        <w:rPr>
          <w:rFonts w:hint="eastAsia" w:ascii="Times New Roman" w:hAnsi="Times New Roman" w:eastAsia="仿宋_GB2312" w:cs="Times New Roman"/>
          <w:spacing w:val="-6"/>
          <w:sz w:val="32"/>
          <w:szCs w:val="32"/>
          <w:lang w:eastAsia="zh-CN"/>
        </w:rPr>
        <w:t>回复</w:t>
      </w:r>
      <w:r>
        <w:rPr>
          <w:rFonts w:hint="default" w:ascii="Times New Roman" w:hAnsi="Times New Roman" w:eastAsia="仿宋_GB2312" w:cs="Times New Roman"/>
          <w:spacing w:val="-6"/>
          <w:sz w:val="32"/>
          <w:szCs w:val="32"/>
        </w:rPr>
        <w:t>和</w:t>
      </w:r>
      <w:r>
        <w:rPr>
          <w:rFonts w:hint="default" w:ascii="Times New Roman" w:hAnsi="Times New Roman" w:eastAsia="仿宋_GB2312" w:cs="Times New Roman"/>
          <w:spacing w:val="-6"/>
          <w:sz w:val="32"/>
          <w:szCs w:val="32"/>
          <w:lang w:eastAsia="zh-CN"/>
        </w:rPr>
        <w:t>接受群众</w:t>
      </w:r>
      <w:r>
        <w:rPr>
          <w:rFonts w:hint="default" w:ascii="Times New Roman" w:hAnsi="Times New Roman" w:eastAsia="仿宋_GB2312" w:cs="Times New Roman"/>
          <w:spacing w:val="-6"/>
          <w:sz w:val="32"/>
          <w:szCs w:val="32"/>
        </w:rPr>
        <w:t>监督</w:t>
      </w:r>
      <w:r>
        <w:rPr>
          <w:rFonts w:hint="default" w:ascii="Times New Roman" w:hAnsi="Times New Roman" w:eastAsia="仿宋_GB2312" w:cs="Times New Roman"/>
          <w:spacing w:val="-6"/>
          <w:sz w:val="32"/>
          <w:szCs w:val="32"/>
          <w:lang w:eastAsia="zh-CN"/>
        </w:rPr>
        <w:t>工作</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eastAsia="zh-CN"/>
        </w:rPr>
        <w:t>一</w:t>
      </w:r>
      <w:r>
        <w:rPr>
          <w:rFonts w:hint="default" w:ascii="Times New Roman" w:hAnsi="Times New Roman" w:eastAsia="仿宋_GB2312" w:cs="Times New Roman"/>
          <w:spacing w:val="-6"/>
          <w:sz w:val="32"/>
          <w:szCs w:val="32"/>
        </w:rPr>
        <w:t>是积极</w:t>
      </w:r>
      <w:r>
        <w:rPr>
          <w:rFonts w:hint="default" w:ascii="Times New Roman" w:hAnsi="Times New Roman" w:eastAsia="仿宋_GB2312" w:cs="Times New Roman"/>
          <w:spacing w:val="-6"/>
          <w:sz w:val="32"/>
          <w:szCs w:val="32"/>
          <w:lang w:eastAsia="zh-CN"/>
        </w:rPr>
        <w:t>做好</w:t>
      </w:r>
      <w:r>
        <w:rPr>
          <w:rFonts w:hint="default" w:ascii="Times New Roman" w:hAnsi="Times New Roman" w:eastAsia="仿宋_GB2312" w:cs="Times New Roman"/>
          <w:spacing w:val="-6"/>
          <w:sz w:val="32"/>
          <w:szCs w:val="32"/>
        </w:rPr>
        <w:t>中山</w:t>
      </w:r>
      <w:r>
        <w:rPr>
          <w:rFonts w:hint="default" w:ascii="Times New Roman" w:hAnsi="Times New Roman" w:eastAsia="仿宋_GB2312" w:cs="Times New Roman"/>
          <w:spacing w:val="-6"/>
          <w:sz w:val="32"/>
          <w:szCs w:val="32"/>
          <w:lang w:eastAsia="zh-CN"/>
        </w:rPr>
        <w:t>市</w:t>
      </w:r>
      <w:r>
        <w:rPr>
          <w:rFonts w:hint="default" w:ascii="Times New Roman" w:hAnsi="Times New Roman" w:eastAsia="仿宋_GB2312" w:cs="Times New Roman"/>
          <w:kern w:val="2"/>
          <w:sz w:val="32"/>
          <w:szCs w:val="32"/>
          <w:lang w:val="en-US" w:eastAsia="zh-CN" w:bidi="ar-SA"/>
        </w:rPr>
        <w:t>12345</w:t>
      </w:r>
      <w:r>
        <w:rPr>
          <w:rFonts w:hint="default" w:ascii="Times New Roman" w:hAnsi="Times New Roman" w:eastAsia="仿宋_GB2312" w:cs="Times New Roman"/>
          <w:spacing w:val="-6"/>
          <w:sz w:val="32"/>
          <w:szCs w:val="32"/>
          <w:lang w:val="en-US" w:eastAsia="zh-CN"/>
        </w:rPr>
        <w:t>服务热线平台受理工作</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eastAsia="zh-CN"/>
        </w:rPr>
        <w:t>接受</w:t>
      </w:r>
      <w:r>
        <w:rPr>
          <w:rFonts w:hint="default" w:ascii="Times New Roman" w:hAnsi="Times New Roman" w:eastAsia="仿宋_GB2312" w:cs="Times New Roman"/>
          <w:spacing w:val="-6"/>
          <w:sz w:val="32"/>
          <w:szCs w:val="32"/>
        </w:rPr>
        <w:t>各类网络问政业务，解答群众的咨询。</w:t>
      </w:r>
      <w:r>
        <w:rPr>
          <w:rFonts w:hint="default" w:ascii="Times New Roman" w:hAnsi="Times New Roman" w:eastAsia="仿宋_GB2312" w:cs="Times New Roman"/>
          <w:spacing w:val="-6"/>
          <w:sz w:val="32"/>
          <w:szCs w:val="32"/>
          <w:lang w:eastAsia="zh-CN"/>
        </w:rPr>
        <w:t>二</w:t>
      </w:r>
      <w:r>
        <w:rPr>
          <w:rFonts w:hint="default" w:ascii="Times New Roman" w:hAnsi="Times New Roman" w:eastAsia="仿宋_GB2312" w:cs="Times New Roman"/>
          <w:spacing w:val="-6"/>
          <w:sz w:val="32"/>
          <w:szCs w:val="32"/>
        </w:rPr>
        <w:t>是利用局</w:t>
      </w:r>
      <w:r>
        <w:rPr>
          <w:rFonts w:hint="default" w:ascii="Times New Roman" w:hAnsi="Times New Roman" w:eastAsia="仿宋_GB2312" w:cs="Times New Roman"/>
          <w:spacing w:val="-6"/>
          <w:sz w:val="32"/>
          <w:szCs w:val="32"/>
          <w:lang w:eastAsia="zh-CN"/>
        </w:rPr>
        <w:t>政务</w:t>
      </w:r>
      <w:r>
        <w:rPr>
          <w:rFonts w:hint="default" w:ascii="Times New Roman" w:hAnsi="Times New Roman" w:eastAsia="仿宋_GB2312" w:cs="Times New Roman"/>
          <w:spacing w:val="-6"/>
          <w:sz w:val="32"/>
          <w:szCs w:val="32"/>
        </w:rPr>
        <w:t>网站、</w:t>
      </w:r>
      <w:r>
        <w:rPr>
          <w:rFonts w:hint="default" w:ascii="Times New Roman" w:hAnsi="Times New Roman" w:eastAsia="仿宋_GB2312" w:cs="Times New Roman"/>
          <w:spacing w:val="-6"/>
          <w:sz w:val="32"/>
          <w:szCs w:val="32"/>
          <w:lang w:eastAsia="zh-CN"/>
        </w:rPr>
        <w:t>局</w:t>
      </w:r>
      <w:r>
        <w:rPr>
          <w:rFonts w:hint="default" w:ascii="Times New Roman" w:hAnsi="Times New Roman" w:eastAsia="仿宋_GB2312" w:cs="Times New Roman"/>
          <w:spacing w:val="-6"/>
          <w:sz w:val="32"/>
          <w:szCs w:val="32"/>
        </w:rPr>
        <w:t>微信</w:t>
      </w:r>
      <w:r>
        <w:rPr>
          <w:rFonts w:hint="default" w:ascii="Times New Roman" w:hAnsi="Times New Roman" w:eastAsia="仿宋_GB2312" w:cs="Times New Roman"/>
          <w:spacing w:val="-6"/>
          <w:sz w:val="32"/>
          <w:szCs w:val="32"/>
          <w:lang w:eastAsia="zh-CN"/>
        </w:rPr>
        <w:t>公众号</w:t>
      </w:r>
      <w:r>
        <w:rPr>
          <w:rFonts w:hint="default" w:ascii="Times New Roman" w:hAnsi="Times New Roman" w:eastAsia="仿宋_GB2312" w:cs="Times New Roman"/>
          <w:spacing w:val="-6"/>
          <w:sz w:val="32"/>
          <w:szCs w:val="32"/>
        </w:rPr>
        <w:t>平台</w:t>
      </w:r>
      <w:r>
        <w:rPr>
          <w:rFonts w:hint="default" w:ascii="Times New Roman" w:hAnsi="Times New Roman" w:eastAsia="仿宋_GB2312" w:cs="Times New Roman"/>
          <w:spacing w:val="-6"/>
          <w:sz w:val="32"/>
          <w:szCs w:val="32"/>
          <w:lang w:eastAsia="zh-CN"/>
        </w:rPr>
        <w:t>等</w:t>
      </w:r>
      <w:r>
        <w:rPr>
          <w:rFonts w:hint="default" w:ascii="Times New Roman" w:hAnsi="Times New Roman" w:eastAsia="仿宋_GB2312" w:cs="Times New Roman"/>
          <w:spacing w:val="-6"/>
          <w:sz w:val="32"/>
          <w:szCs w:val="32"/>
        </w:rPr>
        <w:t>加大信息公开力度，打造透明、廉洁高效的政务体系，运用新媒介推动政务公开。</w:t>
      </w:r>
      <w:r>
        <w:rPr>
          <w:rFonts w:hint="default" w:ascii="Times New Roman" w:hAnsi="Times New Roman" w:eastAsia="仿宋_GB2312" w:cs="Times New Roman"/>
          <w:spacing w:val="-6"/>
          <w:sz w:val="32"/>
          <w:szCs w:val="32"/>
          <w:lang w:eastAsia="zh-CN"/>
        </w:rPr>
        <w:t>三</w:t>
      </w:r>
      <w:r>
        <w:rPr>
          <w:rFonts w:hint="default" w:ascii="Times New Roman" w:hAnsi="Times New Roman" w:eastAsia="仿宋_GB2312" w:cs="Times New Roman"/>
          <w:spacing w:val="-6"/>
          <w:sz w:val="32"/>
          <w:szCs w:val="32"/>
        </w:rPr>
        <w:t>是发挥《中山</w:t>
      </w:r>
      <w:r>
        <w:rPr>
          <w:rFonts w:hint="default" w:ascii="Times New Roman" w:hAnsi="Times New Roman" w:eastAsia="仿宋_GB2312" w:cs="Times New Roman"/>
          <w:spacing w:val="-6"/>
          <w:sz w:val="32"/>
          <w:szCs w:val="32"/>
          <w:lang w:eastAsia="zh-CN"/>
        </w:rPr>
        <w:t>自然</w:t>
      </w:r>
      <w:r>
        <w:rPr>
          <w:rFonts w:hint="default" w:ascii="Times New Roman" w:hAnsi="Times New Roman" w:eastAsia="仿宋_GB2312" w:cs="Times New Roman"/>
          <w:spacing w:val="-6"/>
          <w:sz w:val="32"/>
          <w:szCs w:val="32"/>
        </w:rPr>
        <w:t>资源》宣传的主阵地、主渠道作用，向社会广泛传播政务</w:t>
      </w:r>
      <w:r>
        <w:rPr>
          <w:rFonts w:hint="default" w:ascii="Times New Roman" w:hAnsi="Times New Roman" w:eastAsia="仿宋_GB2312" w:cs="Times New Roman"/>
          <w:spacing w:val="-6"/>
          <w:sz w:val="32"/>
          <w:szCs w:val="32"/>
          <w:lang w:eastAsia="zh-CN"/>
        </w:rPr>
        <w:t>动态信息</w:t>
      </w:r>
      <w:r>
        <w:rPr>
          <w:rFonts w:hint="eastAsia" w:ascii="Times New Roman" w:hAnsi="Times New Roman" w:eastAsia="仿宋_GB2312" w:cs="Times New Roman"/>
          <w:spacing w:val="-6"/>
          <w:sz w:val="32"/>
          <w:szCs w:val="32"/>
          <w:lang w:eastAsia="zh-CN"/>
        </w:rPr>
        <w:t>，积极宣传</w:t>
      </w:r>
      <w:r>
        <w:rPr>
          <w:rFonts w:hint="default" w:ascii="Times New Roman" w:hAnsi="Times New Roman" w:eastAsia="仿宋_GB2312" w:cs="Times New Roman"/>
          <w:spacing w:val="-6"/>
          <w:sz w:val="32"/>
          <w:szCs w:val="32"/>
          <w:lang w:eastAsia="zh-CN"/>
        </w:rPr>
        <w:t>自然资源</w:t>
      </w:r>
      <w:r>
        <w:rPr>
          <w:rFonts w:hint="default" w:ascii="Times New Roman" w:hAnsi="Times New Roman" w:eastAsia="仿宋_GB2312" w:cs="Times New Roman"/>
          <w:spacing w:val="-6"/>
          <w:sz w:val="32"/>
          <w:szCs w:val="32"/>
        </w:rPr>
        <w:t>政策法规</w:t>
      </w:r>
      <w:r>
        <w:rPr>
          <w:rFonts w:hint="default" w:ascii="Times New Roman" w:hAnsi="Times New Roman" w:eastAsia="仿宋_GB2312" w:cs="Times New Roman"/>
          <w:spacing w:val="-6"/>
          <w:sz w:val="32"/>
          <w:szCs w:val="32"/>
          <w:lang w:eastAsia="zh-CN"/>
        </w:rPr>
        <w:t>。</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lang w:val="en-US" w:eastAsia="zh-CN"/>
        </w:rPr>
        <w:t>（四）监督管理情况。</w:t>
      </w:r>
    </w:p>
    <w:p>
      <w:pPr>
        <w:keepNext w:val="0"/>
        <w:keepLines w:val="0"/>
        <w:pageBreakBefore w:val="0"/>
        <w:widowControl w:val="0"/>
        <w:kinsoku/>
        <w:overflowPunct/>
        <w:topLinePunct w:val="0"/>
        <w:autoSpaceDE/>
        <w:autoSpaceDN/>
        <w:bidi w:val="0"/>
        <w:adjustRightInd/>
        <w:snapToGrid/>
        <w:spacing w:line="574" w:lineRule="exact"/>
        <w:ind w:firstLine="616" w:firstLineChars="200"/>
        <w:textAlignment w:val="auto"/>
        <w:rPr>
          <w:rFonts w:hint="eastAsia" w:ascii="Times New Roman" w:hAnsi="Times New Roman" w:eastAsia="仿宋_GB2312" w:cs="Times New Roman"/>
          <w:color w:val="FF0000"/>
          <w:spacing w:val="-6"/>
          <w:kern w:val="2"/>
          <w:sz w:val="32"/>
          <w:szCs w:val="32"/>
          <w:lang w:val="en-US" w:eastAsia="zh-CN" w:bidi="ar-SA"/>
        </w:rPr>
      </w:pPr>
      <w:r>
        <w:rPr>
          <w:rFonts w:hint="default" w:ascii="Times New Roman" w:hAnsi="Times New Roman" w:eastAsia="仿宋_GB2312" w:cs="Times New Roman"/>
          <w:spacing w:val="-6"/>
          <w:kern w:val="2"/>
          <w:sz w:val="32"/>
          <w:szCs w:val="32"/>
          <w:highlight w:val="none"/>
          <w:lang w:val="en-US" w:eastAsia="zh-CN" w:bidi="ar-SA"/>
        </w:rPr>
        <w:t>1.加大对行政相对人监督检查力度。</w:t>
      </w:r>
      <w:r>
        <w:rPr>
          <w:rFonts w:hint="default" w:ascii="Times New Roman" w:hAnsi="Times New Roman" w:eastAsia="仿宋_GB2312" w:cs="Times New Roman"/>
          <w:color w:val="auto"/>
          <w:spacing w:val="-6"/>
          <w:kern w:val="2"/>
          <w:sz w:val="32"/>
          <w:szCs w:val="32"/>
          <w:highlight w:val="none"/>
          <w:lang w:val="en-US" w:eastAsia="zh-CN" w:bidi="ar-SA"/>
        </w:rPr>
        <w:t>一是</w:t>
      </w:r>
      <w:r>
        <w:rPr>
          <w:rFonts w:hint="default" w:ascii="Times New Roman" w:hAnsi="Times New Roman" w:eastAsia="仿宋_GB2312" w:cs="Times New Roman"/>
          <w:spacing w:val="-6"/>
          <w:kern w:val="2"/>
          <w:sz w:val="32"/>
          <w:szCs w:val="32"/>
          <w:highlight w:val="none"/>
          <w:lang w:val="en-US" w:eastAsia="zh-CN" w:bidi="ar-SA"/>
        </w:rPr>
        <w:t>组织开展2025年测绘质量监督检查工作，共检查我市测绘资质单位18个</w:t>
      </w:r>
      <w:r>
        <w:rPr>
          <w:rFonts w:hint="eastAsia" w:ascii="Times New Roman" w:hAnsi="Times New Roman" w:eastAsia="仿宋_GB2312" w:cs="Times New Roman"/>
          <w:spacing w:val="-6"/>
          <w:kern w:val="2"/>
          <w:sz w:val="32"/>
          <w:szCs w:val="32"/>
          <w:highlight w:val="none"/>
          <w:lang w:val="en-US" w:eastAsia="zh-CN" w:bidi="ar-SA"/>
        </w:rPr>
        <w:t>，组织全市涉密基础测绘成果的生产、保管、提供、使用相关单位开展自查，并进行抽查，印发《中山市自然资源局 中山市国家保密局关于开展涉密基础测绘成果销毁工作的通知》，明确数据销毁方式及资料归档要求，督促完成</w:t>
      </w:r>
      <w:r>
        <w:rPr>
          <w:rFonts w:hint="default" w:ascii="Times New Roman" w:hAnsi="Times New Roman" w:eastAsia="仿宋_GB2312" w:cs="Times New Roman"/>
          <w:spacing w:val="-6"/>
          <w:kern w:val="2"/>
          <w:sz w:val="32"/>
          <w:szCs w:val="32"/>
          <w:highlight w:val="none"/>
          <w:lang w:val="en-US" w:eastAsia="zh-CN" w:bidi="ar-SA"/>
        </w:rPr>
        <w:t>涉密基础测绘成果销毁</w:t>
      </w:r>
      <w:r>
        <w:rPr>
          <w:rFonts w:hint="eastAsia" w:ascii="Times New Roman" w:hAnsi="Times New Roman" w:eastAsia="仿宋_GB2312" w:cs="Times New Roman"/>
          <w:spacing w:val="-6"/>
          <w:kern w:val="2"/>
          <w:sz w:val="32"/>
          <w:szCs w:val="32"/>
          <w:highlight w:val="none"/>
          <w:lang w:val="en-US" w:eastAsia="zh-CN" w:bidi="ar-SA"/>
        </w:rPr>
        <w:t>，并对涉密基础测绘成果申领单位开展专项整治工作，切实消除安全隐患。二是组织开展临时用地监督检查结果“回头看”工作，分两次对在库的临时用地进行抽查检查，确保加强耕地保护，促进节约集约用地。</w:t>
      </w:r>
      <w:r>
        <w:rPr>
          <w:rFonts w:hint="eastAsia" w:ascii="Times New Roman" w:hAnsi="Times New Roman" w:eastAsia="仿宋_GB2312" w:cs="Times New Roman"/>
          <w:color w:val="auto"/>
          <w:spacing w:val="-6"/>
          <w:kern w:val="2"/>
          <w:sz w:val="32"/>
          <w:szCs w:val="32"/>
          <w:highlight w:val="none"/>
          <w:lang w:val="en-US" w:eastAsia="zh-CN" w:bidi="ar-SA"/>
        </w:rPr>
        <w:t>三</w:t>
      </w:r>
      <w:r>
        <w:rPr>
          <w:rFonts w:hint="default" w:ascii="Times New Roman" w:hAnsi="Times New Roman" w:eastAsia="仿宋_GB2312" w:cs="Times New Roman"/>
          <w:color w:val="auto"/>
          <w:spacing w:val="-6"/>
          <w:kern w:val="2"/>
          <w:sz w:val="32"/>
          <w:szCs w:val="32"/>
          <w:highlight w:val="none"/>
          <w:lang w:val="en-US" w:eastAsia="zh-CN" w:bidi="ar-SA"/>
        </w:rPr>
        <w:t>是</w:t>
      </w:r>
      <w:r>
        <w:rPr>
          <w:rFonts w:hint="eastAsia" w:ascii="Times New Roman" w:hAnsi="Times New Roman" w:eastAsia="仿宋_GB2312" w:cs="Times New Roman"/>
          <w:b w:val="0"/>
          <w:bCs w:val="0"/>
          <w:color w:val="auto"/>
          <w:sz w:val="32"/>
          <w:szCs w:val="32"/>
          <w:lang w:val="en-US" w:eastAsia="zh-CN"/>
        </w:rPr>
        <w:t>落实省厅“双随机一公开”和省营商环境评价要求</w:t>
      </w:r>
      <w:r>
        <w:rPr>
          <w:rFonts w:hint="eastAsia" w:ascii="仿宋_GB2312" w:hAnsi="仿宋_GB2312" w:eastAsia="仿宋_GB2312" w:cs="仿宋_GB2312"/>
          <w:color w:val="000000"/>
          <w:kern w:val="0"/>
          <w:sz w:val="31"/>
          <w:szCs w:val="31"/>
          <w:lang w:val="en-US" w:eastAsia="zh-CN" w:bidi="ar"/>
        </w:rPr>
        <w:t>，</w:t>
      </w:r>
      <w:r>
        <w:rPr>
          <w:rFonts w:hint="eastAsia" w:ascii="Times New Roman" w:hAnsi="Times New Roman" w:eastAsia="仿宋_GB2312" w:cs="Times New Roman"/>
          <w:kern w:val="0"/>
          <w:sz w:val="32"/>
          <w:szCs w:val="32"/>
          <w:lang w:val="en-US" w:eastAsia="zh-CN"/>
        </w:rPr>
        <w:t>印发《关于进一步完善规划审批业务公示公告的通知》《关于明确规划审批业务公示公告相关工作要求的通知》，结合规划审批业务随机抽查发现的问题提出工作管理要求，对规划审批业务公示公告内容填报及材料上传进行了完善。</w:t>
      </w:r>
    </w:p>
    <w:p>
      <w:pPr>
        <w:pStyle w:val="3"/>
        <w:keepNext w:val="0"/>
        <w:keepLines w:val="0"/>
        <w:pageBreakBefore w:val="0"/>
        <w:widowControl w:val="0"/>
        <w:numPr>
          <w:ilvl w:val="0"/>
          <w:numId w:val="0"/>
        </w:numPr>
        <w:kinsoku/>
        <w:wordWrap/>
        <w:overflowPunct/>
        <w:topLinePunct w:val="0"/>
        <w:bidi w:val="0"/>
        <w:adjustRightInd/>
        <w:snapToGrid/>
        <w:spacing w:after="0" w:afterLines="0" w:line="240" w:lineRule="auto"/>
        <w:ind w:left="0" w:leftChars="0" w:right="0" w:rightChars="0" w:firstLine="680" w:firstLineChars="0"/>
        <w:textAlignment w:val="auto"/>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spacing w:val="0"/>
          <w:kern w:val="2"/>
          <w:sz w:val="32"/>
          <w:szCs w:val="32"/>
          <w:lang w:val="en-US" w:eastAsia="zh-CN" w:bidi="ar-SA"/>
        </w:rPr>
        <w:t>2.</w:t>
      </w:r>
      <w:r>
        <w:rPr>
          <w:rFonts w:hint="default" w:ascii="Times New Roman" w:hAnsi="Times New Roman" w:eastAsia="仿宋_GB2312" w:cs="Times New Roman"/>
          <w:spacing w:val="-6"/>
          <w:sz w:val="32"/>
          <w:szCs w:val="32"/>
          <w:lang w:eastAsia="zh-CN"/>
        </w:rPr>
        <w:t>强化</w:t>
      </w:r>
      <w:r>
        <w:rPr>
          <w:rFonts w:hint="default" w:ascii="Times New Roman" w:hAnsi="Times New Roman" w:eastAsia="仿宋_GB2312" w:cs="Times New Roman"/>
          <w:spacing w:val="-6"/>
          <w:sz w:val="32"/>
          <w:szCs w:val="32"/>
        </w:rPr>
        <w:t>行政许可事项</w:t>
      </w:r>
      <w:r>
        <w:rPr>
          <w:rFonts w:hint="eastAsia" w:ascii="Times New Roman" w:hAnsi="Times New Roman" w:eastAsia="仿宋_GB2312" w:cs="Times New Roman"/>
          <w:spacing w:val="-6"/>
          <w:sz w:val="32"/>
          <w:szCs w:val="32"/>
          <w:lang w:eastAsia="zh-CN"/>
        </w:rPr>
        <w:t>事前查验、</w:t>
      </w:r>
      <w:r>
        <w:rPr>
          <w:rFonts w:hint="default" w:ascii="Times New Roman" w:hAnsi="Times New Roman" w:eastAsia="仿宋_GB2312" w:cs="Times New Roman"/>
          <w:spacing w:val="-6"/>
          <w:sz w:val="32"/>
          <w:szCs w:val="32"/>
          <w:lang w:eastAsia="zh-CN"/>
        </w:rPr>
        <w:t>事中事后监管</w:t>
      </w:r>
      <w:r>
        <w:rPr>
          <w:rFonts w:hint="default" w:ascii="Times New Roman" w:hAnsi="Times New Roman" w:eastAsia="仿宋_GB2312" w:cs="Times New Roman"/>
          <w:spacing w:val="-6"/>
          <w:sz w:val="32"/>
          <w:szCs w:val="32"/>
        </w:rPr>
        <w:t>。一是</w:t>
      </w:r>
      <w:r>
        <w:rPr>
          <w:rFonts w:hint="eastAsia" w:ascii="Times New Roman" w:hAnsi="Times New Roman" w:eastAsia="仿宋_GB2312" w:cs="Times New Roman"/>
          <w:spacing w:val="-6"/>
          <w:sz w:val="32"/>
          <w:szCs w:val="32"/>
          <w:lang w:eastAsia="zh-CN"/>
        </w:rPr>
        <w:t>建立健全</w:t>
      </w:r>
      <w:r>
        <w:rPr>
          <w:rFonts w:hint="default" w:ascii="Times New Roman" w:hAnsi="Times New Roman" w:eastAsia="仿宋_GB2312" w:cs="Times New Roman"/>
          <w:spacing w:val="-6"/>
          <w:sz w:val="32"/>
          <w:szCs w:val="32"/>
        </w:rPr>
        <w:t>监管机制</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spacing w:val="-6"/>
          <w:sz w:val="32"/>
          <w:szCs w:val="32"/>
          <w:highlight w:val="none"/>
          <w:lang w:eastAsia="zh-CN"/>
        </w:rPr>
        <w:t>及时妥善处理群众投诉</w:t>
      </w:r>
      <w:r>
        <w:rPr>
          <w:rFonts w:hint="eastAsia" w:ascii="Times New Roman" w:hAnsi="Times New Roman" w:eastAsia="仿宋_GB2312" w:cs="Times New Roman"/>
          <w:spacing w:val="-6"/>
          <w:sz w:val="32"/>
          <w:szCs w:val="32"/>
          <w:highlight w:val="none"/>
          <w:lang w:val="en-US" w:eastAsia="zh-CN"/>
        </w:rPr>
        <w:t>，</w:t>
      </w:r>
      <w:r>
        <w:rPr>
          <w:rFonts w:hint="default" w:ascii="Times New Roman" w:hAnsi="Times New Roman" w:eastAsia="仿宋_GB2312" w:cs="Times New Roman"/>
          <w:spacing w:val="0"/>
          <w:sz w:val="32"/>
          <w:szCs w:val="32"/>
        </w:rPr>
        <w:t>进一步健全“码”上反映问题调查处置工作制度、监督闭环处置机制，实现“码”上监督马上办理，推动监督落地，让党内监督与群众监督一体推进，贯通协同。</w:t>
      </w:r>
      <w:r>
        <w:rPr>
          <w:rFonts w:hint="eastAsia" w:ascii="Times New Roman" w:hAnsi="Times New Roman" w:eastAsia="仿宋_GB2312" w:cs="Times New Roman"/>
          <w:b w:val="0"/>
          <w:bCs w:val="0"/>
          <w:color w:val="auto"/>
          <w:sz w:val="32"/>
          <w:szCs w:val="32"/>
          <w:lang w:val="en-US" w:eastAsia="zh-CN"/>
        </w:rPr>
        <w:t>二是</w:t>
      </w:r>
      <w:r>
        <w:rPr>
          <w:rFonts w:hint="eastAsia" w:ascii="仿宋_GB2312" w:hAnsi="仿宋_GB2312" w:eastAsia="仿宋_GB2312" w:cs="仿宋_GB2312"/>
          <w:color w:val="000000"/>
          <w:kern w:val="0"/>
          <w:sz w:val="31"/>
          <w:szCs w:val="31"/>
          <w:lang w:val="en-US" w:eastAsia="zh-CN" w:bidi="ar"/>
        </w:rPr>
        <w:t>进一步深化以案促改促治,防范规划领域廉政风险。</w:t>
      </w:r>
      <w:r>
        <w:rPr>
          <w:rFonts w:hint="eastAsia" w:ascii="仿宋_GB2312" w:hAnsi="Times New Roman" w:eastAsia="仿宋_GB2312" w:cs="仿宋_GB2312"/>
          <w:color w:val="000000"/>
          <w:kern w:val="2"/>
          <w:sz w:val="32"/>
          <w:szCs w:val="32"/>
          <w:lang w:val="en-US" w:eastAsia="zh-CN" w:bidi="ar"/>
        </w:rPr>
        <w:t>通过“年度抽查＋专题培训”双措并举的方式，使规划审批自查自纠工作机制得到进一步成熟完善。</w:t>
      </w:r>
      <w:r>
        <w:rPr>
          <w:rFonts w:hint="eastAsia" w:ascii="仿宋_GB2312" w:hAnsi="仿宋_GB2312" w:eastAsia="仿宋_GB2312" w:cs="仿宋_GB2312"/>
          <w:color w:val="000000"/>
          <w:kern w:val="0"/>
          <w:sz w:val="31"/>
          <w:szCs w:val="31"/>
          <w:lang w:val="en-US" w:eastAsia="zh-CN" w:bidi="ar"/>
        </w:rPr>
        <w:t>2025年度，组织完成了一次局内部规划审批业务抽查工作，抽取了包含房地产类、商业类、工业类、个人自建住房类、市政工程类共计208个项目932宗业务。针对</w:t>
      </w:r>
      <w:r>
        <w:rPr>
          <w:rFonts w:hint="eastAsia" w:ascii="Times New Roman" w:hAnsi="Times New Roman" w:eastAsia="仿宋_GB2312" w:cs="Times New Roman"/>
          <w:kern w:val="0"/>
          <w:sz w:val="32"/>
          <w:szCs w:val="32"/>
          <w:lang w:val="en-US" w:eastAsia="zh-CN"/>
        </w:rPr>
        <w:t>抽查和日常发现的问题，组织开展规划审批业务抽查情况通报及规划报建实务专题培训。</w:t>
      </w:r>
      <w:r>
        <w:rPr>
          <w:rFonts w:hint="eastAsia" w:ascii="Times New Roman" w:hAnsi="Times New Roman" w:eastAsia="仿宋_GB2312" w:cs="Times New Roman"/>
          <w:b w:val="0"/>
          <w:bCs w:val="0"/>
          <w:color w:val="auto"/>
          <w:sz w:val="32"/>
          <w:szCs w:val="32"/>
          <w:lang w:val="en-US" w:eastAsia="zh-CN"/>
        </w:rPr>
        <w:t>三是</w:t>
      </w:r>
      <w:r>
        <w:rPr>
          <w:rFonts w:hint="eastAsia" w:ascii="仿宋_GB2312" w:hAnsi="Times New Roman" w:eastAsia="仿宋_GB2312" w:cs="仿宋_GB2312"/>
          <w:color w:val="000000"/>
          <w:kern w:val="2"/>
          <w:sz w:val="32"/>
          <w:szCs w:val="32"/>
          <w:lang w:val="en-US" w:eastAsia="zh-CN" w:bidi="ar"/>
        </w:rPr>
        <w:t>通过“随机抽查＋专项排查”双措并举的方式，2025年度安排专人对近年重点项目用林情况开展事后审批专项抽检，</w:t>
      </w:r>
      <w:r>
        <w:rPr>
          <w:rFonts w:hint="eastAsia" w:ascii="仿宋_GB2312" w:hAnsi="Times New Roman" w:eastAsia="仿宋_GB2312" w:cs="仿宋_GB2312"/>
          <w:color w:val="000000"/>
          <w:kern w:val="2"/>
          <w:sz w:val="32"/>
          <w:szCs w:val="32"/>
          <w:highlight w:val="none"/>
          <w:lang w:val="en-US" w:eastAsia="zh-CN" w:bidi="ar"/>
        </w:rPr>
        <w:t>上半年</w:t>
      </w:r>
      <w:r>
        <w:rPr>
          <w:rFonts w:hint="eastAsia" w:ascii="仿宋_GB2312" w:hAnsi="Times New Roman" w:eastAsia="仿宋_GB2312" w:cs="仿宋_GB2312"/>
          <w:color w:val="000000"/>
          <w:kern w:val="2"/>
          <w:sz w:val="32"/>
          <w:szCs w:val="32"/>
          <w:lang w:val="en-US" w:eastAsia="zh-CN" w:bidi="ar"/>
        </w:rPr>
        <w:t>我局多次组织市供电局及属地镇街对涉林范围广、监管难度大建设项目用林红线、临时用林复绿情况开展实地核查，严防辖区内建设项目重大涉林问题发生。</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仿宋_GB2312" w:cs="Times New Roman"/>
          <w:snapToGrid w:val="0"/>
          <w:color w:val="000000"/>
          <w:spacing w:val="6"/>
          <w:kern w:val="32"/>
          <w:sz w:val="32"/>
          <w:lang w:val="en-US" w:eastAsia="zh-CN"/>
        </w:rPr>
      </w:pPr>
      <w:r>
        <w:rPr>
          <w:rFonts w:hint="default" w:ascii="Times New Roman" w:hAnsi="Times New Roman" w:eastAsia="仿宋_GB2312" w:cs="Times New Roman"/>
          <w:snapToGrid w:val="0"/>
          <w:color w:val="000000"/>
          <w:spacing w:val="6"/>
          <w:kern w:val="32"/>
          <w:sz w:val="32"/>
          <w:lang w:val="en-US" w:eastAsia="zh-CN"/>
        </w:rPr>
        <w:t>（五）实施效果。</w:t>
      </w:r>
    </w:p>
    <w:p>
      <w:pPr>
        <w:pStyle w:val="3"/>
        <w:keepNext w:val="0"/>
        <w:keepLines w:val="0"/>
        <w:pageBreakBefore w:val="0"/>
        <w:widowControl w:val="0"/>
        <w:numPr>
          <w:ilvl w:val="0"/>
          <w:numId w:val="0"/>
        </w:numPr>
        <w:kinsoku/>
        <w:wordWrap/>
        <w:overflowPunct/>
        <w:topLinePunct w:val="0"/>
        <w:bidi w:val="0"/>
        <w:adjustRightInd/>
        <w:snapToGrid/>
        <w:spacing w:after="0" w:afterLines="0" w:line="240" w:lineRule="auto"/>
        <w:ind w:left="0" w:leftChars="0" w:right="0" w:rightChars="0" w:firstLine="680" w:firstLineChars="0"/>
        <w:textAlignment w:val="auto"/>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color w:val="auto"/>
          <w:spacing w:val="-6"/>
          <w:sz w:val="32"/>
          <w:szCs w:val="32"/>
          <w:lang w:val="en-US" w:eastAsia="zh-CN"/>
        </w:rPr>
        <w:t>202</w:t>
      </w:r>
      <w:r>
        <w:rPr>
          <w:rFonts w:hint="eastAsia" w:ascii="Times New Roman" w:hAnsi="Times New Roman" w:eastAsia="仿宋_GB2312" w:cs="Times New Roman"/>
          <w:color w:val="auto"/>
          <w:spacing w:val="-6"/>
          <w:sz w:val="32"/>
          <w:szCs w:val="32"/>
          <w:lang w:val="en-US" w:eastAsia="zh-CN"/>
        </w:rPr>
        <w:t>5</w:t>
      </w:r>
      <w:r>
        <w:rPr>
          <w:rFonts w:hint="default" w:ascii="Times New Roman" w:hAnsi="Times New Roman" w:eastAsia="仿宋_GB2312" w:cs="Times New Roman"/>
          <w:color w:val="auto"/>
          <w:spacing w:val="-6"/>
          <w:sz w:val="32"/>
          <w:szCs w:val="32"/>
          <w:lang w:val="en-US" w:eastAsia="zh-CN"/>
        </w:rPr>
        <w:t>年我局按照行政许可有关规定已达到设立行政许可预期效果，在通过优化和规范审批流程、方便行政相对人、提高审批效率等方面取得明显成效，行政相对人认可度和满意度也得到一定提升</w:t>
      </w:r>
      <w:r>
        <w:rPr>
          <w:rFonts w:hint="eastAsia" w:ascii="Times New Roman" w:hAnsi="Times New Roman" w:eastAsia="仿宋_GB2312" w:cs="Times New Roman"/>
          <w:color w:val="auto"/>
          <w:spacing w:val="-6"/>
          <w:sz w:val="32"/>
          <w:szCs w:val="32"/>
          <w:lang w:val="en-US" w:eastAsia="zh-CN"/>
        </w:rPr>
        <w:t>,</w:t>
      </w:r>
      <w:r>
        <w:rPr>
          <w:rFonts w:hint="eastAsia" w:ascii="Times New Roman" w:hAnsi="Times New Roman" w:eastAsia="仿宋_GB2312" w:cs="Times New Roman"/>
          <w:b w:val="0"/>
          <w:bCs w:val="0"/>
          <w:color w:val="auto"/>
          <w:sz w:val="32"/>
          <w:szCs w:val="32"/>
          <w:lang w:val="en-US" w:eastAsia="zh-CN"/>
        </w:rPr>
        <w:t>进一步优化了我市营商环境，助力项目加速落地，推动我市经济高质量发展。</w:t>
      </w:r>
    </w:p>
    <w:p>
      <w:pPr>
        <w:pStyle w:val="3"/>
        <w:keepNext w:val="0"/>
        <w:keepLines w:val="0"/>
        <w:pageBreakBefore w:val="0"/>
        <w:widowControl w:val="0"/>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黑体" w:cs="Times New Roman"/>
          <w:snapToGrid w:val="0"/>
          <w:color w:val="000000"/>
          <w:spacing w:val="6"/>
          <w:kern w:val="32"/>
          <w:sz w:val="32"/>
          <w:lang w:val="en-US" w:eastAsia="zh-CN"/>
        </w:rPr>
      </w:pPr>
      <w:r>
        <w:rPr>
          <w:rFonts w:hint="default" w:ascii="Times New Roman" w:hAnsi="Times New Roman" w:eastAsia="黑体" w:cs="Times New Roman"/>
          <w:snapToGrid w:val="0"/>
          <w:color w:val="000000"/>
          <w:spacing w:val="6"/>
          <w:kern w:val="32"/>
          <w:sz w:val="32"/>
          <w:lang w:val="en-US" w:eastAsia="zh-CN"/>
        </w:rPr>
        <w:t>二、存在问题和</w:t>
      </w:r>
      <w:r>
        <w:rPr>
          <w:rFonts w:hint="eastAsia" w:ascii="Times New Roman" w:hAnsi="Times New Roman" w:eastAsia="黑体" w:cs="Times New Roman"/>
          <w:snapToGrid w:val="0"/>
          <w:color w:val="000000"/>
          <w:spacing w:val="6"/>
          <w:kern w:val="32"/>
          <w:sz w:val="32"/>
          <w:lang w:val="en-US" w:eastAsia="zh-CN"/>
        </w:rPr>
        <w:t>下一步工作措施</w:t>
      </w:r>
    </w:p>
    <w:p>
      <w:pPr>
        <w:pStyle w:val="12"/>
        <w:keepNext w:val="0"/>
        <w:keepLines w:val="0"/>
        <w:pageBreakBefore w:val="0"/>
        <w:widowControl w:val="0"/>
        <w:kinsoku/>
        <w:wordWrap/>
        <w:overflowPunct/>
        <w:topLinePunct w:val="0"/>
        <w:autoSpaceDE/>
        <w:autoSpaceDN/>
        <w:bidi w:val="0"/>
        <w:adjustRightInd/>
        <w:snapToGrid/>
        <w:spacing w:beforeAutospacing="0" w:line="574" w:lineRule="exact"/>
        <w:ind w:left="0" w:firstLine="640" w:firstLineChars="200"/>
        <w:textAlignment w:val="auto"/>
        <w:rPr>
          <w:rFonts w:hint="eastAsia" w:ascii="Times New Roman" w:hAnsi="Times New Roman" w:eastAsia="仿宋_GB2312" w:cs="Times New Roman"/>
          <w:color w:val="FF0000"/>
          <w:spacing w:val="-6"/>
          <w:sz w:val="32"/>
          <w:szCs w:val="32"/>
          <w:lang w:val="en-US" w:eastAsia="zh-CN"/>
        </w:rPr>
      </w:pPr>
      <w:r>
        <w:rPr>
          <w:rFonts w:hint="default" w:ascii="Times New Roman" w:hAnsi="Times New Roman" w:eastAsia="仿宋_GB2312" w:cs="Times New Roman"/>
          <w:color w:val="auto"/>
          <w:kern w:val="2"/>
          <w:sz w:val="32"/>
          <w:szCs w:val="32"/>
          <w:lang w:val="en-US" w:eastAsia="zh-CN" w:bidi="ar-SA"/>
        </w:rPr>
        <w:t>202</w:t>
      </w:r>
      <w:r>
        <w:rPr>
          <w:rFonts w:hint="eastAsia" w:ascii="Times New Roman" w:hAnsi="Times New Roman" w:eastAsia="仿宋_GB2312" w:cs="Times New Roman"/>
          <w:color w:val="auto"/>
          <w:kern w:val="2"/>
          <w:sz w:val="32"/>
          <w:szCs w:val="32"/>
          <w:lang w:val="en-US" w:eastAsia="zh-CN" w:bidi="ar-SA"/>
        </w:rPr>
        <w:t>5</w:t>
      </w:r>
      <w:r>
        <w:rPr>
          <w:rFonts w:hint="default" w:ascii="Times New Roman" w:hAnsi="Times New Roman" w:eastAsia="仿宋_GB2312" w:cs="Times New Roman"/>
          <w:snapToGrid w:val="0"/>
          <w:color w:val="auto"/>
          <w:spacing w:val="6"/>
          <w:kern w:val="32"/>
          <w:sz w:val="32"/>
          <w:lang w:val="en-US" w:eastAsia="zh-CN"/>
        </w:rPr>
        <w:t>年，</w:t>
      </w:r>
      <w:r>
        <w:rPr>
          <w:rFonts w:hint="default" w:ascii="Times New Roman" w:hAnsi="Times New Roman" w:eastAsia="仿宋_GB2312" w:cs="Times New Roman"/>
          <w:color w:val="auto"/>
          <w:spacing w:val="-6"/>
          <w:sz w:val="32"/>
          <w:szCs w:val="32"/>
        </w:rPr>
        <w:t>我局在实施行政许可及监督管理过程中仍存在问题</w:t>
      </w:r>
      <w:r>
        <w:rPr>
          <w:rFonts w:hint="default" w:ascii="Times New Roman" w:hAnsi="Times New Roman" w:eastAsia="仿宋_GB2312" w:cs="Times New Roman"/>
          <w:color w:val="auto"/>
          <w:spacing w:val="-6"/>
          <w:sz w:val="32"/>
          <w:szCs w:val="32"/>
          <w:lang w:eastAsia="zh-CN"/>
        </w:rPr>
        <w:t>，主要体现在</w:t>
      </w:r>
      <w:r>
        <w:rPr>
          <w:rFonts w:hint="eastAsia" w:ascii="Times New Roman" w:hAnsi="Times New Roman" w:eastAsia="仿宋_GB2312" w:cs="Times New Roman"/>
          <w:color w:val="auto"/>
          <w:spacing w:val="-6"/>
          <w:sz w:val="32"/>
          <w:szCs w:val="32"/>
          <w:lang w:eastAsia="zh-CN"/>
        </w:rPr>
        <w:t>改革落地与对标先进方面</w:t>
      </w:r>
      <w:r>
        <w:rPr>
          <w:rFonts w:hint="default" w:ascii="Times New Roman" w:hAnsi="Times New Roman" w:eastAsia="仿宋_GB2312" w:cs="Times New Roman"/>
          <w:color w:val="auto"/>
          <w:sz w:val="32"/>
          <w:szCs w:val="32"/>
          <w:lang w:eastAsia="zh-CN"/>
        </w:rPr>
        <w:t>。结合实际，</w:t>
      </w:r>
      <w:r>
        <w:rPr>
          <w:rFonts w:hint="eastAsia" w:ascii="Times New Roman" w:hAnsi="Times New Roman" w:eastAsia="仿宋_GB2312" w:cs="Times New Roman"/>
          <w:color w:val="auto"/>
          <w:sz w:val="32"/>
          <w:szCs w:val="32"/>
          <w:lang w:eastAsia="zh-CN"/>
        </w:rPr>
        <w:t>我局下一步的工作措施如下：</w:t>
      </w:r>
      <w:r>
        <w:rPr>
          <w:rFonts w:hint="eastAsia" w:ascii="Times New Roman" w:hAnsi="Times New Roman" w:eastAsia="仿宋_GB2312" w:cs="Times New Roman"/>
          <w:b w:val="0"/>
          <w:bCs w:val="0"/>
          <w:color w:val="auto"/>
          <w:kern w:val="2"/>
          <w:sz w:val="32"/>
          <w:szCs w:val="32"/>
          <w:u w:val="none"/>
          <w:lang w:val="en-US" w:eastAsia="zh-CN" w:bidi="ar-SA"/>
        </w:rPr>
        <w:t>根据《中山市贯彻落实全国统一大市场建设 深化营商环境改革若干措施的通知》要求，对标深圳等先进地区，持续提升审批效能与服务水平。如持续深化工程建设审批制度改革，探索推行项目分类承诺审批，对标深圳经验，在宗地内规定建筑面积不大于5000平方米且规划功能和建筑类型单一的政府投资建设项目规划报建阶段，制定建设工程规划许可告知承诺审批措施规定，由项目建设单位或业主选择申请以告知承诺的方式办理建设工程规划许可，进一步减压办理时限。</w:t>
      </w:r>
    </w:p>
    <w:p>
      <w:pPr>
        <w:pStyle w:val="3"/>
        <w:keepNext w:val="0"/>
        <w:keepLines w:val="0"/>
        <w:pageBreakBefore w:val="0"/>
        <w:widowControl w:val="0"/>
        <w:numPr>
          <w:ilvl w:val="0"/>
          <w:numId w:val="0"/>
        </w:numPr>
        <w:kinsoku/>
        <w:wordWrap/>
        <w:topLinePunct w:val="0"/>
        <w:bidi w:val="0"/>
        <w:adjustRightInd/>
        <w:snapToGrid/>
        <w:spacing w:after="0" w:afterLines="0" w:line="240" w:lineRule="auto"/>
        <w:ind w:left="0" w:leftChars="0" w:right="0" w:rightChars="0" w:firstLine="688"/>
        <w:textAlignment w:val="auto"/>
        <w:rPr>
          <w:rFonts w:hint="default" w:ascii="Times New Roman" w:hAnsi="Times New Roman" w:eastAsia="仿宋_GB2312" w:cs="Times New Roman"/>
          <w:sz w:val="32"/>
          <w:szCs w:val="32"/>
        </w:rPr>
      </w:pPr>
    </w:p>
    <w:p>
      <w:pPr>
        <w:pStyle w:val="3"/>
        <w:keepNext w:val="0"/>
        <w:keepLines w:val="0"/>
        <w:pageBreakBefore w:val="0"/>
        <w:widowControl w:val="0"/>
        <w:numPr>
          <w:ilvl w:val="0"/>
          <w:numId w:val="0"/>
        </w:numPr>
        <w:kinsoku/>
        <w:wordWrap/>
        <w:topLinePunct w:val="0"/>
        <w:bidi w:val="0"/>
        <w:adjustRightInd/>
        <w:snapToGrid/>
        <w:spacing w:after="0" w:afterLines="0" w:line="240" w:lineRule="auto"/>
        <w:ind w:right="0" w:rightChars="0" w:firstLine="5120" w:firstLineChars="16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中山市自然资源局</w:t>
      </w:r>
    </w:p>
    <w:p>
      <w:pPr>
        <w:pStyle w:val="3"/>
        <w:keepNext w:val="0"/>
        <w:keepLines w:val="0"/>
        <w:pageBreakBefore w:val="0"/>
        <w:widowControl w:val="0"/>
        <w:numPr>
          <w:ilvl w:val="0"/>
          <w:numId w:val="0"/>
        </w:numPr>
        <w:kinsoku/>
        <w:wordWrap/>
        <w:topLinePunct w:val="0"/>
        <w:bidi w:val="0"/>
        <w:adjustRightInd/>
        <w:snapToGrid/>
        <w:spacing w:after="0" w:afterLines="0" w:line="240" w:lineRule="auto"/>
        <w:ind w:right="0" w:rightChars="0" w:firstLine="5120" w:firstLineChars="16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2026年3月26日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微软简标宋">
    <w:panose1 w:val="00000000000000000000"/>
    <w:charset w:val="00"/>
    <w:family w:val="auto"/>
    <w:pitch w:val="default"/>
    <w:sig w:usb0="00000000" w:usb1="00000000" w:usb2="00000000" w:usb3="00000000" w:csb0="00000000" w:csb1="00000000"/>
  </w:font>
  <w:font w:name="SymbolPS">
    <w:panose1 w:val="050501020106070206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ZDczNTEzZmVjMjQzODVmMmViOWQxNTZmZjE3YjEifQ=="/>
  </w:docVars>
  <w:rsids>
    <w:rsidRoot w:val="76B738F7"/>
    <w:rsid w:val="005A4447"/>
    <w:rsid w:val="02D6204D"/>
    <w:rsid w:val="03707895"/>
    <w:rsid w:val="040F3348"/>
    <w:rsid w:val="05043594"/>
    <w:rsid w:val="06306CED"/>
    <w:rsid w:val="07D33702"/>
    <w:rsid w:val="08171804"/>
    <w:rsid w:val="088857C7"/>
    <w:rsid w:val="08D00FFA"/>
    <w:rsid w:val="091A3566"/>
    <w:rsid w:val="09413E70"/>
    <w:rsid w:val="0A746EB9"/>
    <w:rsid w:val="0A9721D6"/>
    <w:rsid w:val="0AF52007"/>
    <w:rsid w:val="0B961592"/>
    <w:rsid w:val="0CFA54B6"/>
    <w:rsid w:val="0D723B2C"/>
    <w:rsid w:val="0F187F0F"/>
    <w:rsid w:val="0F8B1C2A"/>
    <w:rsid w:val="13966E64"/>
    <w:rsid w:val="13B3236F"/>
    <w:rsid w:val="13C90583"/>
    <w:rsid w:val="13D71E78"/>
    <w:rsid w:val="13FE19F2"/>
    <w:rsid w:val="15376088"/>
    <w:rsid w:val="15543BB5"/>
    <w:rsid w:val="157F7736"/>
    <w:rsid w:val="15AE788B"/>
    <w:rsid w:val="16242CF1"/>
    <w:rsid w:val="173B732A"/>
    <w:rsid w:val="173C1DD9"/>
    <w:rsid w:val="17571D9C"/>
    <w:rsid w:val="19726CCB"/>
    <w:rsid w:val="19B3184C"/>
    <w:rsid w:val="19EC7238"/>
    <w:rsid w:val="1A0A3B2B"/>
    <w:rsid w:val="1AA726B9"/>
    <w:rsid w:val="1B7F6C47"/>
    <w:rsid w:val="1C045AAA"/>
    <w:rsid w:val="1C414647"/>
    <w:rsid w:val="1DA614B7"/>
    <w:rsid w:val="1FDB7C5B"/>
    <w:rsid w:val="209D5764"/>
    <w:rsid w:val="20BC5508"/>
    <w:rsid w:val="21CF4C94"/>
    <w:rsid w:val="220567F3"/>
    <w:rsid w:val="222F5311"/>
    <w:rsid w:val="225F77B4"/>
    <w:rsid w:val="23032CE1"/>
    <w:rsid w:val="231701D9"/>
    <w:rsid w:val="2320564D"/>
    <w:rsid w:val="24B623B0"/>
    <w:rsid w:val="2539586A"/>
    <w:rsid w:val="25903BA2"/>
    <w:rsid w:val="26014D9A"/>
    <w:rsid w:val="26035F8A"/>
    <w:rsid w:val="26A70249"/>
    <w:rsid w:val="27A01DF3"/>
    <w:rsid w:val="2884485F"/>
    <w:rsid w:val="28D01A5B"/>
    <w:rsid w:val="28EB29C4"/>
    <w:rsid w:val="2C1E5632"/>
    <w:rsid w:val="2CF60C83"/>
    <w:rsid w:val="2D4030A2"/>
    <w:rsid w:val="2D6F5354"/>
    <w:rsid w:val="2DC56577"/>
    <w:rsid w:val="2E2E1481"/>
    <w:rsid w:val="2E3B679B"/>
    <w:rsid w:val="2E6B271B"/>
    <w:rsid w:val="2E6B5455"/>
    <w:rsid w:val="2E9D0067"/>
    <w:rsid w:val="2F3C5BA0"/>
    <w:rsid w:val="306B6A39"/>
    <w:rsid w:val="30743A70"/>
    <w:rsid w:val="317B787B"/>
    <w:rsid w:val="333F7872"/>
    <w:rsid w:val="33646C30"/>
    <w:rsid w:val="347E6E0D"/>
    <w:rsid w:val="36771D9B"/>
    <w:rsid w:val="37606BD3"/>
    <w:rsid w:val="383C6DF3"/>
    <w:rsid w:val="39592AED"/>
    <w:rsid w:val="3A313CF9"/>
    <w:rsid w:val="3A691A8B"/>
    <w:rsid w:val="3AD326E8"/>
    <w:rsid w:val="3BB0031A"/>
    <w:rsid w:val="3BF1260F"/>
    <w:rsid w:val="3C1C362D"/>
    <w:rsid w:val="3CC21421"/>
    <w:rsid w:val="3D003130"/>
    <w:rsid w:val="3D147C87"/>
    <w:rsid w:val="3D6F29BE"/>
    <w:rsid w:val="3D8E0B8E"/>
    <w:rsid w:val="3DA8411A"/>
    <w:rsid w:val="3E275494"/>
    <w:rsid w:val="3E957395"/>
    <w:rsid w:val="3EC15A7B"/>
    <w:rsid w:val="3F8F06A9"/>
    <w:rsid w:val="41416405"/>
    <w:rsid w:val="427B2AE5"/>
    <w:rsid w:val="42AD1ABD"/>
    <w:rsid w:val="447C22F3"/>
    <w:rsid w:val="44CF1976"/>
    <w:rsid w:val="451375E1"/>
    <w:rsid w:val="45647867"/>
    <w:rsid w:val="46C71240"/>
    <w:rsid w:val="47255440"/>
    <w:rsid w:val="47546239"/>
    <w:rsid w:val="47CB7AA4"/>
    <w:rsid w:val="48A9768F"/>
    <w:rsid w:val="49EA3B01"/>
    <w:rsid w:val="4AD54155"/>
    <w:rsid w:val="4D85136F"/>
    <w:rsid w:val="4F640369"/>
    <w:rsid w:val="502C7E38"/>
    <w:rsid w:val="504925C9"/>
    <w:rsid w:val="504A0C15"/>
    <w:rsid w:val="512F6EC2"/>
    <w:rsid w:val="51850890"/>
    <w:rsid w:val="53E44B04"/>
    <w:rsid w:val="53FC232F"/>
    <w:rsid w:val="547E27F7"/>
    <w:rsid w:val="553919D1"/>
    <w:rsid w:val="55A3125E"/>
    <w:rsid w:val="55AE2EAD"/>
    <w:rsid w:val="56C503E9"/>
    <w:rsid w:val="57635E42"/>
    <w:rsid w:val="5829277E"/>
    <w:rsid w:val="58A15B25"/>
    <w:rsid w:val="58AF298D"/>
    <w:rsid w:val="59E93255"/>
    <w:rsid w:val="5A2710CF"/>
    <w:rsid w:val="5A766AF8"/>
    <w:rsid w:val="5AFD7BCF"/>
    <w:rsid w:val="5B971602"/>
    <w:rsid w:val="5BAB47B5"/>
    <w:rsid w:val="5BEE05AA"/>
    <w:rsid w:val="5C8B790F"/>
    <w:rsid w:val="5D0126A9"/>
    <w:rsid w:val="5DE2305C"/>
    <w:rsid w:val="5DED6308"/>
    <w:rsid w:val="5E7973C3"/>
    <w:rsid w:val="5E884AFA"/>
    <w:rsid w:val="5F317443"/>
    <w:rsid w:val="5F500EA7"/>
    <w:rsid w:val="60067D45"/>
    <w:rsid w:val="605B023C"/>
    <w:rsid w:val="608F0083"/>
    <w:rsid w:val="61237CC7"/>
    <w:rsid w:val="628D5093"/>
    <w:rsid w:val="63276E54"/>
    <w:rsid w:val="650417B4"/>
    <w:rsid w:val="65E303CA"/>
    <w:rsid w:val="663D0D56"/>
    <w:rsid w:val="66600127"/>
    <w:rsid w:val="66BE0674"/>
    <w:rsid w:val="674618C6"/>
    <w:rsid w:val="67CD11EF"/>
    <w:rsid w:val="69B44CB1"/>
    <w:rsid w:val="69E46634"/>
    <w:rsid w:val="6C075CF7"/>
    <w:rsid w:val="6DB602F7"/>
    <w:rsid w:val="6F614A69"/>
    <w:rsid w:val="70303A75"/>
    <w:rsid w:val="705018E6"/>
    <w:rsid w:val="70580ADE"/>
    <w:rsid w:val="70802B2B"/>
    <w:rsid w:val="71C2296F"/>
    <w:rsid w:val="71CB1CCE"/>
    <w:rsid w:val="72C274DA"/>
    <w:rsid w:val="72F65C87"/>
    <w:rsid w:val="74652FA6"/>
    <w:rsid w:val="75773B3F"/>
    <w:rsid w:val="7591510A"/>
    <w:rsid w:val="76544068"/>
    <w:rsid w:val="766D3E93"/>
    <w:rsid w:val="76B738F7"/>
    <w:rsid w:val="787B436F"/>
    <w:rsid w:val="78DB0409"/>
    <w:rsid w:val="7924465D"/>
    <w:rsid w:val="798D37C5"/>
    <w:rsid w:val="79F85D3C"/>
    <w:rsid w:val="7BF725B4"/>
    <w:rsid w:val="7C0768DC"/>
    <w:rsid w:val="7C635AEE"/>
    <w:rsid w:val="7E4508F1"/>
    <w:rsid w:val="7E694254"/>
    <w:rsid w:val="7EE346B9"/>
    <w:rsid w:val="7F390935"/>
    <w:rsid w:val="7F5B06F3"/>
    <w:rsid w:val="7FCA1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spacing w:after="120" w:afterLines="0" w:afterAutospacing="0"/>
      <w:jc w:val="both"/>
    </w:pPr>
    <w:rPr>
      <w:rFonts w:ascii="Calibri" w:hAnsi="Calibri" w:eastAsia="Calibri" w:cs="Times New Roman"/>
      <w:kern w:val="2"/>
      <w:sz w:val="21"/>
      <w:szCs w:val="22"/>
      <w:lang w:val="en-US" w:eastAsia="zh-CN" w:bidi="ar-SA"/>
    </w:rPr>
  </w:style>
  <w:style w:type="paragraph" w:styleId="4">
    <w:name w:val="Body Text Indent"/>
    <w:basedOn w:val="1"/>
    <w:qFormat/>
    <w:uiPriority w:val="0"/>
    <w:pPr>
      <w:autoSpaceDE w:val="0"/>
      <w:autoSpaceDN w:val="0"/>
      <w:adjustRightInd w:val="0"/>
      <w:snapToGrid w:val="0"/>
      <w:spacing w:line="300" w:lineRule="auto"/>
      <w:ind w:firstLine="664" w:firstLineChars="200"/>
    </w:pPr>
    <w:rPr>
      <w:rFonts w:ascii="Times New Roman" w:hAnsi="Times New Roman" w:eastAsia="黑体" w:cs="Times New Roman"/>
      <w:spacing w:val="6"/>
      <w:kern w:val="32"/>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snapToGrid w:val="0"/>
      <w:jc w:val="center"/>
    </w:pPr>
    <w:rPr>
      <w:sz w:val="18"/>
      <w:szCs w:val="18"/>
    </w:rPr>
  </w:style>
  <w:style w:type="character" w:styleId="9">
    <w:name w:val="Strong"/>
    <w:basedOn w:val="8"/>
    <w:qFormat/>
    <w:uiPriority w:val="0"/>
    <w:rPr>
      <w:b/>
    </w:rPr>
  </w:style>
  <w:style w:type="paragraph" w:customStyle="1" w:styleId="10">
    <w:name w:val="Heading3"/>
    <w:basedOn w:val="1"/>
    <w:next w:val="1"/>
    <w:qFormat/>
    <w:uiPriority w:val="0"/>
    <w:pPr>
      <w:keepNext/>
      <w:keepLines/>
      <w:spacing w:line="413" w:lineRule="auto"/>
    </w:pPr>
  </w:style>
  <w:style w:type="paragraph" w:customStyle="1" w:styleId="11">
    <w:name w:val="p0"/>
    <w:basedOn w:val="1"/>
    <w:qFormat/>
    <w:uiPriority w:val="0"/>
    <w:pPr>
      <w:widowControl/>
    </w:pPr>
    <w:rPr>
      <w:rFonts w:eastAsia="宋体"/>
      <w:kern w:val="0"/>
      <w:sz w:val="21"/>
      <w:szCs w:val="21"/>
    </w:rPr>
  </w:style>
  <w:style w:type="paragraph" w:customStyle="1" w:styleId="12">
    <w:name w:val="PlainText"/>
    <w:qFormat/>
    <w:uiPriority w:val="0"/>
    <w:pPr>
      <w:widowControl w:val="0"/>
      <w:jc w:val="both"/>
    </w:pPr>
    <w:rPr>
      <w:rFonts w:ascii="宋体" w:hAnsi="Courier New"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3659</Words>
  <Characters>3772</Characters>
  <Lines>0</Lines>
  <Paragraphs>0</Paragraphs>
  <TotalTime>1</TotalTime>
  <ScaleCrop>false</ScaleCrop>
  <LinksUpToDate>false</LinksUpToDate>
  <CharactersWithSpaces>3778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2023-03-29T13:36:00Z</dcterms:created>
  <dc:creator>展鸿_Gary</dc:creator>
  <cp:lastModifiedBy>刘林</cp:lastModifiedBy>
  <cp:lastPrinted>2025-03-24T04:02:00Z</cp:lastPrinted>
  <dcterms:modified xsi:type="dcterms:W3CDTF">2026-03-30T01:00:30Z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69D088E5C2114C1AB30878EE0FB53DBA</vt:lpwstr>
  </property>
</Properties>
</file>