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F1967EB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/>
        <w:jc w:val="left"/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lang w:val="en-US" w:eastAsia="zh-CN"/>
        </w:rPr>
        <w:t>附件1：</w:t>
      </w:r>
    </w:p>
    <w:p w14:paraId="720AB6E9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/>
        <w:jc w:val="center"/>
        <w:rPr>
          <w:rFonts w:hint="eastAsia" w:ascii="创艺简标宋" w:hAnsi="创艺简标宋" w:eastAsia="创艺简标宋" w:cs="创艺简标宋"/>
          <w:b w:val="0"/>
          <w:bCs w:val="0"/>
          <w:color w:val="000000"/>
          <w:sz w:val="44"/>
          <w:szCs w:val="44"/>
        </w:rPr>
      </w:pPr>
      <w:bookmarkStart w:id="0" w:name="_GoBack"/>
      <w:r>
        <w:rPr>
          <w:rFonts w:hint="eastAsia" w:ascii="创艺简标宋" w:hAnsi="创艺简标宋" w:eastAsia="创艺简标宋" w:cs="创艺简标宋"/>
          <w:b w:val="0"/>
          <w:bCs w:val="0"/>
          <w:color w:val="000000"/>
          <w:sz w:val="44"/>
          <w:szCs w:val="44"/>
          <w:lang w:eastAsia="zh-CN"/>
        </w:rPr>
        <w:t>“</w:t>
      </w:r>
      <w:r>
        <w:rPr>
          <w:rFonts w:hint="eastAsia" w:ascii="创艺简标宋" w:hAnsi="创艺简标宋" w:eastAsia="创艺简标宋" w:cs="创艺简标宋"/>
          <w:b w:val="0"/>
          <w:bCs w:val="0"/>
          <w:color w:val="000000"/>
          <w:sz w:val="44"/>
          <w:szCs w:val="44"/>
        </w:rPr>
        <w:t>神湾优品</w:t>
      </w:r>
      <w:r>
        <w:rPr>
          <w:rFonts w:hint="eastAsia" w:ascii="创艺简标宋" w:hAnsi="创艺简标宋" w:eastAsia="创艺简标宋" w:cs="创艺简标宋"/>
          <w:b w:val="0"/>
          <w:bCs w:val="0"/>
          <w:color w:val="000000"/>
          <w:sz w:val="44"/>
          <w:szCs w:val="44"/>
          <w:lang w:eastAsia="zh-CN"/>
        </w:rPr>
        <w:t>”</w:t>
      </w:r>
      <w:r>
        <w:rPr>
          <w:rFonts w:hint="eastAsia" w:ascii="创艺简标宋" w:hAnsi="创艺简标宋" w:eastAsia="创艺简标宋" w:cs="创艺简标宋"/>
          <w:b w:val="0"/>
          <w:bCs w:val="0"/>
          <w:color w:val="000000"/>
          <w:sz w:val="44"/>
          <w:szCs w:val="44"/>
        </w:rPr>
        <w:t xml:space="preserve"> 品牌标识管理规则</w:t>
      </w:r>
    </w:p>
    <w:p w14:paraId="465AE76F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/>
        <w:jc w:val="center"/>
        <w:rPr>
          <w:rFonts w:hint="eastAsia" w:ascii="创艺简标宋" w:hAnsi="创艺简标宋" w:eastAsia="创艺简标宋" w:cs="创艺简标宋"/>
          <w:b w:val="0"/>
          <w:bCs w:val="0"/>
          <w:color w:val="000000"/>
          <w:sz w:val="44"/>
          <w:szCs w:val="44"/>
        </w:rPr>
      </w:pPr>
      <w:r>
        <w:rPr>
          <w:rFonts w:hint="eastAsia" w:ascii="创艺简标宋" w:hAnsi="创艺简标宋" w:eastAsia="创艺简标宋" w:cs="创艺简标宋"/>
          <w:b w:val="0"/>
          <w:bCs w:val="0"/>
          <w:color w:val="000000"/>
          <w:sz w:val="44"/>
          <w:szCs w:val="44"/>
        </w:rPr>
        <w:t>（征求意见稿）</w:t>
      </w:r>
    </w:p>
    <w:bookmarkEnd w:id="0"/>
    <w:p w14:paraId="5205A56F">
      <w:pPr>
        <w:jc w:val="center"/>
        <w:rPr>
          <w:rFonts w:hint="eastAsia" w:ascii="黑体" w:hAnsi="黑体" w:eastAsia="黑体" w:cs="黑体"/>
          <w:sz w:val="32"/>
          <w:szCs w:val="32"/>
        </w:rPr>
      </w:pPr>
    </w:p>
    <w:p w14:paraId="44B1F1E1">
      <w:pPr>
        <w:jc w:val="center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第一章 总则</w:t>
      </w:r>
    </w:p>
    <w:p w14:paraId="011FFB2A">
      <w:pPr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 xml:space="preserve">第一条 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为加快品牌建设，提升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“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神湾优品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”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品牌的知名度、美誉度，规范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“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神湾优品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”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品牌标识使用管理，保护相关主体合法权益，发挥品牌对神湾经济高质量发展的促进作用，结合我镇实际，依法制定本规则。</w:t>
      </w:r>
    </w:p>
    <w:p w14:paraId="30E1260F">
      <w:pPr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第二条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 xml:space="preserve"> “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神湾优品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”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是指以神湾镇自然资源、人文资源、原创科技成果为依托，以神湾镇企业为主体，生产或委托加工的名优特产的统称。</w:t>
      </w:r>
    </w:p>
    <w:p w14:paraId="14A88F9F">
      <w:pPr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第三条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 xml:space="preserve"> “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神湾优品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”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的产品范围包括由神湾镇获得生产经营许可证或专门授权的农业、工业和服务业的企业进行种植、养殖、加工、制造和经营的优质农产品、工业品和服务产品。产品产地、食品生产企业登记注册地或产品主要生产地在神湾镇。</w:t>
      </w:r>
    </w:p>
    <w:p w14:paraId="34255B7E">
      <w:pPr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第四条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 xml:space="preserve"> “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神湾优品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”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品牌标识使用管理坚持政府引导、市场运作、企业主体参与的发展模式，遵循公开公正公平、自愿申报、专家评审、规范授权、无偿使用、动态调整的原则，统筹谋划、合理布局，科学遴选、从严管理，褒扬诚信、惩戒失信，以质取胜。</w:t>
      </w:r>
    </w:p>
    <w:p w14:paraId="026EFA8D">
      <w:pPr>
        <w:jc w:val="center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第二章 准入原则</w:t>
      </w:r>
    </w:p>
    <w:p w14:paraId="32C881D6">
      <w:pPr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第五条 品质可量化、产业可支撑、发展可持续，满足准入门槛后，对申报的产品进行评分，择优入库。</w:t>
      </w:r>
    </w:p>
    <w:p w14:paraId="05B27686">
      <w:pPr>
        <w:rPr>
          <w:rFonts w:hint="default" w:ascii="Times New Roman" w:hAnsi="Times New Roman" w:eastAsia="仿宋_GB2312" w:cs="Times New Roman"/>
          <w:sz w:val="32"/>
          <w:szCs w:val="32"/>
        </w:rPr>
      </w:pPr>
    </w:p>
    <w:p w14:paraId="1A3C4E10">
      <w:pPr>
        <w:jc w:val="center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第三章 准入标准评分</w:t>
      </w:r>
    </w:p>
    <w:p w14:paraId="3882BFDC">
      <w:pPr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第六条 准入门槛（基础条件）：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“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神湾优品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”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一票否决标准表、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“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神湾优品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”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工业产品评价表、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“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神湾优品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”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食用农产品评价表、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“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神湾优品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”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观赏农产品兰花类评价表、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“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神湾优品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”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 xml:space="preserve"> 食品产品评价表，内容详见附件2《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“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神湾优品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”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准入标准评分表（征求意见稿）》。</w:t>
      </w:r>
    </w:p>
    <w:p w14:paraId="01B9D8B0">
      <w:pPr>
        <w:rPr>
          <w:rFonts w:hint="default" w:ascii="Times New Roman" w:hAnsi="Times New Roman" w:eastAsia="仿宋_GB2312" w:cs="Times New Roman"/>
          <w:sz w:val="32"/>
          <w:szCs w:val="32"/>
        </w:rPr>
      </w:pPr>
    </w:p>
    <w:p w14:paraId="2AAE13CA">
      <w:pPr>
        <w:jc w:val="center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第四章 准入流程</w:t>
      </w:r>
    </w:p>
    <w:p w14:paraId="53163FAC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 w:firstLine="640" w:firstLineChars="200"/>
        <w:jc w:val="left"/>
        <w:rPr>
          <w:rFonts w:hint="default" w:ascii="Times New Roman" w:hAnsi="Times New Roman" w:eastAsia="仿宋_GB2312" w:cs="Times New Roman"/>
          <w:b w:val="0"/>
          <w:bCs w:val="0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b w:val="0"/>
          <w:bCs w:val="0"/>
          <w:kern w:val="2"/>
          <w:sz w:val="32"/>
          <w:szCs w:val="32"/>
          <w:lang w:val="en-US" w:eastAsia="zh-CN" w:bidi="ar-SA"/>
        </w:rPr>
        <w:t xml:space="preserve">第七条 </w:t>
      </w:r>
      <w:r>
        <w:rPr>
          <w:rFonts w:hint="eastAsia" w:ascii="Times New Roman" w:hAnsi="Times New Roman" w:eastAsia="仿宋_GB2312" w:cs="Times New Roman"/>
          <w:b w:val="0"/>
          <w:bCs w:val="0"/>
          <w:kern w:val="2"/>
          <w:sz w:val="32"/>
          <w:szCs w:val="32"/>
          <w:lang w:val="en-US" w:eastAsia="zh-CN" w:bidi="ar-SA"/>
        </w:rPr>
        <w:t>材料申报：企业提交资质文件、自评表（含第三方检测报告），内容详见附件3《“</w:t>
      </w:r>
      <w:r>
        <w:rPr>
          <w:rFonts w:hint="default" w:ascii="Times New Roman" w:hAnsi="Times New Roman" w:eastAsia="仿宋_GB2312" w:cs="Times New Roman"/>
          <w:b w:val="0"/>
          <w:bCs w:val="0"/>
          <w:kern w:val="2"/>
          <w:sz w:val="32"/>
          <w:szCs w:val="32"/>
          <w:lang w:val="en-US" w:eastAsia="zh-CN" w:bidi="ar-SA"/>
        </w:rPr>
        <w:t>神湾优品</w:t>
      </w:r>
      <w:r>
        <w:rPr>
          <w:rFonts w:hint="eastAsia" w:ascii="Times New Roman" w:hAnsi="Times New Roman" w:eastAsia="仿宋_GB2312" w:cs="Times New Roman"/>
          <w:b w:val="0"/>
          <w:bCs w:val="0"/>
          <w:kern w:val="2"/>
          <w:sz w:val="32"/>
          <w:szCs w:val="32"/>
          <w:lang w:val="en-US" w:eastAsia="zh-CN" w:bidi="ar-SA"/>
        </w:rPr>
        <w:t>”</w:t>
      </w:r>
      <w:r>
        <w:rPr>
          <w:rFonts w:hint="default" w:ascii="Times New Roman" w:hAnsi="Times New Roman" w:eastAsia="仿宋_GB2312" w:cs="Times New Roman"/>
          <w:b w:val="0"/>
          <w:bCs w:val="0"/>
          <w:kern w:val="2"/>
          <w:sz w:val="32"/>
          <w:szCs w:val="32"/>
          <w:lang w:val="en-US" w:eastAsia="zh-CN" w:bidi="ar-SA"/>
        </w:rPr>
        <w:t>产品（服务）申报自评表</w:t>
      </w:r>
      <w:r>
        <w:rPr>
          <w:rFonts w:hint="eastAsia" w:ascii="Times New Roman" w:hAnsi="Times New Roman" w:eastAsia="仿宋_GB2312" w:cs="Times New Roman"/>
          <w:b w:val="0"/>
          <w:bCs w:val="0"/>
          <w:kern w:val="2"/>
          <w:sz w:val="32"/>
          <w:szCs w:val="32"/>
          <w:lang w:val="en-US" w:eastAsia="zh-CN" w:bidi="ar-SA"/>
        </w:rPr>
        <w:t>》。</w:t>
      </w:r>
    </w:p>
    <w:p w14:paraId="61F58BF8">
      <w:pPr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b w:val="0"/>
          <w:bCs w:val="0"/>
          <w:kern w:val="2"/>
          <w:sz w:val="32"/>
          <w:szCs w:val="32"/>
          <w:highlight w:val="none"/>
          <w:lang w:val="en-US" w:eastAsia="zh-CN" w:bidi="ar-SA"/>
        </w:rPr>
        <w:t>第八条 企业申报：符合申报条件的企业，向神湾优品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产业投资有限公司提交申报材料，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申报材料包括但不限于：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“</w:t>
      </w:r>
      <w:r>
        <w:rPr>
          <w:rFonts w:hint="default" w:ascii="Times New Roman" w:hAnsi="Times New Roman" w:eastAsia="仿宋_GB2312" w:cs="Times New Roman"/>
          <w:sz w:val="32"/>
          <w:szCs w:val="32"/>
        </w:rPr>
        <w:t>神湾优品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”</w:t>
      </w:r>
      <w:r>
        <w:rPr>
          <w:rFonts w:hint="default" w:ascii="Times New Roman" w:hAnsi="Times New Roman" w:eastAsia="仿宋_GB2312" w:cs="Times New Roman"/>
          <w:sz w:val="32"/>
          <w:szCs w:val="32"/>
        </w:rPr>
        <w:t>产品（服务）申报自评表；企业资质文件（营业执照、生产经营许可证、注册商标证书等复印件，加盖公章）；第三方检测机构出具的产品质量检测报告原件或复印件（加盖公章）；企业信用相关证明（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“</w:t>
      </w:r>
      <w:r>
        <w:rPr>
          <w:rFonts w:hint="default" w:ascii="Times New Roman" w:hAnsi="Times New Roman" w:eastAsia="仿宋_GB2312" w:cs="Times New Roman"/>
          <w:sz w:val="32"/>
          <w:szCs w:val="32"/>
        </w:rPr>
        <w:t>信用广东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”</w:t>
      </w:r>
      <w:r>
        <w:rPr>
          <w:rFonts w:hint="default" w:ascii="Times New Roman" w:hAnsi="Times New Roman" w:eastAsia="仿宋_GB2312" w:cs="Times New Roman"/>
          <w:sz w:val="32"/>
          <w:szCs w:val="32"/>
        </w:rPr>
        <w:t>网站打印的企业信用报告、纳税信用状态信息等）；产品产地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/</w:t>
      </w:r>
      <w:r>
        <w:rPr>
          <w:rFonts w:hint="default" w:ascii="Times New Roman" w:hAnsi="Times New Roman" w:eastAsia="仿宋_GB2312" w:cs="Times New Roman"/>
          <w:sz w:val="32"/>
          <w:szCs w:val="32"/>
        </w:rPr>
        <w:t>生产地佐证材料（承包合同、场地租赁合同、供销合同等复印件）；绿色产品、有机产品、地理标志产品、非物质文化遗产等相关荣誉奖项证书复印件（非必备，可作为加分依据）；其他需要提交的证明文件。</w:t>
      </w:r>
    </w:p>
    <w:p w14:paraId="10C2119B">
      <w:pPr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 xml:space="preserve">第九条 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初审：神湾优品产业投资有限公司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对申报材料的真实性、有效性、完整性进行初审，重点核查一票否决项符合性，有下列情形之一的，初审不予通过：</w:t>
      </w:r>
    </w:p>
    <w:p w14:paraId="06F90B6D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825" w:leftChars="0" w:hanging="258" w:firstLineChars="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 xml:space="preserve">提交的企业信用报告中存在违法违规受到行政处罚、列入 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“</w:t>
      </w:r>
      <w:r>
        <w:rPr>
          <w:rFonts w:hint="default" w:ascii="Times New Roman" w:hAnsi="Times New Roman" w:eastAsia="仿宋_GB2312" w:cs="Times New Roman"/>
          <w:sz w:val="32"/>
          <w:szCs w:val="32"/>
        </w:rPr>
        <w:t>经营异常名录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”</w:t>
      </w:r>
      <w:r>
        <w:rPr>
          <w:rFonts w:hint="default" w:ascii="Times New Roman" w:hAnsi="Times New Roman" w:eastAsia="仿宋_GB2312" w:cs="Times New Roman"/>
          <w:sz w:val="32"/>
          <w:szCs w:val="32"/>
        </w:rPr>
        <w:t>、列入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“</w:t>
      </w:r>
      <w:r>
        <w:rPr>
          <w:rFonts w:hint="default" w:ascii="Times New Roman" w:hAnsi="Times New Roman" w:eastAsia="仿宋_GB2312" w:cs="Times New Roman"/>
          <w:sz w:val="32"/>
          <w:szCs w:val="32"/>
        </w:rPr>
        <w:t>严重违法失信名单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”</w:t>
      </w:r>
      <w:r>
        <w:rPr>
          <w:rFonts w:hint="default" w:ascii="Times New Roman" w:hAnsi="Times New Roman" w:eastAsia="仿宋_GB2312" w:cs="Times New Roman"/>
          <w:sz w:val="32"/>
          <w:szCs w:val="32"/>
        </w:rPr>
        <w:t>的；</w:t>
      </w:r>
    </w:p>
    <w:p w14:paraId="4DB1C3C4">
      <w:pPr>
        <w:numPr>
          <w:ilvl w:val="0"/>
          <w:numId w:val="1"/>
        </w:numPr>
        <w:ind w:left="825" w:leftChars="0" w:hanging="258" w:firstLineChars="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企业纳税信用状态信息显示为D级的；</w:t>
      </w:r>
    </w:p>
    <w:p w14:paraId="1A3757B5">
      <w:pPr>
        <w:numPr>
          <w:ilvl w:val="0"/>
          <w:numId w:val="1"/>
        </w:numPr>
        <w:ind w:left="825" w:leftChars="0" w:hanging="258" w:firstLineChars="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国家企业信用信息公示系统中市场主体状态为注销或无登记信息的；</w:t>
      </w:r>
    </w:p>
    <w:p w14:paraId="6F2E7024">
      <w:pPr>
        <w:numPr>
          <w:ilvl w:val="0"/>
          <w:numId w:val="1"/>
        </w:numPr>
        <w:ind w:left="825" w:leftChars="0" w:hanging="258" w:firstLineChars="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近一个年度内产品抽检质量不合格达两次及以上的；</w:t>
      </w:r>
    </w:p>
    <w:p w14:paraId="5CF20E59">
      <w:pPr>
        <w:numPr>
          <w:ilvl w:val="0"/>
          <w:numId w:val="1"/>
        </w:numPr>
        <w:ind w:left="825" w:leftChars="0" w:hanging="258" w:firstLineChars="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存在贷款（利息）逾期未还记录且逾期半年以上的；</w:t>
      </w:r>
    </w:p>
    <w:p w14:paraId="3FAA0E2D">
      <w:pPr>
        <w:numPr>
          <w:ilvl w:val="0"/>
          <w:numId w:val="1"/>
        </w:numPr>
        <w:ind w:left="825" w:leftChars="0" w:hanging="258" w:firstLineChars="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提交的申报材料存在虚假、缺失关键信息或涂改痕迹的；</w:t>
      </w:r>
    </w:p>
    <w:p w14:paraId="1B7E7034">
      <w:pPr>
        <w:numPr>
          <w:ilvl w:val="0"/>
          <w:numId w:val="1"/>
        </w:numPr>
        <w:ind w:left="825" w:leftChars="0" w:hanging="258" w:firstLineChars="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存在其他违法违规、严重失信行为的。</w:t>
      </w:r>
    </w:p>
    <w:p w14:paraId="2A4C703E">
      <w:pPr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第十条 量化评分：初审通过的申报材料，由神湾优品产业投资有限公司组织专家，按附件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2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《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“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神湾优品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”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准入标准评分表（征求意见稿）》指标体系逐项打分，形成量化评分结果。</w:t>
      </w:r>
    </w:p>
    <w:p w14:paraId="204D2E47">
      <w:pPr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第十一条 复审：神湾优品产业投资有限公司结合专家量化评分结果，对申报产品（服务）进行复审，复审内容包括但不限于产品发展前景、产业规模、品牌附加值、质量状况等，不符合神湾镇产业发展要求或评分未达准入分数线的，复审不予通过。</w:t>
      </w:r>
    </w:p>
    <w:p w14:paraId="7500F4BE">
      <w:pPr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第十二条 公示：对通过复审的企业及产品（服务）名单，在神湾优品产业投资有限公司官方网站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/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微信公众号进行公示，公示期为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五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个工作日，公示期间接受社会各界异议申诉，并对异议内容进行核查处理。</w:t>
      </w:r>
    </w:p>
    <w:p w14:paraId="0617EB5B">
      <w:pPr>
        <w:ind w:firstLine="640" w:firstLineChars="200"/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异议申诉：任何单位或个人对公示名单有异议的，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可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在公示期内通过线上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（邮箱：18933326986@163.com）或线下（地址：广东省中山市神湾镇神湾大道南60号，联系人：梁小姐，联系电话：18933326986）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方式向神湾优品产业投资有限公司提交申诉。材料应注明异议对象、事由、事实及证明材料，单位需加盖公章、个人需实名并留联系方式，匿名或逾期不予受理。神湾优品产业投资有限公司收到有效申诉后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三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个工作日内启动核查，可要求补充材料，被异议企业应配合核查，拒不配合视为放弃申辩。核查结束后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两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个工作日内形成结论，线上告知申诉方及被异议企业，并在原公示平台公示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三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个工作日。</w:t>
      </w:r>
    </w:p>
    <w:p w14:paraId="3093A815">
      <w:pPr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 xml:space="preserve">第十三条 批准授权：公示无异议或异议核查后不影响准入结果的，由神湾优品产业投资有限公司按程序批准，向企业出具 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“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神湾优品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”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品牌标识使用授权书。</w:t>
      </w:r>
    </w:p>
    <w:p w14:paraId="6B61311D">
      <w:pPr>
        <w:rPr>
          <w:rFonts w:hint="default" w:ascii="Times New Roman" w:hAnsi="Times New Roman" w:eastAsia="仿宋_GB2312" w:cs="Times New Roman"/>
          <w:sz w:val="32"/>
          <w:szCs w:val="32"/>
        </w:rPr>
      </w:pPr>
    </w:p>
    <w:p w14:paraId="3E429CD9">
      <w:pPr>
        <w:jc w:val="center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第五章 品牌使用与管理</w:t>
      </w:r>
    </w:p>
    <w:p w14:paraId="06172B4E">
      <w:pPr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第十四条 使用期限：每次授权有效期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一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年，期满前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三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个月可向神湾优品产业投资有限公司申请续期，续期需重新提交申报材料并按本规则准入流程审核。</w:t>
      </w:r>
    </w:p>
    <w:p w14:paraId="7A63721C">
      <w:pPr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第十五条 标识规范：获授权企业须严格按照神湾优品的 LOGO规范使用商标，不得自行分拆、改变标识的文字、图案、颜色、组合和比例，不得擅自扩大授权使用范围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，神湾优品LOGO规范使用商标详见附件4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。</w:t>
      </w:r>
    </w:p>
    <w:p w14:paraId="656BADF0">
      <w:pPr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第十六条 抽检制度：神湾优品产业投资有限公司每年随机抽检授权产品；出现产品质量不合格、虚假宣传、重大环保或安全事故等情形的，立即暂停或撤销品牌标识使用授权，并向社会公告。</w:t>
      </w:r>
    </w:p>
    <w:p w14:paraId="16FA37D9">
      <w:pPr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第十七条 动态管理：神湾优品产业投资有限公司每年对获授权企业及产品进行年度评价，评价结果作为品牌标识使用授权存续的重要依据，年度评价不合格的，撤销其授权资格。</w:t>
      </w:r>
    </w:p>
    <w:p w14:paraId="312C5A54">
      <w:pPr>
        <w:rPr>
          <w:rFonts w:hint="default" w:ascii="Times New Roman" w:hAnsi="Times New Roman" w:eastAsia="仿宋_GB2312" w:cs="Times New Roman"/>
          <w:sz w:val="32"/>
          <w:szCs w:val="32"/>
        </w:rPr>
      </w:pPr>
    </w:p>
    <w:p w14:paraId="1083E29E">
      <w:pPr>
        <w:jc w:val="center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第六章 附则</w:t>
      </w:r>
    </w:p>
    <w:p w14:paraId="63554363">
      <w:pPr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第十八条 法律、行政法规、省级地方性法规、省政府规章、部门规章及上级行政规范性文件对本规则内容另有规定的，按照其规定执行。如有未尽事宜，参照国家及行业最新规定执行。</w:t>
      </w:r>
    </w:p>
    <w:p w14:paraId="0103CE95">
      <w:pPr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第十九条 本规则由中山市市场监督管理局神湾分局负责解释，神湾优品产业投资有限公司负责具体组织实施。</w:t>
      </w:r>
    </w:p>
    <w:p w14:paraId="04D994CA">
      <w:pPr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第二十条 本规则自发布之日起施行，有效期为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三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年。</w:t>
      </w:r>
    </w:p>
    <w:p w14:paraId="4BC3019E">
      <w:pPr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</w:rPr>
      </w:pPr>
    </w:p>
    <w:sectPr>
      <w:pgSz w:w="11906" w:h="16838"/>
      <w:pgMar w:top="2211" w:right="1531" w:bottom="1871" w:left="153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创艺简标宋">
    <w:panose1 w:val="00000000000000000000"/>
    <w:charset w:val="80"/>
    <w:family w:val="auto"/>
    <w:pitch w:val="default"/>
    <w:sig w:usb0="00000283" w:usb1="180F1C10" w:usb2="00000016" w:usb3="00000000" w:csb0="40020001" w:csb1="C0D6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AF9E5D7"/>
    <w:multiLevelType w:val="singleLevel"/>
    <w:tmpl w:val="3AF9E5D7"/>
    <w:lvl w:ilvl="0" w:tentative="0">
      <w:start w:val="1"/>
      <w:numFmt w:val="decimal"/>
      <w:suff w:val="nothing"/>
      <w:lvlText w:val="%1."/>
      <w:lvlJc w:val="left"/>
      <w:pPr>
        <w:ind w:left="825" w:leftChars="0" w:hanging="258" w:firstLineChars="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3DE590F"/>
    <w:rsid w:val="0012211A"/>
    <w:rsid w:val="01142B69"/>
    <w:rsid w:val="02C866AB"/>
    <w:rsid w:val="0CE250C1"/>
    <w:rsid w:val="0E3B59B6"/>
    <w:rsid w:val="0FE670D5"/>
    <w:rsid w:val="137A456B"/>
    <w:rsid w:val="15AC7AE7"/>
    <w:rsid w:val="160056CA"/>
    <w:rsid w:val="17461B3F"/>
    <w:rsid w:val="177A3491"/>
    <w:rsid w:val="17EC028D"/>
    <w:rsid w:val="1AC8397F"/>
    <w:rsid w:val="1E733517"/>
    <w:rsid w:val="21CC797F"/>
    <w:rsid w:val="237A543E"/>
    <w:rsid w:val="297D0947"/>
    <w:rsid w:val="2AD93621"/>
    <w:rsid w:val="2F95350D"/>
    <w:rsid w:val="30062758"/>
    <w:rsid w:val="34C72E2C"/>
    <w:rsid w:val="38C20ECB"/>
    <w:rsid w:val="3B5422C3"/>
    <w:rsid w:val="3C1F3D85"/>
    <w:rsid w:val="3C955AC5"/>
    <w:rsid w:val="3D675FE7"/>
    <w:rsid w:val="40715E4A"/>
    <w:rsid w:val="43CD361A"/>
    <w:rsid w:val="45BD5EC9"/>
    <w:rsid w:val="4659090B"/>
    <w:rsid w:val="47820A08"/>
    <w:rsid w:val="49620036"/>
    <w:rsid w:val="4A8244A6"/>
    <w:rsid w:val="4FE145CA"/>
    <w:rsid w:val="5B9A46F6"/>
    <w:rsid w:val="5F0246F5"/>
    <w:rsid w:val="6A78665E"/>
    <w:rsid w:val="6CAC159C"/>
    <w:rsid w:val="73DE590F"/>
    <w:rsid w:val="78C551B2"/>
    <w:rsid w:val="79264DCA"/>
    <w:rsid w:val="7A9D283A"/>
    <w:rsid w:val="7AB57EE0"/>
    <w:rsid w:val="7E426D7A"/>
    <w:rsid w:val="FBB7F3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paragraph" w:styleId="3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paragraph" w:styleId="4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annotation text"/>
    <w:basedOn w:val="1"/>
    <w:qFormat/>
    <w:uiPriority w:val="0"/>
    <w:pPr>
      <w:jc w:val="left"/>
    </w:pPr>
  </w:style>
  <w:style w:type="character" w:styleId="8">
    <w:name w:val="Strong"/>
    <w:basedOn w:val="7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Company>其他</Company>
  <Pages>6</Pages>
  <Words>0</Words>
  <Characters>0</Characters>
  <Lines>0</Lines>
  <Paragraphs>0</Paragraphs>
  <TotalTime>121</TotalTime>
  <ScaleCrop>false</ScaleCrop>
  <LinksUpToDate>false</LinksUpToDate>
  <CharactersWithSpaces>0</CharactersWithSpaces>
  <Application>WPS Office WWO_wpscloud_20251118150844-8a21cde7ec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2026-03-10T14:51:00Z</dcterms:created>
  <dc:creator>Administrator</dc:creator>
  <cp:lastModifiedBy>Administrator</cp:lastModifiedBy>
  <cp:lastPrinted>2026-03-10T15:28:00Z</cp:lastPrinted>
  <dcterms:modified xsi:type="dcterms:W3CDTF">2026-03-16T15:48:47Z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2052-12.9.0.23685</vt:lpwstr>
  </property>
  <property fmtid="{D5CDD505-2E9C-101B-9397-08002B2CF9AE}" pid="3" name="ICV">
    <vt:lpwstr>392662C122BA592CDFB5B769D7C3E815_43</vt:lpwstr>
  </property>
</Properties>
</file>