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1A91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color w:val="auto"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color w:val="auto"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color w:val="auto"/>
          <w:sz w:val="36"/>
          <w:szCs w:val="36"/>
          <w:highlight w:val="none"/>
          <w:lang w:val="en-US" w:eastAsia="zh-CN"/>
        </w:rPr>
        <w:t>中山市继文家具有限公司</w:t>
      </w:r>
      <w:r>
        <w:rPr>
          <w:rFonts w:hint="eastAsia" w:ascii="创艺简标宋" w:hAnsi="微软雅黑" w:eastAsia="创艺简标宋" w:cs="微软雅黑"/>
          <w:b/>
          <w:color w:val="auto"/>
          <w:sz w:val="36"/>
          <w:szCs w:val="36"/>
          <w:highlight w:val="none"/>
        </w:rPr>
        <w:t>用地</w:t>
      </w:r>
      <w:r>
        <w:rPr>
          <w:rFonts w:hint="eastAsia" w:ascii="创艺简标宋" w:hAnsi="微软雅黑" w:eastAsia="创艺简标宋" w:cs="微软雅黑"/>
          <w:b/>
          <w:color w:val="auto"/>
          <w:sz w:val="36"/>
          <w:szCs w:val="36"/>
          <w:highlight w:val="none"/>
          <w:lang w:eastAsia="zh-CN"/>
        </w:rPr>
        <w:t>合并</w:t>
      </w:r>
      <w:r>
        <w:rPr>
          <w:rFonts w:hint="eastAsia" w:ascii="创艺简标宋" w:hAnsi="微软雅黑" w:eastAsia="创艺简标宋" w:cs="微软雅黑"/>
          <w:b/>
          <w:color w:val="auto"/>
          <w:sz w:val="36"/>
          <w:szCs w:val="36"/>
          <w:highlight w:val="none"/>
        </w:rPr>
        <w:t>公示的通告</w:t>
      </w:r>
    </w:p>
    <w:p w14:paraId="7C5A388F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eastAsia="宋体"/>
          <w:color w:val="auto"/>
          <w:highlight w:val="none"/>
          <w:lang w:val="en-US" w:eastAsia="zh-CN"/>
        </w:rPr>
        <w:drawing>
          <wp:inline distT="0" distB="0" distL="114300" distR="114300">
            <wp:extent cx="4860925" cy="4109720"/>
            <wp:effectExtent l="0" t="0" r="15875" b="5080"/>
            <wp:docPr id="1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1AA8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用地合并示意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图</w:t>
      </w:r>
    </w:p>
    <w:p w14:paraId="6D8F8066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中山市继文家具有限公司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向我局申请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合并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名下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宗相邻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用地。我局已受理其申请，按照城乡规划相关法律、法规的有关规定，现对申请变更规划条件事项进行公示，公示如下：</w:t>
      </w:r>
    </w:p>
    <w:p w14:paraId="7D6B6F5A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一、申请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用地合并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事项用地的基本情况</w:t>
      </w:r>
    </w:p>
    <w:p w14:paraId="7FCAC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粤（2024）中山市不动产权第0407719号、粤（2026）中山市不动产权第0321191号，权利人：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中山市继文家具有限公司，坐落：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中山市黄圃镇健辉路13号，土地使用权取得方式：出让，合并后总面积：10598.98平方米。该两宗相邻用地在《中山市黄圃镇食品工业园片区（0503单元）02、03街区控制性详细规划一般修改（2024）》中为一类工业用地（地块编码：05030337）。</w:t>
      </w:r>
    </w:p>
    <w:p w14:paraId="49A68734">
      <w:pPr>
        <w:widowControl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二、原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建设指标</w:t>
      </w:r>
    </w:p>
    <w:p w14:paraId="18821846">
      <w:pPr>
        <w:ind w:firstLine="560" w:firstLineChars="200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地块一：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粤（2024）中山市不动产权第0407719号，用地面积：7661.47平方米，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用地性质：工业，容积率：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2.0-3.5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，绿地率：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，建筑密度：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，建筑限高：生产性建筑高度≤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50米，特殊工艺除外；配套设施建筑高度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≤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100米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。</w:t>
      </w:r>
    </w:p>
    <w:p w14:paraId="3E263944">
      <w:pPr>
        <w:ind w:firstLine="560" w:firstLineChars="200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地块二：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粤（2026）中山市不动产权第0321191号，用地面积：2937.51平方米，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用地性质：工业，容积率：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，绿地率：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，建筑密度：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，建筑限高：产业用房高度≤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50米，配套设施建筑高度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≤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100米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。</w:t>
      </w:r>
    </w:p>
    <w:p w14:paraId="05C458E1"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三、控制性详细规划建设指标</w:t>
      </w:r>
    </w:p>
    <w:p w14:paraId="3B1E85D9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用地</w:t>
      </w:r>
    </w:p>
    <w:p w14:paraId="2FC9332B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05030337</w:t>
      </w:r>
    </w:p>
    <w:p w14:paraId="71D61BA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容积率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1.0-3.5，绿地率：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10%-15%，建筑密度：35%-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60%，建筑限高：产业用房高度</w:t>
      </w:r>
      <w:bookmarkStart w:id="0" w:name="_GoBack"/>
      <w:bookmarkEnd w:id="0"/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≤50米，配套设施建筑高度≤100米，特殊工艺的产业用房高度进行专题研究确定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3141F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配套设施为：10kV开关站一处，建筑面积不小于40平方米。</w:t>
      </w:r>
    </w:p>
    <w:p w14:paraId="64B8B81F"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四、合并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  <w:t>后规划条件建设指标</w:t>
      </w:r>
    </w:p>
    <w:p w14:paraId="6AAAF0A8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用地面积：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10598.98平方米</w:t>
      </w:r>
    </w:p>
    <w:p w14:paraId="6335C627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eastAsia="zh-CN"/>
        </w:rPr>
        <w:t>一类工业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用地</w:t>
      </w:r>
    </w:p>
    <w:p w14:paraId="17744DC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2.0-3.5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4AA6EDD4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建筑限高：产业用房建筑高度≤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0m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；配套设施建筑高度≤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</w:rPr>
        <w:t>0m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（其中，配套宿舍不得超过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80米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4DA8DC1B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配套设施为：10kV开关站一处，建筑面积不小于40平方米。</w:t>
      </w:r>
    </w:p>
    <w:p w14:paraId="0EE89CF2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号，逾期视为无异议。</w:t>
      </w:r>
    </w:p>
    <w:p w14:paraId="6211E009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color w:val="auto"/>
          <w:spacing w:val="-20"/>
          <w:sz w:val="32"/>
          <w:szCs w:val="32"/>
          <w:highlight w:val="none"/>
          <w:lang w:eastAsia="zh-CN"/>
        </w:rPr>
        <w:t>舒先生</w:t>
      </w:r>
      <w:r>
        <w:rPr>
          <w:rFonts w:hint="eastAsia" w:ascii="仿宋_GB2312" w:hAnsi="Arial" w:eastAsia="仿宋_GB2312" w:cs="Arial"/>
          <w:color w:val="auto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color w:val="auto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color w:val="auto"/>
          <w:spacing w:val="-20"/>
          <w:sz w:val="32"/>
          <w:szCs w:val="32"/>
          <w:highlight w:val="none"/>
        </w:rPr>
        <w:t>。</w:t>
      </w:r>
    </w:p>
    <w:p w14:paraId="234DDD90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</w:pPr>
    </w:p>
    <w:p w14:paraId="581B783A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  <w:t>分局</w:t>
      </w:r>
    </w:p>
    <w:p w14:paraId="6E75781D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</w:t>
      </w:r>
    </w:p>
    <w:p w14:paraId="173CA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21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43"/>
    <w:rsid w:val="00057C46"/>
    <w:rsid w:val="000870E4"/>
    <w:rsid w:val="000B2FA4"/>
    <w:rsid w:val="00106B83"/>
    <w:rsid w:val="00122B6B"/>
    <w:rsid w:val="00183CC2"/>
    <w:rsid w:val="001A0283"/>
    <w:rsid w:val="001B7405"/>
    <w:rsid w:val="001D1B25"/>
    <w:rsid w:val="00214988"/>
    <w:rsid w:val="00234620"/>
    <w:rsid w:val="002B6705"/>
    <w:rsid w:val="002C33E1"/>
    <w:rsid w:val="00303691"/>
    <w:rsid w:val="0030603C"/>
    <w:rsid w:val="00314656"/>
    <w:rsid w:val="00365215"/>
    <w:rsid w:val="003809B9"/>
    <w:rsid w:val="00385AFF"/>
    <w:rsid w:val="00390094"/>
    <w:rsid w:val="00396CE2"/>
    <w:rsid w:val="003A373D"/>
    <w:rsid w:val="003A5A8C"/>
    <w:rsid w:val="004478B2"/>
    <w:rsid w:val="00487D36"/>
    <w:rsid w:val="004A6846"/>
    <w:rsid w:val="004B4554"/>
    <w:rsid w:val="004E15FB"/>
    <w:rsid w:val="004F5246"/>
    <w:rsid w:val="00510E36"/>
    <w:rsid w:val="0058748F"/>
    <w:rsid w:val="0059498B"/>
    <w:rsid w:val="005962A4"/>
    <w:rsid w:val="005C121F"/>
    <w:rsid w:val="005D3B7F"/>
    <w:rsid w:val="005E5D46"/>
    <w:rsid w:val="005F321F"/>
    <w:rsid w:val="00653941"/>
    <w:rsid w:val="006A37B7"/>
    <w:rsid w:val="006C338C"/>
    <w:rsid w:val="006E4803"/>
    <w:rsid w:val="00724093"/>
    <w:rsid w:val="007254E9"/>
    <w:rsid w:val="0073577E"/>
    <w:rsid w:val="00740A44"/>
    <w:rsid w:val="0075401F"/>
    <w:rsid w:val="00763F41"/>
    <w:rsid w:val="00784E91"/>
    <w:rsid w:val="007C4BA5"/>
    <w:rsid w:val="007D760C"/>
    <w:rsid w:val="007E47BF"/>
    <w:rsid w:val="007E5481"/>
    <w:rsid w:val="008262FC"/>
    <w:rsid w:val="00857BBE"/>
    <w:rsid w:val="00860FC9"/>
    <w:rsid w:val="0088653D"/>
    <w:rsid w:val="008B727B"/>
    <w:rsid w:val="008D0299"/>
    <w:rsid w:val="008D2DE5"/>
    <w:rsid w:val="008E40BF"/>
    <w:rsid w:val="008F14E7"/>
    <w:rsid w:val="00981F6D"/>
    <w:rsid w:val="009854A3"/>
    <w:rsid w:val="009A5B89"/>
    <w:rsid w:val="009A6303"/>
    <w:rsid w:val="009B3B59"/>
    <w:rsid w:val="009E07FB"/>
    <w:rsid w:val="009F318F"/>
    <w:rsid w:val="009F7DDF"/>
    <w:rsid w:val="00A3188D"/>
    <w:rsid w:val="00A651C6"/>
    <w:rsid w:val="00A7785D"/>
    <w:rsid w:val="00A83115"/>
    <w:rsid w:val="00A913D2"/>
    <w:rsid w:val="00A92840"/>
    <w:rsid w:val="00AE5705"/>
    <w:rsid w:val="00B27220"/>
    <w:rsid w:val="00B272BC"/>
    <w:rsid w:val="00B86367"/>
    <w:rsid w:val="00BC1354"/>
    <w:rsid w:val="00BE46F7"/>
    <w:rsid w:val="00BE7BA0"/>
    <w:rsid w:val="00BF1CC0"/>
    <w:rsid w:val="00C22F46"/>
    <w:rsid w:val="00C317E2"/>
    <w:rsid w:val="00C320FB"/>
    <w:rsid w:val="00C33914"/>
    <w:rsid w:val="00C42178"/>
    <w:rsid w:val="00C45497"/>
    <w:rsid w:val="00C62755"/>
    <w:rsid w:val="00CA490A"/>
    <w:rsid w:val="00CB0D96"/>
    <w:rsid w:val="00CB12F1"/>
    <w:rsid w:val="00CD7DDD"/>
    <w:rsid w:val="00CF0F7E"/>
    <w:rsid w:val="00D0368B"/>
    <w:rsid w:val="00D22174"/>
    <w:rsid w:val="00D361C4"/>
    <w:rsid w:val="00D64B24"/>
    <w:rsid w:val="00D71603"/>
    <w:rsid w:val="00D80D03"/>
    <w:rsid w:val="00D935E9"/>
    <w:rsid w:val="00DB36A0"/>
    <w:rsid w:val="00DF7840"/>
    <w:rsid w:val="00E02F1B"/>
    <w:rsid w:val="00E2603A"/>
    <w:rsid w:val="00E34773"/>
    <w:rsid w:val="00E46423"/>
    <w:rsid w:val="00E53418"/>
    <w:rsid w:val="00E85BEC"/>
    <w:rsid w:val="00ED4F50"/>
    <w:rsid w:val="00EF3B25"/>
    <w:rsid w:val="00F11FB1"/>
    <w:rsid w:val="00F665EB"/>
    <w:rsid w:val="00F849CE"/>
    <w:rsid w:val="00F85F07"/>
    <w:rsid w:val="00F96343"/>
    <w:rsid w:val="00FA05AA"/>
    <w:rsid w:val="01BF1AAF"/>
    <w:rsid w:val="02657914"/>
    <w:rsid w:val="02A94E93"/>
    <w:rsid w:val="036E42D3"/>
    <w:rsid w:val="037D1165"/>
    <w:rsid w:val="038C00AE"/>
    <w:rsid w:val="06052762"/>
    <w:rsid w:val="08ED1C71"/>
    <w:rsid w:val="0FDE7B33"/>
    <w:rsid w:val="0FF73B0A"/>
    <w:rsid w:val="11CC2307"/>
    <w:rsid w:val="12D02401"/>
    <w:rsid w:val="13D2096B"/>
    <w:rsid w:val="140072D9"/>
    <w:rsid w:val="170E39AB"/>
    <w:rsid w:val="190C5952"/>
    <w:rsid w:val="1A591713"/>
    <w:rsid w:val="1A631948"/>
    <w:rsid w:val="1A68496A"/>
    <w:rsid w:val="1A7D3A60"/>
    <w:rsid w:val="1AE224C1"/>
    <w:rsid w:val="1B0A733F"/>
    <w:rsid w:val="1C882D19"/>
    <w:rsid w:val="1F335D20"/>
    <w:rsid w:val="206C6B45"/>
    <w:rsid w:val="22097CF8"/>
    <w:rsid w:val="251B488B"/>
    <w:rsid w:val="258456F4"/>
    <w:rsid w:val="282808BA"/>
    <w:rsid w:val="29060D22"/>
    <w:rsid w:val="2B0B0254"/>
    <w:rsid w:val="2B5E5FC1"/>
    <w:rsid w:val="2BF65F54"/>
    <w:rsid w:val="2E7A7F7E"/>
    <w:rsid w:val="30A9486C"/>
    <w:rsid w:val="35BD6DFE"/>
    <w:rsid w:val="370748EA"/>
    <w:rsid w:val="3A2C24FB"/>
    <w:rsid w:val="3D8E46BD"/>
    <w:rsid w:val="3DB96E9B"/>
    <w:rsid w:val="3DC91270"/>
    <w:rsid w:val="3F96039A"/>
    <w:rsid w:val="3FCB2D4D"/>
    <w:rsid w:val="42CF3F15"/>
    <w:rsid w:val="445C7B40"/>
    <w:rsid w:val="45FC53DE"/>
    <w:rsid w:val="54875301"/>
    <w:rsid w:val="583D708A"/>
    <w:rsid w:val="590A20F1"/>
    <w:rsid w:val="5D6D486E"/>
    <w:rsid w:val="60E508CF"/>
    <w:rsid w:val="61F37878"/>
    <w:rsid w:val="63117A2E"/>
    <w:rsid w:val="643C1DEB"/>
    <w:rsid w:val="64D35A44"/>
    <w:rsid w:val="674E6FD3"/>
    <w:rsid w:val="6923569F"/>
    <w:rsid w:val="6B4E0968"/>
    <w:rsid w:val="6D791FC0"/>
    <w:rsid w:val="6DB61707"/>
    <w:rsid w:val="6F20033A"/>
    <w:rsid w:val="6F843E3C"/>
    <w:rsid w:val="6F9E15BF"/>
    <w:rsid w:val="714724C5"/>
    <w:rsid w:val="71F45463"/>
    <w:rsid w:val="728A3865"/>
    <w:rsid w:val="731F3676"/>
    <w:rsid w:val="74F66D8C"/>
    <w:rsid w:val="75910ACE"/>
    <w:rsid w:val="799649E5"/>
    <w:rsid w:val="7C8E7916"/>
    <w:rsid w:val="7FA24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75</Words>
  <Characters>429</Characters>
  <Lines>3</Lines>
  <Paragraphs>1</Paragraphs>
  <TotalTime>58</TotalTime>
  <ScaleCrop>false</ScaleCrop>
  <LinksUpToDate>false</LinksUpToDate>
  <CharactersWithSpaces>503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2020-07-20T07:08:00Z</dcterms:created>
  <dc:creator>LJJ</dc:creator>
  <cp:lastModifiedBy>舒侃</cp:lastModifiedBy>
  <dcterms:modified xsi:type="dcterms:W3CDTF">2026-03-03T08:04:30Z</dcterms:modified>
  <dc:title>,关于变更中山市伟琪电器有限公司宗地规划条件公示的通告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419091DB36874A39B2979C376F2CE19E_13</vt:lpwstr>
  </property>
</Properties>
</file>