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lang w:eastAsia="zh-CN"/>
        </w:rPr>
        <w:t>中山市2021年度土地征收成片开发方案（第四批）（黄圃镇第三次调整）</w:t>
      </w:r>
      <w:r>
        <w:rPr>
          <w:rFonts w:hint="eastAsia" w:ascii="方正小标宋简体" w:hAnsi="方正小标宋简体" w:eastAsia="方正小标宋简体" w:cs="方正小标宋简体"/>
          <w:color w:val="auto"/>
          <w:sz w:val="44"/>
          <w:szCs w:val="44"/>
        </w:rPr>
        <w:t>公示草案</w:t>
      </w:r>
    </w:p>
    <w:p>
      <w:pPr>
        <w:keepNext w:val="0"/>
        <w:keepLines w:val="0"/>
        <w:pageBreakBefore w:val="0"/>
        <w:kinsoku/>
        <w:wordWrap/>
        <w:overflowPunct/>
        <w:topLinePunct w:val="0"/>
        <w:autoSpaceDE/>
        <w:autoSpaceDN/>
        <w:bidi w:val="0"/>
        <w:adjustRightInd/>
        <w:snapToGrid/>
        <w:spacing w:line="324" w:lineRule="auto"/>
        <w:ind w:firstLine="640" w:firstLineChars="200"/>
        <w:outlineLvl w:val="1"/>
        <w:rPr>
          <w:rFonts w:hint="default" w:ascii="Times New Roman" w:hAnsi="Times New Roman" w:eastAsia="仿宋_GB2312" w:cs="Times New Roman"/>
          <w:b w:val="0"/>
          <w:bCs w:val="0"/>
          <w:color w:val="auto"/>
          <w:sz w:val="32"/>
          <w:szCs w:val="32"/>
        </w:rPr>
      </w:pPr>
    </w:p>
    <w:p>
      <w:pPr>
        <w:keepNext w:val="0"/>
        <w:keepLines w:val="0"/>
        <w:pageBreakBefore w:val="0"/>
        <w:kinsoku/>
        <w:wordWrap/>
        <w:overflowPunct/>
        <w:topLinePunct w:val="0"/>
        <w:autoSpaceDE/>
        <w:autoSpaceDN/>
        <w:bidi w:val="0"/>
        <w:adjustRightInd/>
        <w:snapToGrid/>
        <w:spacing w:line="324" w:lineRule="auto"/>
        <w:ind w:firstLine="640" w:firstLineChars="200"/>
        <w:outlineLvl w:val="1"/>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一、编制依据</w:t>
      </w:r>
    </w:p>
    <w:p>
      <w:pPr>
        <w:keepNext w:val="0"/>
        <w:keepLines w:val="0"/>
        <w:pageBreakBefore w:val="0"/>
        <w:kinsoku/>
        <w:wordWrap/>
        <w:overflowPunct/>
        <w:topLinePunct w:val="0"/>
        <w:autoSpaceDE/>
        <w:autoSpaceDN/>
        <w:bidi w:val="0"/>
        <w:adjustRightInd/>
        <w:snapToGrid/>
        <w:spacing w:line="324"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为加快成片开发方案实施、保障新增建设用地及提升方案编制的科学性、</w:t>
      </w:r>
      <w:bookmarkStart w:id="2" w:name="_GoBack"/>
      <w:bookmarkEnd w:id="2"/>
      <w:r>
        <w:rPr>
          <w:rFonts w:hint="default" w:ascii="Times New Roman" w:hAnsi="Times New Roman" w:eastAsia="仿宋_GB2312" w:cs="Times New Roman"/>
          <w:color w:val="auto"/>
          <w:sz w:val="32"/>
          <w:szCs w:val="32"/>
        </w:rPr>
        <w:t>合理性和实用性，根据《中华人民共和国土地管理法》（2019年修正）、《自然资源部关于印发〈土地征收成片开发标准〉的通知》（自然资规〔2023〕7号）、《广东省自然资源厅关于进一步规范土地征收成片开发工作的通知》（粤自然资规字〔2024〕7号）等文件要求和中山市的工作部署安排，</w:t>
      </w:r>
      <w:r>
        <w:rPr>
          <w:rFonts w:hint="default" w:ascii="Times New Roman" w:hAnsi="Times New Roman" w:eastAsia="仿宋_GB2312" w:cs="Times New Roman"/>
          <w:color w:val="auto"/>
          <w:sz w:val="32"/>
          <w:szCs w:val="32"/>
          <w:lang w:val="en-US" w:eastAsia="zh-CN"/>
        </w:rPr>
        <w:t>黄圃镇</w:t>
      </w:r>
      <w:r>
        <w:rPr>
          <w:rFonts w:hint="default" w:ascii="Times New Roman" w:hAnsi="Times New Roman" w:eastAsia="仿宋_GB2312" w:cs="Times New Roman"/>
          <w:color w:val="auto"/>
          <w:sz w:val="32"/>
          <w:szCs w:val="32"/>
        </w:rPr>
        <w:t>组织开展《</w:t>
      </w:r>
      <w:r>
        <w:rPr>
          <w:rFonts w:hint="default" w:ascii="Times New Roman" w:hAnsi="Times New Roman" w:eastAsia="仿宋_GB2312" w:cs="Times New Roman"/>
          <w:sz w:val="32"/>
          <w:szCs w:val="32"/>
          <w:lang w:eastAsia="zh-CN"/>
        </w:rPr>
        <w:t>中山市2021年度土地征收成片开发方案（第四批）（黄圃镇第三次调整）</w:t>
      </w:r>
      <w:r>
        <w:rPr>
          <w:rFonts w:hint="default" w:ascii="Times New Roman" w:hAnsi="Times New Roman" w:eastAsia="仿宋_GB2312" w:cs="Times New Roman"/>
          <w:color w:val="auto"/>
          <w:sz w:val="32"/>
          <w:szCs w:val="32"/>
        </w:rPr>
        <w:t>》（以下简称《第</w:t>
      </w:r>
      <w:r>
        <w:rPr>
          <w:rFonts w:hint="default" w:ascii="Times New Roman" w:hAnsi="Times New Roman" w:eastAsia="仿宋_GB2312" w:cs="Times New Roman"/>
          <w:color w:val="auto"/>
          <w:sz w:val="32"/>
          <w:szCs w:val="32"/>
          <w:lang w:val="en-US" w:eastAsia="zh-CN"/>
        </w:rPr>
        <w:t>三</w:t>
      </w:r>
      <w:r>
        <w:rPr>
          <w:rFonts w:hint="default" w:ascii="Times New Roman" w:hAnsi="Times New Roman" w:eastAsia="仿宋_GB2312" w:cs="Times New Roman"/>
          <w:color w:val="auto"/>
          <w:sz w:val="32"/>
          <w:szCs w:val="32"/>
        </w:rPr>
        <w:t>次调整方案》）的编制工作，推进土地征收成片开发方案的征地报批工作，确保重点建设项目的顺利实施，促进产业优化升级。</w:t>
      </w:r>
    </w:p>
    <w:p>
      <w:pPr>
        <w:keepNext w:val="0"/>
        <w:keepLines w:val="0"/>
        <w:pageBreakBefore w:val="0"/>
        <w:kinsoku/>
        <w:wordWrap/>
        <w:overflowPunct/>
        <w:topLinePunct w:val="0"/>
        <w:autoSpaceDE/>
        <w:autoSpaceDN/>
        <w:bidi w:val="0"/>
        <w:adjustRightInd/>
        <w:snapToGrid/>
        <w:spacing w:line="324" w:lineRule="auto"/>
        <w:ind w:firstLine="640" w:firstLineChars="200"/>
        <w:outlineLvl w:val="1"/>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二、基本情况</w:t>
      </w:r>
    </w:p>
    <w:p>
      <w:pPr>
        <w:keepNext w:val="0"/>
        <w:keepLines w:val="0"/>
        <w:pageBreakBefore w:val="0"/>
        <w:kinsoku/>
        <w:wordWrap/>
        <w:overflowPunct/>
        <w:topLinePunct w:val="0"/>
        <w:autoSpaceDE/>
        <w:autoSpaceDN/>
        <w:bidi w:val="0"/>
        <w:adjustRightInd/>
        <w:snapToGrid/>
        <w:spacing w:line="324" w:lineRule="auto"/>
        <w:ind w:firstLine="640" w:firstLineChars="200"/>
        <w:rPr>
          <w:rFonts w:hint="default" w:ascii="Times New Roman" w:hAnsi="Times New Roman" w:eastAsia="宋体" w:cs="Times New Roman"/>
          <w:b/>
          <w:bCs/>
          <w:color w:val="auto"/>
          <w:szCs w:val="21"/>
        </w:rPr>
      </w:pPr>
      <w:r>
        <w:rPr>
          <w:rFonts w:hint="default" w:ascii="Times New Roman" w:hAnsi="Times New Roman" w:eastAsia="仿宋_GB2312" w:cs="Times New Roman"/>
          <w:color w:val="auto"/>
          <w:sz w:val="32"/>
          <w:szCs w:val="32"/>
        </w:rPr>
        <w:t>本次调整对象为《</w:t>
      </w:r>
      <w:r>
        <w:rPr>
          <w:rFonts w:hint="default" w:ascii="Times New Roman" w:hAnsi="Times New Roman" w:eastAsia="仿宋_GB2312" w:cs="Times New Roman"/>
          <w:sz w:val="32"/>
          <w:szCs w:val="32"/>
          <w:lang w:eastAsia="zh-CN"/>
        </w:rPr>
        <w:t>中山市2021年度土地征收成片开发方案（第四批）调整方案（第三次）》中</w:t>
      </w:r>
      <w:r>
        <w:rPr>
          <w:rFonts w:hint="default" w:ascii="Times New Roman" w:hAnsi="Times New Roman" w:eastAsia="仿宋_GB2312" w:cs="Times New Roman"/>
          <w:sz w:val="32"/>
          <w:szCs w:val="32"/>
          <w:lang w:val="en-US" w:eastAsia="zh-CN"/>
        </w:rPr>
        <w:t>黄圃镇H</w:t>
      </w:r>
      <w:r>
        <w:rPr>
          <w:rFonts w:hint="default" w:ascii="Times New Roman" w:hAnsi="Times New Roman" w:eastAsia="仿宋_GB2312" w:cs="Times New Roman"/>
          <w:color w:val="auto"/>
          <w:sz w:val="32"/>
          <w:szCs w:val="32"/>
          <w:lang w:val="en-US" w:eastAsia="zh-CN"/>
        </w:rPr>
        <w:t>P01</w:t>
      </w:r>
      <w:r>
        <w:rPr>
          <w:rFonts w:hint="default" w:ascii="Times New Roman" w:hAnsi="Times New Roman" w:eastAsia="仿宋_GB2312" w:cs="Times New Roman"/>
          <w:color w:val="auto"/>
          <w:sz w:val="32"/>
          <w:szCs w:val="32"/>
        </w:rPr>
        <w:t>地块。调整后，</w:t>
      </w:r>
      <w:r>
        <w:rPr>
          <w:rFonts w:hint="default" w:ascii="Times New Roman" w:hAnsi="Times New Roman" w:eastAsia="仿宋_GB2312" w:cs="Times New Roman"/>
          <w:color w:val="auto"/>
          <w:sz w:val="32"/>
          <w:szCs w:val="32"/>
          <w:lang w:val="en-US" w:eastAsia="zh-CN"/>
        </w:rPr>
        <w:t>黄圃镇</w:t>
      </w:r>
      <w:r>
        <w:rPr>
          <w:rFonts w:hint="default" w:ascii="Times New Roman" w:hAnsi="Times New Roman" w:eastAsia="仿宋_GB2312" w:cs="Times New Roman"/>
          <w:color w:val="auto"/>
          <w:sz w:val="32"/>
          <w:szCs w:val="32"/>
        </w:rPr>
        <w:t>土地征收成片开发地块共</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块（</w:t>
      </w:r>
      <w:r>
        <w:rPr>
          <w:rFonts w:hint="default" w:ascii="Times New Roman" w:hAnsi="Times New Roman" w:eastAsia="仿宋_GB2312" w:cs="Times New Roman"/>
          <w:color w:val="000000"/>
          <w:sz w:val="32"/>
          <w:szCs w:val="32"/>
        </w:rPr>
        <w:t>HP01、HP02、HP04和HP05地块</w:t>
      </w:r>
      <w:r>
        <w:rPr>
          <w:rFonts w:hint="default" w:ascii="Times New Roman" w:hAnsi="Times New Roman" w:eastAsia="仿宋_GB2312" w:cs="Times New Roman"/>
          <w:color w:val="auto"/>
          <w:sz w:val="32"/>
          <w:szCs w:val="32"/>
        </w:rPr>
        <w:t>），位于中山市</w:t>
      </w:r>
      <w:r>
        <w:rPr>
          <w:rFonts w:hint="default" w:ascii="Times New Roman" w:hAnsi="Times New Roman" w:eastAsia="仿宋_GB2312" w:cs="Times New Roman"/>
          <w:color w:val="auto"/>
          <w:sz w:val="32"/>
          <w:szCs w:val="32"/>
          <w:lang w:val="en-US" w:eastAsia="zh-CN"/>
        </w:rPr>
        <w:t>黄圃镇吴栏村、团范村和马安村</w:t>
      </w:r>
      <w:r>
        <w:rPr>
          <w:rFonts w:hint="default" w:ascii="Times New Roman" w:hAnsi="Times New Roman" w:eastAsia="仿宋_GB2312" w:cs="Times New Roman"/>
          <w:color w:val="auto"/>
          <w:sz w:val="32"/>
          <w:szCs w:val="32"/>
        </w:rPr>
        <w:t>，总面积为</w:t>
      </w:r>
      <w:r>
        <w:rPr>
          <w:rFonts w:hint="default" w:ascii="Times New Roman" w:hAnsi="Times New Roman" w:eastAsia="仿宋_GB2312" w:cs="Times New Roman"/>
          <w:b w:val="0"/>
          <w:bCs w:val="0"/>
          <w:color w:val="000000"/>
          <w:kern w:val="0"/>
          <w:sz w:val="32"/>
          <w:szCs w:val="32"/>
          <w:lang w:bidi="ar"/>
        </w:rPr>
        <w:t>104.8667</w:t>
      </w:r>
      <w:r>
        <w:rPr>
          <w:rFonts w:hint="default" w:ascii="Times New Roman" w:hAnsi="Times New Roman" w:eastAsia="仿宋_GB2312" w:cs="Times New Roman"/>
          <w:color w:val="auto"/>
          <w:sz w:val="32"/>
          <w:szCs w:val="32"/>
        </w:rPr>
        <w:t>公顷，拟征收土地面积为</w:t>
      </w:r>
      <w:bookmarkStart w:id="0" w:name="OLE_LINK11"/>
      <w:r>
        <w:rPr>
          <w:rFonts w:hint="default" w:ascii="Times New Roman" w:hAnsi="Times New Roman" w:eastAsia="仿宋_GB2312" w:cs="Times New Roman"/>
          <w:b w:val="0"/>
          <w:bCs w:val="0"/>
          <w:color w:val="000000"/>
          <w:kern w:val="0"/>
          <w:sz w:val="32"/>
          <w:szCs w:val="32"/>
          <w:lang w:bidi="ar"/>
        </w:rPr>
        <w:t>64.3818</w:t>
      </w:r>
      <w:bookmarkEnd w:id="0"/>
      <w:r>
        <w:rPr>
          <w:rFonts w:hint="default" w:ascii="Times New Roman" w:hAnsi="Times New Roman" w:eastAsia="仿宋_GB2312" w:cs="Times New Roman"/>
          <w:color w:val="auto"/>
          <w:sz w:val="32"/>
          <w:szCs w:val="32"/>
        </w:rPr>
        <w:t>公顷，占成片开发总面积的</w:t>
      </w:r>
      <w:r>
        <w:rPr>
          <w:rFonts w:hint="default" w:ascii="Times New Roman" w:hAnsi="Times New Roman" w:eastAsia="仿宋_GB2312" w:cs="Times New Roman"/>
          <w:color w:val="auto"/>
          <w:sz w:val="32"/>
          <w:szCs w:val="32"/>
          <w:lang w:val="en-US" w:eastAsia="zh-CN"/>
        </w:rPr>
        <w:t>61.39</w:t>
      </w:r>
      <w:r>
        <w:rPr>
          <w:rFonts w:hint="default" w:ascii="Times New Roman" w:hAnsi="Times New Roman" w:eastAsia="仿宋_GB2312" w:cs="Times New Roman"/>
          <w:color w:val="auto"/>
          <w:sz w:val="32"/>
          <w:szCs w:val="32"/>
        </w:rPr>
        <w:t>%。详细信息见下表。</w:t>
      </w:r>
    </w:p>
    <w:p>
      <w:pPr>
        <w:keepNext w:val="0"/>
        <w:keepLines w:val="0"/>
        <w:pageBreakBefore w:val="0"/>
        <w:kinsoku/>
        <w:wordWrap/>
        <w:overflowPunct/>
        <w:topLinePunct w:val="0"/>
        <w:autoSpaceDE/>
        <w:autoSpaceDN/>
        <w:bidi w:val="0"/>
        <w:adjustRightInd/>
        <w:snapToGrid/>
        <w:spacing w:line="324" w:lineRule="auto"/>
        <w:ind w:firstLine="421" w:firstLineChars="200"/>
        <w:jc w:val="center"/>
        <w:rPr>
          <w:rFonts w:hint="default" w:ascii="Times New Roman" w:hAnsi="Times New Roman" w:eastAsia="宋体" w:cs="Times New Roman"/>
          <w:b/>
          <w:bCs/>
          <w:color w:val="auto"/>
          <w:szCs w:val="21"/>
        </w:rPr>
      </w:pPr>
    </w:p>
    <w:p>
      <w:pPr>
        <w:keepNext w:val="0"/>
        <w:keepLines w:val="0"/>
        <w:pageBreakBefore w:val="0"/>
        <w:kinsoku/>
        <w:wordWrap/>
        <w:overflowPunct/>
        <w:topLinePunct w:val="0"/>
        <w:autoSpaceDE/>
        <w:autoSpaceDN/>
        <w:bidi w:val="0"/>
        <w:adjustRightInd/>
        <w:snapToGrid/>
        <w:spacing w:line="324" w:lineRule="auto"/>
        <w:ind w:firstLine="420" w:firstLineChars="200"/>
        <w:jc w:val="center"/>
        <w:rPr>
          <w:rFonts w:hint="eastAsia" w:ascii="黑体" w:hAnsi="黑体" w:eastAsia="黑体" w:cs="黑体"/>
          <w:b w:val="0"/>
          <w:bCs w:val="0"/>
          <w:color w:val="auto"/>
          <w:sz w:val="28"/>
          <w:szCs w:val="28"/>
        </w:rPr>
      </w:pPr>
      <w:r>
        <w:rPr>
          <w:rFonts w:hint="eastAsia" w:ascii="黑体" w:hAnsi="黑体" w:eastAsia="黑体" w:cs="黑体"/>
          <w:b w:val="0"/>
          <w:bCs w:val="0"/>
          <w:color w:val="auto"/>
          <w:szCs w:val="21"/>
        </w:rPr>
        <w:t>表</w:t>
      </w:r>
      <w:r>
        <w:rPr>
          <w:rFonts w:hint="default" w:ascii="Times New Roman" w:hAnsi="Times New Roman" w:eastAsia="黑体" w:cs="Times New Roman"/>
          <w:b w:val="0"/>
          <w:bCs w:val="0"/>
          <w:color w:val="auto"/>
          <w:szCs w:val="21"/>
        </w:rPr>
        <w:t>1</w:t>
      </w:r>
      <w:r>
        <w:rPr>
          <w:rFonts w:hint="eastAsia" w:ascii="黑体" w:hAnsi="黑体" w:eastAsia="黑体" w:cs="黑体"/>
          <w:b w:val="0"/>
          <w:bCs w:val="0"/>
          <w:color w:val="auto"/>
          <w:szCs w:val="21"/>
        </w:rPr>
        <w:t>成片开发区域详细信息一览表</w:t>
      </w:r>
    </w:p>
    <w:p>
      <w:pPr>
        <w:keepNext w:val="0"/>
        <w:keepLines w:val="0"/>
        <w:pageBreakBefore w:val="0"/>
        <w:widowControl/>
        <w:kinsoku/>
        <w:wordWrap/>
        <w:overflowPunct/>
        <w:topLinePunct w:val="0"/>
        <w:autoSpaceDE/>
        <w:autoSpaceDN/>
        <w:bidi w:val="0"/>
        <w:adjustRightInd/>
        <w:snapToGrid/>
        <w:spacing w:line="324" w:lineRule="auto"/>
        <w:jc w:val="right"/>
        <w:textAlignment w:val="center"/>
        <w:rPr>
          <w:rFonts w:hint="default" w:ascii="Times New Roman" w:hAnsi="Times New Roman" w:eastAsia="宋体" w:cs="Times New Roman"/>
          <w:b/>
          <w:bCs/>
          <w:color w:val="auto"/>
          <w:szCs w:val="21"/>
        </w:rPr>
      </w:pPr>
      <w:r>
        <w:rPr>
          <w:rFonts w:hint="eastAsia" w:ascii="黑体" w:hAnsi="黑体" w:eastAsia="黑体" w:cs="黑体"/>
          <w:b w:val="0"/>
          <w:bCs w:val="0"/>
          <w:color w:val="auto"/>
          <w:szCs w:val="21"/>
        </w:rPr>
        <w:t>单位：公顷，%</w:t>
      </w:r>
    </w:p>
    <w:tbl>
      <w:tblPr>
        <w:tblStyle w:val="9"/>
        <w:tblW w:w="4998" w:type="pct"/>
        <w:tblInd w:w="0" w:type="dxa"/>
        <w:tblLayout w:type="autofit"/>
        <w:tblCellMar>
          <w:top w:w="0" w:type="dxa"/>
          <w:left w:w="108" w:type="dxa"/>
          <w:bottom w:w="0" w:type="dxa"/>
          <w:right w:w="108" w:type="dxa"/>
        </w:tblCellMar>
      </w:tblPr>
      <w:tblGrid>
        <w:gridCol w:w="1206"/>
        <w:gridCol w:w="2414"/>
        <w:gridCol w:w="1812"/>
        <w:gridCol w:w="1812"/>
        <w:gridCol w:w="1812"/>
      </w:tblGrid>
      <w:tr>
        <w:tblPrEx>
          <w:tblCellMar>
            <w:top w:w="0" w:type="dxa"/>
            <w:left w:w="108" w:type="dxa"/>
            <w:bottom w:w="0" w:type="dxa"/>
            <w:right w:w="108" w:type="dxa"/>
          </w:tblCellMar>
        </w:tblPrEx>
        <w:trPr>
          <w:trHeight w:val="23" w:hRule="atLeast"/>
        </w:trPr>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szCs w:val="21"/>
              </w:rPr>
            </w:pPr>
            <w:r>
              <w:rPr>
                <w:rFonts w:hint="eastAsia" w:ascii="黑体" w:hAnsi="黑体" w:eastAsia="黑体" w:cs="黑体"/>
                <w:b w:val="0"/>
                <w:bCs w:val="0"/>
                <w:color w:val="000000"/>
                <w:kern w:val="0"/>
                <w:szCs w:val="21"/>
                <w:lang w:bidi="ar"/>
              </w:rPr>
              <w:t>成片开发区域编号</w:t>
            </w: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szCs w:val="21"/>
              </w:rPr>
            </w:pPr>
            <w:r>
              <w:rPr>
                <w:rFonts w:hint="eastAsia" w:ascii="黑体" w:hAnsi="黑体" w:eastAsia="黑体" w:cs="黑体"/>
                <w:b w:val="0"/>
                <w:bCs w:val="0"/>
                <w:color w:val="000000"/>
                <w:kern w:val="0"/>
                <w:szCs w:val="21"/>
                <w:lang w:bidi="ar"/>
              </w:rPr>
              <w:t>成片开发区域名称</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szCs w:val="21"/>
              </w:rPr>
            </w:pPr>
            <w:r>
              <w:rPr>
                <w:rFonts w:hint="eastAsia" w:ascii="黑体" w:hAnsi="黑体" w:eastAsia="黑体" w:cs="黑体"/>
                <w:b w:val="0"/>
                <w:bCs w:val="0"/>
                <w:color w:val="000000"/>
                <w:kern w:val="0"/>
                <w:szCs w:val="21"/>
                <w:lang w:bidi="ar"/>
              </w:rPr>
              <w:t>所在区域</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szCs w:val="21"/>
              </w:rPr>
            </w:pPr>
            <w:r>
              <w:rPr>
                <w:rFonts w:hint="eastAsia" w:ascii="黑体" w:hAnsi="黑体" w:eastAsia="黑体" w:cs="黑体"/>
                <w:b w:val="0"/>
                <w:bCs w:val="0"/>
                <w:color w:val="000000"/>
                <w:kern w:val="0"/>
                <w:szCs w:val="21"/>
                <w:lang w:bidi="ar"/>
              </w:rPr>
              <w:t>片块面积</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szCs w:val="21"/>
              </w:rPr>
            </w:pPr>
            <w:r>
              <w:rPr>
                <w:rFonts w:hint="eastAsia" w:ascii="黑体" w:hAnsi="黑体" w:eastAsia="黑体" w:cs="黑体"/>
                <w:b w:val="0"/>
                <w:bCs w:val="0"/>
                <w:color w:val="000000"/>
                <w:kern w:val="0"/>
                <w:szCs w:val="21"/>
                <w:lang w:bidi="ar"/>
              </w:rPr>
              <w:t>拟征收面积</w:t>
            </w:r>
          </w:p>
        </w:tc>
      </w:tr>
      <w:tr>
        <w:tblPrEx>
          <w:tblCellMar>
            <w:top w:w="0" w:type="dxa"/>
            <w:left w:w="108" w:type="dxa"/>
            <w:bottom w:w="0" w:type="dxa"/>
            <w:right w:w="108" w:type="dxa"/>
          </w:tblCellMar>
        </w:tblPrEx>
        <w:trPr>
          <w:trHeight w:val="695" w:hRule="atLeast"/>
        </w:trPr>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HP01</w:t>
            </w: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中山市现代物流产业平台（黄圃园）地块</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吴栏村</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88.4778</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 xml:space="preserve">54.4570 </w:t>
            </w:r>
          </w:p>
        </w:tc>
      </w:tr>
      <w:tr>
        <w:tblPrEx>
          <w:tblCellMar>
            <w:top w:w="0" w:type="dxa"/>
            <w:left w:w="108" w:type="dxa"/>
            <w:bottom w:w="0" w:type="dxa"/>
            <w:right w:w="108" w:type="dxa"/>
          </w:tblCellMar>
        </w:tblPrEx>
        <w:trPr>
          <w:trHeight w:val="602" w:hRule="atLeast"/>
        </w:trPr>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HP02</w:t>
            </w: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吴栏工业用地—康丰环保项目地块</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吴栏村</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11.8346</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7.1408</w:t>
            </w:r>
          </w:p>
        </w:tc>
      </w:tr>
      <w:tr>
        <w:tblPrEx>
          <w:tblCellMar>
            <w:top w:w="0" w:type="dxa"/>
            <w:left w:w="108" w:type="dxa"/>
            <w:bottom w:w="0" w:type="dxa"/>
            <w:right w:w="108" w:type="dxa"/>
          </w:tblCellMar>
        </w:tblPrEx>
        <w:trPr>
          <w:trHeight w:val="506" w:hRule="atLeast"/>
        </w:trPr>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HP04</w:t>
            </w: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原威达检测站地块</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团范村</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1.9563</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1.1852</w:t>
            </w:r>
          </w:p>
        </w:tc>
      </w:tr>
      <w:tr>
        <w:tblPrEx>
          <w:tblCellMar>
            <w:top w:w="0" w:type="dxa"/>
            <w:left w:w="108" w:type="dxa"/>
            <w:bottom w:w="0" w:type="dxa"/>
            <w:right w:w="108" w:type="dxa"/>
          </w:tblCellMar>
        </w:tblPrEx>
        <w:trPr>
          <w:trHeight w:val="581" w:hRule="atLeast"/>
        </w:trPr>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HP05</w:t>
            </w:r>
          </w:p>
        </w:tc>
        <w:tc>
          <w:tcPr>
            <w:tcW w:w="1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羽顺项目地块</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马安村</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 xml:space="preserve">2.5980 </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1.5988</w:t>
            </w:r>
          </w:p>
        </w:tc>
      </w:tr>
      <w:tr>
        <w:tblPrEx>
          <w:tblCellMar>
            <w:top w:w="0" w:type="dxa"/>
            <w:left w:w="108" w:type="dxa"/>
            <w:bottom w:w="0" w:type="dxa"/>
            <w:right w:w="108" w:type="dxa"/>
          </w:tblCellMar>
        </w:tblPrEx>
        <w:trPr>
          <w:trHeight w:val="23" w:hRule="atLeast"/>
        </w:trPr>
        <w:tc>
          <w:tcPr>
            <w:tcW w:w="19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4" w:lineRule="auto"/>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合计</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b/>
                <w:bCs/>
                <w:color w:val="000000"/>
                <w:szCs w:val="21"/>
              </w:rPr>
            </w:pPr>
            <w:bookmarkStart w:id="1" w:name="OLE_LINK19"/>
            <w:r>
              <w:rPr>
                <w:rFonts w:hint="default" w:ascii="Times New Roman" w:hAnsi="Times New Roman" w:eastAsia="宋体" w:cs="Times New Roman"/>
                <w:b/>
                <w:bCs/>
                <w:color w:val="000000"/>
                <w:kern w:val="0"/>
                <w:szCs w:val="21"/>
                <w:lang w:bidi="ar"/>
              </w:rPr>
              <w:t>104.8667</w:t>
            </w:r>
            <w:bookmarkEnd w:id="1"/>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64.3818</w:t>
            </w:r>
          </w:p>
        </w:tc>
      </w:tr>
    </w:tbl>
    <w:p>
      <w:pPr>
        <w:keepNext w:val="0"/>
        <w:keepLines w:val="0"/>
        <w:pageBreakBefore w:val="0"/>
        <w:kinsoku/>
        <w:wordWrap/>
        <w:overflowPunct/>
        <w:topLinePunct w:val="0"/>
        <w:autoSpaceDE/>
        <w:autoSpaceDN/>
        <w:bidi w:val="0"/>
        <w:adjustRightInd/>
        <w:snapToGrid/>
        <w:spacing w:line="324" w:lineRule="auto"/>
        <w:ind w:firstLine="640" w:firstLineChars="200"/>
        <w:outlineLvl w:val="1"/>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三、成片开发条件分析</w:t>
      </w:r>
    </w:p>
    <w:p>
      <w:pPr>
        <w:keepNext w:val="0"/>
        <w:keepLines w:val="0"/>
        <w:pageBreakBefore w:val="0"/>
        <w:kinsoku/>
        <w:wordWrap/>
        <w:overflowPunct/>
        <w:topLinePunct w:val="0"/>
        <w:autoSpaceDE/>
        <w:autoSpaceDN/>
        <w:bidi w:val="0"/>
        <w:adjustRightInd/>
        <w:snapToGrid/>
        <w:spacing w:line="324" w:lineRule="auto"/>
        <w:ind w:firstLine="640" w:firstLineChars="200"/>
        <w:outlineLvl w:val="1"/>
        <w:rPr>
          <w:rFonts w:hint="eastAsia" w:ascii="楷体_GB2312" w:hAnsi="楷体_GB2312" w:eastAsia="楷体_GB2312" w:cs="楷体_GB2312"/>
          <w:b w:val="0"/>
          <w:bCs w:val="0"/>
          <w:color w:val="auto"/>
          <w:sz w:val="32"/>
          <w:szCs w:val="32"/>
        </w:rPr>
      </w:pPr>
      <w:r>
        <w:rPr>
          <w:rFonts w:hint="eastAsia" w:ascii="楷体_GB2312" w:hAnsi="楷体_GB2312" w:eastAsia="楷体_GB2312" w:cs="楷体_GB2312"/>
          <w:b w:val="0"/>
          <w:bCs w:val="0"/>
          <w:color w:val="auto"/>
          <w:sz w:val="32"/>
          <w:szCs w:val="32"/>
        </w:rPr>
        <w:t>（一）必要性分析</w:t>
      </w:r>
    </w:p>
    <w:p>
      <w:pPr>
        <w:keepNext w:val="0"/>
        <w:keepLines w:val="0"/>
        <w:pageBreakBefore w:val="0"/>
        <w:kinsoku/>
        <w:wordWrap/>
        <w:overflowPunct/>
        <w:topLinePunct w:val="0"/>
        <w:autoSpaceDE/>
        <w:autoSpaceDN/>
        <w:bidi w:val="0"/>
        <w:adjustRightInd/>
        <w:snapToGrid/>
        <w:spacing w:line="324"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本次成片开发是落实中山市国民经济和社会发展第十四个五年规划定位的需要，是推动完善周边公共配套设施与基础设施建设，提高土地利用效率与效益，促进社会经济可持续发展的需要。</w:t>
      </w:r>
    </w:p>
    <w:p>
      <w:pPr>
        <w:keepNext w:val="0"/>
        <w:keepLines w:val="0"/>
        <w:pageBreakBefore w:val="0"/>
        <w:kinsoku/>
        <w:wordWrap/>
        <w:overflowPunct/>
        <w:topLinePunct w:val="0"/>
        <w:autoSpaceDE/>
        <w:autoSpaceDN/>
        <w:bidi w:val="0"/>
        <w:adjustRightInd/>
        <w:snapToGrid/>
        <w:spacing w:line="324" w:lineRule="auto"/>
        <w:ind w:firstLine="640" w:firstLineChars="200"/>
        <w:outlineLvl w:val="1"/>
        <w:rPr>
          <w:rFonts w:hint="eastAsia" w:ascii="楷体_GB2312" w:hAnsi="楷体_GB2312" w:eastAsia="楷体_GB2312" w:cs="楷体_GB2312"/>
          <w:b w:val="0"/>
          <w:bCs w:val="0"/>
          <w:color w:val="auto"/>
          <w:sz w:val="32"/>
          <w:szCs w:val="32"/>
        </w:rPr>
      </w:pPr>
      <w:r>
        <w:rPr>
          <w:rFonts w:hint="eastAsia" w:ascii="楷体_GB2312" w:hAnsi="楷体_GB2312" w:eastAsia="楷体_GB2312" w:cs="楷体_GB2312"/>
          <w:b w:val="0"/>
          <w:bCs w:val="0"/>
          <w:color w:val="auto"/>
          <w:sz w:val="32"/>
          <w:szCs w:val="32"/>
        </w:rPr>
        <w:t>（二）合规性分析</w:t>
      </w:r>
    </w:p>
    <w:p>
      <w:pPr>
        <w:keepNext w:val="0"/>
        <w:keepLines w:val="0"/>
        <w:pageBreakBefore w:val="0"/>
        <w:kinsoku/>
        <w:wordWrap/>
        <w:overflowPunct/>
        <w:topLinePunct w:val="0"/>
        <w:autoSpaceDE/>
        <w:autoSpaceDN/>
        <w:bidi w:val="0"/>
        <w:adjustRightInd/>
        <w:snapToGrid/>
        <w:spacing w:line="324" w:lineRule="auto"/>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color w:val="auto"/>
          <w:sz w:val="32"/>
          <w:szCs w:val="32"/>
        </w:rPr>
        <w:t>本次成片开发地块不涉及占用永久基本农田和生态保护红线，片区内公益性用地比例在</w:t>
      </w:r>
      <w:r>
        <w:rPr>
          <w:rFonts w:hint="default" w:ascii="Times New Roman" w:hAnsi="Times New Roman" w:eastAsia="仿宋_GB2312" w:cs="Times New Roman"/>
          <w:color w:val="auto"/>
          <w:sz w:val="32"/>
          <w:szCs w:val="32"/>
          <w:lang w:val="en-US" w:eastAsia="zh-CN"/>
        </w:rPr>
        <w:t>30</w:t>
      </w:r>
      <w:r>
        <w:rPr>
          <w:rFonts w:hint="default" w:ascii="Times New Roman" w:hAnsi="Times New Roman" w:eastAsia="仿宋_GB2312" w:cs="Times New Roman"/>
          <w:color w:val="auto"/>
          <w:sz w:val="32"/>
          <w:szCs w:val="32"/>
        </w:rPr>
        <w:t>%以上。本次土地征收成片开发方案符合国民经济和社会发展规划、</w:t>
      </w:r>
      <w:r>
        <w:rPr>
          <w:rFonts w:hint="default" w:ascii="Times New Roman" w:hAnsi="Times New Roman" w:eastAsia="仿宋_GB2312" w:cs="Times New Roman"/>
          <w:color w:val="auto"/>
          <w:sz w:val="32"/>
          <w:szCs w:val="32"/>
          <w:lang w:val="en-US" w:eastAsia="zh-CN"/>
        </w:rPr>
        <w:t>国土空间总体规划</w:t>
      </w:r>
      <w:r>
        <w:rPr>
          <w:rFonts w:hint="default" w:ascii="Times New Roman" w:hAnsi="Times New Roman" w:eastAsia="仿宋_GB2312" w:cs="Times New Roman"/>
          <w:color w:val="auto"/>
          <w:sz w:val="32"/>
          <w:szCs w:val="32"/>
        </w:rPr>
        <w:t>和专项规划，能够促进经济社会可持续发展。</w:t>
      </w:r>
    </w:p>
    <w:p>
      <w:pPr>
        <w:keepNext w:val="0"/>
        <w:keepLines w:val="0"/>
        <w:pageBreakBefore w:val="0"/>
        <w:numPr>
          <w:ilvl w:val="0"/>
          <w:numId w:val="1"/>
        </w:numPr>
        <w:kinsoku/>
        <w:wordWrap/>
        <w:overflowPunct/>
        <w:topLinePunct w:val="0"/>
        <w:autoSpaceDE/>
        <w:autoSpaceDN/>
        <w:bidi w:val="0"/>
        <w:adjustRightInd/>
        <w:snapToGrid/>
        <w:spacing w:line="324" w:lineRule="auto"/>
        <w:ind w:firstLine="640" w:firstLineChars="200"/>
        <w:outlineLvl w:val="1"/>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拟安排项目及实施计划</w:t>
      </w:r>
    </w:p>
    <w:p>
      <w:pPr>
        <w:keepNext w:val="0"/>
        <w:keepLines w:val="0"/>
        <w:pageBreakBefore w:val="0"/>
        <w:widowControl/>
        <w:kinsoku/>
        <w:wordWrap/>
        <w:overflowPunct/>
        <w:topLinePunct w:val="0"/>
        <w:autoSpaceDE/>
        <w:autoSpaceDN/>
        <w:bidi w:val="0"/>
        <w:adjustRightInd/>
        <w:snapToGrid/>
        <w:spacing w:line="324" w:lineRule="auto"/>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本方案由</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个</w:t>
      </w:r>
      <w:r>
        <w:rPr>
          <w:rFonts w:hint="default" w:ascii="Times New Roman" w:hAnsi="Times New Roman" w:eastAsia="仿宋_GB2312" w:cs="Times New Roman"/>
          <w:sz w:val="32"/>
          <w:szCs w:val="32"/>
          <w:lang w:eastAsia="zh-CN"/>
        </w:rPr>
        <w:t>成片开发</w:t>
      </w:r>
      <w:r>
        <w:rPr>
          <w:rFonts w:hint="default" w:ascii="Times New Roman" w:hAnsi="Times New Roman" w:eastAsia="仿宋_GB2312" w:cs="Times New Roman"/>
          <w:sz w:val="32"/>
          <w:szCs w:val="32"/>
        </w:rPr>
        <w:t>地块组成，总面积为104.8667公顷。</w:t>
      </w:r>
      <w:r>
        <w:rPr>
          <w:rFonts w:hint="default" w:ascii="Times New Roman" w:hAnsi="Times New Roman" w:eastAsia="仿宋_GB2312" w:cs="Times New Roman"/>
          <w:sz w:val="32"/>
          <w:szCs w:val="32"/>
          <w:lang w:eastAsia="zh-CN"/>
        </w:rPr>
        <w:t>根据开发</w:t>
      </w:r>
      <w:r>
        <w:rPr>
          <w:rFonts w:hint="default" w:ascii="Times New Roman" w:hAnsi="Times New Roman" w:eastAsia="仿宋_GB2312" w:cs="Times New Roman"/>
          <w:sz w:val="32"/>
          <w:szCs w:val="32"/>
        </w:rPr>
        <w:t>建设计划、被征地单位意愿、征地资金、土地审批信息等因素，综合分析论证后制定拟建项目开发时序为</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年，即202</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val="en-US" w:eastAsia="zh-CN"/>
        </w:rPr>
        <w:t>、2027</w:t>
      </w:r>
      <w:r>
        <w:rPr>
          <w:rFonts w:hint="default" w:ascii="Times New Roman" w:hAnsi="Times New Roman" w:eastAsia="仿宋_GB2312" w:cs="Times New Roman"/>
          <w:sz w:val="32"/>
          <w:szCs w:val="32"/>
        </w:rPr>
        <w:t>年。</w:t>
      </w:r>
    </w:p>
    <w:p>
      <w:pPr>
        <w:keepNext w:val="0"/>
        <w:keepLines w:val="0"/>
        <w:pageBreakBefore w:val="0"/>
        <w:widowControl w:val="0"/>
        <w:kinsoku/>
        <w:wordWrap/>
        <w:overflowPunct/>
        <w:topLinePunct w:val="0"/>
        <w:autoSpaceDE/>
        <w:autoSpaceDN/>
        <w:bidi w:val="0"/>
        <w:adjustRightInd/>
        <w:snapToGrid/>
        <w:spacing w:line="324" w:lineRule="auto"/>
        <w:ind w:firstLine="0" w:firstLineChars="0"/>
        <w:jc w:val="center"/>
        <w:textAlignment w:val="auto"/>
        <w:rPr>
          <w:rFonts w:hint="eastAsia" w:ascii="黑体" w:hAnsi="黑体" w:eastAsia="黑体" w:cs="黑体"/>
          <w:b w:val="0"/>
          <w:bCs w:val="0"/>
          <w:color w:val="000000" w:themeColor="text1"/>
          <w:sz w:val="24"/>
          <w:szCs w:val="24"/>
          <w14:textFill>
            <w14:solidFill>
              <w14:schemeClr w14:val="tx1"/>
            </w14:solidFill>
          </w14:textFill>
        </w:rPr>
      </w:pPr>
      <w:r>
        <w:rPr>
          <w:rFonts w:hint="eastAsia" w:ascii="黑体" w:hAnsi="黑体" w:eastAsia="黑体" w:cs="黑体"/>
          <w:b w:val="0"/>
          <w:bCs w:val="0"/>
          <w:color w:val="000000" w:themeColor="text1"/>
          <w:sz w:val="24"/>
          <w:szCs w:val="24"/>
          <w14:textFill>
            <w14:solidFill>
              <w14:schemeClr w14:val="tx1"/>
            </w14:solidFill>
          </w14:textFill>
        </w:rPr>
        <w:t>表2  成片开发项目一览表</w:t>
      </w:r>
    </w:p>
    <w:p>
      <w:pPr>
        <w:keepNext w:val="0"/>
        <w:keepLines w:val="0"/>
        <w:pageBreakBefore w:val="0"/>
        <w:widowControl/>
        <w:kinsoku/>
        <w:wordWrap/>
        <w:overflowPunct/>
        <w:topLinePunct w:val="0"/>
        <w:autoSpaceDE/>
        <w:autoSpaceDN/>
        <w:bidi w:val="0"/>
        <w:adjustRightInd/>
        <w:snapToGrid/>
        <w:spacing w:line="324" w:lineRule="auto"/>
        <w:jc w:val="right"/>
        <w:textAlignment w:val="center"/>
        <w:rPr>
          <w:rFonts w:hint="eastAsia" w:ascii="黑体" w:hAnsi="黑体" w:eastAsia="黑体" w:cs="黑体"/>
          <w:b w:val="0"/>
          <w:bCs w:val="0"/>
          <w:color w:val="auto"/>
          <w:szCs w:val="21"/>
          <w:lang w:val="en-US" w:eastAsia="zh-CN"/>
        </w:rPr>
      </w:pPr>
      <w:r>
        <w:rPr>
          <w:rFonts w:hint="eastAsia" w:ascii="黑体" w:hAnsi="黑体" w:eastAsia="黑体" w:cs="黑体"/>
          <w:b w:val="0"/>
          <w:bCs w:val="0"/>
          <w:color w:val="auto"/>
          <w:szCs w:val="21"/>
        </w:rPr>
        <w:t>单位：公顷</w:t>
      </w:r>
      <w:r>
        <w:rPr>
          <w:rFonts w:hint="eastAsia" w:ascii="黑体" w:hAnsi="黑体" w:eastAsia="黑体" w:cs="黑体"/>
          <w:b w:val="0"/>
          <w:bCs w:val="0"/>
          <w:color w:val="auto"/>
          <w:szCs w:val="21"/>
          <w:lang w:val="en-US" w:eastAsia="zh-CN"/>
        </w:rPr>
        <w:t xml:space="preserve">  %</w:t>
      </w:r>
    </w:p>
    <w:tbl>
      <w:tblPr>
        <w:tblStyle w:val="9"/>
        <w:tblW w:w="4997" w:type="pct"/>
        <w:tblInd w:w="0" w:type="dxa"/>
        <w:tblLayout w:type="fixed"/>
        <w:tblCellMar>
          <w:top w:w="0" w:type="dxa"/>
          <w:left w:w="108" w:type="dxa"/>
          <w:bottom w:w="0" w:type="dxa"/>
          <w:right w:w="108" w:type="dxa"/>
        </w:tblCellMar>
      </w:tblPr>
      <w:tblGrid>
        <w:gridCol w:w="763"/>
        <w:gridCol w:w="1012"/>
        <w:gridCol w:w="781"/>
        <w:gridCol w:w="1132"/>
        <w:gridCol w:w="989"/>
        <w:gridCol w:w="1770"/>
        <w:gridCol w:w="909"/>
        <w:gridCol w:w="845"/>
        <w:gridCol w:w="854"/>
      </w:tblGrid>
      <w:tr>
        <w:tblPrEx>
          <w:tblCellMar>
            <w:top w:w="0" w:type="dxa"/>
            <w:left w:w="108" w:type="dxa"/>
            <w:bottom w:w="0" w:type="dxa"/>
            <w:right w:w="108" w:type="dxa"/>
          </w:tblCellMar>
        </w:tblPrEx>
        <w:trPr>
          <w:trHeight w:val="23" w:hRule="atLeast"/>
        </w:trPr>
        <w:tc>
          <w:tcPr>
            <w:tcW w:w="421" w:type="pct"/>
            <w:vMerge w:val="restart"/>
            <w:tcBorders>
              <w:top w:val="single" w:color="000000" w:sz="4" w:space="0"/>
              <w:left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kern w:val="0"/>
                <w:sz w:val="21"/>
                <w:szCs w:val="21"/>
                <w:lang w:bidi="ar"/>
              </w:rPr>
              <w:t>地块编号</w:t>
            </w:r>
          </w:p>
        </w:tc>
        <w:tc>
          <w:tcPr>
            <w:tcW w:w="558" w:type="pct"/>
            <w:vMerge w:val="restart"/>
            <w:tcBorders>
              <w:top w:val="single" w:color="000000" w:sz="4" w:space="0"/>
              <w:left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kern w:val="0"/>
                <w:sz w:val="21"/>
                <w:szCs w:val="21"/>
                <w:lang w:bidi="ar"/>
              </w:rPr>
              <w:t>区域名称</w:t>
            </w:r>
          </w:p>
        </w:tc>
        <w:tc>
          <w:tcPr>
            <w:tcW w:w="431" w:type="pct"/>
            <w:vMerge w:val="restart"/>
            <w:tcBorders>
              <w:top w:val="single" w:color="000000" w:sz="4" w:space="0"/>
              <w:left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kern w:val="0"/>
                <w:sz w:val="21"/>
                <w:szCs w:val="21"/>
                <w:lang w:bidi="ar"/>
              </w:rPr>
              <w:t>拟安排项目名称</w:t>
            </w:r>
          </w:p>
        </w:tc>
        <w:tc>
          <w:tcPr>
            <w:tcW w:w="625" w:type="pct"/>
            <w:vMerge w:val="restart"/>
            <w:tcBorders>
              <w:top w:val="single" w:color="000000" w:sz="4" w:space="0"/>
              <w:left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kern w:val="0"/>
                <w:sz w:val="21"/>
                <w:szCs w:val="21"/>
                <w:lang w:bidi="ar"/>
              </w:rPr>
              <w:t>成片开发范围面积</w:t>
            </w:r>
          </w:p>
        </w:tc>
        <w:tc>
          <w:tcPr>
            <w:tcW w:w="545" w:type="pct"/>
            <w:vMerge w:val="restart"/>
            <w:tcBorders>
              <w:top w:val="single" w:color="000000" w:sz="4" w:space="0"/>
              <w:left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kern w:val="0"/>
                <w:sz w:val="21"/>
                <w:szCs w:val="21"/>
                <w:lang w:bidi="ar"/>
              </w:rPr>
              <w:t>拟征收地块面积</w:t>
            </w:r>
          </w:p>
        </w:tc>
        <w:tc>
          <w:tcPr>
            <w:tcW w:w="977" w:type="pct"/>
            <w:vMerge w:val="restart"/>
            <w:tcBorders>
              <w:top w:val="single" w:color="000000" w:sz="4" w:space="0"/>
              <w:left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kern w:val="0"/>
                <w:sz w:val="21"/>
                <w:szCs w:val="21"/>
                <w:lang w:bidi="ar"/>
              </w:rPr>
              <w:t>主要用途</w:t>
            </w:r>
          </w:p>
        </w:tc>
        <w:tc>
          <w:tcPr>
            <w:tcW w:w="1439"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lang w:val="en-US" w:eastAsia="zh-CN"/>
              </w:rPr>
              <w:t>取得批文</w:t>
            </w:r>
          </w:p>
        </w:tc>
      </w:tr>
      <w:tr>
        <w:tblPrEx>
          <w:tblCellMar>
            <w:top w:w="0" w:type="dxa"/>
            <w:left w:w="108" w:type="dxa"/>
            <w:bottom w:w="0" w:type="dxa"/>
            <w:right w:w="108" w:type="dxa"/>
          </w:tblCellMar>
        </w:tblPrEx>
        <w:trPr>
          <w:trHeight w:val="23" w:hRule="atLeast"/>
        </w:trPr>
        <w:tc>
          <w:tcPr>
            <w:tcW w:w="421" w:type="pct"/>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kern w:val="0"/>
                <w:sz w:val="21"/>
                <w:szCs w:val="21"/>
                <w:lang w:bidi="ar"/>
              </w:rPr>
            </w:pPr>
          </w:p>
        </w:tc>
        <w:tc>
          <w:tcPr>
            <w:tcW w:w="558" w:type="pct"/>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kern w:val="0"/>
                <w:sz w:val="21"/>
                <w:szCs w:val="21"/>
                <w:lang w:bidi="ar"/>
              </w:rPr>
            </w:pPr>
          </w:p>
        </w:tc>
        <w:tc>
          <w:tcPr>
            <w:tcW w:w="431" w:type="pct"/>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kern w:val="0"/>
                <w:sz w:val="21"/>
                <w:szCs w:val="21"/>
                <w:lang w:bidi="ar"/>
              </w:rPr>
            </w:pPr>
          </w:p>
        </w:tc>
        <w:tc>
          <w:tcPr>
            <w:tcW w:w="625" w:type="pct"/>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kern w:val="0"/>
                <w:sz w:val="21"/>
                <w:szCs w:val="21"/>
                <w:lang w:bidi="ar"/>
              </w:rPr>
            </w:pPr>
          </w:p>
        </w:tc>
        <w:tc>
          <w:tcPr>
            <w:tcW w:w="545" w:type="pct"/>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kern w:val="0"/>
                <w:sz w:val="21"/>
                <w:szCs w:val="21"/>
                <w:lang w:bidi="ar"/>
              </w:rPr>
            </w:pPr>
          </w:p>
        </w:tc>
        <w:tc>
          <w:tcPr>
            <w:tcW w:w="977" w:type="pct"/>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kern w:val="0"/>
                <w:sz w:val="21"/>
                <w:szCs w:val="21"/>
                <w:lang w:bidi="ar"/>
              </w:rPr>
            </w:pPr>
          </w:p>
        </w:tc>
        <w:tc>
          <w:tcPr>
            <w:tcW w:w="50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2022年</w:t>
            </w:r>
          </w:p>
        </w:tc>
        <w:tc>
          <w:tcPr>
            <w:tcW w:w="4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2023年</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2027年</w:t>
            </w:r>
          </w:p>
        </w:tc>
      </w:tr>
      <w:tr>
        <w:tblPrEx>
          <w:tblCellMar>
            <w:top w:w="0" w:type="dxa"/>
            <w:left w:w="108" w:type="dxa"/>
            <w:bottom w:w="0" w:type="dxa"/>
            <w:right w:w="108" w:type="dxa"/>
          </w:tblCellMar>
        </w:tblPrEx>
        <w:trPr>
          <w:trHeight w:val="23" w:hRule="atLeast"/>
        </w:trPr>
        <w:tc>
          <w:tcPr>
            <w:tcW w:w="4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HP01</w:t>
            </w:r>
          </w:p>
        </w:tc>
        <w:tc>
          <w:tcPr>
            <w:tcW w:w="5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中山市现代物流产业平台（黄圃园）地块</w:t>
            </w:r>
          </w:p>
        </w:tc>
        <w:tc>
          <w:tcPr>
            <w:tcW w:w="4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产业平台（黄圃园）工业项目</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88.4778</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 xml:space="preserve">54.4570 </w:t>
            </w:r>
          </w:p>
        </w:tc>
        <w:tc>
          <w:tcPr>
            <w:tcW w:w="9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二类工业用地、铁路用地、公路用地、港口码头用地（二类工业用地）、城镇道路用地、防护绿地、港口码头用地</w:t>
            </w:r>
          </w:p>
        </w:tc>
        <w:tc>
          <w:tcPr>
            <w:tcW w:w="50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0</w:t>
            </w:r>
          </w:p>
        </w:tc>
        <w:tc>
          <w:tcPr>
            <w:tcW w:w="4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kern w:val="0"/>
                <w:sz w:val="21"/>
                <w:szCs w:val="21"/>
                <w:lang w:eastAsia="zh-CN" w:bidi="ar"/>
              </w:rPr>
            </w:pPr>
            <w:r>
              <w:rPr>
                <w:rFonts w:hint="default" w:ascii="Times New Roman" w:hAnsi="Times New Roman" w:eastAsia="宋体" w:cs="Times New Roman"/>
                <w:color w:val="000000"/>
                <w:kern w:val="0"/>
                <w:sz w:val="21"/>
                <w:szCs w:val="21"/>
                <w:lang w:bidi="ar"/>
              </w:rPr>
              <w:t>51.250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kern w:val="0"/>
                <w:sz w:val="21"/>
                <w:szCs w:val="21"/>
                <w:lang w:eastAsia="zh-CN" w:bidi="ar"/>
              </w:rPr>
            </w:pPr>
            <w:r>
              <w:rPr>
                <w:rFonts w:hint="default" w:ascii="Times New Roman" w:hAnsi="Times New Roman" w:eastAsia="宋体" w:cs="Times New Roman"/>
                <w:color w:val="000000"/>
                <w:kern w:val="0"/>
                <w:sz w:val="21"/>
                <w:szCs w:val="21"/>
                <w:lang w:bidi="ar"/>
              </w:rPr>
              <w:t>3.2070</w:t>
            </w:r>
          </w:p>
        </w:tc>
      </w:tr>
      <w:tr>
        <w:tblPrEx>
          <w:tblCellMar>
            <w:top w:w="0" w:type="dxa"/>
            <w:left w:w="108" w:type="dxa"/>
            <w:bottom w:w="0" w:type="dxa"/>
            <w:right w:w="108" w:type="dxa"/>
          </w:tblCellMar>
        </w:tblPrEx>
        <w:trPr>
          <w:trHeight w:val="23" w:hRule="atLeast"/>
        </w:trPr>
        <w:tc>
          <w:tcPr>
            <w:tcW w:w="4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HP02</w:t>
            </w:r>
          </w:p>
        </w:tc>
        <w:tc>
          <w:tcPr>
            <w:tcW w:w="5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吴栏工业用地—康丰环保项目地块</w:t>
            </w:r>
          </w:p>
        </w:tc>
        <w:tc>
          <w:tcPr>
            <w:tcW w:w="4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吴栏工业用地—康丰环保项目</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11.8346</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7.1408</w:t>
            </w:r>
          </w:p>
        </w:tc>
        <w:tc>
          <w:tcPr>
            <w:tcW w:w="9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二类工业用地、防护绿地、环卫用地、城镇道路用地</w:t>
            </w:r>
          </w:p>
        </w:tc>
        <w:tc>
          <w:tcPr>
            <w:tcW w:w="50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kern w:val="0"/>
                <w:sz w:val="21"/>
                <w:szCs w:val="21"/>
                <w:lang w:eastAsia="zh-CN" w:bidi="ar"/>
              </w:rPr>
            </w:pPr>
            <w:r>
              <w:rPr>
                <w:rFonts w:hint="default" w:ascii="Times New Roman" w:hAnsi="Times New Roman" w:eastAsia="宋体" w:cs="Times New Roman"/>
                <w:color w:val="000000"/>
                <w:kern w:val="0"/>
                <w:sz w:val="21"/>
                <w:szCs w:val="21"/>
                <w:lang w:val="en-US" w:eastAsia="zh-CN" w:bidi="ar"/>
              </w:rPr>
              <w:t>0</w:t>
            </w:r>
          </w:p>
        </w:tc>
        <w:tc>
          <w:tcPr>
            <w:tcW w:w="4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7.1408</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kern w:val="0"/>
                <w:sz w:val="21"/>
                <w:szCs w:val="21"/>
                <w:lang w:eastAsia="zh-CN" w:bidi="ar"/>
              </w:rPr>
            </w:pPr>
            <w:r>
              <w:rPr>
                <w:rFonts w:hint="default" w:ascii="Times New Roman" w:hAnsi="Times New Roman" w:eastAsia="宋体" w:cs="Times New Roman"/>
                <w:color w:val="000000"/>
                <w:kern w:val="0"/>
                <w:sz w:val="21"/>
                <w:szCs w:val="21"/>
                <w:lang w:val="en-US" w:eastAsia="zh-CN" w:bidi="ar"/>
              </w:rPr>
              <w:t>0</w:t>
            </w:r>
          </w:p>
        </w:tc>
      </w:tr>
      <w:tr>
        <w:tblPrEx>
          <w:tblCellMar>
            <w:top w:w="0" w:type="dxa"/>
            <w:left w:w="108" w:type="dxa"/>
            <w:bottom w:w="0" w:type="dxa"/>
            <w:right w:w="108" w:type="dxa"/>
          </w:tblCellMar>
        </w:tblPrEx>
        <w:trPr>
          <w:trHeight w:val="23" w:hRule="atLeast"/>
        </w:trPr>
        <w:tc>
          <w:tcPr>
            <w:tcW w:w="4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HP04</w:t>
            </w:r>
          </w:p>
        </w:tc>
        <w:tc>
          <w:tcPr>
            <w:tcW w:w="5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原威达检测站地块</w:t>
            </w:r>
          </w:p>
        </w:tc>
        <w:tc>
          <w:tcPr>
            <w:tcW w:w="4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高端装备制造业项目</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1.9563</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1.1852</w:t>
            </w:r>
          </w:p>
        </w:tc>
        <w:tc>
          <w:tcPr>
            <w:tcW w:w="9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二类工业用地、防护绿地、城镇道路用地、公路用地</w:t>
            </w:r>
          </w:p>
        </w:tc>
        <w:tc>
          <w:tcPr>
            <w:tcW w:w="50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0</w:t>
            </w:r>
          </w:p>
        </w:tc>
        <w:tc>
          <w:tcPr>
            <w:tcW w:w="4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bidi="ar"/>
              </w:rPr>
              <w:t>1.1852</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0</w:t>
            </w:r>
          </w:p>
        </w:tc>
      </w:tr>
      <w:tr>
        <w:tblPrEx>
          <w:tblCellMar>
            <w:top w:w="0" w:type="dxa"/>
            <w:left w:w="108" w:type="dxa"/>
            <w:bottom w:w="0" w:type="dxa"/>
            <w:right w:w="108" w:type="dxa"/>
          </w:tblCellMar>
        </w:tblPrEx>
        <w:trPr>
          <w:trHeight w:val="23" w:hRule="atLeast"/>
        </w:trPr>
        <w:tc>
          <w:tcPr>
            <w:tcW w:w="4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HP05</w:t>
            </w:r>
          </w:p>
        </w:tc>
        <w:tc>
          <w:tcPr>
            <w:tcW w:w="5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羽顺项目地块</w:t>
            </w:r>
          </w:p>
        </w:tc>
        <w:tc>
          <w:tcPr>
            <w:tcW w:w="4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热能技术产业项目</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2.598</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1.5988</w:t>
            </w:r>
          </w:p>
        </w:tc>
        <w:tc>
          <w:tcPr>
            <w:tcW w:w="9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二类工业用地、防护绿地、公路用地</w:t>
            </w:r>
          </w:p>
        </w:tc>
        <w:tc>
          <w:tcPr>
            <w:tcW w:w="50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1.5988</w:t>
            </w:r>
          </w:p>
        </w:tc>
        <w:tc>
          <w:tcPr>
            <w:tcW w:w="4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kern w:val="0"/>
                <w:sz w:val="21"/>
                <w:szCs w:val="21"/>
                <w:lang w:eastAsia="zh-CN" w:bidi="ar"/>
              </w:rPr>
            </w:pPr>
            <w:r>
              <w:rPr>
                <w:rFonts w:hint="default" w:ascii="Times New Roman" w:hAnsi="Times New Roman" w:eastAsia="宋体" w:cs="Times New Roman"/>
                <w:color w:val="000000"/>
                <w:kern w:val="0"/>
                <w:sz w:val="21"/>
                <w:szCs w:val="21"/>
                <w:lang w:val="en-US" w:eastAsia="zh-CN" w:bidi="ar"/>
              </w:rPr>
              <w:t>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kern w:val="0"/>
                <w:sz w:val="21"/>
                <w:szCs w:val="21"/>
                <w:lang w:eastAsia="zh-CN" w:bidi="ar"/>
              </w:rPr>
            </w:pPr>
            <w:r>
              <w:rPr>
                <w:rFonts w:hint="default" w:ascii="Times New Roman" w:hAnsi="Times New Roman" w:eastAsia="宋体" w:cs="Times New Roman"/>
                <w:color w:val="000000"/>
                <w:kern w:val="0"/>
                <w:sz w:val="21"/>
                <w:szCs w:val="21"/>
                <w:lang w:val="en-US" w:eastAsia="zh-CN" w:bidi="ar"/>
              </w:rPr>
              <w:t>0</w:t>
            </w:r>
          </w:p>
        </w:tc>
      </w:tr>
      <w:tr>
        <w:tblPrEx>
          <w:tblCellMar>
            <w:top w:w="0" w:type="dxa"/>
            <w:left w:w="108" w:type="dxa"/>
            <w:bottom w:w="0" w:type="dxa"/>
            <w:right w:w="108" w:type="dxa"/>
          </w:tblCellMar>
        </w:tblPrEx>
        <w:trPr>
          <w:trHeight w:val="23" w:hRule="atLeast"/>
        </w:trPr>
        <w:tc>
          <w:tcPr>
            <w:tcW w:w="1411"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合计</w:t>
            </w:r>
          </w:p>
        </w:tc>
        <w:tc>
          <w:tcPr>
            <w:tcW w:w="6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104.8667</w:t>
            </w:r>
          </w:p>
        </w:tc>
        <w:tc>
          <w:tcPr>
            <w:tcW w:w="5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64.3818</w:t>
            </w:r>
          </w:p>
        </w:tc>
        <w:tc>
          <w:tcPr>
            <w:tcW w:w="2417" w:type="pct"/>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w:t>
            </w:r>
          </w:p>
        </w:tc>
      </w:tr>
    </w:tbl>
    <w:p>
      <w:pPr>
        <w:keepNext w:val="0"/>
        <w:keepLines w:val="0"/>
        <w:pageBreakBefore w:val="0"/>
        <w:kinsoku/>
        <w:wordWrap/>
        <w:overflowPunct/>
        <w:topLinePunct w:val="0"/>
        <w:autoSpaceDE/>
        <w:autoSpaceDN/>
        <w:bidi w:val="0"/>
        <w:adjustRightInd/>
        <w:snapToGrid/>
        <w:spacing w:line="324" w:lineRule="auto"/>
        <w:ind w:firstLine="640" w:firstLineChars="200"/>
        <w:outlineLvl w:val="1"/>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val="en-US" w:eastAsia="zh-CN"/>
        </w:rPr>
        <w:t>五</w:t>
      </w:r>
      <w:r>
        <w:rPr>
          <w:rFonts w:hint="eastAsia" w:ascii="黑体" w:hAnsi="黑体" w:eastAsia="黑体" w:cs="黑体"/>
          <w:b w:val="0"/>
          <w:bCs w:val="0"/>
          <w:color w:val="auto"/>
          <w:sz w:val="32"/>
          <w:szCs w:val="32"/>
        </w:rPr>
        <w:t>、公益性用地情况</w:t>
      </w:r>
    </w:p>
    <w:p>
      <w:pPr>
        <w:keepNext w:val="0"/>
        <w:keepLines w:val="0"/>
        <w:pageBreakBefore w:val="0"/>
        <w:kinsoku/>
        <w:wordWrap/>
        <w:overflowPunct/>
        <w:topLinePunct w:val="0"/>
        <w:autoSpaceDE/>
        <w:autoSpaceDN/>
        <w:bidi w:val="0"/>
        <w:adjustRightInd/>
        <w:snapToGrid/>
        <w:spacing w:line="324" w:lineRule="auto"/>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仿宋_GB2312" w:cs="Times New Roman"/>
          <w:color w:val="auto"/>
          <w:sz w:val="32"/>
          <w:szCs w:val="32"/>
        </w:rPr>
        <w:t>成片开发区域内公益性用地主要为防护绿地、城</w:t>
      </w:r>
      <w:r>
        <w:rPr>
          <w:rFonts w:hint="default" w:ascii="Times New Roman" w:hAnsi="Times New Roman"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rPr>
        <w:t>道路用地。经核查，各成片开发范围均符合《广东省自然资源厅关于进一步规范土地征收成片开发工作的通知》（粤自然资规字〔2024〕7号）公益性用地比例一般不低于</w:t>
      </w:r>
      <w:r>
        <w:rPr>
          <w:rFonts w:hint="default" w:ascii="Times New Roman" w:hAnsi="Times New Roman" w:eastAsia="仿宋_GB2312" w:cs="Times New Roman"/>
          <w:color w:val="auto"/>
          <w:sz w:val="32"/>
          <w:szCs w:val="32"/>
          <w:lang w:val="en-US" w:eastAsia="zh-CN"/>
        </w:rPr>
        <w:t>30</w:t>
      </w:r>
      <w:r>
        <w:rPr>
          <w:rFonts w:hint="default" w:ascii="Times New Roman" w:hAnsi="Times New Roman" w:eastAsia="仿宋_GB2312" w:cs="Times New Roman"/>
          <w:color w:val="auto"/>
          <w:sz w:val="32"/>
          <w:szCs w:val="32"/>
        </w:rPr>
        <w:t>%的要求。</w:t>
      </w:r>
    </w:p>
    <w:p>
      <w:pPr>
        <w:keepNext w:val="0"/>
        <w:keepLines w:val="0"/>
        <w:pageBreakBefore w:val="0"/>
        <w:kinsoku/>
        <w:wordWrap/>
        <w:overflowPunct/>
        <w:topLinePunct w:val="0"/>
        <w:autoSpaceDE/>
        <w:autoSpaceDN/>
        <w:bidi w:val="0"/>
        <w:adjustRightInd/>
        <w:snapToGrid/>
        <w:spacing w:line="324" w:lineRule="auto"/>
        <w:jc w:val="center"/>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表2公益性用地情况一览表</w:t>
      </w:r>
    </w:p>
    <w:p>
      <w:pPr>
        <w:keepNext w:val="0"/>
        <w:keepLines w:val="0"/>
        <w:pageBreakBefore w:val="0"/>
        <w:widowControl/>
        <w:kinsoku/>
        <w:wordWrap/>
        <w:overflowPunct/>
        <w:topLinePunct w:val="0"/>
        <w:autoSpaceDE/>
        <w:autoSpaceDN/>
        <w:bidi w:val="0"/>
        <w:adjustRightInd/>
        <w:snapToGrid/>
        <w:spacing w:line="324" w:lineRule="auto"/>
        <w:jc w:val="right"/>
        <w:textAlignment w:val="center"/>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单位：公顷，%</w:t>
      </w:r>
    </w:p>
    <w:tbl>
      <w:tblPr>
        <w:tblStyle w:val="9"/>
        <w:tblW w:w="4997" w:type="pct"/>
        <w:tblInd w:w="0" w:type="dxa"/>
        <w:tblLayout w:type="autofit"/>
        <w:tblCellMar>
          <w:top w:w="0" w:type="dxa"/>
          <w:left w:w="108" w:type="dxa"/>
          <w:bottom w:w="0" w:type="dxa"/>
          <w:right w:w="108" w:type="dxa"/>
        </w:tblCellMar>
      </w:tblPr>
      <w:tblGrid>
        <w:gridCol w:w="1453"/>
        <w:gridCol w:w="1458"/>
        <w:gridCol w:w="1455"/>
        <w:gridCol w:w="1516"/>
        <w:gridCol w:w="1455"/>
        <w:gridCol w:w="1718"/>
      </w:tblGrid>
      <w:tr>
        <w:tblPrEx>
          <w:tblCellMar>
            <w:top w:w="0" w:type="dxa"/>
            <w:left w:w="108" w:type="dxa"/>
            <w:bottom w:w="0" w:type="dxa"/>
            <w:right w:w="108" w:type="dxa"/>
          </w:tblCellMar>
        </w:tblPrEx>
        <w:trPr>
          <w:trHeight w:val="810" w:hRule="atLeast"/>
        </w:trPr>
        <w:tc>
          <w:tcPr>
            <w:tcW w:w="8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szCs w:val="21"/>
              </w:rPr>
            </w:pPr>
            <w:r>
              <w:rPr>
                <w:rFonts w:hint="eastAsia" w:ascii="黑体" w:hAnsi="黑体" w:eastAsia="黑体" w:cs="黑体"/>
                <w:b w:val="0"/>
                <w:bCs w:val="0"/>
                <w:color w:val="000000"/>
                <w:kern w:val="0"/>
                <w:szCs w:val="21"/>
                <w:lang w:bidi="ar"/>
              </w:rPr>
              <w:t>成片开发地块编号</w:t>
            </w: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szCs w:val="21"/>
              </w:rPr>
            </w:pPr>
            <w:r>
              <w:rPr>
                <w:rFonts w:hint="eastAsia" w:ascii="黑体" w:hAnsi="黑体" w:eastAsia="黑体" w:cs="黑体"/>
                <w:b w:val="0"/>
                <w:bCs w:val="0"/>
                <w:color w:val="000000"/>
                <w:kern w:val="0"/>
                <w:szCs w:val="21"/>
                <w:lang w:bidi="ar"/>
              </w:rPr>
              <w:t>成片开发名称</w:t>
            </w:r>
          </w:p>
        </w:tc>
        <w:tc>
          <w:tcPr>
            <w:tcW w:w="8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szCs w:val="21"/>
              </w:rPr>
            </w:pPr>
            <w:r>
              <w:rPr>
                <w:rFonts w:hint="eastAsia" w:ascii="黑体" w:hAnsi="黑体" w:eastAsia="黑体" w:cs="黑体"/>
                <w:b w:val="0"/>
                <w:bCs w:val="0"/>
                <w:color w:val="000000"/>
                <w:kern w:val="0"/>
                <w:szCs w:val="21"/>
                <w:lang w:bidi="ar"/>
              </w:rPr>
              <w:t>公益性用地面积</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szCs w:val="21"/>
              </w:rPr>
            </w:pPr>
            <w:r>
              <w:rPr>
                <w:rFonts w:hint="eastAsia" w:ascii="黑体" w:hAnsi="黑体" w:eastAsia="黑体" w:cs="黑体"/>
                <w:b w:val="0"/>
                <w:bCs w:val="0"/>
                <w:color w:val="000000"/>
                <w:kern w:val="0"/>
                <w:szCs w:val="21"/>
                <w:lang w:bidi="ar"/>
              </w:rPr>
              <w:t>总用地面积</w:t>
            </w:r>
          </w:p>
        </w:tc>
        <w:tc>
          <w:tcPr>
            <w:tcW w:w="8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szCs w:val="21"/>
              </w:rPr>
            </w:pPr>
            <w:r>
              <w:rPr>
                <w:rFonts w:hint="eastAsia" w:ascii="黑体" w:hAnsi="黑体" w:eastAsia="黑体" w:cs="黑体"/>
                <w:b w:val="0"/>
                <w:bCs w:val="0"/>
                <w:color w:val="000000"/>
                <w:kern w:val="0"/>
                <w:szCs w:val="21"/>
                <w:lang w:bidi="ar"/>
              </w:rPr>
              <w:t>公益性用地比例</w:t>
            </w:r>
          </w:p>
        </w:tc>
        <w:tc>
          <w:tcPr>
            <w:tcW w:w="94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黑体" w:hAnsi="黑体" w:eastAsia="黑体" w:cs="黑体"/>
                <w:b w:val="0"/>
                <w:bCs w:val="0"/>
                <w:color w:val="000000"/>
                <w:szCs w:val="21"/>
              </w:rPr>
            </w:pPr>
            <w:r>
              <w:rPr>
                <w:rFonts w:hint="eastAsia" w:ascii="黑体" w:hAnsi="黑体" w:eastAsia="黑体" w:cs="黑体"/>
                <w:b w:val="0"/>
                <w:bCs w:val="0"/>
                <w:color w:val="000000"/>
                <w:kern w:val="0"/>
                <w:szCs w:val="21"/>
                <w:lang w:bidi="ar"/>
              </w:rPr>
              <w:t>公益性用地地类</w:t>
            </w:r>
          </w:p>
        </w:tc>
      </w:tr>
      <w:tr>
        <w:tblPrEx>
          <w:tblCellMar>
            <w:top w:w="0" w:type="dxa"/>
            <w:left w:w="108" w:type="dxa"/>
            <w:bottom w:w="0" w:type="dxa"/>
            <w:right w:w="108" w:type="dxa"/>
          </w:tblCellMar>
        </w:tblPrEx>
        <w:trPr>
          <w:trHeight w:val="1620" w:hRule="atLeast"/>
        </w:trPr>
        <w:tc>
          <w:tcPr>
            <w:tcW w:w="8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HP01</w:t>
            </w: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中山市现代物流产业平台（黄圃园）地块</w:t>
            </w:r>
          </w:p>
        </w:tc>
        <w:tc>
          <w:tcPr>
            <w:tcW w:w="8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37.7102</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88.4778</w:t>
            </w:r>
          </w:p>
        </w:tc>
        <w:tc>
          <w:tcPr>
            <w:tcW w:w="8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42.62</w:t>
            </w:r>
          </w:p>
        </w:tc>
        <w:tc>
          <w:tcPr>
            <w:tcW w:w="94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铁路用地、公路用地、港口码头用地、城镇道路用地、防护绿地</w:t>
            </w:r>
          </w:p>
        </w:tc>
      </w:tr>
      <w:tr>
        <w:tblPrEx>
          <w:tblCellMar>
            <w:top w:w="0" w:type="dxa"/>
            <w:left w:w="108" w:type="dxa"/>
            <w:bottom w:w="0" w:type="dxa"/>
            <w:right w:w="108" w:type="dxa"/>
          </w:tblCellMar>
        </w:tblPrEx>
        <w:trPr>
          <w:trHeight w:val="1110" w:hRule="atLeast"/>
        </w:trPr>
        <w:tc>
          <w:tcPr>
            <w:tcW w:w="8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HP02</w:t>
            </w: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吴栏工业用地—康丰环保项目地块</w:t>
            </w:r>
          </w:p>
        </w:tc>
        <w:tc>
          <w:tcPr>
            <w:tcW w:w="8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 xml:space="preserve">4.3210 </w:t>
            </w:r>
          </w:p>
        </w:tc>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11.8346</w:t>
            </w:r>
          </w:p>
        </w:tc>
        <w:tc>
          <w:tcPr>
            <w:tcW w:w="8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36.51</w:t>
            </w:r>
          </w:p>
        </w:tc>
        <w:tc>
          <w:tcPr>
            <w:tcW w:w="94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防护绿地、环卫用地、城镇道路用地</w:t>
            </w:r>
          </w:p>
        </w:tc>
      </w:tr>
      <w:tr>
        <w:tblPrEx>
          <w:tblCellMar>
            <w:top w:w="0" w:type="dxa"/>
            <w:left w:w="108" w:type="dxa"/>
            <w:bottom w:w="0" w:type="dxa"/>
            <w:right w:w="108" w:type="dxa"/>
          </w:tblCellMar>
        </w:tblPrEx>
        <w:trPr>
          <w:trHeight w:val="1080" w:hRule="atLeast"/>
        </w:trPr>
        <w:tc>
          <w:tcPr>
            <w:tcW w:w="8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HP04</w:t>
            </w: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原威达检测站地块</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0.7079</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1.9563</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36.19</w:t>
            </w:r>
          </w:p>
        </w:tc>
        <w:tc>
          <w:tcPr>
            <w:tcW w:w="94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防护绿地、城镇道路用地、公路用地</w:t>
            </w:r>
          </w:p>
        </w:tc>
      </w:tr>
      <w:tr>
        <w:tblPrEx>
          <w:tblCellMar>
            <w:top w:w="0" w:type="dxa"/>
            <w:left w:w="108" w:type="dxa"/>
            <w:bottom w:w="0" w:type="dxa"/>
            <w:right w:w="108" w:type="dxa"/>
          </w:tblCellMar>
        </w:tblPrEx>
        <w:trPr>
          <w:trHeight w:val="540" w:hRule="atLeast"/>
        </w:trPr>
        <w:tc>
          <w:tcPr>
            <w:tcW w:w="8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HP05</w:t>
            </w:r>
          </w:p>
        </w:tc>
        <w:tc>
          <w:tcPr>
            <w:tcW w:w="8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羽顺项目地块</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1.1912</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2.598</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45.85</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color w:val="000000"/>
                <w:szCs w:val="21"/>
              </w:rPr>
            </w:pPr>
            <w:r>
              <w:rPr>
                <w:rFonts w:hint="eastAsia" w:ascii="仿宋_GB2312" w:hAnsi="仿宋_GB2312" w:eastAsia="仿宋_GB2312" w:cs="仿宋_GB2312"/>
                <w:color w:val="000000"/>
                <w:kern w:val="0"/>
                <w:szCs w:val="21"/>
                <w:lang w:bidi="ar"/>
              </w:rPr>
              <w:t>防护绿地、公路用地</w:t>
            </w:r>
          </w:p>
        </w:tc>
      </w:tr>
      <w:tr>
        <w:tblPrEx>
          <w:tblCellMar>
            <w:top w:w="0" w:type="dxa"/>
            <w:left w:w="108" w:type="dxa"/>
            <w:bottom w:w="0" w:type="dxa"/>
            <w:right w:w="108" w:type="dxa"/>
          </w:tblCellMar>
        </w:tblPrEx>
        <w:trPr>
          <w:trHeight w:val="300" w:hRule="atLeast"/>
        </w:trPr>
        <w:tc>
          <w:tcPr>
            <w:tcW w:w="160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合计</w:t>
            </w:r>
          </w:p>
        </w:tc>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43.9303</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104.8667</w:t>
            </w:r>
          </w:p>
        </w:tc>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41.89</w:t>
            </w:r>
          </w:p>
        </w:tc>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24" w:lineRule="auto"/>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w:t>
            </w:r>
          </w:p>
        </w:tc>
      </w:tr>
    </w:tbl>
    <w:p>
      <w:pPr>
        <w:keepNext w:val="0"/>
        <w:keepLines w:val="0"/>
        <w:pageBreakBefore w:val="0"/>
        <w:kinsoku/>
        <w:wordWrap/>
        <w:overflowPunct/>
        <w:topLinePunct w:val="0"/>
        <w:autoSpaceDE/>
        <w:autoSpaceDN/>
        <w:bidi w:val="0"/>
        <w:adjustRightInd/>
        <w:snapToGrid/>
        <w:spacing w:line="324" w:lineRule="auto"/>
        <w:ind w:firstLine="640" w:firstLineChars="200"/>
        <w:outlineLvl w:val="1"/>
        <w:rPr>
          <w:rFonts w:hint="default" w:ascii="Times New Roman" w:hAnsi="Times New Roman" w:eastAsia="方正黑体_GBK" w:cs="Times New Roman"/>
          <w:b w:val="0"/>
          <w:bCs w:val="0"/>
          <w:color w:val="auto"/>
          <w:sz w:val="32"/>
          <w:szCs w:val="32"/>
        </w:rPr>
      </w:pPr>
      <w:r>
        <w:rPr>
          <w:rFonts w:hint="eastAsia" w:ascii="黑体" w:hAnsi="黑体" w:eastAsia="黑体" w:cs="黑体"/>
          <w:b w:val="0"/>
          <w:bCs w:val="0"/>
          <w:color w:val="auto"/>
          <w:sz w:val="32"/>
          <w:szCs w:val="32"/>
          <w:lang w:val="en-US" w:eastAsia="zh-CN"/>
        </w:rPr>
        <w:t>六</w:t>
      </w:r>
      <w:r>
        <w:rPr>
          <w:rFonts w:hint="eastAsia" w:ascii="黑体" w:hAnsi="黑体" w:eastAsia="黑体" w:cs="黑体"/>
          <w:b w:val="0"/>
          <w:bCs w:val="0"/>
          <w:color w:val="auto"/>
          <w:sz w:val="32"/>
          <w:szCs w:val="32"/>
        </w:rPr>
        <w:t>、成片开发效益评估</w:t>
      </w:r>
    </w:p>
    <w:p>
      <w:pPr>
        <w:keepNext w:val="0"/>
        <w:keepLines w:val="0"/>
        <w:pageBreakBefore w:val="0"/>
        <w:kinsoku/>
        <w:wordWrap/>
        <w:overflowPunct/>
        <w:topLinePunct w:val="0"/>
        <w:autoSpaceDE/>
        <w:autoSpaceDN/>
        <w:bidi w:val="0"/>
        <w:adjustRightInd/>
        <w:snapToGrid/>
        <w:spacing w:line="324" w:lineRule="auto"/>
        <w:ind w:firstLine="640" w:firstLineChars="200"/>
        <w:outlineLvl w:val="1"/>
        <w:rPr>
          <w:rFonts w:hint="eastAsia" w:ascii="楷体_GB2312" w:hAnsi="楷体_GB2312" w:eastAsia="楷体_GB2312" w:cs="楷体_GB2312"/>
          <w:b w:val="0"/>
          <w:bCs w:val="0"/>
          <w:color w:val="auto"/>
          <w:sz w:val="32"/>
          <w:szCs w:val="32"/>
        </w:rPr>
      </w:pPr>
      <w:r>
        <w:rPr>
          <w:rFonts w:hint="eastAsia" w:ascii="楷体_GB2312" w:hAnsi="楷体_GB2312" w:eastAsia="楷体_GB2312" w:cs="楷体_GB2312"/>
          <w:b w:val="0"/>
          <w:bCs w:val="0"/>
          <w:color w:val="auto"/>
          <w:sz w:val="32"/>
          <w:szCs w:val="32"/>
        </w:rPr>
        <w:t>（一）土地利用效益评估</w:t>
      </w:r>
    </w:p>
    <w:p>
      <w:pPr>
        <w:keepNext w:val="0"/>
        <w:keepLines w:val="0"/>
        <w:pageBreakBefore w:val="0"/>
        <w:kinsoku/>
        <w:wordWrap/>
        <w:overflowPunct/>
        <w:topLinePunct w:val="0"/>
        <w:autoSpaceDE/>
        <w:autoSpaceDN/>
        <w:bidi w:val="0"/>
        <w:adjustRightInd/>
        <w:snapToGrid/>
        <w:spacing w:line="324"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通过土地征收成片开发，将有效推进用地节约集约利用，提高产业开发容量，提升土地利用综合效益。在布局优化方面，符合《中山市控制性详细规划管理实施细则（试行）》《中山市国土空间总体规划</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2021-2035年</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》等相关规范导则要求，能够科学合理布局各类用地、优化区域功能结构。</w:t>
      </w:r>
    </w:p>
    <w:p>
      <w:pPr>
        <w:keepNext w:val="0"/>
        <w:keepLines w:val="0"/>
        <w:pageBreakBefore w:val="0"/>
        <w:kinsoku/>
        <w:wordWrap/>
        <w:overflowPunct/>
        <w:topLinePunct w:val="0"/>
        <w:autoSpaceDE/>
        <w:autoSpaceDN/>
        <w:bidi w:val="0"/>
        <w:adjustRightInd/>
        <w:snapToGrid/>
        <w:spacing w:line="324"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在连片开发方面，开发片区规划有基础设施、公共服务设施以及其他公益性用地和非公益用地，预计土地开发利用率将达到100%。片区规划与周边地块作了充分衔接，充分考虑与周边环境的协调性，将进一步促进区域的集中连片发展，完善区域公共配套设施。</w:t>
      </w:r>
    </w:p>
    <w:p>
      <w:pPr>
        <w:keepNext w:val="0"/>
        <w:keepLines w:val="0"/>
        <w:pageBreakBefore w:val="0"/>
        <w:kinsoku/>
        <w:wordWrap/>
        <w:overflowPunct/>
        <w:topLinePunct w:val="0"/>
        <w:autoSpaceDE/>
        <w:autoSpaceDN/>
        <w:bidi w:val="0"/>
        <w:adjustRightInd/>
        <w:snapToGrid/>
        <w:spacing w:line="324" w:lineRule="auto"/>
        <w:ind w:firstLine="640" w:firstLineChars="200"/>
        <w:outlineLvl w:val="1"/>
        <w:rPr>
          <w:rFonts w:hint="eastAsia" w:ascii="楷体_GB2312" w:hAnsi="楷体_GB2312" w:eastAsia="楷体_GB2312" w:cs="楷体_GB2312"/>
          <w:b w:val="0"/>
          <w:bCs w:val="0"/>
          <w:color w:val="auto"/>
          <w:sz w:val="32"/>
          <w:szCs w:val="32"/>
        </w:rPr>
      </w:pPr>
      <w:r>
        <w:rPr>
          <w:rFonts w:hint="eastAsia" w:ascii="楷体_GB2312" w:hAnsi="楷体_GB2312" w:eastAsia="楷体_GB2312" w:cs="楷体_GB2312"/>
          <w:b w:val="0"/>
          <w:bCs w:val="0"/>
          <w:color w:val="auto"/>
          <w:sz w:val="32"/>
          <w:szCs w:val="32"/>
        </w:rPr>
        <w:t>（二）经济效益评估</w:t>
      </w:r>
    </w:p>
    <w:p>
      <w:pPr>
        <w:keepNext w:val="0"/>
        <w:keepLines w:val="0"/>
        <w:pageBreakBefore w:val="0"/>
        <w:tabs>
          <w:tab w:val="center" w:pos="4433"/>
        </w:tabs>
        <w:kinsoku/>
        <w:wordWrap/>
        <w:overflowPunct/>
        <w:topLinePunct w:val="0"/>
        <w:autoSpaceDE/>
        <w:autoSpaceDN/>
        <w:bidi w:val="0"/>
        <w:adjustRightInd/>
        <w:snapToGrid/>
        <w:spacing w:line="324"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随着成片开发项目的推进与建设，整个成片开发区内将进行优化资源配置，以提高资源的利用率，降低能耗，提高土地的综合利用率。片区内企业项目的落地，可提高地方财政收入。且项目具有较强的辐射带动作用，能够与周边形成联动发展，改善投资环境促进规模化发展建设，推动经济社会高质量发展。</w:t>
      </w:r>
    </w:p>
    <w:p>
      <w:pPr>
        <w:keepNext w:val="0"/>
        <w:keepLines w:val="0"/>
        <w:pageBreakBefore w:val="0"/>
        <w:kinsoku/>
        <w:wordWrap/>
        <w:overflowPunct/>
        <w:topLinePunct w:val="0"/>
        <w:autoSpaceDE/>
        <w:autoSpaceDN/>
        <w:bidi w:val="0"/>
        <w:adjustRightInd/>
        <w:snapToGrid/>
        <w:spacing w:line="324" w:lineRule="auto"/>
        <w:ind w:firstLine="640" w:firstLineChars="200"/>
        <w:outlineLvl w:val="1"/>
        <w:rPr>
          <w:rFonts w:hint="eastAsia" w:ascii="楷体_GB2312" w:hAnsi="楷体_GB2312" w:eastAsia="楷体_GB2312" w:cs="楷体_GB2312"/>
          <w:b w:val="0"/>
          <w:bCs w:val="0"/>
          <w:color w:val="auto"/>
          <w:sz w:val="32"/>
          <w:szCs w:val="32"/>
        </w:rPr>
      </w:pPr>
      <w:r>
        <w:rPr>
          <w:rFonts w:hint="eastAsia" w:ascii="楷体_GB2312" w:hAnsi="楷体_GB2312" w:eastAsia="楷体_GB2312" w:cs="楷体_GB2312"/>
          <w:b w:val="0"/>
          <w:bCs w:val="0"/>
          <w:color w:val="auto"/>
          <w:sz w:val="32"/>
          <w:szCs w:val="32"/>
        </w:rPr>
        <w:t>（三）社会效益评估</w:t>
      </w:r>
    </w:p>
    <w:p>
      <w:pPr>
        <w:keepNext w:val="0"/>
        <w:keepLines w:val="0"/>
        <w:pageBreakBefore w:val="0"/>
        <w:tabs>
          <w:tab w:val="center" w:pos="4433"/>
        </w:tabs>
        <w:kinsoku/>
        <w:wordWrap/>
        <w:overflowPunct/>
        <w:topLinePunct w:val="0"/>
        <w:autoSpaceDE/>
        <w:autoSpaceDN/>
        <w:bidi w:val="0"/>
        <w:adjustRightInd/>
        <w:snapToGrid/>
        <w:spacing w:line="324" w:lineRule="auto"/>
        <w:ind w:firstLine="640" w:firstLineChars="200"/>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本次土地征收成片开发从产业发展角度来说，有助于缩减城乡差距，同时增强带动辐射功能，有利于带动周边同类型企业甚至相关企业的发展与引入，有利于培育龙头企业。在被征地农民增收方面，本次土地征收成片开发将按照相关征收标准对被征地农民进行补偿。在城市形象方面，片区开发项目的建设利于城市总体形象的营造及空间规划的落实，符合国民经济和社会发展规划的要求，保障城市开发建设科学有序的推进。</w:t>
      </w:r>
    </w:p>
    <w:p>
      <w:pPr>
        <w:keepNext w:val="0"/>
        <w:keepLines w:val="0"/>
        <w:pageBreakBefore w:val="0"/>
        <w:kinsoku/>
        <w:wordWrap/>
        <w:overflowPunct/>
        <w:topLinePunct w:val="0"/>
        <w:autoSpaceDE/>
        <w:autoSpaceDN/>
        <w:bidi w:val="0"/>
        <w:adjustRightInd/>
        <w:snapToGrid/>
        <w:spacing w:line="324" w:lineRule="auto"/>
        <w:ind w:firstLine="640" w:firstLineChars="200"/>
        <w:outlineLvl w:val="1"/>
        <w:rPr>
          <w:rFonts w:hint="eastAsia" w:ascii="楷体_GB2312" w:hAnsi="楷体_GB2312" w:eastAsia="楷体_GB2312" w:cs="楷体_GB2312"/>
          <w:b w:val="0"/>
          <w:bCs w:val="0"/>
          <w:color w:val="auto"/>
          <w:sz w:val="32"/>
          <w:szCs w:val="32"/>
        </w:rPr>
      </w:pPr>
      <w:r>
        <w:rPr>
          <w:rFonts w:hint="eastAsia" w:ascii="楷体_GB2312" w:hAnsi="楷体_GB2312" w:eastAsia="楷体_GB2312" w:cs="楷体_GB2312"/>
          <w:b w:val="0"/>
          <w:bCs w:val="0"/>
          <w:color w:val="auto"/>
          <w:sz w:val="32"/>
          <w:szCs w:val="32"/>
        </w:rPr>
        <w:t>（四）生态效益评估</w:t>
      </w:r>
    </w:p>
    <w:p>
      <w:pPr>
        <w:keepNext w:val="0"/>
        <w:keepLines w:val="0"/>
        <w:pageBreakBefore w:val="0"/>
        <w:tabs>
          <w:tab w:val="center" w:pos="4433"/>
        </w:tabs>
        <w:kinsoku/>
        <w:wordWrap/>
        <w:overflowPunct/>
        <w:topLinePunct w:val="0"/>
        <w:autoSpaceDE/>
        <w:autoSpaceDN/>
        <w:bidi w:val="0"/>
        <w:adjustRightInd/>
        <w:snapToGrid/>
        <w:spacing w:line="324"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次土地征收成片开发范围不涉及耕地、永久基本农田、自然保护区、森林公园、地质公园、列入省级以上保护名录的野生动植物栖息地、水源保护区核心区、蓄滞洪区、地质灾害易发区等相关区域，且开发过程不会对大气、水等环境造成显著影响。综合考虑本次土地征收成片开发方案对生态环境影响小。</w:t>
      </w:r>
    </w:p>
    <w:p>
      <w:pPr>
        <w:keepNext w:val="0"/>
        <w:keepLines w:val="0"/>
        <w:pageBreakBefore w:val="0"/>
        <w:tabs>
          <w:tab w:val="center" w:pos="4433"/>
        </w:tabs>
        <w:kinsoku/>
        <w:wordWrap/>
        <w:overflowPunct/>
        <w:topLinePunct w:val="0"/>
        <w:autoSpaceDE/>
        <w:autoSpaceDN/>
        <w:bidi w:val="0"/>
        <w:adjustRightInd/>
        <w:snapToGrid/>
        <w:spacing w:line="324" w:lineRule="auto"/>
        <w:ind w:firstLine="640" w:firstLineChars="200"/>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val="en-US" w:eastAsia="zh-CN"/>
        </w:rPr>
        <w:t>七</w:t>
      </w:r>
      <w:r>
        <w:rPr>
          <w:rFonts w:hint="eastAsia" w:ascii="黑体" w:hAnsi="黑体" w:eastAsia="黑体" w:cs="黑体"/>
          <w:b w:val="0"/>
          <w:bCs w:val="0"/>
          <w:color w:val="auto"/>
          <w:sz w:val="32"/>
          <w:szCs w:val="32"/>
        </w:rPr>
        <w:t>、结论</w:t>
      </w:r>
    </w:p>
    <w:p>
      <w:pPr>
        <w:keepNext w:val="0"/>
        <w:keepLines w:val="0"/>
        <w:pageBreakBefore w:val="0"/>
        <w:widowControl w:val="0"/>
        <w:tabs>
          <w:tab w:val="center" w:pos="4433"/>
        </w:tabs>
        <w:kinsoku/>
        <w:wordWrap/>
        <w:overflowPunct/>
        <w:topLinePunct w:val="0"/>
        <w:autoSpaceDE/>
        <w:autoSpaceDN/>
        <w:bidi w:val="0"/>
        <w:adjustRightInd/>
        <w:snapToGrid/>
        <w:spacing w:line="324" w:lineRule="auto"/>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综上所述</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中山市2021年度土地征收成片开发方案（第四批）（黄圃镇第三次调整）</w:t>
      </w:r>
      <w:r>
        <w:rPr>
          <w:rFonts w:hint="default" w:ascii="Times New Roman" w:hAnsi="Times New Roman" w:eastAsia="仿宋_GB2312" w:cs="Times New Roman"/>
          <w:color w:val="auto"/>
          <w:sz w:val="32"/>
          <w:szCs w:val="32"/>
        </w:rPr>
        <w:t>》符合《自然资源部关于印发&lt;土地征收成片开发标准&gt;的通知》（自然资规〔2023〕7号）、《广东省自然资源厅关于进一步规范土地征收成片开发工作的通知》（粤自然资规字〔2024〕7号）等文件的要求</w:t>
      </w:r>
      <w:r>
        <w:rPr>
          <w:rFonts w:hint="default" w:ascii="Times New Roman" w:hAnsi="Times New Roman" w:eastAsia="仿宋_GB2312" w:cs="Times New Roman"/>
          <w:color w:val="auto"/>
          <w:sz w:val="32"/>
          <w:szCs w:val="32"/>
          <w:lang w:eastAsia="zh-CN"/>
        </w:rPr>
        <w:t>，对完善城市建设、促进区域经济和社会发展均具有积极意义</w:t>
      </w:r>
      <w:r>
        <w:rPr>
          <w:rFonts w:hint="default" w:ascii="Times New Roman" w:hAnsi="Times New Roman" w:eastAsia="仿宋_GB2312" w:cs="Times New Roman"/>
          <w:color w:val="auto"/>
          <w:sz w:val="32"/>
          <w:szCs w:val="32"/>
        </w:rPr>
        <w:t>。</w:t>
      </w:r>
    </w:p>
    <w:p>
      <w:pPr>
        <w:keepNext w:val="0"/>
        <w:keepLines w:val="0"/>
        <w:pageBreakBefore w:val="0"/>
        <w:kinsoku/>
        <w:wordWrap/>
        <w:overflowPunct/>
        <w:topLinePunct w:val="0"/>
        <w:autoSpaceDE/>
        <w:autoSpaceDN/>
        <w:bidi w:val="0"/>
        <w:adjustRightInd/>
        <w:snapToGrid/>
        <w:spacing w:line="324" w:lineRule="auto"/>
        <w:outlineLvl w:val="0"/>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adjustRightInd/>
        <w:snapToGrid/>
        <w:spacing w:line="324" w:lineRule="auto"/>
        <w:outlineLvl w:val="0"/>
        <w:rPr>
          <w:rFonts w:hint="default" w:ascii="Times New Roman" w:hAnsi="Times New Roman" w:eastAsia="仿宋_GB2312" w:cs="Times New Roman"/>
          <w:color w:val="auto"/>
          <w:sz w:val="32"/>
          <w:szCs w:val="32"/>
        </w:rPr>
      </w:pPr>
    </w:p>
    <w:p>
      <w:pPr>
        <w:keepNext w:val="0"/>
        <w:keepLines w:val="0"/>
        <w:pageBreakBefore w:val="0"/>
        <w:kinsoku/>
        <w:wordWrap w:val="0"/>
        <w:overflowPunct/>
        <w:topLinePunct w:val="0"/>
        <w:autoSpaceDE/>
        <w:autoSpaceDN/>
        <w:bidi w:val="0"/>
        <w:adjustRightInd/>
        <w:snapToGrid/>
        <w:spacing w:line="324" w:lineRule="auto"/>
        <w:ind w:firstLine="320" w:firstLineChars="100"/>
        <w:jc w:val="right"/>
        <w:outlineLvl w:val="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中山市黄圃镇人民政府</w:t>
      </w:r>
      <w:r>
        <w:rPr>
          <w:rFonts w:hint="eastAsia" w:ascii="Times New Roman" w:hAnsi="Times New Roman" w:eastAsia="仿宋_GB2312" w:cs="Times New Roman"/>
          <w:color w:val="auto"/>
          <w:sz w:val="32"/>
          <w:szCs w:val="32"/>
          <w:lang w:val="en-US" w:eastAsia="zh-CN"/>
        </w:rPr>
        <w:t xml:space="preserve">    </w:t>
      </w:r>
    </w:p>
    <w:p>
      <w:pPr>
        <w:keepNext w:val="0"/>
        <w:keepLines w:val="0"/>
        <w:pageBreakBefore w:val="0"/>
        <w:kinsoku/>
        <w:wordWrap w:val="0"/>
        <w:overflowPunct/>
        <w:topLinePunct w:val="0"/>
        <w:autoSpaceDE/>
        <w:autoSpaceDN/>
        <w:bidi w:val="0"/>
        <w:adjustRightInd/>
        <w:snapToGrid/>
        <w:spacing w:line="324" w:lineRule="auto"/>
        <w:ind w:firstLine="320" w:firstLineChars="100"/>
        <w:jc w:val="right"/>
        <w:outlineLvl w:val="0"/>
        <w:rPr>
          <w:rFonts w:hint="default" w:ascii="仿宋_GB2312" w:hAnsi="仿宋_GB2312" w:eastAsia="仿宋_GB2312" w:cs="仿宋_GB2312"/>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202</w:t>
      </w:r>
      <w:r>
        <w:rPr>
          <w:rFonts w:hint="default"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月</w:t>
      </w:r>
      <w:r>
        <w:rPr>
          <w:rFonts w:hint="default" w:ascii="Times New Roman" w:hAnsi="Times New Roman" w:eastAsia="仿宋_GB2312" w:cs="Times New Roman"/>
          <w:color w:val="auto"/>
          <w:sz w:val="32"/>
          <w:szCs w:val="32"/>
          <w:highlight w:val="none"/>
          <w:lang w:val="en-US" w:eastAsia="zh-CN"/>
        </w:rPr>
        <w:t>26</w:t>
      </w:r>
      <w:r>
        <w:rPr>
          <w:rFonts w:hint="default" w:ascii="Times New Roman" w:hAnsi="Times New Roman" w:eastAsia="仿宋_GB2312" w:cs="Times New Roman"/>
          <w:color w:val="auto"/>
          <w:sz w:val="32"/>
          <w:szCs w:val="32"/>
          <w:highlight w:val="none"/>
        </w:rPr>
        <w:t>日</w:t>
      </w:r>
      <w:r>
        <w:rPr>
          <w:rFonts w:hint="eastAsia" w:ascii="Times New Roman" w:hAnsi="Times New Roman" w:eastAsia="仿宋_GB2312" w:cs="Times New Roman"/>
          <w:color w:val="auto"/>
          <w:sz w:val="32"/>
          <w:szCs w:val="32"/>
          <w:highlight w:val="none"/>
          <w:lang w:val="en-US" w:eastAsia="zh-CN"/>
        </w:rPr>
        <w:t xml:space="preserve">      </w:t>
      </w:r>
    </w:p>
    <w:p>
      <w:pPr>
        <w:keepNext w:val="0"/>
        <w:keepLines w:val="0"/>
        <w:pageBreakBefore w:val="0"/>
        <w:widowControl/>
        <w:kinsoku/>
        <w:wordWrap/>
        <w:overflowPunct/>
        <w:topLinePunct w:val="0"/>
        <w:autoSpaceDE/>
        <w:autoSpaceDN/>
        <w:bidi w:val="0"/>
        <w:adjustRightInd/>
        <w:snapToGrid/>
        <w:spacing w:line="336" w:lineRule="auto"/>
        <w:jc w:val="left"/>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br w:type="page"/>
      </w:r>
    </w:p>
    <w:p>
      <w:pPr>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rPr>
        <w:t>附件</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：中山市黄圃镇土地征收成片开发范围示意图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调整后</w:t>
      </w:r>
      <w:r>
        <w:rPr>
          <w:rFonts w:hint="eastAsia" w:ascii="仿宋_GB2312" w:hAnsi="仿宋_GB2312" w:eastAsia="仿宋_GB2312" w:cs="仿宋_GB2312"/>
          <w:color w:val="auto"/>
          <w:sz w:val="32"/>
          <w:szCs w:val="32"/>
          <w:lang w:eastAsia="zh-CN"/>
        </w:rPr>
        <w:t>）</w:t>
      </w:r>
    </w:p>
    <w:p>
      <w:pP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265420" cy="3237865"/>
            <wp:effectExtent l="0" t="0" r="11430" b="635"/>
            <wp:docPr id="2" name="图片 2" descr="c39e2099-ffcc-4899-94ec-2324d187caa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c39e2099-ffcc-4899-94ec-2324d187caab"/>
                    <pic:cNvPicPr>
                      <a:picLocks noChangeAspect="true"/>
                    </pic:cNvPicPr>
                  </pic:nvPicPr>
                  <pic:blipFill>
                    <a:blip r:embed="rId5"/>
                    <a:stretch>
                      <a:fillRect/>
                    </a:stretch>
                  </pic:blipFill>
                  <pic:spPr>
                    <a:xfrm>
                      <a:off x="0" y="0"/>
                      <a:ext cx="5265420" cy="3237865"/>
                    </a:xfrm>
                    <a:prstGeom prst="rect">
                      <a:avLst/>
                    </a:prstGeom>
                  </pic:spPr>
                </pic:pic>
              </a:graphicData>
            </a:graphic>
          </wp:inline>
        </w:drawing>
      </w:r>
    </w:p>
    <w:p>
      <w:pPr>
        <w:rPr>
          <w:rFonts w:hint="default" w:ascii="Times New Roman" w:hAnsi="Times New Roman" w:eastAsia="宋体" w:cs="Times New Roman"/>
          <w:color w:val="auto"/>
          <w:lang w:eastAsia="zh-CN"/>
        </w:rPr>
      </w:pPr>
    </w:p>
    <w:p>
      <w:pPr>
        <w:rPr>
          <w:rFonts w:hint="eastAsia" w:ascii="仿宋_GB2312" w:hAnsi="仿宋_GB2312" w:eastAsia="仿宋_GB2312" w:cs="仿宋_GB2312"/>
          <w:color w:val="auto"/>
          <w:sz w:val="32"/>
          <w:szCs w:val="32"/>
          <w:lang w:eastAsia="zh-CN"/>
        </w:rPr>
      </w:pPr>
      <w:r>
        <w:rPr>
          <w:rFonts w:hint="default" w:ascii="黑体" w:hAnsi="黑体" w:eastAsia="黑体" w:cs="黑体"/>
          <w:color w:val="auto"/>
          <w:sz w:val="32"/>
          <w:szCs w:val="32"/>
        </w:rPr>
        <w:t>附件</w:t>
      </w:r>
      <w:r>
        <w:rPr>
          <w:rFonts w:hint="default" w:ascii="Times New Roman" w:hAnsi="Times New Roman" w:eastAsia="黑体" w:cs="Times New Roman"/>
          <w:color w:val="auto"/>
          <w:sz w:val="32"/>
          <w:szCs w:val="32"/>
        </w:rPr>
        <w:t>2</w:t>
      </w:r>
      <w:r>
        <w:rPr>
          <w:rFonts w:hint="default" w:ascii="黑体" w:hAnsi="黑体" w:eastAsia="黑体" w:cs="黑体"/>
          <w:color w:val="auto"/>
          <w:sz w:val="32"/>
          <w:szCs w:val="32"/>
        </w:rPr>
        <w:t>：</w:t>
      </w:r>
      <w:r>
        <w:rPr>
          <w:rFonts w:hint="eastAsia" w:ascii="仿宋_GB2312" w:hAnsi="仿宋_GB2312" w:eastAsia="仿宋_GB2312" w:cs="仿宋_GB2312"/>
          <w:color w:val="auto"/>
          <w:sz w:val="32"/>
          <w:szCs w:val="32"/>
        </w:rPr>
        <w:t>中山市黄圃镇成片开发范围开发时序图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调整后</w:t>
      </w:r>
      <w:r>
        <w:rPr>
          <w:rFonts w:hint="eastAsia" w:ascii="仿宋_GB2312" w:hAnsi="仿宋_GB2312" w:eastAsia="仿宋_GB2312" w:cs="仿宋_GB2312"/>
          <w:color w:val="auto"/>
          <w:sz w:val="32"/>
          <w:szCs w:val="32"/>
          <w:lang w:eastAsia="zh-CN"/>
        </w:rPr>
        <w:t>）</w:t>
      </w:r>
    </w:p>
    <w:p>
      <w:pP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0" distR="0">
            <wp:extent cx="5274310" cy="3211830"/>
            <wp:effectExtent l="0" t="0" r="0" b="0"/>
            <wp:docPr id="4" name="图片 4" descr="D:/2025/10-黄圃镇2021年成片开发调整方案（第三次）/03-方案编制/01-工程文件/06开发时序图（调整后）.jpg06开发时序图（调整后）"/>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D:/2025/10-黄圃镇2021年成片开发调整方案（第三次）/03-方案编制/01-工程文件/06开发时序图（调整后）.jpg06开发时序图（调整后）"/>
                    <pic:cNvPicPr>
                      <a:picLocks noChangeAspect="true"/>
                    </pic:cNvPicPr>
                  </pic:nvPicPr>
                  <pic:blipFill>
                    <a:blip r:embed="rId6"/>
                    <a:srcRect t="7175" b="6698"/>
                    <a:stretch>
                      <a:fillRect/>
                    </a:stretch>
                  </pic:blipFill>
                  <pic:spPr>
                    <a:xfrm>
                      <a:off x="0" y="0"/>
                      <a:ext cx="5274310" cy="3211830"/>
                    </a:xfrm>
                    <a:prstGeom prst="rect">
                      <a:avLst/>
                    </a:prstGeom>
                  </pic:spPr>
                </pic:pic>
              </a:graphicData>
            </a:graphic>
          </wp:inline>
        </w:drawing>
      </w:r>
    </w:p>
    <w:p>
      <w:pPr>
        <w:widowControl/>
        <w:jc w:val="left"/>
        <w:rPr>
          <w:rFonts w:hint="default" w:ascii="Times New Roman" w:hAnsi="Times New Roman" w:eastAsia="宋体" w:cs="Times New Roman"/>
          <w:color w:val="auto"/>
          <w:sz w:val="28"/>
          <w:szCs w:val="28"/>
        </w:rPr>
      </w:pPr>
    </w:p>
    <w:sectPr>
      <w:footerReference r:id="rId3" w:type="default"/>
      <w:pgSz w:w="11906" w:h="16838"/>
      <w:pgMar w:top="2211" w:right="1531" w:bottom="1871" w:left="1531" w:header="851" w:footer="992"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7A"/>
    <w:family w:val="auto"/>
    <w:pitch w:val="default"/>
    <w:sig w:usb0="00000003" w:usb1="080E0000" w:usb2="00000000"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宋体"/>
    <w:panose1 w:val="02010600030101010101"/>
    <w:charset w:val="86"/>
    <w:family w:val="auto"/>
    <w:pitch w:val="default"/>
    <w:sig w:usb0="00000000" w:usb1="00000000" w:usb2="00000016" w:usb3="00000000" w:csb0="0004000F" w:csb1="00000000"/>
  </w:font>
  <w:font w:name="仿宋">
    <w:altName w:val="宋体"/>
    <w:panose1 w:val="02010609060101010101"/>
    <w:charset w:val="86"/>
    <w:family w:val="modern"/>
    <w:pitch w:val="default"/>
    <w:sig w:usb0="00000000" w:usb1="00000000"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等线">
    <w:altName w:val="URW Bookman"/>
    <w:panose1 w:val="00000000000000000000"/>
    <w:charset w:val="00"/>
    <w:family w:val="auto"/>
    <w:pitch w:val="default"/>
    <w:sig w:usb0="00000000" w:usb1="00000000" w:usb2="00000000" w:usb3="00000000" w:csb0="00000000" w:csb1="00000000"/>
  </w:font>
  <w:font w:name="URW Bookman">
    <w:panose1 w:val="00000400000000000000"/>
    <w:charset w:val="00"/>
    <w:family w:val="auto"/>
    <w:pitch w:val="default"/>
    <w:sig w:usb0="00000287" w:usb1="00000800" w:usb2="00000000" w:usb3="00000000" w:csb0="6000009F" w:csb1="00000000"/>
  </w:font>
  <w:font w:name="DejaVu Sans">
    <w:panose1 w:val="020B0603030804020204"/>
    <w:charset w:val="00"/>
    <w:family w:val="auto"/>
    <w:pitch w:val="default"/>
    <w:sig w:usb0="E7006EFF" w:usb1="D200FDFF" w:usb2="0A246029" w:usb3="0400200C" w:csb0="600001FF" w:csb1="DFFF0000"/>
  </w:font>
  <w:font w:name="Standard Symbols PS">
    <w:panose1 w:val="05050102010706020507"/>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480EE5"/>
    <w:multiLevelType w:val="singleLevel"/>
    <w:tmpl w:val="19480EE5"/>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HorizontalSpacing w:val="21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ZlNTBiOTc1MjM0NGQxMWM0OGIxZjFhNzUwOGJjNzUifQ=="/>
    <w:docVar w:name="KSO_WPS_MARK_KEY" w:val="4df6b82b-901a-4156-aa92-dd02319a3dc7"/>
  </w:docVars>
  <w:rsids>
    <w:rsidRoot w:val="00652F85"/>
    <w:rsid w:val="00060A14"/>
    <w:rsid w:val="000757D8"/>
    <w:rsid w:val="000B1C34"/>
    <w:rsid w:val="00161975"/>
    <w:rsid w:val="001B54BC"/>
    <w:rsid w:val="001D0FC2"/>
    <w:rsid w:val="002558E5"/>
    <w:rsid w:val="002669DE"/>
    <w:rsid w:val="0028696F"/>
    <w:rsid w:val="00293245"/>
    <w:rsid w:val="00352616"/>
    <w:rsid w:val="003F774F"/>
    <w:rsid w:val="00424BAF"/>
    <w:rsid w:val="005B4498"/>
    <w:rsid w:val="005E31EC"/>
    <w:rsid w:val="00607349"/>
    <w:rsid w:val="00652F85"/>
    <w:rsid w:val="006A03EC"/>
    <w:rsid w:val="006A2597"/>
    <w:rsid w:val="00807835"/>
    <w:rsid w:val="00932775"/>
    <w:rsid w:val="009B6722"/>
    <w:rsid w:val="00AC39BE"/>
    <w:rsid w:val="00AD72BB"/>
    <w:rsid w:val="00B6279C"/>
    <w:rsid w:val="00C360CB"/>
    <w:rsid w:val="00C6080C"/>
    <w:rsid w:val="00D45427"/>
    <w:rsid w:val="00EF2354"/>
    <w:rsid w:val="00EF7626"/>
    <w:rsid w:val="00F00B36"/>
    <w:rsid w:val="00F83629"/>
    <w:rsid w:val="02481E03"/>
    <w:rsid w:val="02AA0DBD"/>
    <w:rsid w:val="02B85CDD"/>
    <w:rsid w:val="02CD5FA7"/>
    <w:rsid w:val="06A67014"/>
    <w:rsid w:val="070E31B2"/>
    <w:rsid w:val="070F7FF5"/>
    <w:rsid w:val="08B148AB"/>
    <w:rsid w:val="09B1750D"/>
    <w:rsid w:val="0A285C81"/>
    <w:rsid w:val="0EAA34D5"/>
    <w:rsid w:val="0F886E37"/>
    <w:rsid w:val="10E34EF0"/>
    <w:rsid w:val="110B3F03"/>
    <w:rsid w:val="123576A0"/>
    <w:rsid w:val="137E47AC"/>
    <w:rsid w:val="189823E5"/>
    <w:rsid w:val="18E67527"/>
    <w:rsid w:val="18E95CB2"/>
    <w:rsid w:val="1C952A2F"/>
    <w:rsid w:val="218034D9"/>
    <w:rsid w:val="23A13B1B"/>
    <w:rsid w:val="260B1494"/>
    <w:rsid w:val="2A155784"/>
    <w:rsid w:val="2F10088C"/>
    <w:rsid w:val="318C4856"/>
    <w:rsid w:val="34E060B2"/>
    <w:rsid w:val="3AD85555"/>
    <w:rsid w:val="3BE25631"/>
    <w:rsid w:val="3C8911EF"/>
    <w:rsid w:val="3CAA0DDB"/>
    <w:rsid w:val="3E8F0587"/>
    <w:rsid w:val="3ED02DFC"/>
    <w:rsid w:val="40BC5A85"/>
    <w:rsid w:val="434A6E54"/>
    <w:rsid w:val="438A0765"/>
    <w:rsid w:val="43C3320A"/>
    <w:rsid w:val="45172894"/>
    <w:rsid w:val="455C092B"/>
    <w:rsid w:val="45B8153D"/>
    <w:rsid w:val="462B6D83"/>
    <w:rsid w:val="462E1F88"/>
    <w:rsid w:val="47E5660A"/>
    <w:rsid w:val="4819258B"/>
    <w:rsid w:val="491FAC18"/>
    <w:rsid w:val="495A4287"/>
    <w:rsid w:val="4A7B128C"/>
    <w:rsid w:val="4B0862FC"/>
    <w:rsid w:val="4BC01948"/>
    <w:rsid w:val="4D6D753D"/>
    <w:rsid w:val="4D735596"/>
    <w:rsid w:val="4D9E38E4"/>
    <w:rsid w:val="4ED53E86"/>
    <w:rsid w:val="4F413F9A"/>
    <w:rsid w:val="533B291C"/>
    <w:rsid w:val="53F16D42"/>
    <w:rsid w:val="550058CC"/>
    <w:rsid w:val="593276E3"/>
    <w:rsid w:val="5D827F3E"/>
    <w:rsid w:val="5DE55FAD"/>
    <w:rsid w:val="6268750A"/>
    <w:rsid w:val="631A3827"/>
    <w:rsid w:val="66BD14EB"/>
    <w:rsid w:val="69ED1256"/>
    <w:rsid w:val="6C3704EA"/>
    <w:rsid w:val="6D1C613D"/>
    <w:rsid w:val="6D860ABD"/>
    <w:rsid w:val="6E315BD0"/>
    <w:rsid w:val="730912CE"/>
    <w:rsid w:val="73237AF4"/>
    <w:rsid w:val="746421F9"/>
    <w:rsid w:val="7A150154"/>
    <w:rsid w:val="7AE528A2"/>
    <w:rsid w:val="7C156AAC"/>
    <w:rsid w:val="7C461570"/>
    <w:rsid w:val="7C507E19"/>
    <w:rsid w:val="7E0036FE"/>
    <w:rsid w:val="7EBC5AD1"/>
    <w:rsid w:val="FF7F1F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firstLineChars="200"/>
    </w:pPr>
    <w:rPr>
      <w:rFonts w:ascii="Times New Roman" w:hAnsi="Times New Roman" w:eastAsia="宋体" w:cs="Times New Roman"/>
      <w:kern w:val="0"/>
      <w:sz w:val="20"/>
      <w:szCs w:val="20"/>
    </w:rPr>
  </w:style>
  <w:style w:type="paragraph" w:styleId="4">
    <w:name w:val="Body Text"/>
    <w:basedOn w:val="1"/>
    <w:link w:val="15"/>
    <w:qFormat/>
    <w:uiPriority w:val="1"/>
    <w:pPr>
      <w:autoSpaceDE w:val="0"/>
      <w:autoSpaceDN w:val="0"/>
      <w:jc w:val="left"/>
    </w:pPr>
    <w:rPr>
      <w:rFonts w:ascii="仿宋" w:hAnsi="仿宋" w:eastAsia="仿宋" w:cs="仿宋"/>
      <w:kern w:val="0"/>
      <w:sz w:val="28"/>
      <w:szCs w:val="28"/>
      <w:lang w:eastAsia="en-US"/>
    </w:rPr>
  </w:style>
  <w:style w:type="paragraph" w:styleId="5">
    <w:name w:val="Body Text Indent"/>
    <w:basedOn w:val="1"/>
    <w:unhideWhenUsed/>
    <w:qFormat/>
    <w:uiPriority w:val="99"/>
    <w:pPr>
      <w:spacing w:after="120"/>
      <w:ind w:left="420" w:leftChars="200"/>
    </w:pPr>
    <w:rPr>
      <w:rFonts w:ascii="Times New Roman" w:hAnsi="Times New Roman" w:eastAsia="宋体" w:cs="Times New Roman"/>
      <w:szCs w:val="20"/>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Body Text First Indent 2"/>
    <w:basedOn w:val="5"/>
    <w:next w:val="1"/>
    <w:qFormat/>
    <w:uiPriority w:val="0"/>
    <w:pPr>
      <w:ind w:firstLine="420"/>
    </w:p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Emphasis"/>
    <w:basedOn w:val="11"/>
    <w:qFormat/>
    <w:uiPriority w:val="20"/>
    <w:rPr>
      <w:i/>
    </w:rPr>
  </w:style>
  <w:style w:type="character" w:customStyle="1" w:styleId="13">
    <w:name w:val="页眉 字符"/>
    <w:basedOn w:val="11"/>
    <w:link w:val="7"/>
    <w:qFormat/>
    <w:uiPriority w:val="99"/>
    <w:rPr>
      <w:sz w:val="18"/>
      <w:szCs w:val="18"/>
    </w:rPr>
  </w:style>
  <w:style w:type="character" w:customStyle="1" w:styleId="14">
    <w:name w:val="页脚 字符"/>
    <w:basedOn w:val="11"/>
    <w:link w:val="6"/>
    <w:qFormat/>
    <w:uiPriority w:val="99"/>
    <w:rPr>
      <w:sz w:val="18"/>
      <w:szCs w:val="18"/>
    </w:rPr>
  </w:style>
  <w:style w:type="character" w:customStyle="1" w:styleId="15">
    <w:name w:val="正文文本 字符"/>
    <w:basedOn w:val="11"/>
    <w:link w:val="4"/>
    <w:qFormat/>
    <w:uiPriority w:val="1"/>
    <w:rPr>
      <w:rFonts w:ascii="仿宋" w:hAnsi="仿宋" w:eastAsia="仿宋" w:cs="仿宋"/>
      <w:kern w:val="0"/>
      <w:sz w:val="28"/>
      <w:szCs w:val="28"/>
      <w:lang w:eastAsia="en-US"/>
    </w:rPr>
  </w:style>
  <w:style w:type="paragraph" w:customStyle="1" w:styleId="16">
    <w:name w:val="Table Paragraph"/>
    <w:basedOn w:val="1"/>
    <w:qFormat/>
    <w:uiPriority w:val="1"/>
    <w:pPr>
      <w:autoSpaceDE w:val="0"/>
      <w:autoSpaceDN w:val="0"/>
      <w:jc w:val="center"/>
    </w:pPr>
    <w:rPr>
      <w:rFonts w:ascii="仿宋" w:hAnsi="仿宋" w:eastAsia="仿宋" w:cs="仿宋"/>
      <w:kern w:val="0"/>
      <w:sz w:val="22"/>
      <w:lang w:eastAsia="en-US"/>
    </w:rPr>
  </w:style>
  <w:style w:type="character" w:customStyle="1" w:styleId="17">
    <w:name w:val="font11"/>
    <w:basedOn w:val="11"/>
    <w:qFormat/>
    <w:uiPriority w:val="0"/>
    <w:rPr>
      <w:rFonts w:hint="default" w:ascii="Times New Roman" w:hAnsi="Times New Roman" w:cs="Times New Roman"/>
      <w:color w:val="000000"/>
      <w:sz w:val="21"/>
      <w:szCs w:val="21"/>
      <w:u w:val="none"/>
    </w:rPr>
  </w:style>
  <w:style w:type="character" w:customStyle="1" w:styleId="18">
    <w:name w:val="font31"/>
    <w:basedOn w:val="11"/>
    <w:qFormat/>
    <w:uiPriority w:val="0"/>
    <w:rPr>
      <w:rFonts w:ascii="仿宋_GB2312" w:eastAsia="仿宋_GB2312" w:cs="仿宋_GB2312"/>
      <w:color w:val="000000"/>
      <w:sz w:val="21"/>
      <w:szCs w:val="21"/>
      <w:u w:val="none"/>
    </w:rPr>
  </w:style>
  <w:style w:type="character" w:customStyle="1" w:styleId="19">
    <w:name w:val="font41"/>
    <w:basedOn w:val="11"/>
    <w:qFormat/>
    <w:uiPriority w:val="0"/>
    <w:rPr>
      <w:rFonts w:hint="eastAsia" w:ascii="宋体" w:hAnsi="宋体" w:eastAsia="宋体" w:cs="宋体"/>
      <w:b/>
      <w:bCs/>
      <w:color w:val="000000"/>
      <w:sz w:val="24"/>
      <w:szCs w:val="24"/>
      <w:u w:val="none"/>
    </w:rPr>
  </w:style>
  <w:style w:type="character" w:customStyle="1" w:styleId="20">
    <w:name w:val="font21"/>
    <w:basedOn w:val="1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2450</Words>
  <Characters>2805</Characters>
  <Lines>20</Lines>
  <Paragraphs>5</Paragraphs>
  <TotalTime>98</TotalTime>
  <ScaleCrop>false</ScaleCrop>
  <LinksUpToDate>false</LinksUpToDate>
  <CharactersWithSpaces>2815</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2024-10-22T18:39:00Z</dcterms:created>
  <dc:creator>q x</dc:creator>
  <cp:lastModifiedBy>雷俊杰</cp:lastModifiedBy>
  <cp:lastPrinted>2026-01-30T17:15:00Z</cp:lastPrinted>
  <dcterms:modified xsi:type="dcterms:W3CDTF">2026-02-02T10:42:27Z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91F7421C6C8A41B38A3814219958CDC6_13</vt:lpwstr>
  </property>
</Properties>
</file>