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EC067">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中山市福利彩票发行中心</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采购评审表</w:t>
      </w:r>
      <w:r>
        <w:rPr>
          <w:rFonts w:hint="eastAsia" w:ascii="方正小标宋简体" w:hAnsi="方正小标宋简体" w:eastAsia="方正小标宋简体" w:cs="方正小标宋简体"/>
          <w:sz w:val="44"/>
          <w:szCs w:val="44"/>
          <w:lang w:eastAsia="zh-CN"/>
        </w:rPr>
        <w:t>（服务类）</w:t>
      </w:r>
    </w:p>
    <w:p w14:paraId="3573F095">
      <w:pPr>
        <w:pStyle w:val="2"/>
        <w:rPr>
          <w:rFonts w:hint="eastAsia"/>
          <w:lang w:eastAsia="zh-CN"/>
        </w:rPr>
      </w:pPr>
    </w:p>
    <w:p w14:paraId="7D498CC2">
      <w:pPr>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rPr>
        <w:t>项目名称：</w:t>
      </w:r>
      <w:r>
        <w:rPr>
          <w:rFonts w:hint="eastAsia" w:ascii="Times New Roman" w:hAnsi="Times New Roman" w:eastAsia="仿宋_GB2312" w:cs="仿宋_GB2312"/>
          <w:sz w:val="32"/>
          <w:szCs w:val="32"/>
          <w:lang w:eastAsia="zh-CN"/>
        </w:rPr>
        <w:t>2025年中山福彩品牌推广活动项目</w:t>
      </w:r>
    </w:p>
    <w:tbl>
      <w:tblPr>
        <w:tblStyle w:val="4"/>
        <w:tblW w:w="14175" w:type="dxa"/>
        <w:jc w:val="center"/>
        <w:tblLayout w:type="fixed"/>
        <w:tblCellMar>
          <w:top w:w="0" w:type="dxa"/>
          <w:left w:w="108" w:type="dxa"/>
          <w:bottom w:w="0" w:type="dxa"/>
          <w:right w:w="108" w:type="dxa"/>
        </w:tblCellMar>
      </w:tblPr>
      <w:tblGrid>
        <w:gridCol w:w="857"/>
        <w:gridCol w:w="4713"/>
        <w:gridCol w:w="880"/>
        <w:gridCol w:w="2570"/>
        <w:gridCol w:w="2587"/>
        <w:gridCol w:w="2568"/>
      </w:tblGrid>
      <w:tr w14:paraId="49812FFA">
        <w:tblPrEx>
          <w:tblCellMar>
            <w:top w:w="0" w:type="dxa"/>
            <w:left w:w="108" w:type="dxa"/>
            <w:bottom w:w="0" w:type="dxa"/>
            <w:right w:w="108" w:type="dxa"/>
          </w:tblCellMar>
        </w:tblPrEx>
        <w:trPr>
          <w:trHeight w:val="90" w:hRule="atLeast"/>
          <w:jc w:val="center"/>
        </w:trPr>
        <w:tc>
          <w:tcPr>
            <w:tcW w:w="857" w:type="dxa"/>
            <w:tcBorders>
              <w:top w:val="single" w:color="000000" w:sz="4" w:space="0"/>
              <w:left w:val="single" w:color="000000" w:sz="4" w:space="0"/>
              <w:bottom w:val="single" w:color="000000" w:sz="4" w:space="0"/>
              <w:right w:val="single" w:color="000000" w:sz="4" w:space="0"/>
            </w:tcBorders>
            <w:noWrap/>
            <w:vAlign w:val="center"/>
          </w:tcPr>
          <w:p w14:paraId="1D838036">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序号</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413596B">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评审指标</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65C38979">
            <w:pPr>
              <w:widowControl/>
              <w:jc w:val="center"/>
              <w:textAlignment w:val="center"/>
              <w:rPr>
                <w:rFonts w:ascii="宋体" w:cs="Times New Roman"/>
                <w:b/>
                <w:bCs/>
                <w:color w:val="000000"/>
                <w:sz w:val="24"/>
                <w:szCs w:val="24"/>
              </w:rPr>
            </w:pPr>
            <w:r>
              <w:rPr>
                <w:rFonts w:hint="eastAsia" w:ascii="宋体" w:hAnsi="宋体" w:cs="宋体"/>
                <w:b/>
                <w:bCs/>
                <w:color w:val="000000"/>
                <w:kern w:val="0"/>
                <w:sz w:val="24"/>
                <w:szCs w:val="24"/>
              </w:rPr>
              <w:t>分值</w:t>
            </w:r>
          </w:p>
        </w:tc>
        <w:tc>
          <w:tcPr>
            <w:tcW w:w="2570" w:type="dxa"/>
            <w:tcBorders>
              <w:top w:val="single" w:color="000000" w:sz="4" w:space="0"/>
              <w:left w:val="single" w:color="000000" w:sz="4" w:space="0"/>
              <w:bottom w:val="single" w:color="000000" w:sz="4" w:space="0"/>
              <w:right w:val="single" w:color="000000" w:sz="4" w:space="0"/>
            </w:tcBorders>
            <w:noWrap/>
            <w:vAlign w:val="center"/>
          </w:tcPr>
          <w:p w14:paraId="37E23B37">
            <w:pPr>
              <w:widowControl/>
              <w:jc w:val="center"/>
              <w:textAlignment w:val="center"/>
              <w:rPr>
                <w:rFonts w:hint="default" w:ascii="宋体" w:eastAsia="宋体" w:cs="Times New Roman"/>
                <w:b/>
                <w:bCs/>
                <w:color w:val="000000"/>
                <w:sz w:val="21"/>
                <w:szCs w:val="21"/>
                <w:lang w:val="en-US" w:eastAsia="zh-CN"/>
              </w:rPr>
            </w:pPr>
            <w:r>
              <w:rPr>
                <w:rFonts w:hint="eastAsia" w:ascii="宋体" w:cs="Times New Roman"/>
                <w:b/>
                <w:bCs/>
                <w:color w:val="000000"/>
                <w:sz w:val="21"/>
                <w:szCs w:val="21"/>
                <w:lang w:val="en-US" w:eastAsia="zh-CN"/>
              </w:rPr>
              <w:t>单位1</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00B13C6B">
            <w:pPr>
              <w:widowControl/>
              <w:jc w:val="center"/>
              <w:textAlignment w:val="center"/>
              <w:rPr>
                <w:rFonts w:hint="default" w:ascii="宋体" w:eastAsia="宋体" w:cs="Times New Roman"/>
                <w:b/>
                <w:bCs/>
                <w:color w:val="000000"/>
                <w:sz w:val="21"/>
                <w:szCs w:val="21"/>
                <w:lang w:val="en-US" w:eastAsia="zh-CN"/>
              </w:rPr>
            </w:pPr>
            <w:r>
              <w:rPr>
                <w:rFonts w:hint="eastAsia" w:ascii="宋体" w:cs="Times New Roman"/>
                <w:b/>
                <w:bCs/>
                <w:color w:val="000000"/>
                <w:sz w:val="21"/>
                <w:szCs w:val="21"/>
                <w:lang w:val="en-US" w:eastAsia="zh-CN"/>
              </w:rPr>
              <w:t>单位2</w:t>
            </w:r>
          </w:p>
        </w:tc>
        <w:tc>
          <w:tcPr>
            <w:tcW w:w="2568" w:type="dxa"/>
            <w:tcBorders>
              <w:top w:val="single" w:color="000000" w:sz="4" w:space="0"/>
              <w:left w:val="single" w:color="000000" w:sz="4" w:space="0"/>
              <w:bottom w:val="single" w:color="000000" w:sz="4" w:space="0"/>
              <w:right w:val="single" w:color="000000" w:sz="4" w:space="0"/>
            </w:tcBorders>
            <w:noWrap/>
            <w:vAlign w:val="center"/>
          </w:tcPr>
          <w:p w14:paraId="7742A38B">
            <w:pPr>
              <w:widowControl/>
              <w:jc w:val="center"/>
              <w:textAlignment w:val="center"/>
              <w:rPr>
                <w:rFonts w:hint="default" w:ascii="宋体" w:eastAsia="宋体" w:cs="Times New Roman"/>
                <w:b/>
                <w:bCs/>
                <w:color w:val="000000"/>
                <w:sz w:val="21"/>
                <w:szCs w:val="21"/>
                <w:lang w:val="en-US" w:eastAsia="zh-CN"/>
              </w:rPr>
            </w:pPr>
            <w:r>
              <w:rPr>
                <w:rFonts w:hint="eastAsia" w:ascii="宋体" w:cs="Times New Roman"/>
                <w:b/>
                <w:bCs/>
                <w:color w:val="000000"/>
                <w:sz w:val="21"/>
                <w:szCs w:val="21"/>
                <w:lang w:val="en-US" w:eastAsia="zh-CN"/>
              </w:rPr>
              <w:t>单位3</w:t>
            </w:r>
          </w:p>
        </w:tc>
      </w:tr>
      <w:tr w14:paraId="445CFBB2">
        <w:tblPrEx>
          <w:tblCellMar>
            <w:top w:w="0" w:type="dxa"/>
            <w:left w:w="108" w:type="dxa"/>
            <w:bottom w:w="0" w:type="dxa"/>
            <w:right w:w="108" w:type="dxa"/>
          </w:tblCellMar>
        </w:tblPrEx>
        <w:trPr>
          <w:trHeight w:val="2384"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E5DD">
            <w:pPr>
              <w:widowControl/>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04FAB">
            <w:pPr>
              <w:widowControl/>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中山福彩品牌推广活动总体服务方案：</w:t>
            </w:r>
          </w:p>
          <w:p w14:paraId="6118F0F8">
            <w:pPr>
              <w:widowControl/>
              <w:numPr>
                <w:ilvl w:val="0"/>
                <w:numId w:val="0"/>
              </w:numPr>
              <w:jc w:val="left"/>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val="en-US" w:eastAsia="zh-CN"/>
              </w:rPr>
              <w:t>（1）无服务方案或服务目标和内容不清晰，服务方案总体为一般（0</w:t>
            </w:r>
            <w:r>
              <w:rPr>
                <w:rFonts w:hint="eastAsia" w:ascii="宋体" w:hAnsi="宋体" w:cs="宋体"/>
                <w:color w:val="000000"/>
                <w:kern w:val="0"/>
                <w:sz w:val="21"/>
                <w:szCs w:val="21"/>
                <w:lang w:eastAsia="zh-CN"/>
              </w:rPr>
              <w:t>分至</w:t>
            </w:r>
            <w:r>
              <w:rPr>
                <w:rFonts w:hint="eastAsia" w:ascii="宋体" w:hAnsi="宋体" w:cs="宋体"/>
                <w:color w:val="000000"/>
                <w:kern w:val="0"/>
                <w:sz w:val="21"/>
                <w:szCs w:val="21"/>
                <w:lang w:val="en-US" w:eastAsia="zh-CN"/>
              </w:rPr>
              <w:t>5分</w:t>
            </w:r>
            <w:r>
              <w:rPr>
                <w:rFonts w:hint="eastAsia" w:ascii="宋体" w:hAnsi="宋体" w:cs="宋体"/>
                <w:color w:val="000000"/>
                <w:kern w:val="0"/>
                <w:sz w:val="21"/>
                <w:szCs w:val="21"/>
                <w:lang w:eastAsia="zh-CN"/>
              </w:rPr>
              <w:t>）；</w:t>
            </w:r>
          </w:p>
          <w:p w14:paraId="4746A31B">
            <w:pPr>
              <w:widowControl/>
              <w:numPr>
                <w:ilvl w:val="0"/>
                <w:numId w:val="0"/>
              </w:numPr>
              <w:ind w:leftChars="0"/>
              <w:jc w:val="left"/>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val="en-US" w:eastAsia="zh-CN"/>
              </w:rPr>
              <w:t>（2）服务目标和内容清晰、较多，服务方案总体为良好（6</w:t>
            </w:r>
            <w:r>
              <w:rPr>
                <w:rFonts w:hint="eastAsia" w:ascii="宋体" w:hAnsi="宋体" w:cs="宋体"/>
                <w:color w:val="000000"/>
                <w:kern w:val="0"/>
                <w:sz w:val="21"/>
                <w:szCs w:val="21"/>
                <w:lang w:eastAsia="zh-CN"/>
              </w:rPr>
              <w:t>分至</w:t>
            </w:r>
            <w:r>
              <w:rPr>
                <w:rFonts w:hint="eastAsia" w:ascii="宋体" w:hAnsi="宋体" w:cs="宋体"/>
                <w:color w:val="000000"/>
                <w:kern w:val="0"/>
                <w:sz w:val="21"/>
                <w:szCs w:val="21"/>
                <w:lang w:val="en-US" w:eastAsia="zh-CN"/>
              </w:rPr>
              <w:t>10分</w:t>
            </w:r>
            <w:r>
              <w:rPr>
                <w:rFonts w:hint="eastAsia" w:ascii="宋体" w:hAnsi="宋体" w:cs="宋体"/>
                <w:color w:val="000000"/>
                <w:kern w:val="0"/>
                <w:sz w:val="21"/>
                <w:szCs w:val="21"/>
                <w:lang w:eastAsia="zh-CN"/>
              </w:rPr>
              <w:t>）；</w:t>
            </w:r>
          </w:p>
          <w:p w14:paraId="15487019">
            <w:pPr>
              <w:widowControl/>
              <w:numPr>
                <w:ilvl w:val="0"/>
                <w:numId w:val="0"/>
              </w:numPr>
              <w:jc w:val="left"/>
              <w:textAlignment w:val="center"/>
              <w:rPr>
                <w:rFonts w:ascii="宋体" w:cs="Times New Roman"/>
                <w:color w:val="000000"/>
                <w:sz w:val="24"/>
                <w:szCs w:val="24"/>
              </w:rPr>
            </w:pPr>
            <w:r>
              <w:rPr>
                <w:rFonts w:hint="eastAsia" w:ascii="宋体" w:hAnsi="宋体" w:cs="宋体"/>
                <w:color w:val="000000"/>
                <w:kern w:val="0"/>
                <w:sz w:val="21"/>
                <w:szCs w:val="21"/>
                <w:lang w:val="en-US" w:eastAsia="zh-CN"/>
              </w:rPr>
              <w:t>（3）服务目标和内容明确、丰富，服务方案总体为优秀（11</w:t>
            </w:r>
            <w:r>
              <w:rPr>
                <w:rFonts w:hint="eastAsia" w:ascii="宋体" w:hAnsi="宋体" w:cs="宋体"/>
                <w:color w:val="000000"/>
                <w:kern w:val="0"/>
                <w:sz w:val="21"/>
                <w:szCs w:val="21"/>
                <w:lang w:eastAsia="zh-CN"/>
              </w:rPr>
              <w:t>分至</w:t>
            </w:r>
            <w:r>
              <w:rPr>
                <w:rFonts w:hint="eastAsia" w:ascii="宋体" w:hAnsi="宋体" w:cs="宋体"/>
                <w:color w:val="000000"/>
                <w:kern w:val="0"/>
                <w:sz w:val="21"/>
                <w:szCs w:val="21"/>
                <w:lang w:val="en-US" w:eastAsia="zh-CN"/>
              </w:rPr>
              <w:t>15分</w:t>
            </w:r>
            <w:r>
              <w:rPr>
                <w:rFonts w:hint="eastAsia" w:ascii="宋体" w:hAnsi="宋体" w:cs="宋体"/>
                <w:color w:val="000000"/>
                <w:kern w:val="0"/>
                <w:sz w:val="21"/>
                <w:szCs w:val="21"/>
                <w:lang w:eastAsia="zh-CN"/>
              </w:rPr>
              <w:t>）。</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5FE7C">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15</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72CE5">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C4D74">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9AE2D">
            <w:pPr>
              <w:rPr>
                <w:rFonts w:ascii="宋体" w:cs="Times New Roman"/>
                <w:color w:val="000000"/>
                <w:sz w:val="24"/>
                <w:szCs w:val="24"/>
              </w:rPr>
            </w:pPr>
          </w:p>
        </w:tc>
      </w:tr>
      <w:tr w14:paraId="23A78723">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97CB1">
            <w:pPr>
              <w:widowControl/>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25E1C">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品牌推广的人员保障（需展示人员具备技能证书或对口专业的毕业证书复印件）：</w:t>
            </w:r>
          </w:p>
          <w:p w14:paraId="0F10F8F9">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（1）无人员保障描述或参与人数较少，从业经验不足，专业能力不能满足活动的开展需求（0分至5分）；</w:t>
            </w:r>
          </w:p>
          <w:p w14:paraId="2154512A">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（2）参与人数一般，团队架构能基本满足活动的开展需求，从业经验较少，专业能力一般（6分至10分）；</w:t>
            </w:r>
          </w:p>
          <w:p w14:paraId="152B5BA2">
            <w:pPr>
              <w:widowControl/>
              <w:numPr>
                <w:ilvl w:val="0"/>
                <w:numId w:val="0"/>
              </w:numPr>
              <w:jc w:val="left"/>
              <w:textAlignment w:val="center"/>
              <w:rPr>
                <w:rFonts w:hint="eastAsia" w:ascii="宋体" w:hAnsi="宋体" w:cs="宋体"/>
                <w:color w:val="000000"/>
                <w:kern w:val="0"/>
                <w:lang w:eastAsia="zh-CN"/>
              </w:rPr>
            </w:pPr>
            <w:r>
              <w:rPr>
                <w:rFonts w:hint="eastAsia" w:ascii="宋体" w:hAnsi="宋体" w:cs="宋体"/>
                <w:color w:val="000000"/>
                <w:kern w:val="0"/>
                <w:sz w:val="21"/>
                <w:szCs w:val="21"/>
                <w:lang w:val="en-US" w:eastAsia="zh-CN"/>
              </w:rPr>
              <w:t>（3）参与人数较多，团队分工明确，架构完善，从业经验丰富，具备专业能力完全满足活动的开展需求（11分至15分）。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4A853">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15</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E8BC0">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539CB">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A7D89">
            <w:pPr>
              <w:rPr>
                <w:rFonts w:ascii="宋体" w:cs="Times New Roman"/>
                <w:color w:val="000000"/>
                <w:sz w:val="24"/>
                <w:szCs w:val="24"/>
              </w:rPr>
            </w:pPr>
          </w:p>
        </w:tc>
      </w:tr>
      <w:tr w14:paraId="02B4A00A">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B0C9E">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C9447">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品牌推广宣传创意与执行策略：</w:t>
            </w:r>
          </w:p>
          <w:p w14:paraId="57C3C59F">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（1）推广手法陈旧，无创新亮点，执行策略难以落实到位（0分至5分）；</w:t>
            </w:r>
          </w:p>
          <w:p w14:paraId="0F2F51D5">
            <w:pPr>
              <w:widowControl/>
              <w:numPr>
                <w:ilvl w:val="0"/>
                <w:numId w:val="0"/>
              </w:numPr>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（2）推广手法具备一定基本创意，执行策略一般（6分至10分）；</w:t>
            </w:r>
          </w:p>
          <w:p w14:paraId="667E78E7">
            <w:pPr>
              <w:pStyle w:val="3"/>
              <w:rPr>
                <w:rFonts w:hint="eastAsia"/>
                <w:lang w:val="en-US" w:eastAsia="zh-CN"/>
              </w:rPr>
            </w:pPr>
            <w:r>
              <w:rPr>
                <w:rFonts w:hint="eastAsia" w:ascii="宋体" w:hAnsi="宋体" w:cs="宋体"/>
                <w:color w:val="000000"/>
                <w:kern w:val="0"/>
                <w:sz w:val="21"/>
                <w:szCs w:val="21"/>
                <w:lang w:val="en-US" w:eastAsia="zh-CN"/>
              </w:rPr>
              <w:t>（3）推广手法新颖，创新亮点较多，执行策略较为优秀（11分至15分）。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E9D14">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79F11">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0A91C">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0FECC">
            <w:pPr>
              <w:rPr>
                <w:rFonts w:ascii="宋体" w:cs="Times New Roman"/>
                <w:color w:val="000000"/>
                <w:sz w:val="24"/>
                <w:szCs w:val="24"/>
              </w:rPr>
            </w:pPr>
          </w:p>
        </w:tc>
      </w:tr>
      <w:tr w14:paraId="4CF551D0">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2A054">
            <w:pPr>
              <w:widowControl/>
              <w:jc w:val="center"/>
              <w:textAlignment w:val="center"/>
              <w:rPr>
                <w:rFonts w:hint="eastAsia" w:ascii="宋体" w:eastAsia="宋体" w:cs="Times New Roman"/>
                <w:color w:val="000000"/>
                <w:sz w:val="24"/>
                <w:szCs w:val="24"/>
                <w:lang w:eastAsia="zh-CN"/>
              </w:rPr>
            </w:pPr>
            <w:r>
              <w:rPr>
                <w:rFonts w:hint="eastAsia" w:ascii="宋体" w:hAnsi="宋体" w:cs="宋体"/>
                <w:color w:val="000000"/>
                <w:kern w:val="0"/>
                <w:sz w:val="24"/>
                <w:szCs w:val="24"/>
                <w:lang w:val="en-US" w:eastAsia="zh-CN"/>
              </w:rPr>
              <w:t>4</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D15BA">
            <w:pPr>
              <w:widowControl/>
              <w:numPr>
                <w:ilvl w:val="0"/>
                <w:numId w:val="0"/>
              </w:numPr>
              <w:jc w:val="left"/>
              <w:textAlignment w:val="center"/>
              <w:rPr>
                <w:rFonts w:hint="eastAsia" w:ascii="宋体" w:hAnsi="宋体" w:cs="宋体"/>
                <w:color w:val="000000"/>
                <w:kern w:val="0"/>
                <w:lang w:eastAsia="zh-CN"/>
              </w:rPr>
            </w:pPr>
            <w:r>
              <w:rPr>
                <w:rFonts w:hint="eastAsia" w:ascii="宋体" w:hAnsi="宋体" w:cs="宋体"/>
                <w:color w:val="000000"/>
                <w:kern w:val="0"/>
                <w:lang w:eastAsia="zh-CN"/>
              </w:rPr>
              <w:t>历史业绩情况（需提供合同复印件，否则不得分）：</w:t>
            </w:r>
          </w:p>
          <w:p w14:paraId="1F95C81A">
            <w:pPr>
              <w:widowControl/>
              <w:numPr>
                <w:ilvl w:val="0"/>
                <w:numId w:val="0"/>
              </w:numPr>
              <w:jc w:val="left"/>
              <w:textAlignment w:val="center"/>
              <w:rPr>
                <w:rFonts w:hint="default" w:ascii="宋体" w:hAnsi="宋体" w:cs="宋体"/>
                <w:color w:val="000000"/>
                <w:kern w:val="0"/>
                <w:lang w:val="en-US" w:eastAsia="zh-CN"/>
              </w:rPr>
            </w:pPr>
            <w:r>
              <w:rPr>
                <w:rFonts w:hint="eastAsia" w:ascii="宋体" w:hAnsi="宋体" w:cs="宋体"/>
                <w:color w:val="000000"/>
                <w:kern w:val="0"/>
                <w:lang w:val="en-US" w:eastAsia="zh-CN"/>
              </w:rPr>
              <w:t>自2022年1月以来曾承接过品牌推广、活动策划的服务类项目，每提供1个项目得2分（上限10分）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9BFD1">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5A8E0">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4FE26">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E0712">
            <w:pPr>
              <w:rPr>
                <w:rFonts w:ascii="宋体" w:cs="Times New Roman"/>
                <w:color w:val="000000"/>
                <w:sz w:val="24"/>
                <w:szCs w:val="24"/>
              </w:rPr>
            </w:pPr>
          </w:p>
        </w:tc>
      </w:tr>
      <w:tr w14:paraId="284E8F6B">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4C37E">
            <w:pPr>
              <w:widowControl/>
              <w:jc w:val="center"/>
              <w:textAlignment w:val="center"/>
              <w:rPr>
                <w:rFonts w:hint="eastAsia" w:ascii="宋体" w:eastAsia="宋体" w:cs="Times New Roman"/>
                <w:color w:val="000000"/>
                <w:sz w:val="24"/>
                <w:szCs w:val="24"/>
                <w:lang w:eastAsia="zh-CN"/>
              </w:rPr>
            </w:pPr>
            <w:r>
              <w:rPr>
                <w:rFonts w:hint="eastAsia" w:ascii="宋体" w:hAnsi="宋体" w:cs="宋体"/>
                <w:color w:val="000000"/>
                <w:kern w:val="0"/>
                <w:sz w:val="24"/>
                <w:szCs w:val="24"/>
                <w:lang w:val="en-US" w:eastAsia="zh-CN"/>
              </w:rPr>
              <w:t>5</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275E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工作</w:t>
            </w:r>
            <w:r>
              <w:rPr>
                <w:rFonts w:hint="eastAsia" w:ascii="宋体" w:hAnsi="宋体" w:cs="宋体"/>
                <w:color w:val="000000"/>
                <w:kern w:val="0"/>
                <w:sz w:val="21"/>
                <w:szCs w:val="21"/>
                <w:lang w:val="en-US" w:eastAsia="zh-CN" w:bidi="ar-SA"/>
              </w:rPr>
              <w:t>细化和</w:t>
            </w:r>
            <w:r>
              <w:rPr>
                <w:rFonts w:hint="eastAsia" w:ascii="宋体" w:hAnsi="宋体" w:eastAsia="宋体" w:cs="宋体"/>
                <w:color w:val="000000"/>
                <w:kern w:val="0"/>
                <w:sz w:val="21"/>
                <w:szCs w:val="21"/>
                <w:lang w:val="en-US" w:eastAsia="zh-CN" w:bidi="ar-SA"/>
              </w:rPr>
              <w:t>进度管理：</w:t>
            </w:r>
          </w:p>
          <w:p w14:paraId="4EDEE50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（1）工作安排计划不清晰、节点模糊，承诺于服务期限内完成项目各项服务要求。（0分至5分）；</w:t>
            </w:r>
          </w:p>
          <w:p w14:paraId="1BA619F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（2）工作安排计划清晰、节点明确，承诺于服务期限内完成项目各项服务要求。（6分至10分）；</w:t>
            </w:r>
          </w:p>
          <w:p w14:paraId="29F64A93">
            <w:pPr>
              <w:widowControl/>
              <w:numPr>
                <w:ilvl w:val="0"/>
                <w:numId w:val="0"/>
              </w:numPr>
              <w:jc w:val="left"/>
              <w:textAlignment w:val="center"/>
              <w:rPr>
                <w:rFonts w:hint="default" w:ascii="宋体" w:eastAsia="宋体" w:cs="Times New Roman"/>
                <w:color w:val="000000"/>
                <w:kern w:val="0"/>
                <w:sz w:val="24"/>
                <w:szCs w:val="24"/>
                <w:lang w:val="en-US" w:eastAsia="zh-CN"/>
              </w:rPr>
            </w:pPr>
            <w:r>
              <w:rPr>
                <w:rFonts w:hint="eastAsia" w:ascii="宋体" w:hAnsi="宋体" w:eastAsia="宋体" w:cs="宋体"/>
                <w:color w:val="000000"/>
                <w:kern w:val="0"/>
                <w:sz w:val="21"/>
                <w:szCs w:val="21"/>
                <w:lang w:val="en-US" w:eastAsia="zh-CN" w:bidi="ar-SA"/>
              </w:rPr>
              <w:t>（3）工作安排计划清晰、节点明确，保障措施有力，承诺于服务期限内完成项目各项服务要求。（11分至15分）。</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4B5B0">
            <w:pPr>
              <w:widowControl/>
              <w:jc w:val="center"/>
              <w:textAlignment w:val="center"/>
              <w:rPr>
                <w:rFonts w:hint="default" w:ascii="宋体" w:cs="Times New Roman"/>
                <w:color w:val="000000"/>
                <w:kern w:val="0"/>
                <w:sz w:val="24"/>
                <w:szCs w:val="24"/>
                <w:lang w:val="en-US"/>
              </w:rPr>
            </w:pPr>
            <w:r>
              <w:rPr>
                <w:rFonts w:hint="eastAsia" w:ascii="宋体" w:hAnsi="宋体" w:cs="宋体"/>
                <w:color w:val="000000"/>
                <w:kern w:val="0"/>
                <w:sz w:val="24"/>
                <w:szCs w:val="24"/>
                <w:lang w:val="en-US" w:eastAsia="zh-CN"/>
              </w:rPr>
              <w:t>15</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98D0">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DA1DE">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0D6A9">
            <w:pPr>
              <w:rPr>
                <w:rFonts w:ascii="宋体" w:cs="Times New Roman"/>
                <w:color w:val="000000"/>
                <w:sz w:val="24"/>
                <w:szCs w:val="24"/>
              </w:rPr>
            </w:pPr>
          </w:p>
        </w:tc>
      </w:tr>
      <w:tr w14:paraId="6B746ECF">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B4875">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D1A7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kern w:val="0"/>
                <w:szCs w:val="21"/>
                <w:lang w:eastAsia="zh-CN" w:bidi="ar"/>
              </w:rPr>
            </w:pPr>
            <w:r>
              <w:rPr>
                <w:rFonts w:hint="eastAsia" w:ascii="宋体" w:hAnsi="宋体" w:cs="宋体"/>
                <w:kern w:val="0"/>
                <w:szCs w:val="21"/>
                <w:lang w:eastAsia="zh-CN" w:bidi="ar"/>
              </w:rPr>
              <w:t>服务商硬件资源保障和内部制度：</w:t>
            </w:r>
          </w:p>
          <w:p w14:paraId="75C8671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w:t>
            </w:r>
            <w:r>
              <w:rPr>
                <w:rFonts w:hint="eastAsia" w:ascii="宋体" w:hAnsi="宋体" w:cs="宋体"/>
                <w:kern w:val="0"/>
                <w:szCs w:val="21"/>
                <w:lang w:eastAsia="zh-CN" w:bidi="ar"/>
              </w:rPr>
              <w:t>）投入用于项目的硬件设备和宣传资源较差，具备基本内部制度（得</w:t>
            </w:r>
            <w:r>
              <w:rPr>
                <w:rFonts w:hint="eastAsia" w:ascii="宋体" w:hAnsi="宋体" w:cs="宋体"/>
                <w:kern w:val="0"/>
                <w:szCs w:val="21"/>
                <w:lang w:val="en-US" w:eastAsia="zh-CN" w:bidi="ar"/>
              </w:rPr>
              <w:t>2分</w:t>
            </w:r>
            <w:r>
              <w:rPr>
                <w:rFonts w:hint="eastAsia" w:ascii="宋体" w:hAnsi="宋体" w:cs="宋体"/>
                <w:kern w:val="0"/>
                <w:szCs w:val="21"/>
                <w:lang w:eastAsia="zh-CN" w:bidi="ar"/>
              </w:rPr>
              <w:t>）</w:t>
            </w:r>
            <w:r>
              <w:rPr>
                <w:rFonts w:hint="eastAsia" w:ascii="宋体" w:hAnsi="宋体" w:eastAsia="宋体" w:cs="宋体"/>
                <w:kern w:val="0"/>
                <w:szCs w:val="21"/>
                <w:lang w:bidi="ar"/>
              </w:rPr>
              <w:t>；</w:t>
            </w:r>
          </w:p>
          <w:p w14:paraId="1A72D18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）投入用于项目的硬件设备和宣传资源一般，内部制度较完善（得</w:t>
            </w:r>
            <w:r>
              <w:rPr>
                <w:rFonts w:hint="eastAsia" w:ascii="宋体" w:hAnsi="宋体" w:cs="宋体"/>
                <w:kern w:val="0"/>
                <w:szCs w:val="21"/>
                <w:lang w:val="en-US" w:eastAsia="zh-CN" w:bidi="ar"/>
              </w:rPr>
              <w:t>6分</w:t>
            </w:r>
            <w:r>
              <w:rPr>
                <w:rFonts w:hint="eastAsia" w:ascii="宋体" w:hAnsi="宋体" w:cs="宋体"/>
                <w:kern w:val="0"/>
                <w:szCs w:val="21"/>
                <w:lang w:eastAsia="zh-CN" w:bidi="ar"/>
              </w:rPr>
              <w:t>）</w:t>
            </w:r>
            <w:r>
              <w:rPr>
                <w:rFonts w:hint="eastAsia" w:ascii="宋体" w:hAnsi="宋体" w:eastAsia="宋体" w:cs="宋体"/>
                <w:kern w:val="0"/>
                <w:szCs w:val="21"/>
                <w:lang w:bidi="ar"/>
              </w:rPr>
              <w:t>；</w:t>
            </w:r>
          </w:p>
          <w:p w14:paraId="5B2EE7D5">
            <w:pPr>
              <w:widowControl/>
              <w:numPr>
                <w:ilvl w:val="0"/>
                <w:numId w:val="0"/>
              </w:numPr>
              <w:jc w:val="left"/>
              <w:textAlignment w:val="center"/>
              <w:rPr>
                <w:rFonts w:hint="default" w:ascii="宋体" w:eastAsia="宋体" w:cs="Times New Roman"/>
                <w:color w:val="000000"/>
                <w:kern w:val="0"/>
                <w:sz w:val="24"/>
                <w:szCs w:val="24"/>
                <w:lang w:val="en-US" w:eastAsia="zh-CN"/>
              </w:rPr>
            </w:pPr>
            <w:r>
              <w:rPr>
                <w:rFonts w:hint="eastAsia" w:ascii="宋体" w:hAnsi="宋体" w:cs="宋体"/>
                <w:kern w:val="0"/>
                <w:szCs w:val="21"/>
                <w:lang w:eastAsia="zh-CN" w:bidi="ar"/>
              </w:rPr>
              <w:t>（</w:t>
            </w:r>
            <w:r>
              <w:rPr>
                <w:rFonts w:hint="eastAsia" w:ascii="宋体" w:hAnsi="宋体" w:cs="宋体"/>
                <w:kern w:val="0"/>
                <w:szCs w:val="21"/>
                <w:lang w:val="en-US" w:eastAsia="zh-CN" w:bidi="ar"/>
              </w:rPr>
              <w:t>3</w:t>
            </w:r>
            <w:r>
              <w:rPr>
                <w:rFonts w:hint="eastAsia" w:ascii="宋体" w:hAnsi="宋体" w:cs="宋体"/>
                <w:kern w:val="0"/>
                <w:szCs w:val="21"/>
                <w:lang w:eastAsia="zh-CN" w:bidi="ar"/>
              </w:rPr>
              <w:t>）投入用于项目的硬件设备和宣传资源较好，内部制度完善（得</w:t>
            </w:r>
            <w:r>
              <w:rPr>
                <w:rFonts w:hint="eastAsia" w:ascii="宋体" w:hAnsi="宋体" w:cs="宋体"/>
                <w:kern w:val="0"/>
                <w:szCs w:val="21"/>
                <w:lang w:val="en-US" w:eastAsia="zh-CN" w:bidi="ar"/>
              </w:rPr>
              <w:t>10分</w:t>
            </w:r>
            <w:r>
              <w:rPr>
                <w:rFonts w:hint="eastAsia" w:ascii="宋体" w:hAnsi="宋体" w:cs="宋体"/>
                <w:kern w:val="0"/>
                <w:szCs w:val="21"/>
                <w:lang w:eastAsia="zh-CN" w:bidi="ar"/>
              </w:rPr>
              <w:t>）</w:t>
            </w:r>
            <w:r>
              <w:rPr>
                <w:rFonts w:hint="eastAsia" w:ascii="宋体" w:hAnsi="宋体" w:eastAsia="宋体" w:cs="宋体"/>
                <w:kern w:val="0"/>
                <w:szCs w:val="21"/>
                <w:lang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C89FE">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EB0DA">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43603">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1A43E">
            <w:pPr>
              <w:rPr>
                <w:rFonts w:ascii="宋体" w:cs="Times New Roman"/>
                <w:color w:val="000000"/>
                <w:sz w:val="24"/>
                <w:szCs w:val="24"/>
              </w:rPr>
            </w:pPr>
          </w:p>
        </w:tc>
      </w:tr>
      <w:tr w14:paraId="3BA437CE">
        <w:tblPrEx>
          <w:tblCellMar>
            <w:top w:w="0" w:type="dxa"/>
            <w:left w:w="108" w:type="dxa"/>
            <w:bottom w:w="0" w:type="dxa"/>
            <w:right w:w="108" w:type="dxa"/>
          </w:tblCellMar>
        </w:tblPrEx>
        <w:trPr>
          <w:trHeight w:val="52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A2D68">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7</w:t>
            </w:r>
          </w:p>
        </w:tc>
        <w:tc>
          <w:tcPr>
            <w:tcW w:w="4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9ACE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kern w:val="0"/>
                <w:szCs w:val="21"/>
                <w:lang w:eastAsia="zh-CN" w:bidi="ar"/>
              </w:rPr>
            </w:pPr>
            <w:r>
              <w:rPr>
                <w:rFonts w:hint="eastAsia" w:ascii="宋体" w:hAnsi="宋体" w:cs="宋体"/>
                <w:kern w:val="0"/>
                <w:szCs w:val="21"/>
                <w:lang w:eastAsia="zh-CN" w:bidi="ar"/>
              </w:rPr>
              <w:t>产出和成效：</w:t>
            </w:r>
          </w:p>
          <w:p w14:paraId="423AC7DE">
            <w:pPr>
              <w:keepNext w:val="0"/>
              <w:keepLines w:val="0"/>
              <w:pageBreakBefore w:val="0"/>
              <w:kinsoku/>
              <w:wordWrap/>
              <w:overflowPunct/>
              <w:topLinePunct w:val="0"/>
              <w:autoSpaceDE/>
              <w:autoSpaceDN/>
              <w:bidi w:val="0"/>
              <w:adjustRightInd/>
              <w:snapToGrid/>
              <w:spacing w:line="360" w:lineRule="exact"/>
              <w:rPr>
                <w:rFonts w:hint="eastAsia" w:ascii="宋体" w:hAnsi="宋体" w:cs="宋体"/>
                <w:kern w:val="0"/>
                <w:szCs w:val="21"/>
                <w:lang w:val="en-US" w:eastAsia="zh-CN" w:bidi="ar"/>
              </w:rPr>
            </w:pPr>
            <w:r>
              <w:rPr>
                <w:rFonts w:hint="eastAsia" w:ascii="宋体" w:hAnsi="宋体" w:cs="宋体"/>
                <w:kern w:val="0"/>
                <w:szCs w:val="21"/>
                <w:lang w:val="en-US" w:eastAsia="zh-CN" w:bidi="ar"/>
              </w:rPr>
              <w:t>（1）承诺开展大型商圈互动游戏体验活动、“福彩+”主题宣传活动、福彩进社区公益宣传活动等活动场所面积及场次不满足或基本满足需求书内要求（得2分）；</w:t>
            </w:r>
          </w:p>
          <w:p w14:paraId="04CDBC9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kern w:val="0"/>
                <w:szCs w:val="21"/>
                <w:lang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w:t>
            </w:r>
            <w:r>
              <w:rPr>
                <w:rFonts w:hint="eastAsia" w:ascii="宋体" w:hAnsi="宋体" w:cs="宋体"/>
                <w:kern w:val="0"/>
                <w:szCs w:val="21"/>
                <w:lang w:eastAsia="zh-CN" w:bidi="ar"/>
              </w:rPr>
              <w:t>）</w:t>
            </w:r>
            <w:r>
              <w:rPr>
                <w:rFonts w:hint="eastAsia" w:ascii="宋体" w:hAnsi="宋体" w:cs="宋体"/>
                <w:kern w:val="0"/>
                <w:szCs w:val="21"/>
                <w:lang w:val="en-US" w:eastAsia="zh-CN" w:bidi="ar"/>
              </w:rPr>
              <w:t>承诺开展大型商圈互动游戏体验活动、“福彩+”主题宣传活动、福彩进社区公益宣传活动等活动场所面积及场次优于需求书内要求</w:t>
            </w:r>
            <w:r>
              <w:rPr>
                <w:rFonts w:hint="eastAsia" w:ascii="宋体" w:hAnsi="宋体" w:cs="宋体"/>
                <w:kern w:val="0"/>
                <w:szCs w:val="21"/>
                <w:lang w:eastAsia="zh-CN" w:bidi="ar"/>
              </w:rPr>
              <w:t>（得</w:t>
            </w:r>
            <w:r>
              <w:rPr>
                <w:rFonts w:hint="eastAsia" w:ascii="宋体" w:hAnsi="宋体" w:cs="宋体"/>
                <w:kern w:val="0"/>
                <w:szCs w:val="21"/>
                <w:lang w:val="en-US" w:eastAsia="zh-CN" w:bidi="ar"/>
              </w:rPr>
              <w:t>6分</w:t>
            </w:r>
            <w:r>
              <w:rPr>
                <w:rFonts w:hint="eastAsia" w:ascii="宋体" w:hAnsi="宋体" w:cs="宋体"/>
                <w:kern w:val="0"/>
                <w:szCs w:val="21"/>
                <w:lang w:eastAsia="zh-CN" w:bidi="ar"/>
              </w:rPr>
              <w:t>）</w:t>
            </w:r>
            <w:r>
              <w:rPr>
                <w:rFonts w:hint="eastAsia" w:ascii="宋体" w:hAnsi="宋体" w:eastAsia="宋体" w:cs="宋体"/>
                <w:kern w:val="0"/>
                <w:szCs w:val="21"/>
                <w:lang w:bidi="ar"/>
              </w:rPr>
              <w:t>；</w:t>
            </w:r>
          </w:p>
          <w:p w14:paraId="7D92A6FE">
            <w:pPr>
              <w:widowControl/>
              <w:numPr>
                <w:ilvl w:val="0"/>
                <w:numId w:val="0"/>
              </w:numPr>
              <w:jc w:val="left"/>
              <w:textAlignment w:val="center"/>
              <w:rPr>
                <w:rFonts w:hint="eastAsia" w:ascii="宋体" w:hAnsi="宋体" w:cs="宋体"/>
                <w:kern w:val="0"/>
                <w:szCs w:val="21"/>
                <w:lang w:eastAsia="zh-CN"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3</w:t>
            </w:r>
            <w:r>
              <w:rPr>
                <w:rFonts w:hint="eastAsia" w:ascii="宋体" w:hAnsi="宋体" w:cs="宋体"/>
                <w:kern w:val="0"/>
                <w:szCs w:val="21"/>
                <w:lang w:eastAsia="zh-CN" w:bidi="ar"/>
              </w:rPr>
              <w:t>）</w:t>
            </w:r>
            <w:r>
              <w:rPr>
                <w:rFonts w:hint="eastAsia" w:ascii="宋体" w:hAnsi="宋体" w:cs="宋体"/>
                <w:kern w:val="0"/>
                <w:szCs w:val="21"/>
                <w:lang w:val="en-US" w:eastAsia="zh-CN" w:bidi="ar"/>
              </w:rPr>
              <w:t>承诺开展大型商圈互动游戏体验活动、“福彩+”主题宣传活动</w:t>
            </w:r>
            <w:bookmarkStart w:id="0" w:name="_GoBack"/>
            <w:bookmarkEnd w:id="0"/>
            <w:r>
              <w:rPr>
                <w:rFonts w:hint="eastAsia" w:ascii="宋体" w:hAnsi="宋体" w:cs="宋体"/>
                <w:kern w:val="0"/>
                <w:szCs w:val="21"/>
                <w:lang w:val="en-US" w:eastAsia="zh-CN" w:bidi="ar"/>
              </w:rPr>
              <w:t>、福彩进社区公益宣传活动等活动场所面积及场次优于需求书内要求且为最佳</w:t>
            </w:r>
            <w:r>
              <w:rPr>
                <w:rFonts w:hint="eastAsia" w:ascii="宋体" w:hAnsi="宋体" w:cs="宋体"/>
                <w:kern w:val="0"/>
                <w:szCs w:val="21"/>
                <w:lang w:eastAsia="zh-CN" w:bidi="ar"/>
              </w:rPr>
              <w:t>（得</w:t>
            </w:r>
            <w:r>
              <w:rPr>
                <w:rFonts w:hint="eastAsia" w:ascii="宋体" w:hAnsi="宋体" w:cs="宋体"/>
                <w:kern w:val="0"/>
                <w:szCs w:val="21"/>
                <w:lang w:val="en-US" w:eastAsia="zh-CN" w:bidi="ar"/>
              </w:rPr>
              <w:t>10分</w:t>
            </w:r>
            <w:r>
              <w:rPr>
                <w:rFonts w:hint="eastAsia" w:ascii="宋体" w:hAnsi="宋体" w:cs="宋体"/>
                <w:kern w:val="0"/>
                <w:szCs w:val="21"/>
                <w:lang w:eastAsia="zh-CN" w:bidi="ar"/>
              </w:rPr>
              <w:t>）</w:t>
            </w:r>
            <w:r>
              <w:rPr>
                <w:rFonts w:hint="eastAsia" w:ascii="宋体" w:hAnsi="宋体" w:eastAsia="宋体" w:cs="宋体"/>
                <w:kern w:val="0"/>
                <w:szCs w:val="21"/>
                <w:lang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18690">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A1C8A">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DDD6D">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3E235">
            <w:pPr>
              <w:rPr>
                <w:rFonts w:ascii="宋体" w:cs="Times New Roman"/>
                <w:color w:val="000000"/>
                <w:sz w:val="24"/>
                <w:szCs w:val="24"/>
              </w:rPr>
            </w:pPr>
          </w:p>
        </w:tc>
      </w:tr>
      <w:tr w14:paraId="7A83E325">
        <w:tblPrEx>
          <w:tblCellMar>
            <w:top w:w="0" w:type="dxa"/>
            <w:left w:w="108" w:type="dxa"/>
            <w:bottom w:w="0" w:type="dxa"/>
            <w:right w:w="108" w:type="dxa"/>
          </w:tblCellMar>
        </w:tblPrEx>
        <w:trPr>
          <w:trHeight w:val="420" w:hRule="atLeast"/>
          <w:jc w:val="center"/>
        </w:trPr>
        <w:tc>
          <w:tcPr>
            <w:tcW w:w="5570" w:type="dxa"/>
            <w:gridSpan w:val="2"/>
            <w:tcBorders>
              <w:top w:val="single" w:color="000000" w:sz="4" w:space="0"/>
              <w:left w:val="single" w:color="000000" w:sz="4" w:space="0"/>
              <w:bottom w:val="single" w:color="000000" w:sz="4" w:space="0"/>
              <w:right w:val="single" w:color="000000" w:sz="4" w:space="0"/>
            </w:tcBorders>
            <w:noWrap/>
            <w:vAlign w:val="center"/>
          </w:tcPr>
          <w:p w14:paraId="19241DE6">
            <w:pPr>
              <w:widowControl/>
              <w:jc w:val="center"/>
              <w:textAlignment w:val="center"/>
              <w:rPr>
                <w:rFonts w:ascii="宋体" w:cs="Times New Roman"/>
                <w:color w:val="000000"/>
                <w:sz w:val="24"/>
                <w:szCs w:val="24"/>
              </w:rPr>
            </w:pPr>
            <w:r>
              <w:rPr>
                <w:rFonts w:hint="eastAsia" w:ascii="宋体" w:hAnsi="宋体" w:cs="宋体"/>
                <w:color w:val="000000"/>
                <w:kern w:val="0"/>
                <w:sz w:val="24"/>
                <w:szCs w:val="24"/>
              </w:rPr>
              <w:t>合计得分</w:t>
            </w:r>
          </w:p>
        </w:tc>
        <w:tc>
          <w:tcPr>
            <w:tcW w:w="880" w:type="dxa"/>
            <w:tcBorders>
              <w:top w:val="single" w:color="000000" w:sz="4" w:space="0"/>
              <w:left w:val="nil"/>
              <w:bottom w:val="single" w:color="000000" w:sz="4" w:space="0"/>
              <w:right w:val="single" w:color="000000" w:sz="4" w:space="0"/>
            </w:tcBorders>
            <w:noWrap/>
            <w:vAlign w:val="center"/>
          </w:tcPr>
          <w:p w14:paraId="776A4942">
            <w:pPr>
              <w:widowControl/>
              <w:jc w:val="center"/>
              <w:textAlignment w:val="center"/>
              <w:rPr>
                <w:rFonts w:hint="default" w:ascii="宋体" w:eastAsia="宋体" w:cs="Times New Roman"/>
                <w:color w:val="000000"/>
                <w:sz w:val="24"/>
                <w:szCs w:val="24"/>
                <w:lang w:val="en-US" w:eastAsia="zh-CN"/>
              </w:rPr>
            </w:pPr>
            <w:r>
              <w:rPr>
                <w:rFonts w:hint="eastAsia" w:ascii="宋体" w:hAnsi="宋体" w:cs="宋体"/>
                <w:color w:val="000000"/>
                <w:kern w:val="0"/>
                <w:sz w:val="24"/>
                <w:szCs w:val="24"/>
                <w:lang w:val="en-US" w:eastAsia="zh-CN"/>
              </w:rPr>
              <w:t>90</w:t>
            </w:r>
          </w:p>
        </w:tc>
        <w:tc>
          <w:tcPr>
            <w:tcW w:w="2570" w:type="dxa"/>
            <w:tcBorders>
              <w:top w:val="single" w:color="000000" w:sz="4" w:space="0"/>
              <w:left w:val="single" w:color="000000" w:sz="4" w:space="0"/>
              <w:bottom w:val="single" w:color="000000" w:sz="4" w:space="0"/>
              <w:right w:val="single" w:color="000000" w:sz="4" w:space="0"/>
            </w:tcBorders>
            <w:noWrap/>
            <w:vAlign w:val="center"/>
          </w:tcPr>
          <w:p w14:paraId="16B8BA0D">
            <w:pPr>
              <w:rPr>
                <w:rFonts w:ascii="宋体" w:cs="Times New Roman"/>
                <w:color w:val="000000"/>
                <w:sz w:val="24"/>
                <w:szCs w:val="24"/>
              </w:rPr>
            </w:pP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356F9C6A">
            <w:pPr>
              <w:rPr>
                <w:rFonts w:ascii="宋体" w:cs="Times New Roman"/>
                <w:color w:val="000000"/>
                <w:sz w:val="24"/>
                <w:szCs w:val="24"/>
              </w:rPr>
            </w:pPr>
          </w:p>
        </w:tc>
        <w:tc>
          <w:tcPr>
            <w:tcW w:w="2568" w:type="dxa"/>
            <w:tcBorders>
              <w:top w:val="single" w:color="000000" w:sz="4" w:space="0"/>
              <w:left w:val="single" w:color="000000" w:sz="4" w:space="0"/>
              <w:bottom w:val="single" w:color="000000" w:sz="4" w:space="0"/>
              <w:right w:val="single" w:color="000000" w:sz="4" w:space="0"/>
            </w:tcBorders>
            <w:noWrap/>
            <w:vAlign w:val="center"/>
          </w:tcPr>
          <w:p w14:paraId="4C8D6A16">
            <w:pPr>
              <w:rPr>
                <w:rFonts w:ascii="宋体" w:cs="Times New Roman"/>
                <w:color w:val="000000"/>
                <w:sz w:val="24"/>
                <w:szCs w:val="24"/>
              </w:rPr>
            </w:pPr>
          </w:p>
        </w:tc>
      </w:tr>
    </w:tbl>
    <w:p w14:paraId="37CD4E05">
      <w:pPr>
        <w:spacing w:line="600" w:lineRule="exact"/>
        <w:rPr>
          <w:rFonts w:ascii="仿宋_GB2312" w:hAnsi="仿宋_GB2312" w:eastAsia="仿宋_GB2312" w:cs="Times New Roman"/>
          <w:sz w:val="32"/>
          <w:szCs w:val="32"/>
        </w:rPr>
      </w:pPr>
      <w:r>
        <w:rPr>
          <w:rFonts w:hint="eastAsia" w:ascii="Times New Roman" w:hAnsi="Times New Roman" w:eastAsia="仿宋_GB2312" w:cs="仿宋_GB2312"/>
          <w:sz w:val="32"/>
          <w:szCs w:val="32"/>
        </w:rPr>
        <w:t>　　评审人签名：　　　　　　　　　　　　　　　　　　　　　　日期：</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日</w:t>
      </w:r>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Y3MWVkYTk0NTVlOTAzNmUzZmNjZDdlOGRlMzM0MGQifQ=="/>
  </w:docVars>
  <w:rsids>
    <w:rsidRoot w:val="64D53521"/>
    <w:rsid w:val="00026CF5"/>
    <w:rsid w:val="0009378F"/>
    <w:rsid w:val="002714C2"/>
    <w:rsid w:val="002C09C5"/>
    <w:rsid w:val="002F53B1"/>
    <w:rsid w:val="003200A3"/>
    <w:rsid w:val="00371BCE"/>
    <w:rsid w:val="004805A0"/>
    <w:rsid w:val="00677033"/>
    <w:rsid w:val="006929E9"/>
    <w:rsid w:val="006B26BA"/>
    <w:rsid w:val="007E3DA9"/>
    <w:rsid w:val="007E4964"/>
    <w:rsid w:val="008041BB"/>
    <w:rsid w:val="00A51A93"/>
    <w:rsid w:val="00A945C8"/>
    <w:rsid w:val="00B060DA"/>
    <w:rsid w:val="00B077DF"/>
    <w:rsid w:val="00B32B6A"/>
    <w:rsid w:val="00BF1A74"/>
    <w:rsid w:val="00CD414E"/>
    <w:rsid w:val="00D6049E"/>
    <w:rsid w:val="00D760A2"/>
    <w:rsid w:val="00EA60E2"/>
    <w:rsid w:val="00F265D6"/>
    <w:rsid w:val="0149590F"/>
    <w:rsid w:val="03026601"/>
    <w:rsid w:val="03DD6BBB"/>
    <w:rsid w:val="09C65E8A"/>
    <w:rsid w:val="0CC83D1E"/>
    <w:rsid w:val="0DD82D70"/>
    <w:rsid w:val="0E291823"/>
    <w:rsid w:val="10305758"/>
    <w:rsid w:val="122E5C58"/>
    <w:rsid w:val="123A3DE8"/>
    <w:rsid w:val="12AC6717"/>
    <w:rsid w:val="15AB0F0A"/>
    <w:rsid w:val="17B52999"/>
    <w:rsid w:val="17CE7E68"/>
    <w:rsid w:val="1B786FD1"/>
    <w:rsid w:val="1D3B2486"/>
    <w:rsid w:val="1F7568E5"/>
    <w:rsid w:val="221E1E49"/>
    <w:rsid w:val="226A47A4"/>
    <w:rsid w:val="23EB5DF5"/>
    <w:rsid w:val="25F07E99"/>
    <w:rsid w:val="26C40F85"/>
    <w:rsid w:val="30444D13"/>
    <w:rsid w:val="31131428"/>
    <w:rsid w:val="3320203F"/>
    <w:rsid w:val="33273FFA"/>
    <w:rsid w:val="34293460"/>
    <w:rsid w:val="3746278E"/>
    <w:rsid w:val="3D147033"/>
    <w:rsid w:val="41C57CF5"/>
    <w:rsid w:val="42D47E7D"/>
    <w:rsid w:val="45A128FE"/>
    <w:rsid w:val="46B02CAB"/>
    <w:rsid w:val="46FF01F9"/>
    <w:rsid w:val="472904C2"/>
    <w:rsid w:val="47673FAC"/>
    <w:rsid w:val="4CA86D63"/>
    <w:rsid w:val="53440998"/>
    <w:rsid w:val="535E61D8"/>
    <w:rsid w:val="577F2FB5"/>
    <w:rsid w:val="59950B0A"/>
    <w:rsid w:val="5C3B0D25"/>
    <w:rsid w:val="5D473ABB"/>
    <w:rsid w:val="5E085E20"/>
    <w:rsid w:val="614F3019"/>
    <w:rsid w:val="6162291E"/>
    <w:rsid w:val="633B3465"/>
    <w:rsid w:val="640A623F"/>
    <w:rsid w:val="64962032"/>
    <w:rsid w:val="64D53521"/>
    <w:rsid w:val="64E62424"/>
    <w:rsid w:val="6DA712CF"/>
    <w:rsid w:val="72A3229B"/>
    <w:rsid w:val="72E71866"/>
    <w:rsid w:val="735D6CE9"/>
    <w:rsid w:val="75083FA6"/>
    <w:rsid w:val="781A6297"/>
    <w:rsid w:val="7C6330D4"/>
    <w:rsid w:val="7E77307D"/>
    <w:rsid w:val="7F7D10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3">
    <w:name w:val="Body Text"/>
    <w:basedOn w:val="1"/>
    <w:qFormat/>
    <w:uiPriority w:val="0"/>
    <w:rPr>
      <w:sz w:val="28"/>
    </w:rPr>
  </w:style>
  <w:style w:type="paragraph" w:customStyle="1" w:styleId="6">
    <w:name w:val="Char Char Char Char1 Char Char"/>
    <w:basedOn w:val="1"/>
    <w:autoRedefine/>
    <w:qFormat/>
    <w:uiPriority w:val="99"/>
    <w:rPr>
      <w:rFonts w:ascii="Times New Roman" w:hAnsi="Times New Roman" w:eastAsia="仿宋_GB2312" w:cs="Times New Roman"/>
      <w:sz w:val="32"/>
      <w:szCs w:val="32"/>
    </w:rPr>
  </w:style>
  <w:style w:type="paragraph" w:customStyle="1" w:styleId="7">
    <w:name w:val="Body text|1"/>
    <w:basedOn w:val="1"/>
    <w:autoRedefine/>
    <w:qFormat/>
    <w:uiPriority w:val="0"/>
    <w:pPr>
      <w:spacing w:line="434" w:lineRule="auto"/>
      <w:ind w:firstLine="400"/>
    </w:pPr>
    <w:rPr>
      <w:rFonts w:ascii="宋体" w:hAnsi="宋体" w:cs="宋体"/>
      <w:sz w:val="30"/>
      <w:szCs w:val="30"/>
      <w:lang w:val="zh-TW" w:eastAsia="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中山市民政局</Company>
  <Pages>3</Pages>
  <Words>1062</Words>
  <Characters>1091</Characters>
  <Lines>0</Lines>
  <Paragraphs>0</Paragraphs>
  <TotalTime>17</TotalTime>
  <ScaleCrop>false</ScaleCrop>
  <LinksUpToDate>false</LinksUpToDate>
  <CharactersWithSpaces>1126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2022-02-18T06:59:00Z</dcterms:created>
  <dc:creator>西米露</dc:creator>
  <cp:lastModifiedBy>冯绮婷</cp:lastModifiedBy>
  <cp:lastPrinted>2024-01-24T01:33:00Z</cp:lastPrinted>
  <dcterms:modified xsi:type="dcterms:W3CDTF">2026-02-10T03:17:57Z</dcterms:modified>
  <dc:title>附件3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88734693958E435B8286476276337E57</vt:lpwstr>
  </property>
  <property fmtid="{D5CDD505-2E9C-101B-9397-08002B2CF9AE}" pid="4" name="KSOTemplateDocerSaveRecord">
    <vt:lpwstr>eyJoZGlkIjoiY2RhNDc3NTBjN2Q1Zjc0YmMyYjAwZjBmNWU0YjJhZmYiLCJ1c2VySWQiOiI0MTIxMzY1OTEifQ==</vt:lpwstr>
  </property>
</Properties>
</file>