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8B598"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69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74"/>
      </w:tblGrid>
      <w:tr w14:paraId="6B4745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C8764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9F07"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中山市佳储新能源有限公司</w:t>
            </w:r>
          </w:p>
        </w:tc>
      </w:tr>
      <w:tr w14:paraId="78C18E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B055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DA79"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快乐易电户外移动电源</w:t>
            </w:r>
          </w:p>
        </w:tc>
      </w:tr>
      <w:tr w14:paraId="3AD25C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2247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3B32"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快乐易电</w:t>
            </w:r>
          </w:p>
        </w:tc>
      </w:tr>
      <w:tr w14:paraId="0A481A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4AAF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0BC5"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lang w:val="en-US" w:eastAsia="zh-CN"/>
              </w:rPr>
              <w:t>7台</w:t>
            </w:r>
          </w:p>
        </w:tc>
      </w:tr>
      <w:tr w14:paraId="0DA863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1B86D"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87E64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KL2.5度/2500W</w:t>
            </w:r>
          </w:p>
        </w:tc>
      </w:tr>
      <w:tr w14:paraId="573E96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F820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8EB5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val="en-US" w:eastAsia="zh-CN"/>
              </w:rPr>
              <w:t>3年6月1日至2023年6月30日</w:t>
            </w:r>
          </w:p>
        </w:tc>
      </w:tr>
      <w:tr w14:paraId="6EBC97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2839B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ascii="Times New Roman" w:hAnsi="Times New Roman" w:eastAsia="仿宋_GB2312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Times New Roman" w:hAnsi="Times New Roman" w:eastAsia="仿宋_GB2312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1D59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28"/>
                <w:lang w:val="en-US" w:eastAsia="zh-CN"/>
              </w:rPr>
              <w:t>/</w:t>
            </w:r>
          </w:p>
        </w:tc>
      </w:tr>
      <w:tr w14:paraId="2CE632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9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9BF39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F98AA">
            <w:pPr>
              <w:snapToGrid w:val="0"/>
              <w:jc w:val="both"/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型号：</w:t>
            </w: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KL2.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度</w:t>
            </w: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/2500W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电池容量：2500000mAh，220V输出功率：2500W，电池类型：三元锂电池</w:t>
            </w:r>
          </w:p>
          <w:p w14:paraId="5E43931C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drawing>
                <wp:inline distT="0" distB="0" distL="114300" distR="114300">
                  <wp:extent cx="924560" cy="1113155"/>
                  <wp:effectExtent l="0" t="0" r="8890" b="10795"/>
                  <wp:docPr id="1" name="图片 1" descr="ScreenShot_2025-10-13_161039_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ScreenShot_2025-10-13_161039_4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drawing>
                <wp:inline distT="0" distB="0" distL="114300" distR="114300">
                  <wp:extent cx="2068830" cy="1083945"/>
                  <wp:effectExtent l="0" t="0" r="7620" b="1905"/>
                  <wp:docPr id="2" name="图片 2" descr="ScreenShot_2025-10-13_161026_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ScreenShot_2025-10-13_161026_0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830" cy="108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EE4A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68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D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产品未可靠接地，可能存在触电的安全隐患。</w:t>
            </w:r>
          </w:p>
        </w:tc>
      </w:tr>
      <w:tr w14:paraId="4B31FF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60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7CB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val="en-US" w:eastAsia="zh-CN"/>
              </w:rPr>
              <w:t>该产品可能存在触电的安全隐患。</w:t>
            </w:r>
          </w:p>
        </w:tc>
      </w:tr>
      <w:tr w14:paraId="665129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36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70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消费者立即暂停使用有缺陷的产品，联系公司进行处理。</w:t>
            </w:r>
          </w:p>
        </w:tc>
      </w:tr>
      <w:tr w14:paraId="453FB1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D8A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7A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通知销售商立即停止销售缺陷产品，并在公司及线上销售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店铺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lang w:val="en-US" w:eastAsia="zh-CN"/>
              </w:rPr>
              <w:t>（抖音平台：快乐易电数码旗舰店）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发布召回公告，告知消费者具体召回事宜，为购买到缺陷产品的消费者免费维修处理。</w:t>
            </w:r>
          </w:p>
        </w:tc>
      </w:tr>
      <w:tr w14:paraId="65434C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CB5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B87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中山市佳储新能源有限公司</w:t>
            </w:r>
          </w:p>
        </w:tc>
      </w:tr>
      <w:tr w14:paraId="00C90C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6CF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E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召回联系人及服务热线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</w:rPr>
              <w:t>：尚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lang w:val="en-US" w:eastAsia="zh-CN"/>
              </w:rPr>
              <w:t>先生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</w:rPr>
              <w:t>，13827466650</w:t>
            </w:r>
          </w:p>
          <w:p w14:paraId="45F4A7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eastAsia="仿宋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lang w:val="en-US" w:eastAsia="zh-CN"/>
              </w:rPr>
              <w:t>（抖音平台：快乐易电数码旗舰店）</w:t>
            </w:r>
          </w:p>
        </w:tc>
      </w:tr>
      <w:tr w14:paraId="7E626D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B5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03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bookmarkStart w:id="0" w:name="_GoBack"/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集中召回时间计划在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日至202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日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（具体以实际进度安排为准）</w:t>
            </w:r>
            <w:bookmarkEnd w:id="0"/>
          </w:p>
        </w:tc>
      </w:tr>
      <w:tr w14:paraId="53EA92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C2B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BC9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rPr>
                <w:rFonts w:hint="default" w:ascii="Times New Roman" w:hAnsi="Times New Roman" w:eastAsia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该型号及其他产品是按照客户要求定制，订单号为6919805554413501699等。</w:t>
            </w:r>
          </w:p>
        </w:tc>
      </w:tr>
      <w:tr w14:paraId="1C50AB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79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6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相关用户也可以登录中山市市场监督管理局网站“政务公开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  <w:lang w:eastAsia="zh"/>
                <w:woUserID w:val="1"/>
              </w:rPr>
              <w:t>——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召回信息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  <w:lang w:eastAsia="zh"/>
                <w:woUserID w:val="1"/>
              </w:rPr>
              <w:t>——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0CAA4B7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left"/>
        <w:rPr>
          <w:rFonts w:ascii="仿宋_GB2312" w:eastAsia="仿宋_GB2312"/>
          <w:sz w:val="10"/>
          <w:szCs w:val="10"/>
        </w:rPr>
      </w:pPr>
    </w:p>
    <w:sectPr>
      <w:pgSz w:w="11906" w:h="16838"/>
      <w:pgMar w:top="1984" w:right="1474" w:bottom="1531" w:left="147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4A7AF3"/>
    <w:rsid w:val="00514E65"/>
    <w:rsid w:val="005D2255"/>
    <w:rsid w:val="00647866"/>
    <w:rsid w:val="006E1CCE"/>
    <w:rsid w:val="007243BE"/>
    <w:rsid w:val="00754746"/>
    <w:rsid w:val="007E05D8"/>
    <w:rsid w:val="009B0898"/>
    <w:rsid w:val="00A52C30"/>
    <w:rsid w:val="00D03EE7"/>
    <w:rsid w:val="00E16854"/>
    <w:rsid w:val="00EF6ADE"/>
    <w:rsid w:val="00FE73D7"/>
    <w:rsid w:val="06BD5DFB"/>
    <w:rsid w:val="0A6F1341"/>
    <w:rsid w:val="10A03235"/>
    <w:rsid w:val="10DC17A8"/>
    <w:rsid w:val="117A2100"/>
    <w:rsid w:val="16F46E3D"/>
    <w:rsid w:val="1BC5595E"/>
    <w:rsid w:val="1BF94F65"/>
    <w:rsid w:val="1C2C5C99"/>
    <w:rsid w:val="1F3B41CE"/>
    <w:rsid w:val="215B41C8"/>
    <w:rsid w:val="232748D0"/>
    <w:rsid w:val="238358DA"/>
    <w:rsid w:val="23E2706A"/>
    <w:rsid w:val="24391BE7"/>
    <w:rsid w:val="274643AA"/>
    <w:rsid w:val="29A547A1"/>
    <w:rsid w:val="2BB34F4F"/>
    <w:rsid w:val="2C892158"/>
    <w:rsid w:val="2FB9045A"/>
    <w:rsid w:val="300C7328"/>
    <w:rsid w:val="34B268E5"/>
    <w:rsid w:val="35D41FC3"/>
    <w:rsid w:val="384F7D69"/>
    <w:rsid w:val="3CDF3A14"/>
    <w:rsid w:val="3DD73210"/>
    <w:rsid w:val="3E047326"/>
    <w:rsid w:val="40A06315"/>
    <w:rsid w:val="41536C1F"/>
    <w:rsid w:val="41F37EC0"/>
    <w:rsid w:val="43B655A2"/>
    <w:rsid w:val="44984918"/>
    <w:rsid w:val="46C21C12"/>
    <w:rsid w:val="47094DF7"/>
    <w:rsid w:val="47234345"/>
    <w:rsid w:val="488F0C66"/>
    <w:rsid w:val="49EF1EDA"/>
    <w:rsid w:val="4A705FB8"/>
    <w:rsid w:val="4BF75B32"/>
    <w:rsid w:val="4C8951BD"/>
    <w:rsid w:val="4E125E21"/>
    <w:rsid w:val="4EA567DE"/>
    <w:rsid w:val="50C2570B"/>
    <w:rsid w:val="51436F5E"/>
    <w:rsid w:val="5185454F"/>
    <w:rsid w:val="52612D59"/>
    <w:rsid w:val="5D9E6F62"/>
    <w:rsid w:val="60A952C2"/>
    <w:rsid w:val="62166177"/>
    <w:rsid w:val="69CF4224"/>
    <w:rsid w:val="69DD483F"/>
    <w:rsid w:val="6B7610C3"/>
    <w:rsid w:val="6CC432EB"/>
    <w:rsid w:val="6D530F8F"/>
    <w:rsid w:val="71174D3D"/>
    <w:rsid w:val="77D47CF8"/>
    <w:rsid w:val="7AFE214C"/>
    <w:rsid w:val="7B5C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line="578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1 Char"/>
    <w:basedOn w:val="6"/>
    <w:link w:val="2"/>
    <w:qFormat/>
    <w:locked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2</Pages>
  <Words>538</Words>
  <Characters>627</Characters>
  <Lines>0</Lines>
  <Paragraphs>0</Paragraphs>
  <TotalTime>0</TotalTime>
  <ScaleCrop>false</ScaleCrop>
  <LinksUpToDate>false</LinksUpToDate>
  <CharactersWithSpaces>628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2025-09-12T18:33:00Z</dcterms:created>
  <dc:creator>张豪哲</dc:creator>
  <cp:lastModifiedBy>东皇太一</cp:lastModifiedBy>
  <dcterms:modified xsi:type="dcterms:W3CDTF">2026-02-04T17:54:49Z</dcterms:modified>
  <dc:title>消费品召回计划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ICV">
    <vt:lpwstr>DDEA31D53334F0F869178369BECE247D_43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