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年智慧养老服务调度中心运营服务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项目采购评审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指标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692" w:tblpY="492"/>
        <w:tblOverlap w:val="never"/>
        <w:tblW w:w="9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评审内容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和措施制定情况，要求方案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完整、合理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具体可行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承接单位、实施团队及人员的资质情况。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2021年以来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承接过同类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工作安排计划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情况，要求计划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清晰、节点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明确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报价情况。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  <w:docVar w:name="KSO_WPS_MARK_KEY" w:val="4097c3e2-6a18-4082-986b-401cd1e314bd"/>
  </w:docVars>
  <w:rsids>
    <w:rsidRoot w:val="4FA55ADC"/>
    <w:rsid w:val="4FA55ADC"/>
    <w:rsid w:val="652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2024-12-24T01:55:00Z</dcterms:created>
  <dc:creator>中山市养老指导项目</dc:creator>
  <cp:lastModifiedBy>中山市养老指导项目</cp:lastModifiedBy>
  <dcterms:modified xsi:type="dcterms:W3CDTF">2026-01-16T08:23:37Z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A3B2A798FADC4B79B27799FD7290A24B_11</vt:lpwstr>
  </property>
</Properties>
</file>