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9A81">
      <w:pPr>
        <w:pStyle w:val="3"/>
        <w:ind w:left="0" w:leftChars="0" w:firstLine="0" w:firstLineChars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0D2911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项目绩效目标表</w:t>
      </w:r>
    </w:p>
    <w:tbl>
      <w:tblPr>
        <w:tblStyle w:val="4"/>
        <w:tblpPr w:leftFromText="180" w:rightFromText="180" w:vertAnchor="text" w:horzAnchor="page" w:tblpX="1276" w:tblpY="1563"/>
        <w:tblOverlap w:val="never"/>
        <w:tblW w:w="9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40"/>
        <w:gridCol w:w="2054"/>
        <w:gridCol w:w="2926"/>
        <w:gridCol w:w="2115"/>
        <w:gridCol w:w="1198"/>
      </w:tblGrid>
      <w:tr w14:paraId="6A3E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81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服务项目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1D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具体内容</w:t>
            </w:r>
            <w:bookmarkStart w:id="0" w:name="_GoBack"/>
            <w:bookmarkEnd w:id="0"/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1C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具体要求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C5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量化指标</w:t>
            </w:r>
          </w:p>
        </w:tc>
      </w:tr>
      <w:tr w14:paraId="40BC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04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养老服务需求响应与管理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45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FD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提供话务服务（202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月）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1E34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工作日接听处理88885252养老服务热线来电诉求，话务员数量不少于2人。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59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来电诉求响应率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3C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1CEE8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680C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460D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726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01984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95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服务满意率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FA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95%以上</w:t>
            </w:r>
          </w:p>
        </w:tc>
      </w:tr>
      <w:tr w14:paraId="1CA5D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542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9C8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081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0A3C8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5D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有效投诉率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A6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低于2%</w:t>
            </w:r>
          </w:p>
        </w:tc>
      </w:tr>
      <w:tr w14:paraId="4FECE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702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A5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98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提升话务服务质量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8BA0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持续更新养老服务资源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和养老服务消费补贴项目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知识库，开展话务坐席培训。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5D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培训场次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D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次</w:t>
            </w:r>
          </w:p>
        </w:tc>
      </w:tr>
      <w:tr w14:paraId="5624E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683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70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C6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多维度回应服务需求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901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建立全市养老服务联动转介机制，促进供需有效对接。通过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民政通、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中山智慧养老平台公众端提供服务网点、机构、政策查询及服务预约服务，受理公众端市民诉求。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F8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需求对接率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48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80%以上</w:t>
            </w:r>
          </w:p>
        </w:tc>
      </w:tr>
      <w:tr w14:paraId="3C38C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5CD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BBB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CBED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A800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90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公众端诉求受理率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67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 w14:paraId="24F5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1D1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15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61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响应平台用户应用指导需求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B394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指导镇街及平台服务商运用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民政通、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智慧养老系统进行服务管理。向全市老年群体提供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养老服务消费补贴项目咨询和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智慧助老适应服务。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F6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镇街及平台服务商系统应用咨询响应率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70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3641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418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1474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C15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E2291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42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提供智慧助老适应服务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3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场次</w:t>
            </w:r>
          </w:p>
        </w:tc>
      </w:tr>
      <w:tr w14:paraId="1F93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34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养老服务资源管理与拓展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8B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B0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持续稳定激活在库养老服务资源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2DE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通过产品服务线下展示、展厅展品定期维护、参与服务商交流等形式，持续激活在库服务资源，维持服务商活跃度。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59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维持稳定活跃度的服务商数量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4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0家</w:t>
            </w:r>
          </w:p>
        </w:tc>
      </w:tr>
      <w:tr w14:paraId="007E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275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293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FB9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1D16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8A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维持平台服务商数量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0D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200家</w:t>
            </w:r>
          </w:p>
        </w:tc>
      </w:tr>
      <w:tr w14:paraId="50CC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5C1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01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A4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优化供应商管理机制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C4FF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持续完善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民政通、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智慧养老平台供应商入驻流程，执行平台供应商评价机制，对经营资质、社会信誉、履约情况、活跃度、服务满意度等方面进行审查和评价。对评价结果为“差”的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民政通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提出预警，对评价结果为“差”的智慧养老平台供应商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予以清退。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07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民政通或智慧养老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平台供应商开展评价调查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E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家</w:t>
            </w:r>
          </w:p>
        </w:tc>
      </w:tr>
      <w:tr w14:paraId="4F25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3FD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C9F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EEA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22CD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32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评价结果为“差”的供应商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预警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清退率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BC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381C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C17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49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7B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促进供应商的联动合作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5C33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组织开展平台服务供应商交流活动。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62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组织交流活动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E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场次</w:t>
            </w:r>
          </w:p>
        </w:tc>
      </w:tr>
      <w:tr w14:paraId="3970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2D8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CC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4B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加强养老服务资源展示与应用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44FC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指导平台服务供应商在“中山智慧养老平台”微信小程序公开服务信息。鼓励服务供应商将服务产品辐射到养老服务网点。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1D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服务供应商“中山智慧养老平台”微信小程序信息公开率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5C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6F6FD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550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7D4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977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F474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F3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服务产品辐射到养老服务网点供应商数量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D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家</w:t>
            </w:r>
          </w:p>
        </w:tc>
      </w:tr>
      <w:tr w14:paraId="5B8C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BC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养老服务监管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9A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4D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信息数据监管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0860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建立信息数据监管机制，开展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民政通、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养老信息系统数据核查，重点核查信息数据的完整性、真实性、时效性、准确性，督促指导镇街、服务商完善信息数据。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14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对服务商关键信息进行检查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9C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不少于80家</w:t>
            </w:r>
          </w:p>
        </w:tc>
      </w:tr>
      <w:tr w14:paraId="344A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43F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549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909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4B65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5A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镇街上门家政、长者饭堂、医疗康复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以及“民政通”平台机构服务、喘息服务、上门服务、日托服务、评估服务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等服务项目上线率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CF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7E8AE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8BF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7F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06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转介服务响应情况监管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D7A5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对转介服务（平台服务商、镇街养老服务）进行回访，对未响应或未按约定提供服务的镇街或服务商进行提醒。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2D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转介服务回访率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7C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732E2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339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BB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E6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服务质量监管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5A98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面向养老服务对象开展满意度调查，项目期内对享受政府资助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和养老消费服务补贴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的对象开展满意度调查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，监督服务真实性与质量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38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对享受政府资助对象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或享受养老服务消费补贴对象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进行满意度调查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6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有效调查不少于150人次</w:t>
            </w:r>
          </w:p>
        </w:tc>
      </w:tr>
      <w:tr w14:paraId="07D78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EB6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C7E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BFA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66FE9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37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对领取养老消费服务补贴的相应消费行为抽查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F3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抽查不少于150次</w:t>
            </w:r>
          </w:p>
        </w:tc>
      </w:tr>
      <w:tr w14:paraId="61C0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ED0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04B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624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187DA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A5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出具调查分析报告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64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1份</w:t>
            </w:r>
          </w:p>
        </w:tc>
      </w:tr>
      <w:tr w14:paraId="7E7D8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1A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智慧养老服务宣传推广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C9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E1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中山智慧养老宣传品制作管理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4DFA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印制宣传品，加强宣传品管理。对非易耗型宣传品功能进行定期维护。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E1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印制宣传品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688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3000份</w:t>
            </w:r>
          </w:p>
        </w:tc>
      </w:tr>
      <w:tr w14:paraId="001C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1F77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12D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AA4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1FBC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20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非易耗型宣传品功能检查维护率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AC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51FE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E03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1C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BE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线上宣传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1368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整合自媒体、官方媒体、报刊等宣传渠道，发布养老服务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和养老消费服务补贴项目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信息。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8F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发布养老服务信息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9C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每周2条</w:t>
            </w:r>
          </w:p>
        </w:tc>
      </w:tr>
      <w:tr w14:paraId="0CA3F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882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0C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C9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定点宣传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EDF9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整合中山智慧养老线上平台、展示大厅、镇街养老服务网点等展示空间向市民宣传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民政通平台、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智慧养老及平台服务供应商服务。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72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提供机构服务、喘息服务、上门服务、日托服务、评估服务和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服务产品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宣传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A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个场地</w:t>
            </w:r>
          </w:p>
        </w:tc>
      </w:tr>
      <w:tr w14:paraId="629C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0C2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C1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83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线上、线下活动宣传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9B96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开展线上、线下宣传活动，增加调度中心与市民的互动频率。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36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组织线上线下活动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03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场次</w:t>
            </w:r>
          </w:p>
        </w:tc>
      </w:tr>
      <w:tr w14:paraId="380CF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A2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智慧养老展示大厅管理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E7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C9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展示大厅参观接待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EB6C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负责智慧养老展示大厅参观的预约、安排和接待，组织开展市民开放日。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01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参观接待率（经民政部门批准）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CB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4C11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5CD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E6EB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95D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6EF1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8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组织开放日活动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F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场次</w:t>
            </w:r>
          </w:p>
        </w:tc>
      </w:tr>
      <w:tr w14:paraId="1C62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0F8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D1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07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展示大厅功能及产品维护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EE1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定期对大厅设施设备及展示产品功能进行检查、维护、更新，丰富大厅展示场景及产品。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BC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展厅对外开放期间产品功能正常使用率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39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7A42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62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系统日常运维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C5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中山市智慧养老服务系统、公众端运维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6CE3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关注用户的使用情况，并结合业务开展需求，收集、梳理用户对系统的反馈意见。对公众端公开信息进行审核。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F1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系统用户使用反馈回应率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98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60316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285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4F2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A08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E46A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37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公众端信息公开审核率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07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100%</w:t>
            </w:r>
          </w:p>
        </w:tc>
      </w:tr>
      <w:tr w14:paraId="24D2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B9BD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55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AF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88885252养老服务热线话务系统运维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ED9B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结合管理需求，保障服务热线畅通，与话务系统运维方进行对接，维护话务系统日常功能。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F2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话务系统功能购买维护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85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按需开展</w:t>
            </w:r>
          </w:p>
        </w:tc>
      </w:tr>
      <w:tr w14:paraId="252E9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58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养老服务分析与研究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2E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54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CFC3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基于智慧养老系统数据及实际服务调查，对系统数据、服务需求、服务提供以及服务质量等情况进行分析，为政府部门科学决策提供意见建议。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C4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月度运营分析报告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E6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12份</w:t>
            </w:r>
          </w:p>
        </w:tc>
      </w:tr>
      <w:tr w14:paraId="2798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5CE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D0D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E4E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825A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14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项目总结</w:t>
            </w:r>
          </w:p>
          <w:p w14:paraId="740A5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报告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AB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1份</w:t>
            </w:r>
          </w:p>
        </w:tc>
      </w:tr>
    </w:tbl>
    <w:p w14:paraId="09CE1B77">
      <w:pPr>
        <w:rPr>
          <w:rFonts w:hint="default"/>
          <w:lang w:val="en-US" w:eastAsia="zh-CN"/>
        </w:rPr>
      </w:pPr>
    </w:p>
    <w:p w14:paraId="41BF9C8A">
      <w:pPr>
        <w:rPr>
          <w:color w:val="auto"/>
          <w:highlight w:val="none"/>
        </w:rPr>
      </w:pPr>
    </w:p>
    <w:sectPr>
      <w:pgSz w:w="11906" w:h="16838"/>
      <w:pgMar w:top="1440" w:right="1293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Dk3NTY5YTljODQzYzI4YmQ4NzVjNTg2M2NiZTYifQ=="/>
  </w:docVars>
  <w:rsids>
    <w:rsidRoot w:val="56656ADD"/>
    <w:rsid w:val="127B00B3"/>
    <w:rsid w:val="13DE5636"/>
    <w:rsid w:val="156333E4"/>
    <w:rsid w:val="1889228C"/>
    <w:rsid w:val="1D553FAD"/>
    <w:rsid w:val="31B45EC9"/>
    <w:rsid w:val="32B26A26"/>
    <w:rsid w:val="366F108B"/>
    <w:rsid w:val="3BF726D7"/>
    <w:rsid w:val="431C0384"/>
    <w:rsid w:val="4A2C2648"/>
    <w:rsid w:val="553810DC"/>
    <w:rsid w:val="56656ADD"/>
    <w:rsid w:val="5A6E5B7E"/>
    <w:rsid w:val="64BA12F0"/>
    <w:rsid w:val="65161F55"/>
    <w:rsid w:val="73763CFB"/>
    <w:rsid w:val="7975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312" w:lineRule="atLeast"/>
    </w:pPr>
    <w:rPr>
      <w:kern w:val="0"/>
      <w:sz w:val="24"/>
      <w:szCs w:val="20"/>
    </w:rPr>
  </w:style>
  <w:style w:type="paragraph" w:styleId="3">
    <w:name w:val="toc 5"/>
    <w:basedOn w:val="1"/>
    <w:next w:val="1"/>
    <w:qFormat/>
    <w:uiPriority w:val="0"/>
    <w:pPr>
      <w:ind w:left="168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1874</Words>
  <Characters>1960</Characters>
  <Lines>0</Lines>
  <Paragraphs>0</Paragraphs>
  <TotalTime>2</TotalTime>
  <ScaleCrop>false</ScaleCrop>
  <LinksUpToDate>false</LinksUpToDate>
  <CharactersWithSpaces>1960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2026-01-14T06:36:00Z</dcterms:created>
  <dc:creator>imKeira</dc:creator>
  <cp:lastModifiedBy>冯绮婷</cp:lastModifiedBy>
  <cp:lastPrinted>2026-01-23T02:43:00Z</cp:lastPrinted>
  <dcterms:modified xsi:type="dcterms:W3CDTF">2026-01-23T06:52:36Z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21570F5D793547A8A39D5A34E027EE9E_13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