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598FBB">
      <w:pPr>
        <w:ind w:firstLine="0" w:firstLineChars="0"/>
        <w:jc w:val="center"/>
        <w:rPr>
          <w:rFonts w:cs="Times New Roman"/>
          <w:b/>
          <w:sz w:val="32"/>
          <w:szCs w:val="32"/>
        </w:rPr>
      </w:pPr>
      <w:bookmarkStart w:id="0" w:name="_Toc406796444"/>
    </w:p>
    <w:p w14:paraId="4D702D18">
      <w:pPr>
        <w:ind w:firstLine="0" w:firstLineChars="0"/>
        <w:jc w:val="center"/>
        <w:rPr>
          <w:rFonts w:cs="Times New Roman"/>
          <w:b/>
          <w:sz w:val="32"/>
          <w:szCs w:val="32"/>
        </w:rPr>
      </w:pPr>
    </w:p>
    <w:p w14:paraId="581D5021">
      <w:pPr>
        <w:ind w:firstLine="0" w:firstLineChars="0"/>
        <w:jc w:val="center"/>
        <w:rPr>
          <w:rFonts w:cs="Times New Roman"/>
          <w:b/>
          <w:sz w:val="32"/>
          <w:szCs w:val="32"/>
        </w:rPr>
      </w:pPr>
    </w:p>
    <w:p w14:paraId="62DD180B">
      <w:pPr>
        <w:ind w:firstLine="0" w:firstLineChars="0"/>
        <w:jc w:val="center"/>
        <w:rPr>
          <w:rFonts w:cs="Times New Roman"/>
          <w:b/>
          <w:sz w:val="32"/>
          <w:szCs w:val="32"/>
        </w:rPr>
      </w:pPr>
    </w:p>
    <w:p w14:paraId="2D049441">
      <w:pPr>
        <w:ind w:firstLine="0" w:firstLineChars="0"/>
        <w:jc w:val="center"/>
        <w:rPr>
          <w:rFonts w:eastAsia="黑体" w:cs="Times New Roman"/>
          <w:b/>
          <w:sz w:val="52"/>
          <w:szCs w:val="32"/>
        </w:rPr>
      </w:pPr>
      <w:r>
        <w:rPr>
          <w:rFonts w:hint="eastAsia" w:eastAsia="黑体" w:cs="Times New Roman"/>
          <w:b/>
          <w:sz w:val="52"/>
          <w:szCs w:val="32"/>
        </w:rPr>
        <w:t>中山市西区水生态文明建设规划</w:t>
      </w:r>
    </w:p>
    <w:p w14:paraId="2DC303C0">
      <w:pPr>
        <w:ind w:firstLine="0" w:firstLineChars="0"/>
        <w:jc w:val="center"/>
        <w:rPr>
          <w:rFonts w:eastAsia="黑体" w:cs="Times New Roman"/>
          <w:b/>
          <w:bCs/>
          <w:sz w:val="52"/>
          <w:szCs w:val="52"/>
        </w:rPr>
      </w:pPr>
      <w:r>
        <w:rPr>
          <w:rFonts w:ascii="黑体" w:hAnsi="黑体" w:eastAsia="黑体" w:cs="Times New Roman"/>
          <w:b/>
          <w:bCs/>
          <w:sz w:val="52"/>
          <w:szCs w:val="52"/>
        </w:rPr>
        <w:t>（</w:t>
      </w:r>
      <w:r>
        <w:rPr>
          <w:rFonts w:eastAsia="黑体" w:cs="Times New Roman"/>
          <w:b/>
          <w:bCs/>
          <w:sz w:val="52"/>
          <w:szCs w:val="52"/>
        </w:rPr>
        <w:t>2018-2030</w:t>
      </w:r>
      <w:r>
        <w:rPr>
          <w:rFonts w:ascii="黑体" w:hAnsi="黑体" w:eastAsia="黑体" w:cs="Times New Roman"/>
          <w:b/>
          <w:bCs/>
          <w:sz w:val="52"/>
          <w:szCs w:val="52"/>
        </w:rPr>
        <w:t>年）</w:t>
      </w:r>
    </w:p>
    <w:p w14:paraId="23F0C396">
      <w:pPr>
        <w:ind w:firstLine="0" w:firstLineChars="0"/>
        <w:jc w:val="center"/>
        <w:rPr>
          <w:rFonts w:eastAsia="黑体" w:cs="Times New Roman"/>
          <w:b/>
          <w:sz w:val="36"/>
          <w:szCs w:val="44"/>
        </w:rPr>
      </w:pPr>
    </w:p>
    <w:p w14:paraId="6A825CD3">
      <w:pPr>
        <w:ind w:firstLine="0" w:firstLineChars="0"/>
        <w:jc w:val="center"/>
        <w:rPr>
          <w:rFonts w:eastAsia="黑体" w:cs="Times New Roman"/>
          <w:b/>
          <w:sz w:val="32"/>
          <w:szCs w:val="32"/>
        </w:rPr>
      </w:pPr>
    </w:p>
    <w:p w14:paraId="3A5442DA">
      <w:pPr>
        <w:ind w:firstLine="0" w:firstLineChars="0"/>
        <w:jc w:val="center"/>
        <w:rPr>
          <w:rFonts w:eastAsia="黑体" w:cs="Times New Roman"/>
          <w:b/>
          <w:sz w:val="32"/>
          <w:szCs w:val="32"/>
        </w:rPr>
      </w:pPr>
    </w:p>
    <w:p w14:paraId="6BCF5BDF">
      <w:pPr>
        <w:ind w:firstLine="0" w:firstLineChars="0"/>
        <w:jc w:val="center"/>
        <w:rPr>
          <w:rFonts w:eastAsia="黑体" w:cs="Times New Roman"/>
          <w:b/>
          <w:sz w:val="32"/>
          <w:szCs w:val="32"/>
        </w:rPr>
      </w:pPr>
    </w:p>
    <w:p w14:paraId="3D96CF19">
      <w:pPr>
        <w:ind w:firstLine="0" w:firstLineChars="0"/>
        <w:jc w:val="center"/>
        <w:rPr>
          <w:rFonts w:eastAsia="黑体" w:cs="Times New Roman"/>
          <w:b/>
          <w:sz w:val="32"/>
          <w:szCs w:val="32"/>
        </w:rPr>
      </w:pPr>
    </w:p>
    <w:p w14:paraId="52D67D1C">
      <w:pPr>
        <w:ind w:firstLine="0" w:firstLineChars="0"/>
        <w:jc w:val="center"/>
        <w:rPr>
          <w:rFonts w:eastAsia="黑体" w:cs="Times New Roman"/>
          <w:b/>
          <w:sz w:val="32"/>
          <w:szCs w:val="32"/>
        </w:rPr>
      </w:pPr>
    </w:p>
    <w:p w14:paraId="4C24AA9C">
      <w:pPr>
        <w:ind w:firstLine="0" w:firstLineChars="0"/>
        <w:jc w:val="center"/>
        <w:rPr>
          <w:rFonts w:eastAsia="黑体" w:cs="Times New Roman"/>
          <w:b/>
          <w:sz w:val="32"/>
          <w:szCs w:val="32"/>
        </w:rPr>
      </w:pPr>
    </w:p>
    <w:p w14:paraId="28ECDCD8">
      <w:pPr>
        <w:ind w:firstLine="0" w:firstLineChars="0"/>
        <w:jc w:val="center"/>
        <w:rPr>
          <w:rFonts w:eastAsia="黑体" w:cs="Times New Roman"/>
          <w:b/>
          <w:sz w:val="32"/>
          <w:szCs w:val="32"/>
        </w:rPr>
      </w:pPr>
    </w:p>
    <w:p w14:paraId="7E1337D3">
      <w:pPr>
        <w:ind w:firstLine="0" w:firstLineChars="0"/>
        <w:jc w:val="center"/>
        <w:rPr>
          <w:rFonts w:eastAsia="黑体" w:cs="Times New Roman"/>
          <w:b/>
          <w:sz w:val="32"/>
          <w:szCs w:val="32"/>
        </w:rPr>
      </w:pPr>
    </w:p>
    <w:p w14:paraId="1C3E6137">
      <w:pPr>
        <w:ind w:firstLine="0" w:firstLineChars="0"/>
        <w:jc w:val="center"/>
        <w:rPr>
          <w:rFonts w:eastAsia="黑体" w:cs="Times New Roman"/>
          <w:b/>
          <w:sz w:val="32"/>
          <w:szCs w:val="32"/>
        </w:rPr>
      </w:pPr>
    </w:p>
    <w:p w14:paraId="520DE575">
      <w:pPr>
        <w:ind w:firstLine="0" w:firstLineChars="0"/>
        <w:jc w:val="center"/>
        <w:rPr>
          <w:rFonts w:eastAsia="黑体" w:cs="Times New Roman"/>
          <w:b/>
          <w:sz w:val="36"/>
          <w:szCs w:val="36"/>
        </w:rPr>
      </w:pPr>
      <w:r>
        <w:rPr>
          <w:rFonts w:hint="eastAsia" w:eastAsia="黑体" w:cs="Times New Roman"/>
          <w:b/>
          <w:sz w:val="36"/>
          <w:szCs w:val="36"/>
        </w:rPr>
        <w:t>中山市西区水利所</w:t>
      </w:r>
    </w:p>
    <w:p w14:paraId="5A7E075F">
      <w:pPr>
        <w:ind w:firstLine="0" w:firstLineChars="0"/>
        <w:jc w:val="center"/>
        <w:rPr>
          <w:rFonts w:eastAsia="黑体" w:cs="Times New Roman"/>
          <w:b/>
          <w:snapToGrid w:val="0"/>
          <w:kern w:val="0"/>
          <w:sz w:val="36"/>
          <w:szCs w:val="36"/>
        </w:rPr>
      </w:pPr>
      <w:r>
        <w:rPr>
          <w:rFonts w:hint="eastAsia" w:eastAsia="黑体" w:cs="Times New Roman"/>
          <w:b/>
          <w:snapToGrid w:val="0"/>
          <w:kern w:val="0"/>
          <w:sz w:val="36"/>
          <w:szCs w:val="36"/>
        </w:rPr>
        <w:t>北京沃尔德防灾绿化技术有限公司</w:t>
      </w:r>
    </w:p>
    <w:p w14:paraId="1ACB3571">
      <w:pPr>
        <w:ind w:firstLine="0" w:firstLineChars="0"/>
        <w:jc w:val="center"/>
        <w:rPr>
          <w:rFonts w:eastAsia="黑体" w:cs="Times New Roman"/>
          <w:b/>
          <w:snapToGrid w:val="0"/>
          <w:kern w:val="0"/>
          <w:sz w:val="36"/>
          <w:szCs w:val="36"/>
        </w:rPr>
      </w:pPr>
      <w:r>
        <w:rPr>
          <w:rFonts w:eastAsia="黑体" w:cs="Times New Roman"/>
          <w:b/>
          <w:snapToGrid w:val="0"/>
          <w:kern w:val="0"/>
          <w:sz w:val="36"/>
          <w:szCs w:val="36"/>
        </w:rPr>
        <w:t>201</w:t>
      </w:r>
      <w:r>
        <w:rPr>
          <w:rFonts w:hint="eastAsia" w:eastAsia="黑体" w:cs="Times New Roman"/>
          <w:b/>
          <w:snapToGrid w:val="0"/>
          <w:kern w:val="0"/>
          <w:sz w:val="36"/>
          <w:szCs w:val="36"/>
        </w:rPr>
        <w:t>9年</w:t>
      </w:r>
      <w:r>
        <w:rPr>
          <w:rFonts w:hint="eastAsia" w:eastAsia="黑体" w:cs="Times New Roman"/>
          <w:b/>
          <w:snapToGrid w:val="0"/>
          <w:kern w:val="0"/>
          <w:sz w:val="36"/>
          <w:szCs w:val="36"/>
          <w:lang w:val="en-US" w:eastAsia="zh-CN"/>
        </w:rPr>
        <w:t>11</w:t>
      </w:r>
      <w:r>
        <w:rPr>
          <w:rFonts w:hint="eastAsia" w:eastAsia="黑体" w:cs="Times New Roman"/>
          <w:b/>
          <w:snapToGrid w:val="0"/>
          <w:kern w:val="0"/>
          <w:sz w:val="36"/>
          <w:szCs w:val="36"/>
        </w:rPr>
        <w:t>月</w:t>
      </w:r>
    </w:p>
    <w:p w14:paraId="7ECA8A13">
      <w:pPr>
        <w:ind w:firstLine="723"/>
        <w:jc w:val="center"/>
        <w:rPr>
          <w:rFonts w:eastAsia="黑体" w:cs="Times New Roman"/>
          <w:b/>
          <w:snapToGrid w:val="0"/>
          <w:kern w:val="0"/>
          <w:sz w:val="36"/>
          <w:szCs w:val="36"/>
        </w:rPr>
      </w:pPr>
    </w:p>
    <w:p w14:paraId="00BC9DCB">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项目名称：中山市西区水生态文明建设规划</w:t>
      </w:r>
    </w:p>
    <w:p w14:paraId="7E6C3881">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委托单位：中山市西区水利所</w:t>
      </w:r>
    </w:p>
    <w:p w14:paraId="05E1E635">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审定：欧阳家祥</w:t>
      </w:r>
    </w:p>
    <w:p w14:paraId="641543D4">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审核：何少康</w:t>
      </w:r>
    </w:p>
    <w:p w14:paraId="4274BB9A">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校核：麦志刚 黄国朝 李嘉炜 何金棠 梁铭聪</w:t>
      </w:r>
    </w:p>
    <w:p w14:paraId="76C461DE">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项目负责：杨永珍</w:t>
      </w:r>
    </w:p>
    <w:p w14:paraId="49974546">
      <w:pPr>
        <w:widowControl/>
        <w:spacing w:line="600" w:lineRule="auto"/>
        <w:ind w:firstLine="0" w:firstLineChars="0"/>
        <w:jc w:val="left"/>
        <w:rPr>
          <w:rFonts w:ascii="宋体" w:hAnsi="宋体" w:eastAsia="宋体" w:cs="黑体"/>
          <w:color w:val="FF0000"/>
          <w:kern w:val="0"/>
          <w:sz w:val="32"/>
          <w:szCs w:val="32"/>
        </w:rPr>
      </w:pPr>
      <w:r>
        <w:rPr>
          <w:rFonts w:ascii="宋体" w:hAnsi="宋体" w:eastAsia="宋体" w:cs="黑体"/>
          <w:color w:val="FF0000"/>
          <w:kern w:val="0"/>
          <w:sz w:val="32"/>
          <w:szCs w:val="32"/>
        </w:rPr>
        <w:drawing>
          <wp:inline distT="0" distB="0" distL="0" distR="0">
            <wp:extent cx="5274310" cy="3729355"/>
            <wp:effectExtent l="0" t="0" r="254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14:paraId="3743CD09">
      <w:pPr>
        <w:widowControl/>
        <w:spacing w:line="240" w:lineRule="auto"/>
        <w:ind w:firstLine="0" w:firstLineChars="0"/>
        <w:jc w:val="left"/>
        <w:rPr>
          <w:rFonts w:ascii="宋体" w:hAnsi="宋体" w:eastAsia="宋体" w:cs="黑体"/>
          <w:color w:val="FF0000"/>
          <w:kern w:val="0"/>
          <w:sz w:val="16"/>
          <w:szCs w:val="16"/>
        </w:rPr>
      </w:pPr>
    </w:p>
    <w:p w14:paraId="27002F48">
      <w:pPr>
        <w:widowControl/>
        <w:spacing w:line="480" w:lineRule="auto"/>
        <w:ind w:firstLine="0" w:firstLineChars="0"/>
        <w:jc w:val="left"/>
        <w:rPr>
          <w:rFonts w:cs="宋体"/>
          <w:kern w:val="0"/>
          <w:sz w:val="32"/>
          <w:szCs w:val="32"/>
        </w:rPr>
      </w:pPr>
      <w:r>
        <w:rPr>
          <w:rFonts w:hint="eastAsia" w:ascii="宋体" w:hAnsi="宋体"/>
          <w:kern w:val="0"/>
          <w:sz w:val="32"/>
          <w:szCs w:val="32"/>
        </w:rPr>
        <w:t>编制单位：北京沃尔德防灾绿化技术有限公司</w:t>
      </w:r>
    </w:p>
    <w:p w14:paraId="4D4EE2E7">
      <w:pPr>
        <w:widowControl/>
        <w:spacing w:line="480" w:lineRule="auto"/>
        <w:ind w:firstLine="0" w:firstLineChars="0"/>
        <w:jc w:val="left"/>
        <w:rPr>
          <w:rFonts w:cs="宋体"/>
          <w:kern w:val="0"/>
          <w:sz w:val="32"/>
          <w:szCs w:val="32"/>
        </w:rPr>
      </w:pPr>
      <w:r>
        <w:rPr>
          <w:rFonts w:hint="eastAsia" w:ascii="宋体" w:hAnsi="宋体"/>
          <w:kern w:val="0"/>
          <w:sz w:val="32"/>
          <w:szCs w:val="32"/>
        </w:rPr>
        <w:t>审定</w:t>
      </w:r>
      <w:r>
        <w:rPr>
          <w:rFonts w:hint="eastAsia"/>
          <w:kern w:val="0"/>
          <w:sz w:val="32"/>
          <w:szCs w:val="32"/>
        </w:rPr>
        <w:t>/</w:t>
      </w:r>
      <w:r>
        <w:rPr>
          <w:rFonts w:hint="eastAsia" w:ascii="宋体" w:hAnsi="宋体"/>
          <w:kern w:val="0"/>
          <w:sz w:val="32"/>
          <w:szCs w:val="32"/>
        </w:rPr>
        <w:t>审核：朱志华</w:t>
      </w:r>
    </w:p>
    <w:p w14:paraId="5D4826C6">
      <w:pPr>
        <w:widowControl/>
        <w:spacing w:line="480" w:lineRule="auto"/>
        <w:ind w:firstLine="0" w:firstLineChars="0"/>
        <w:jc w:val="left"/>
        <w:rPr>
          <w:rFonts w:cs="宋体"/>
          <w:kern w:val="0"/>
          <w:sz w:val="32"/>
          <w:szCs w:val="32"/>
        </w:rPr>
      </w:pPr>
      <w:r>
        <w:rPr>
          <w:rFonts w:hint="eastAsia" w:ascii="宋体" w:hAnsi="宋体"/>
          <w:kern w:val="0"/>
          <w:sz w:val="32"/>
          <w:szCs w:val="32"/>
        </w:rPr>
        <w:t>校</w:t>
      </w:r>
      <w:r>
        <w:rPr>
          <w:rFonts w:cs="宋体"/>
          <w:kern w:val="0"/>
          <w:sz w:val="32"/>
          <w:szCs w:val="32"/>
        </w:rPr>
        <w:t xml:space="preserve">    </w:t>
      </w:r>
      <w:r>
        <w:rPr>
          <w:rFonts w:hint="eastAsia"/>
          <w:kern w:val="0"/>
          <w:sz w:val="32"/>
          <w:szCs w:val="32"/>
        </w:rPr>
        <w:t xml:space="preserve"> </w:t>
      </w:r>
      <w:r>
        <w:rPr>
          <w:rFonts w:hint="eastAsia" w:ascii="宋体" w:hAnsi="宋体"/>
          <w:kern w:val="0"/>
          <w:sz w:val="32"/>
          <w:szCs w:val="32"/>
        </w:rPr>
        <w:t>核：叶智恒</w:t>
      </w:r>
    </w:p>
    <w:p w14:paraId="1AB5491C">
      <w:pPr>
        <w:widowControl/>
        <w:spacing w:line="480" w:lineRule="auto"/>
        <w:ind w:firstLine="0" w:firstLineChars="0"/>
        <w:jc w:val="left"/>
        <w:rPr>
          <w:rFonts w:cs="宋体"/>
          <w:kern w:val="0"/>
          <w:sz w:val="32"/>
          <w:szCs w:val="32"/>
        </w:rPr>
      </w:pPr>
      <w:r>
        <w:rPr>
          <w:rFonts w:hint="eastAsia" w:ascii="宋体" w:hAnsi="宋体"/>
          <w:kern w:val="0"/>
          <w:sz w:val="32"/>
          <w:szCs w:val="32"/>
        </w:rPr>
        <w:t>项目负责：</w:t>
      </w:r>
      <w:r>
        <w:rPr>
          <w:rFonts w:hint="eastAsia"/>
          <w:kern w:val="0"/>
          <w:sz w:val="32"/>
          <w:szCs w:val="32"/>
        </w:rPr>
        <w:t xml:space="preserve"> </w:t>
      </w:r>
      <w:r>
        <w:rPr>
          <w:rFonts w:hint="eastAsia" w:ascii="宋体" w:hAnsi="宋体"/>
          <w:kern w:val="0"/>
          <w:sz w:val="32"/>
          <w:szCs w:val="32"/>
        </w:rPr>
        <w:t>池春青</w:t>
      </w:r>
    </w:p>
    <w:p w14:paraId="26745041">
      <w:pPr>
        <w:widowControl/>
        <w:spacing w:line="480" w:lineRule="auto"/>
        <w:ind w:firstLine="0" w:firstLineChars="0"/>
        <w:jc w:val="left"/>
        <w:rPr>
          <w:rFonts w:eastAsia="黑体" w:cs="Times New Roman"/>
          <w:b/>
          <w:snapToGrid w:val="0"/>
          <w:kern w:val="0"/>
          <w:sz w:val="36"/>
          <w:szCs w:val="36"/>
        </w:rPr>
      </w:pPr>
      <w:r>
        <w:rPr>
          <w:rFonts w:hint="eastAsia" w:ascii="宋体" w:hAnsi="宋体"/>
          <w:kern w:val="0"/>
          <w:sz w:val="32"/>
          <w:szCs w:val="32"/>
        </w:rPr>
        <w:t>报告编写： 方群生  郑键鹏</w:t>
      </w:r>
      <w:r>
        <w:rPr>
          <w:rFonts w:eastAsia="宋体" w:cs="Times New Roman"/>
          <w:kern w:val="0"/>
          <w:sz w:val="32"/>
          <w:szCs w:val="32"/>
        </w:rPr>
        <w:t xml:space="preserve">  </w:t>
      </w:r>
    </w:p>
    <w:p w14:paraId="4210DE08">
      <w:pPr>
        <w:spacing w:line="480" w:lineRule="auto"/>
        <w:ind w:firstLine="723"/>
        <w:jc w:val="center"/>
        <w:rPr>
          <w:rFonts w:eastAsia="黑体" w:cs="Times New Roman"/>
          <w:b/>
          <w:snapToGrid w:val="0"/>
          <w:kern w:val="0"/>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26" w:charSpace="0"/>
        </w:sectPr>
      </w:pPr>
    </w:p>
    <w:p w14:paraId="50C73FE3">
      <w:pPr>
        <w:ind w:firstLine="0" w:firstLineChars="0"/>
        <w:jc w:val="center"/>
        <w:rPr>
          <w:rFonts w:eastAsia="黑体" w:cs="Times New Roman"/>
          <w:snapToGrid w:val="0"/>
          <w:kern w:val="0"/>
          <w:sz w:val="44"/>
          <w:szCs w:val="44"/>
        </w:rPr>
      </w:pPr>
      <w:r>
        <w:rPr>
          <w:rFonts w:eastAsia="黑体" w:cs="Times New Roman"/>
          <w:snapToGrid w:val="0"/>
          <w:kern w:val="0"/>
          <w:sz w:val="44"/>
          <w:szCs w:val="44"/>
        </w:rPr>
        <w:t>前</w:t>
      </w:r>
      <w:r>
        <w:rPr>
          <w:rFonts w:hint="eastAsia" w:eastAsia="黑体" w:cs="Times New Roman"/>
          <w:snapToGrid w:val="0"/>
          <w:kern w:val="0"/>
          <w:sz w:val="44"/>
          <w:szCs w:val="44"/>
        </w:rPr>
        <w:t xml:space="preserve">  </w:t>
      </w:r>
      <w:r>
        <w:rPr>
          <w:rFonts w:eastAsia="黑体" w:cs="Times New Roman"/>
          <w:snapToGrid w:val="0"/>
          <w:kern w:val="0"/>
          <w:sz w:val="44"/>
          <w:szCs w:val="44"/>
        </w:rPr>
        <w:t>言</w:t>
      </w:r>
    </w:p>
    <w:p w14:paraId="2DFFD88D">
      <w:pPr>
        <w:snapToGrid w:val="0"/>
        <w:ind w:firstLine="560"/>
        <w:rPr>
          <w:rFonts w:eastAsia="仿宋"/>
          <w:sz w:val="28"/>
          <w:szCs w:val="28"/>
        </w:rPr>
      </w:pPr>
    </w:p>
    <w:p w14:paraId="56794CE4">
      <w:pPr>
        <w:ind w:firstLine="560"/>
        <w:rPr>
          <w:rFonts w:eastAsia="仿宋" w:cs="Times New Roman"/>
          <w:sz w:val="28"/>
          <w:szCs w:val="28"/>
        </w:rPr>
      </w:pPr>
      <w:r>
        <w:rPr>
          <w:rFonts w:ascii="仿宋" w:hAnsi="仿宋" w:eastAsia="仿宋" w:cs="Times New Roman"/>
          <w:sz w:val="28"/>
          <w:szCs w:val="28"/>
        </w:rPr>
        <w:t>为认真贯彻落实《水利部关于加快推进水生态文明建设工作的意见》（水资源〔</w:t>
      </w:r>
      <w:r>
        <w:rPr>
          <w:rFonts w:eastAsia="仿宋" w:cs="Times New Roman"/>
          <w:sz w:val="28"/>
          <w:szCs w:val="28"/>
        </w:rPr>
        <w:t>2013</w:t>
      </w:r>
      <w:r>
        <w:rPr>
          <w:rFonts w:ascii="仿宋" w:hAnsi="仿宋" w:eastAsia="仿宋" w:cs="Times New Roman"/>
          <w:sz w:val="28"/>
          <w:szCs w:val="28"/>
        </w:rPr>
        <w:t>〕</w:t>
      </w:r>
      <w:r>
        <w:rPr>
          <w:rFonts w:eastAsia="仿宋" w:cs="Times New Roman"/>
          <w:sz w:val="28"/>
          <w:szCs w:val="28"/>
        </w:rPr>
        <w:t>1</w:t>
      </w:r>
      <w:r>
        <w:rPr>
          <w:rFonts w:ascii="仿宋" w:hAnsi="仿宋" w:eastAsia="仿宋" w:cs="Times New Roman"/>
          <w:sz w:val="28"/>
          <w:szCs w:val="28"/>
        </w:rPr>
        <w:t>号）、《中山市最严格水资源管理制度实施方案》、《中山市</w:t>
      </w:r>
      <w:r>
        <w:rPr>
          <w:rFonts w:eastAsia="仿宋" w:cs="Times New Roman"/>
          <w:sz w:val="28"/>
          <w:szCs w:val="28"/>
        </w:rPr>
        <w:t>2016-2020</w:t>
      </w:r>
      <w:r>
        <w:rPr>
          <w:rFonts w:ascii="仿宋" w:hAnsi="仿宋" w:eastAsia="仿宋" w:cs="Times New Roman"/>
          <w:sz w:val="28"/>
          <w:szCs w:val="28"/>
        </w:rPr>
        <w:t>年度最严格水资源管理制度考核实施细则》（中水函</w:t>
      </w:r>
      <w:r>
        <w:rPr>
          <w:rFonts w:eastAsia="仿宋" w:cs="Times New Roman"/>
          <w:sz w:val="28"/>
          <w:szCs w:val="28"/>
        </w:rPr>
        <w:t>[2016]15</w:t>
      </w:r>
      <w:r>
        <w:rPr>
          <w:rFonts w:ascii="仿宋" w:hAnsi="仿宋" w:eastAsia="仿宋" w:cs="Times New Roman"/>
          <w:sz w:val="28"/>
          <w:szCs w:val="28"/>
        </w:rPr>
        <w:t>号）</w:t>
      </w:r>
      <w:r>
        <w:rPr>
          <w:rFonts w:hint="eastAsia" w:ascii="仿宋" w:hAnsi="仿宋" w:eastAsia="仿宋" w:cs="Times New Roman"/>
          <w:sz w:val="28"/>
          <w:szCs w:val="28"/>
        </w:rPr>
        <w:t>相关文件精神、党</w:t>
      </w:r>
      <w:r>
        <w:rPr>
          <w:rFonts w:hint="eastAsia" w:ascii="仿宋" w:hAnsi="仿宋" w:eastAsia="仿宋" w:cs="Times New Roman"/>
          <w:sz w:val="28"/>
          <w:szCs w:val="28"/>
          <w:lang w:eastAsia="zh-CN"/>
        </w:rPr>
        <w:t>的</w:t>
      </w:r>
      <w:r>
        <w:rPr>
          <w:rFonts w:hint="eastAsia" w:ascii="仿宋" w:hAnsi="仿宋" w:eastAsia="仿宋" w:cs="Times New Roman"/>
          <w:sz w:val="28"/>
          <w:szCs w:val="28"/>
        </w:rPr>
        <w:t>十九大精神</w:t>
      </w:r>
      <w:r>
        <w:rPr>
          <w:rFonts w:ascii="仿宋" w:hAnsi="仿宋" w:eastAsia="仿宋" w:cs="Times New Roman"/>
          <w:sz w:val="28"/>
          <w:szCs w:val="28"/>
        </w:rPr>
        <w:t>，以及贯彻《中山市委市政府关于印发了贯彻落实省改革试点方案的实施意见》（中山委办〔</w:t>
      </w:r>
      <w:r>
        <w:rPr>
          <w:rFonts w:eastAsia="仿宋" w:cs="Times New Roman"/>
          <w:sz w:val="28"/>
          <w:szCs w:val="28"/>
        </w:rPr>
        <w:t>2014</w:t>
      </w:r>
      <w:r>
        <w:rPr>
          <w:rFonts w:ascii="仿宋" w:hAnsi="仿宋" w:eastAsia="仿宋" w:cs="Times New Roman"/>
          <w:sz w:val="28"/>
          <w:szCs w:val="28"/>
        </w:rPr>
        <w:t>〕</w:t>
      </w:r>
      <w:r>
        <w:rPr>
          <w:rFonts w:eastAsia="仿宋" w:cs="Times New Roman"/>
          <w:sz w:val="28"/>
          <w:szCs w:val="28"/>
        </w:rPr>
        <w:t>25</w:t>
      </w:r>
      <w:r>
        <w:rPr>
          <w:rFonts w:ascii="仿宋" w:hAnsi="仿宋" w:eastAsia="仿宋" w:cs="Times New Roman"/>
          <w:sz w:val="28"/>
          <w:szCs w:val="28"/>
        </w:rPr>
        <w:t>号）要求推进中山市水生态文明城市试点建设的精神，进一步强化中山市水生态文明城市建设工作。水生态文明建设是中山市</w:t>
      </w:r>
      <w:r>
        <w:rPr>
          <w:rFonts w:hint="eastAsia" w:ascii="仿宋" w:hAnsi="仿宋" w:eastAsia="仿宋" w:cs="Times New Roman"/>
          <w:sz w:val="28"/>
          <w:szCs w:val="28"/>
        </w:rPr>
        <w:t>西区</w:t>
      </w:r>
      <w:r>
        <w:rPr>
          <w:rFonts w:ascii="仿宋" w:hAnsi="仿宋" w:eastAsia="仿宋" w:cs="Times New Roman"/>
          <w:sz w:val="28"/>
          <w:szCs w:val="28"/>
        </w:rPr>
        <w:t>生态文明建设的关键举措，</w:t>
      </w:r>
      <w:r>
        <w:rPr>
          <w:rFonts w:hint="eastAsia" w:ascii="仿宋" w:hAnsi="仿宋" w:eastAsia="仿宋" w:cs="Times New Roman"/>
          <w:sz w:val="28"/>
          <w:szCs w:val="28"/>
        </w:rPr>
        <w:t>对于绿色资源保护、水生态环境保护以及区域经济社会可持续发展起重要作用。</w:t>
      </w:r>
      <w:r>
        <w:rPr>
          <w:rFonts w:hint="eastAsia" w:eastAsia="仿宋" w:cs="Times New Roman"/>
          <w:sz w:val="28"/>
          <w:szCs w:val="28"/>
        </w:rPr>
        <w:t>“十三五”时期西区的水资源需求将持续增加，亟需开展水生态文明建设规划等工作，以缓解水生态保护压力和节约水资源，以支撑西区经济社会的可持续发展。</w:t>
      </w:r>
    </w:p>
    <w:p w14:paraId="7D0CBEC9">
      <w:pPr>
        <w:ind w:firstLine="560"/>
        <w:rPr>
          <w:rFonts w:eastAsia="宋体" w:cs="Times New Roman"/>
          <w:szCs w:val="24"/>
        </w:rPr>
      </w:pPr>
      <w:r>
        <w:rPr>
          <w:rFonts w:hint="eastAsia" w:eastAsia="仿宋"/>
          <w:sz w:val="28"/>
          <w:szCs w:val="28"/>
        </w:rPr>
        <w:t>根据西区的相关规划及西区特点，构建西区水生态文明建设规划的总体布局为“一核、三区、十廓道”，“一核”指服务业综合改革试验区核心。“三区”指西北部石特涌现代农业基地、东北部悦生涌渔业养殖基地和南部的彩虹绿洲公园，即西北部生态功能片区、东北部生态功能片区和彩虹绿洲公园生态功能片区。“十廓道”指岐江河、西河涌、后山新开涌、南六涌、沙朗新开涌、狮滘河、沙朗涌、石特涌、十六顷涌、悦生涌等水道生态保护带。</w:t>
      </w:r>
      <w:r>
        <w:rPr>
          <w:rFonts w:hint="eastAsia" w:eastAsia="仿宋" w:cs="Times New Roman"/>
          <w:sz w:val="28"/>
          <w:szCs w:val="28"/>
          <w:lang w:bidi="ar"/>
        </w:rPr>
        <w:t>本次规划分析西区水生态文明建设的水安全、水环境、水生态、水监管、水节约、水文化等现状及存在的问题，针对西区水生态文明建设较薄弱部分提出重点工程建设。规划</w:t>
      </w:r>
      <w:r>
        <w:rPr>
          <w:rFonts w:eastAsia="仿宋" w:cs="Times New Roman"/>
          <w:sz w:val="28"/>
          <w:szCs w:val="28"/>
          <w:lang w:bidi="ar"/>
        </w:rPr>
        <w:t>2020</w:t>
      </w:r>
      <w:r>
        <w:rPr>
          <w:rFonts w:hint="eastAsia" w:eastAsia="仿宋" w:cs="Times New Roman"/>
          <w:sz w:val="28"/>
          <w:szCs w:val="28"/>
          <w:lang w:bidi="ar"/>
        </w:rPr>
        <w:t>年初步达成水生态文明建设，重点初步完成内涝治理工程、水环境综合治理工程、污水工程、河涌水道滨岸景观带建设、定期监测入河排污口、工业节水工程、生活节水工程、水土保持教育基地建设工程等工程建设。规划</w:t>
      </w:r>
      <w:r>
        <w:rPr>
          <w:rFonts w:eastAsia="仿宋" w:cs="Times New Roman"/>
          <w:sz w:val="28"/>
          <w:szCs w:val="28"/>
          <w:lang w:bidi="ar"/>
        </w:rPr>
        <w:t>2025</w:t>
      </w:r>
      <w:r>
        <w:rPr>
          <w:rFonts w:hint="eastAsia" w:eastAsia="仿宋" w:cs="Times New Roman"/>
          <w:sz w:val="28"/>
          <w:szCs w:val="28"/>
          <w:lang w:bidi="ar"/>
        </w:rPr>
        <w:t>年基本达成水生态文明建设，基本完成降雨滞蓄工程、内涝治理工程、水环境综合治理工程、河涌水道滨岸景观带建设、生态护岸工程、定期监测入河排污口、工业节水工程、雨水利用工程、再生水利用工程、生态旅游休闲建设工程、水利风景区等工程建设。规划</w:t>
      </w:r>
      <w:r>
        <w:rPr>
          <w:rFonts w:eastAsia="仿宋" w:cs="Times New Roman"/>
          <w:sz w:val="28"/>
          <w:szCs w:val="28"/>
          <w:lang w:bidi="ar"/>
        </w:rPr>
        <w:t>2030</w:t>
      </w:r>
      <w:r>
        <w:rPr>
          <w:rFonts w:hint="eastAsia" w:eastAsia="仿宋" w:cs="Times New Roman"/>
          <w:sz w:val="28"/>
          <w:szCs w:val="28"/>
          <w:lang w:bidi="ar"/>
        </w:rPr>
        <w:t>年完成水生态文明建设，重点完成降雨滞蓄工程、水环境综合治理工程、生态护岸工程、工业节水工程、雨水利用工程、再生水利用工程、生态旅游休闲建设工程、湿地工程等工程建设。本次规划立足西区经济社会发展全局，着眼流域整体协调发展和布局，依据西区不同区域的水资源、水环境和水生态条件，优化生态功能区空间布局，充分发挥水生态文明重点项目带头作用，全面提升水生态文化建设，建设功能完善、协调统一、健康和谐的水生态系统总体格局，打造具有岭南水乡特色、香山名人文化传承、生态环境良好、充满活力的新型生态城区。打造依水生态而居的水生态文明镇区，实现</w:t>
      </w:r>
      <w:r>
        <w:rPr>
          <w:rFonts w:hint="eastAsia" w:ascii="仿宋" w:hAnsi="仿宋" w:eastAsia="仿宋" w:cs="仿宋"/>
          <w:sz w:val="28"/>
          <w:szCs w:val="28"/>
          <w:lang w:bidi="ar"/>
        </w:rPr>
        <w:t>“城在园中，村在景中，人在画中，水美西区”</w:t>
      </w:r>
      <w:r>
        <w:rPr>
          <w:rFonts w:hint="eastAsia" w:eastAsia="仿宋" w:cs="Times New Roman"/>
          <w:sz w:val="28"/>
          <w:szCs w:val="28"/>
          <w:lang w:bidi="ar"/>
        </w:rPr>
        <w:t>的美好愿景。</w:t>
      </w:r>
    </w:p>
    <w:p w14:paraId="7BC7C248">
      <w:pPr>
        <w:widowControl/>
        <w:spacing w:line="240" w:lineRule="auto"/>
        <w:ind w:firstLine="0" w:firstLineChars="0"/>
        <w:jc w:val="center"/>
        <w:rPr>
          <w:rFonts w:eastAsia="黑体"/>
          <w:sz w:val="44"/>
          <w:szCs w:val="44"/>
        </w:rPr>
      </w:pPr>
      <w:r>
        <w:rPr>
          <w:rFonts w:eastAsia="仿宋"/>
          <w:b/>
          <w:bCs/>
        </w:rPr>
        <w:br w:type="page"/>
      </w:r>
      <w:r>
        <w:rPr>
          <w:rFonts w:eastAsia="黑体"/>
          <w:sz w:val="44"/>
          <w:szCs w:val="44"/>
          <w:lang w:val="zh-CN"/>
        </w:rPr>
        <w:t>目</w:t>
      </w:r>
      <w:r>
        <w:rPr>
          <w:rFonts w:hint="eastAsia" w:eastAsia="黑体"/>
          <w:sz w:val="44"/>
          <w:szCs w:val="44"/>
          <w:lang w:val="zh-CN"/>
        </w:rPr>
        <w:t xml:space="preserve">  </w:t>
      </w:r>
      <w:r>
        <w:rPr>
          <w:rFonts w:eastAsia="黑体"/>
          <w:sz w:val="44"/>
          <w:szCs w:val="44"/>
          <w:lang w:val="zh-CN"/>
        </w:rPr>
        <w:t>录</w:t>
      </w:r>
    </w:p>
    <w:p w14:paraId="45EA5042">
      <w:pPr>
        <w:pStyle w:val="16"/>
        <w:ind w:firstLine="0" w:firstLineChars="0"/>
        <w:rPr>
          <w:rFonts w:asciiTheme="minorHAnsi" w:hAnsiTheme="minorHAnsi" w:cstheme="minorBidi"/>
          <w:b w:val="0"/>
          <w:sz w:val="21"/>
          <w:szCs w:val="22"/>
        </w:rPr>
      </w:pPr>
      <w:r>
        <w:fldChar w:fldCharType="begin"/>
      </w:r>
      <w:r>
        <w:instrText xml:space="preserve"> TOC \o "1-3" \h \z \u </w:instrText>
      </w:r>
      <w:r>
        <w:fldChar w:fldCharType="separate"/>
      </w:r>
      <w:r>
        <w:fldChar w:fldCharType="begin"/>
      </w:r>
      <w:r>
        <w:instrText xml:space="preserve"> HYPERLINK \l "_Toc16674997" </w:instrText>
      </w:r>
      <w:r>
        <w:fldChar w:fldCharType="separate"/>
      </w:r>
      <w:r>
        <w:rPr>
          <w:rStyle w:val="29"/>
        </w:rPr>
        <w:t>1 概述</w:t>
      </w:r>
      <w:r>
        <w:tab/>
      </w:r>
      <w:r>
        <w:fldChar w:fldCharType="begin"/>
      </w:r>
      <w:r>
        <w:instrText xml:space="preserve"> PAGEREF _Toc16674997 \h </w:instrText>
      </w:r>
      <w:r>
        <w:fldChar w:fldCharType="separate"/>
      </w:r>
      <w:r>
        <w:t>1</w:t>
      </w:r>
      <w:r>
        <w:fldChar w:fldCharType="end"/>
      </w:r>
      <w:r>
        <w:fldChar w:fldCharType="end"/>
      </w:r>
    </w:p>
    <w:p w14:paraId="6E307C9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"_Toc16674998" </w:instrText>
      </w:r>
      <w:r>
        <w:fldChar w:fldCharType="separate"/>
      </w:r>
      <w:r>
        <w:rPr>
          <w:rStyle w:val="29"/>
        </w:rPr>
        <w:t>1.1项目背景</w:t>
      </w:r>
      <w:r>
        <w:tab/>
      </w:r>
      <w:r>
        <w:fldChar w:fldCharType="begin"/>
      </w:r>
      <w:r>
        <w:instrText xml:space="preserve"> PAGEREF _Toc16674998 \h </w:instrText>
      </w:r>
      <w:r>
        <w:fldChar w:fldCharType="separate"/>
      </w:r>
      <w:r>
        <w:t>1</w:t>
      </w:r>
      <w:r>
        <w:fldChar w:fldCharType="end"/>
      </w:r>
      <w:r>
        <w:fldChar w:fldCharType="end"/>
      </w:r>
    </w:p>
    <w:p w14:paraId="63CC15E8">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"_Toc16675001" </w:instrText>
      </w:r>
      <w:r>
        <w:fldChar w:fldCharType="separate"/>
      </w:r>
      <w:r>
        <w:rPr>
          <w:rStyle w:val="29"/>
        </w:rPr>
        <w:t>1.2自然状况</w:t>
      </w:r>
      <w:r>
        <w:tab/>
      </w:r>
      <w:r>
        <w:fldChar w:fldCharType="begin"/>
      </w:r>
      <w:r>
        <w:instrText xml:space="preserve"> PAGEREF _Toc16675001 \h </w:instrText>
      </w:r>
      <w:r>
        <w:fldChar w:fldCharType="separate"/>
      </w:r>
      <w:r>
        <w:t>3</w:t>
      </w:r>
      <w:r>
        <w:fldChar w:fldCharType="end"/>
      </w:r>
      <w:r>
        <w:fldChar w:fldCharType="end"/>
      </w:r>
    </w:p>
    <w:p w14:paraId="1BFCC6BC">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"_Toc16675007" </w:instrText>
      </w:r>
      <w:r>
        <w:fldChar w:fldCharType="separate"/>
      </w:r>
      <w:r>
        <w:rPr>
          <w:rStyle w:val="29"/>
        </w:rPr>
        <w:t>1.3社会经济</w:t>
      </w:r>
      <w:r>
        <w:tab/>
      </w:r>
      <w:r>
        <w:fldChar w:fldCharType="begin"/>
      </w:r>
      <w:r>
        <w:instrText xml:space="preserve"> PAGEREF _Toc16675007 \h </w:instrText>
      </w:r>
      <w:r>
        <w:fldChar w:fldCharType="separate"/>
      </w:r>
      <w:r>
        <w:t>7</w:t>
      </w:r>
      <w:r>
        <w:fldChar w:fldCharType="end"/>
      </w:r>
      <w:r>
        <w:fldChar w:fldCharType="end"/>
      </w:r>
    </w:p>
    <w:p w14:paraId="4109018A">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"_Toc16675013" </w:instrText>
      </w:r>
      <w:r>
        <w:fldChar w:fldCharType="separate"/>
      </w:r>
      <w:r>
        <w:rPr>
          <w:rStyle w:val="29"/>
        </w:rPr>
        <w:t>1.4 水生态系统状况</w:t>
      </w:r>
      <w:r>
        <w:tab/>
      </w:r>
      <w:r>
        <w:fldChar w:fldCharType="begin"/>
      </w:r>
      <w:r>
        <w:instrText xml:space="preserve"> PAGEREF _Toc16675013 \h </w:instrText>
      </w:r>
      <w:r>
        <w:fldChar w:fldCharType="separate"/>
      </w:r>
      <w:r>
        <w:t>13</w:t>
      </w:r>
      <w:r>
        <w:fldChar w:fldCharType="end"/>
      </w:r>
      <w:r>
        <w:fldChar w:fldCharType="end"/>
      </w:r>
    </w:p>
    <w:p w14:paraId="74E6627A">
      <w:pPr>
        <w:pStyle w:val="16"/>
        <w:ind w:firstLine="0" w:firstLineChars="0"/>
        <w:rPr>
          <w:rFonts w:asciiTheme="minorHAnsi" w:hAnsiTheme="minorHAnsi" w:cstheme="minorBidi"/>
          <w:b w:val="0"/>
          <w:sz w:val="21"/>
          <w:szCs w:val="22"/>
        </w:rPr>
      </w:pPr>
      <w:r>
        <w:fldChar w:fldCharType="begin"/>
      </w:r>
      <w:r>
        <w:instrText xml:space="preserve"> HYPERLINK \l "_Toc16675019" </w:instrText>
      </w:r>
      <w:r>
        <w:fldChar w:fldCharType="separate"/>
      </w:r>
      <w:r>
        <w:rPr>
          <w:rStyle w:val="29"/>
        </w:rPr>
        <w:t>2 西区水生态文明建设现状和存在的主要问题</w:t>
      </w:r>
      <w:r>
        <w:tab/>
      </w:r>
      <w:r>
        <w:fldChar w:fldCharType="begin"/>
      </w:r>
      <w:r>
        <w:instrText xml:space="preserve"> PAGEREF _Toc16675019 \h </w:instrText>
      </w:r>
      <w:r>
        <w:fldChar w:fldCharType="separate"/>
      </w:r>
      <w:r>
        <w:t>23</w:t>
      </w:r>
      <w:r>
        <w:fldChar w:fldCharType="end"/>
      </w:r>
      <w:r>
        <w:fldChar w:fldCharType="end"/>
      </w:r>
    </w:p>
    <w:p w14:paraId="359C4AC1">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"_Toc16675020" </w:instrText>
      </w:r>
      <w:r>
        <w:fldChar w:fldCharType="separate"/>
      </w:r>
      <w:r>
        <w:rPr>
          <w:rStyle w:val="29"/>
        </w:rPr>
        <w:t>2.1西区水生态文明建设现状</w:t>
      </w:r>
      <w:r>
        <w:tab/>
      </w:r>
      <w:r>
        <w:fldChar w:fldCharType="begin"/>
      </w:r>
      <w:r>
        <w:instrText xml:space="preserve"> PAGEREF _Toc16675020 \h </w:instrText>
      </w:r>
      <w:r>
        <w:fldChar w:fldCharType="separate"/>
      </w:r>
      <w:r>
        <w:t>23</w:t>
      </w:r>
      <w:r>
        <w:fldChar w:fldCharType="end"/>
      </w:r>
      <w:r>
        <w:fldChar w:fldCharType="end"/>
      </w:r>
    </w:p>
    <w:p w14:paraId="2E16D968">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"_Toc16675027" </w:instrText>
      </w:r>
      <w:r>
        <w:fldChar w:fldCharType="separate"/>
      </w:r>
      <w:r>
        <w:rPr>
          <w:rStyle w:val="29"/>
          <w:rFonts w:cs="Times New Roman"/>
        </w:rPr>
        <w:t>2.2存在的主要问题</w:t>
      </w:r>
      <w:r>
        <w:tab/>
      </w:r>
      <w:r>
        <w:fldChar w:fldCharType="begin"/>
      </w:r>
      <w:r>
        <w:instrText xml:space="preserve"> PAGEREF _Toc16675027 \h </w:instrText>
      </w:r>
      <w:r>
        <w:fldChar w:fldCharType="separate"/>
      </w:r>
      <w:r>
        <w:t>40</w:t>
      </w:r>
      <w:r>
        <w:fldChar w:fldCharType="end"/>
      </w:r>
      <w:r>
        <w:fldChar w:fldCharType="end"/>
      </w:r>
    </w:p>
    <w:p w14:paraId="3DFBD7B7">
      <w:pPr>
        <w:pStyle w:val="16"/>
        <w:ind w:firstLine="0" w:firstLineChars="0"/>
        <w:rPr>
          <w:rFonts w:asciiTheme="minorHAnsi" w:hAnsiTheme="minorHAnsi" w:cstheme="minorBidi"/>
          <w:b w:val="0"/>
          <w:sz w:val="21"/>
          <w:szCs w:val="22"/>
        </w:rPr>
      </w:pPr>
      <w:r>
        <w:fldChar w:fldCharType="begin"/>
      </w:r>
      <w:r>
        <w:instrText xml:space="preserve"> HYPERLINK \l "_Toc16675034" </w:instrText>
      </w:r>
      <w:r>
        <w:fldChar w:fldCharType="separate"/>
      </w:r>
      <w:r>
        <w:rPr>
          <w:rStyle w:val="29"/>
        </w:rPr>
        <w:t>3 目标和任务</w:t>
      </w:r>
      <w:r>
        <w:tab/>
      </w:r>
      <w:r>
        <w:fldChar w:fldCharType="begin"/>
      </w:r>
      <w:r>
        <w:instrText xml:space="preserve"> PAGEREF _Toc16675034 \h </w:instrText>
      </w:r>
      <w:r>
        <w:fldChar w:fldCharType="separate"/>
      </w:r>
      <w:r>
        <w:t>46</w:t>
      </w:r>
      <w:r>
        <w:fldChar w:fldCharType="end"/>
      </w:r>
      <w:r>
        <w:fldChar w:fldCharType="end"/>
      </w:r>
    </w:p>
    <w:p w14:paraId="68B367CA">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"_Toc16675035" </w:instrText>
      </w:r>
      <w:r>
        <w:fldChar w:fldCharType="separate"/>
      </w:r>
      <w:r>
        <w:rPr>
          <w:rStyle w:val="29"/>
          <w:rFonts w:cs="Times New Roman"/>
        </w:rPr>
        <w:t>3.1指导思想与基本原则</w:t>
      </w:r>
      <w:r>
        <w:tab/>
      </w:r>
      <w:r>
        <w:fldChar w:fldCharType="begin"/>
      </w:r>
      <w:r>
        <w:instrText xml:space="preserve"> PAGEREF _Toc16675035 \h </w:instrText>
      </w:r>
      <w:r>
        <w:fldChar w:fldCharType="separate"/>
      </w:r>
      <w:r>
        <w:t>46</w:t>
      </w:r>
      <w:r>
        <w:fldChar w:fldCharType="end"/>
      </w:r>
      <w:r>
        <w:fldChar w:fldCharType="end"/>
      </w:r>
    </w:p>
    <w:p w14:paraId="1DFFABE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"_Toc16675038" </w:instrText>
      </w:r>
      <w:r>
        <w:fldChar w:fldCharType="separate"/>
      </w:r>
      <w:r>
        <w:rPr>
          <w:rStyle w:val="29"/>
          <w:rFonts w:cs="Times New Roman"/>
        </w:rPr>
        <w:t>3.2规划范围及水平年</w:t>
      </w:r>
      <w:r>
        <w:tab/>
      </w:r>
      <w:r>
        <w:fldChar w:fldCharType="begin"/>
      </w:r>
      <w:r>
        <w:instrText xml:space="preserve"> PAGEREF _Toc16675038 \h </w:instrText>
      </w:r>
      <w:r>
        <w:fldChar w:fldCharType="separate"/>
      </w:r>
      <w:r>
        <w:t>47</w:t>
      </w:r>
      <w:r>
        <w:fldChar w:fldCharType="end"/>
      </w:r>
      <w:r>
        <w:fldChar w:fldCharType="end"/>
      </w:r>
    </w:p>
    <w:p w14:paraId="286F23CD">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"_Toc16675039" </w:instrText>
      </w:r>
      <w:r>
        <w:fldChar w:fldCharType="separate"/>
      </w:r>
      <w:r>
        <w:rPr>
          <w:rStyle w:val="29"/>
          <w:rFonts w:cs="Times New Roman"/>
        </w:rPr>
        <w:t>3.3规划依据</w:t>
      </w:r>
      <w:r>
        <w:tab/>
      </w:r>
      <w:r>
        <w:fldChar w:fldCharType="begin"/>
      </w:r>
      <w:r>
        <w:instrText xml:space="preserve"> PAGEREF _Toc16675039 \h </w:instrText>
      </w:r>
      <w:r>
        <w:fldChar w:fldCharType="separate"/>
      </w:r>
      <w:r>
        <w:t>48</w:t>
      </w:r>
      <w:r>
        <w:fldChar w:fldCharType="end"/>
      </w:r>
      <w:r>
        <w:fldChar w:fldCharType="end"/>
      </w:r>
    </w:p>
    <w:p w14:paraId="33A96E0C">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"_Toc16675043" </w:instrText>
      </w:r>
      <w:r>
        <w:fldChar w:fldCharType="separate"/>
      </w:r>
      <w:r>
        <w:rPr>
          <w:rStyle w:val="29"/>
          <w:rFonts w:cs="Times New Roman"/>
        </w:rPr>
        <w:t>3.4规划目标</w:t>
      </w:r>
      <w:r>
        <w:tab/>
      </w:r>
      <w:r>
        <w:fldChar w:fldCharType="begin"/>
      </w:r>
      <w:r>
        <w:instrText xml:space="preserve"> PAGEREF _Toc16675043 \h </w:instrText>
      </w:r>
      <w:r>
        <w:fldChar w:fldCharType="separate"/>
      </w:r>
      <w:r>
        <w:t>52</w:t>
      </w:r>
      <w:r>
        <w:fldChar w:fldCharType="end"/>
      </w:r>
      <w:r>
        <w:fldChar w:fldCharType="end"/>
      </w:r>
    </w:p>
    <w:p w14:paraId="5FFC66D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"_Toc16675047" </w:instrText>
      </w:r>
      <w:r>
        <w:fldChar w:fldCharType="separate"/>
      </w:r>
      <w:r>
        <w:rPr>
          <w:rStyle w:val="29"/>
          <w:rFonts w:cs="Times New Roman"/>
        </w:rPr>
        <w:t>3.5总体布局与规划任务</w:t>
      </w:r>
      <w:r>
        <w:tab/>
      </w:r>
      <w:r>
        <w:fldChar w:fldCharType="begin"/>
      </w:r>
      <w:r>
        <w:instrText xml:space="preserve"> PAGEREF _Toc16675047 \h </w:instrText>
      </w:r>
      <w:r>
        <w:fldChar w:fldCharType="separate"/>
      </w:r>
      <w:r>
        <w:t>54</w:t>
      </w:r>
      <w:r>
        <w:fldChar w:fldCharType="end"/>
      </w:r>
      <w:r>
        <w:fldChar w:fldCharType="end"/>
      </w:r>
    </w:p>
    <w:p w14:paraId="1B91AC75">
      <w:pPr>
        <w:pStyle w:val="16"/>
        <w:ind w:firstLine="0" w:firstLineChars="0"/>
        <w:rPr>
          <w:rFonts w:asciiTheme="minorHAnsi" w:hAnsiTheme="minorHAnsi" w:cstheme="minorBidi"/>
          <w:b w:val="0"/>
          <w:sz w:val="21"/>
          <w:szCs w:val="22"/>
        </w:rPr>
      </w:pPr>
      <w:r>
        <w:fldChar w:fldCharType="begin"/>
      </w:r>
      <w:r>
        <w:instrText xml:space="preserve"> HYPERLINK \l "_Toc16675050" </w:instrText>
      </w:r>
      <w:r>
        <w:fldChar w:fldCharType="separate"/>
      </w:r>
      <w:r>
        <w:rPr>
          <w:rStyle w:val="29"/>
        </w:rPr>
        <w:t>4 西区水生态文明建设指标体系</w:t>
      </w:r>
      <w:r>
        <w:tab/>
      </w:r>
      <w:r>
        <w:fldChar w:fldCharType="begin"/>
      </w:r>
      <w:r>
        <w:instrText xml:space="preserve"> PAGEREF _Toc16675050 \h </w:instrText>
      </w:r>
      <w:r>
        <w:fldChar w:fldCharType="separate"/>
      </w:r>
      <w:r>
        <w:t>59</w:t>
      </w:r>
      <w:r>
        <w:fldChar w:fldCharType="end"/>
      </w:r>
      <w:r>
        <w:fldChar w:fldCharType="end"/>
      </w:r>
    </w:p>
    <w:p w14:paraId="5D2FC4B9">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"_Toc16675051" </w:instrText>
      </w:r>
      <w:r>
        <w:fldChar w:fldCharType="separate"/>
      </w:r>
      <w:r>
        <w:rPr>
          <w:rStyle w:val="29"/>
          <w:rFonts w:cs="Times New Roman"/>
        </w:rPr>
        <w:t>4.1水安全指标体系建设</w:t>
      </w:r>
      <w:r>
        <w:tab/>
      </w:r>
      <w:r>
        <w:fldChar w:fldCharType="begin"/>
      </w:r>
      <w:r>
        <w:instrText xml:space="preserve"> PAGEREF _Toc16675051 \h </w:instrText>
      </w:r>
      <w:r>
        <w:fldChar w:fldCharType="separate"/>
      </w:r>
      <w:r>
        <w:t>59</w:t>
      </w:r>
      <w:r>
        <w:fldChar w:fldCharType="end"/>
      </w:r>
      <w:r>
        <w:fldChar w:fldCharType="end"/>
      </w:r>
    </w:p>
    <w:p w14:paraId="08091FFB">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"_Toc16675056" </w:instrText>
      </w:r>
      <w:r>
        <w:fldChar w:fldCharType="separate"/>
      </w:r>
      <w:r>
        <w:rPr>
          <w:rStyle w:val="29"/>
          <w:rFonts w:cs="Times New Roman"/>
        </w:rPr>
        <w:t>4.2水环境指标体系建设</w:t>
      </w:r>
      <w:r>
        <w:tab/>
      </w:r>
      <w:r>
        <w:fldChar w:fldCharType="begin"/>
      </w:r>
      <w:r>
        <w:instrText xml:space="preserve"> PAGEREF _Toc16675056 \h </w:instrText>
      </w:r>
      <w:r>
        <w:fldChar w:fldCharType="separate"/>
      </w:r>
      <w:r>
        <w:t>62</w:t>
      </w:r>
      <w:r>
        <w:fldChar w:fldCharType="end"/>
      </w:r>
      <w:r>
        <w:fldChar w:fldCharType="end"/>
      </w:r>
    </w:p>
    <w:p w14:paraId="63E077FB">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"_Toc16675060" </w:instrText>
      </w:r>
      <w:r>
        <w:fldChar w:fldCharType="separate"/>
      </w:r>
      <w:r>
        <w:rPr>
          <w:rStyle w:val="29"/>
          <w:rFonts w:cs="Times New Roman"/>
        </w:rPr>
        <w:t>4.3水生态指标体系建设</w:t>
      </w:r>
      <w:r>
        <w:tab/>
      </w:r>
      <w:r>
        <w:fldChar w:fldCharType="begin"/>
      </w:r>
      <w:r>
        <w:instrText xml:space="preserve"> PAGEREF _Toc16675060 \h </w:instrText>
      </w:r>
      <w:r>
        <w:fldChar w:fldCharType="separate"/>
      </w:r>
      <w:r>
        <w:t>65</w:t>
      </w:r>
      <w:r>
        <w:fldChar w:fldCharType="end"/>
      </w:r>
      <w:r>
        <w:fldChar w:fldCharType="end"/>
      </w:r>
    </w:p>
    <w:p w14:paraId="2AB5C5A3">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"_Toc16675065" </w:instrText>
      </w:r>
      <w:r>
        <w:fldChar w:fldCharType="separate"/>
      </w:r>
      <w:r>
        <w:rPr>
          <w:rStyle w:val="29"/>
          <w:rFonts w:cs="Times New Roman"/>
        </w:rPr>
        <w:t>4.4水监管指标体系建设</w:t>
      </w:r>
      <w:r>
        <w:tab/>
      </w:r>
      <w:r>
        <w:fldChar w:fldCharType="begin"/>
      </w:r>
      <w:r>
        <w:instrText xml:space="preserve"> PAGEREF _Toc16675065 \h </w:instrText>
      </w:r>
      <w:r>
        <w:fldChar w:fldCharType="separate"/>
      </w:r>
      <w:r>
        <w:t>68</w:t>
      </w:r>
      <w:r>
        <w:fldChar w:fldCharType="end"/>
      </w:r>
      <w:r>
        <w:fldChar w:fldCharType="end"/>
      </w:r>
    </w:p>
    <w:p w14:paraId="55CAD771">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"_Toc16675069" </w:instrText>
      </w:r>
      <w:r>
        <w:fldChar w:fldCharType="separate"/>
      </w:r>
      <w:r>
        <w:rPr>
          <w:rStyle w:val="29"/>
          <w:rFonts w:cs="Times New Roman"/>
        </w:rPr>
        <w:t>4.5水节约指标体系建设</w:t>
      </w:r>
      <w:r>
        <w:tab/>
      </w:r>
      <w:r>
        <w:fldChar w:fldCharType="begin"/>
      </w:r>
      <w:r>
        <w:instrText xml:space="preserve"> PAGEREF _Toc16675069 \h </w:instrText>
      </w:r>
      <w:r>
        <w:fldChar w:fldCharType="separate"/>
      </w:r>
      <w:r>
        <w:t>71</w:t>
      </w:r>
      <w:r>
        <w:fldChar w:fldCharType="end"/>
      </w:r>
      <w:r>
        <w:fldChar w:fldCharType="end"/>
      </w:r>
    </w:p>
    <w:p w14:paraId="1CD75BB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"_Toc16675076" </w:instrText>
      </w:r>
      <w:r>
        <w:fldChar w:fldCharType="separate"/>
      </w:r>
      <w:r>
        <w:rPr>
          <w:rStyle w:val="29"/>
          <w:rFonts w:cs="Times New Roman"/>
        </w:rPr>
        <w:t>4.6水文化指标体系建设</w:t>
      </w:r>
      <w:r>
        <w:tab/>
      </w:r>
      <w:r>
        <w:fldChar w:fldCharType="begin"/>
      </w:r>
      <w:r>
        <w:instrText xml:space="preserve"> PAGEREF _Toc16675076 \h </w:instrText>
      </w:r>
      <w:r>
        <w:fldChar w:fldCharType="separate"/>
      </w:r>
      <w:r>
        <w:t>76</w:t>
      </w:r>
      <w:r>
        <w:fldChar w:fldCharType="end"/>
      </w:r>
      <w:r>
        <w:fldChar w:fldCharType="end"/>
      </w:r>
    </w:p>
    <w:p w14:paraId="2D308FAE">
      <w:pPr>
        <w:pStyle w:val="16"/>
        <w:ind w:firstLine="0" w:firstLineChars="0"/>
        <w:rPr>
          <w:rFonts w:asciiTheme="minorHAnsi" w:hAnsiTheme="minorHAnsi" w:cstheme="minorBidi"/>
          <w:b w:val="0"/>
          <w:sz w:val="21"/>
          <w:szCs w:val="22"/>
        </w:rPr>
      </w:pPr>
      <w:r>
        <w:fldChar w:fldCharType="begin"/>
      </w:r>
      <w:r>
        <w:instrText xml:space="preserve"> HYPERLINK \l "_Toc16675080" </w:instrText>
      </w:r>
      <w:r>
        <w:fldChar w:fldCharType="separate"/>
      </w:r>
      <w:r>
        <w:rPr>
          <w:rStyle w:val="29"/>
        </w:rPr>
        <w:t>5 区域重点与重点领域</w:t>
      </w:r>
      <w:r>
        <w:tab/>
      </w:r>
      <w:r>
        <w:fldChar w:fldCharType="begin"/>
      </w:r>
      <w:r>
        <w:instrText xml:space="preserve"> PAGEREF _Toc16675080 \h </w:instrText>
      </w:r>
      <w:r>
        <w:fldChar w:fldCharType="separate"/>
      </w:r>
      <w:r>
        <w:t>79</w:t>
      </w:r>
      <w:r>
        <w:fldChar w:fldCharType="end"/>
      </w:r>
      <w:r>
        <w:fldChar w:fldCharType="end"/>
      </w:r>
    </w:p>
    <w:p w14:paraId="7E232547">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"_Toc16675081" </w:instrText>
      </w:r>
      <w:r>
        <w:fldChar w:fldCharType="separate"/>
      </w:r>
      <w:r>
        <w:rPr>
          <w:rStyle w:val="29"/>
          <w:rFonts w:cs="Times New Roman"/>
        </w:rPr>
        <w:t>5.1区域重点</w:t>
      </w:r>
      <w:r>
        <w:tab/>
      </w:r>
      <w:r>
        <w:fldChar w:fldCharType="begin"/>
      </w:r>
      <w:r>
        <w:instrText xml:space="preserve"> PAGEREF _Toc16675081 \h </w:instrText>
      </w:r>
      <w:r>
        <w:fldChar w:fldCharType="separate"/>
      </w:r>
      <w:r>
        <w:t>79</w:t>
      </w:r>
      <w:r>
        <w:fldChar w:fldCharType="end"/>
      </w:r>
      <w:r>
        <w:fldChar w:fldCharType="end"/>
      </w:r>
    </w:p>
    <w:p w14:paraId="3CDB4963">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"_Toc16675085" </w:instrText>
      </w:r>
      <w:r>
        <w:fldChar w:fldCharType="separate"/>
      </w:r>
      <w:r>
        <w:rPr>
          <w:rStyle w:val="29"/>
          <w:rFonts w:cs="Times New Roman"/>
        </w:rPr>
        <w:t>5.2重点领域</w:t>
      </w:r>
      <w:r>
        <w:tab/>
      </w:r>
      <w:r>
        <w:fldChar w:fldCharType="begin"/>
      </w:r>
      <w:r>
        <w:instrText xml:space="preserve"> PAGEREF _Toc16675085 \h </w:instrText>
      </w:r>
      <w:r>
        <w:fldChar w:fldCharType="separate"/>
      </w:r>
      <w:r>
        <w:t>81</w:t>
      </w:r>
      <w:r>
        <w:fldChar w:fldCharType="end"/>
      </w:r>
      <w:r>
        <w:fldChar w:fldCharType="end"/>
      </w:r>
    </w:p>
    <w:p w14:paraId="6AFF0D66">
      <w:pPr>
        <w:pStyle w:val="16"/>
        <w:ind w:firstLine="0" w:firstLineChars="0"/>
        <w:rPr>
          <w:rFonts w:asciiTheme="minorHAnsi" w:hAnsiTheme="minorHAnsi" w:cstheme="minorBidi"/>
          <w:b w:val="0"/>
          <w:sz w:val="21"/>
          <w:szCs w:val="22"/>
        </w:rPr>
      </w:pPr>
      <w:r>
        <w:fldChar w:fldCharType="begin"/>
      </w:r>
      <w:r>
        <w:instrText xml:space="preserve"> HYPERLINK \l "_Toc16675090" </w:instrText>
      </w:r>
      <w:r>
        <w:fldChar w:fldCharType="separate"/>
      </w:r>
      <w:r>
        <w:rPr>
          <w:rStyle w:val="29"/>
        </w:rPr>
        <w:t>6水生态文明建设的重点工程建设</w:t>
      </w:r>
      <w:r>
        <w:tab/>
      </w:r>
      <w:r>
        <w:fldChar w:fldCharType="begin"/>
      </w:r>
      <w:r>
        <w:instrText xml:space="preserve"> PAGEREF _Toc16675090 \h </w:instrText>
      </w:r>
      <w:r>
        <w:fldChar w:fldCharType="separate"/>
      </w:r>
      <w:r>
        <w:t>90</w:t>
      </w:r>
      <w:r>
        <w:fldChar w:fldCharType="end"/>
      </w:r>
      <w:r>
        <w:fldChar w:fldCharType="end"/>
      </w:r>
    </w:p>
    <w:p w14:paraId="2B86738F">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"_Toc16675091" </w:instrText>
      </w:r>
      <w:r>
        <w:fldChar w:fldCharType="separate"/>
      </w:r>
      <w:r>
        <w:rPr>
          <w:rStyle w:val="29"/>
          <w:rFonts w:cs="Times New Roman"/>
        </w:rPr>
        <w:t>6.1 指标体系现状分析</w:t>
      </w:r>
      <w:r>
        <w:tab/>
      </w:r>
      <w:r>
        <w:fldChar w:fldCharType="begin"/>
      </w:r>
      <w:r>
        <w:instrText xml:space="preserve"> PAGEREF _Toc16675091 \h </w:instrText>
      </w:r>
      <w:r>
        <w:fldChar w:fldCharType="separate"/>
      </w:r>
      <w:r>
        <w:t>90</w:t>
      </w:r>
      <w:r>
        <w:fldChar w:fldCharType="end"/>
      </w:r>
      <w:r>
        <w:fldChar w:fldCharType="end"/>
      </w:r>
    </w:p>
    <w:p w14:paraId="35237656">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"_Toc16675092" </w:instrText>
      </w:r>
      <w:r>
        <w:fldChar w:fldCharType="separate"/>
      </w:r>
      <w:r>
        <w:rPr>
          <w:rStyle w:val="29"/>
          <w:rFonts w:cs="Times New Roman"/>
        </w:rPr>
        <w:t>6.2 重点工程项目</w:t>
      </w:r>
      <w:r>
        <w:tab/>
      </w:r>
      <w:r>
        <w:fldChar w:fldCharType="begin"/>
      </w:r>
      <w:r>
        <w:instrText xml:space="preserve"> PAGEREF _Toc16675092 \h </w:instrText>
      </w:r>
      <w:r>
        <w:fldChar w:fldCharType="separate"/>
      </w:r>
      <w:r>
        <w:t>92</w:t>
      </w:r>
      <w:r>
        <w:fldChar w:fldCharType="end"/>
      </w:r>
      <w:r>
        <w:fldChar w:fldCharType="end"/>
      </w:r>
    </w:p>
    <w:p w14:paraId="0B24441F">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"_Toc16675093" </w:instrText>
      </w:r>
      <w:r>
        <w:fldChar w:fldCharType="separate"/>
      </w:r>
      <w:r>
        <w:rPr>
          <w:rStyle w:val="29"/>
          <w:rFonts w:cs="Times New Roman"/>
        </w:rPr>
        <w:t>6.3 非工程措施</w:t>
      </w:r>
      <w:r>
        <w:tab/>
      </w:r>
      <w:r>
        <w:fldChar w:fldCharType="begin"/>
      </w:r>
      <w:r>
        <w:instrText xml:space="preserve"> PAGEREF _Toc16675093 \h </w:instrText>
      </w:r>
      <w:r>
        <w:fldChar w:fldCharType="separate"/>
      </w:r>
      <w:r>
        <w:t>96</w:t>
      </w:r>
      <w:r>
        <w:fldChar w:fldCharType="end"/>
      </w:r>
      <w:r>
        <w:fldChar w:fldCharType="end"/>
      </w:r>
    </w:p>
    <w:p w14:paraId="1316F898">
      <w:pPr>
        <w:pStyle w:val="16"/>
        <w:ind w:firstLine="0" w:firstLineChars="0"/>
        <w:rPr>
          <w:rFonts w:asciiTheme="minorHAnsi" w:hAnsiTheme="minorHAnsi" w:cstheme="minorBidi"/>
          <w:b w:val="0"/>
          <w:sz w:val="21"/>
          <w:szCs w:val="22"/>
        </w:rPr>
      </w:pPr>
      <w:r>
        <w:fldChar w:fldCharType="begin"/>
      </w:r>
      <w:r>
        <w:instrText xml:space="preserve"> HYPERLINK \l "_Toc16675097" </w:instrText>
      </w:r>
      <w:r>
        <w:fldChar w:fldCharType="separate"/>
      </w:r>
      <w:r>
        <w:rPr>
          <w:rStyle w:val="29"/>
        </w:rPr>
        <w:t>7 规划工程实施安排及效果评价</w:t>
      </w:r>
      <w:r>
        <w:tab/>
      </w:r>
      <w:r>
        <w:fldChar w:fldCharType="begin"/>
      </w:r>
      <w:r>
        <w:instrText xml:space="preserve"> PAGEREF _Toc16675097 \h </w:instrText>
      </w:r>
      <w:r>
        <w:fldChar w:fldCharType="separate"/>
      </w:r>
      <w:r>
        <w:t>99</w:t>
      </w:r>
      <w:r>
        <w:fldChar w:fldCharType="end"/>
      </w:r>
      <w:r>
        <w:fldChar w:fldCharType="end"/>
      </w:r>
    </w:p>
    <w:p w14:paraId="37FFAD41">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"_Toc16675098" </w:instrText>
      </w:r>
      <w:r>
        <w:fldChar w:fldCharType="separate"/>
      </w:r>
      <w:r>
        <w:rPr>
          <w:rStyle w:val="29"/>
          <w:rFonts w:cs="Times New Roman"/>
        </w:rPr>
        <w:t>7.1规划分期实施意见</w:t>
      </w:r>
      <w:r>
        <w:tab/>
      </w:r>
      <w:r>
        <w:fldChar w:fldCharType="begin"/>
      </w:r>
      <w:r>
        <w:instrText xml:space="preserve"> PAGEREF _Toc16675098 \h </w:instrText>
      </w:r>
      <w:r>
        <w:fldChar w:fldCharType="separate"/>
      </w:r>
      <w:r>
        <w:t>99</w:t>
      </w:r>
      <w:r>
        <w:fldChar w:fldCharType="end"/>
      </w:r>
      <w:r>
        <w:fldChar w:fldCharType="end"/>
      </w:r>
    </w:p>
    <w:p w14:paraId="193905B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"_Toc16675100" </w:instrText>
      </w:r>
      <w:r>
        <w:fldChar w:fldCharType="separate"/>
      </w:r>
      <w:r>
        <w:rPr>
          <w:rStyle w:val="29"/>
          <w:rFonts w:cs="Times New Roman"/>
        </w:rPr>
        <w:t>7.2工程安排和投资估算</w:t>
      </w:r>
      <w:r>
        <w:tab/>
      </w:r>
      <w:r>
        <w:fldChar w:fldCharType="begin"/>
      </w:r>
      <w:r>
        <w:instrText xml:space="preserve"> PAGEREF _Toc16675100 \h </w:instrText>
      </w:r>
      <w:r>
        <w:fldChar w:fldCharType="separate"/>
      </w:r>
      <w:r>
        <w:t>99</w:t>
      </w:r>
      <w:r>
        <w:fldChar w:fldCharType="end"/>
      </w:r>
      <w:r>
        <w:fldChar w:fldCharType="end"/>
      </w:r>
    </w:p>
    <w:p w14:paraId="3B0AF739">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"_Toc16675107" </w:instrText>
      </w:r>
      <w:r>
        <w:fldChar w:fldCharType="separate"/>
      </w:r>
      <w:r>
        <w:rPr>
          <w:rStyle w:val="29"/>
          <w:rFonts w:cs="Times New Roman"/>
        </w:rPr>
        <w:t>7.3实施效果评价</w:t>
      </w:r>
      <w:r>
        <w:tab/>
      </w:r>
      <w:r>
        <w:fldChar w:fldCharType="begin"/>
      </w:r>
      <w:r>
        <w:instrText xml:space="preserve"> PAGEREF _Toc16675107 \h </w:instrText>
      </w:r>
      <w:r>
        <w:fldChar w:fldCharType="separate"/>
      </w:r>
      <w:r>
        <w:t>106</w:t>
      </w:r>
      <w:r>
        <w:fldChar w:fldCharType="end"/>
      </w:r>
      <w:r>
        <w:fldChar w:fldCharType="end"/>
      </w:r>
    </w:p>
    <w:p w14:paraId="6E476992">
      <w:pPr>
        <w:pStyle w:val="16"/>
        <w:ind w:firstLine="0" w:firstLineChars="0"/>
        <w:rPr>
          <w:rFonts w:asciiTheme="minorHAnsi" w:hAnsiTheme="minorHAnsi" w:cstheme="minorBidi"/>
          <w:b w:val="0"/>
          <w:sz w:val="21"/>
          <w:szCs w:val="22"/>
        </w:rPr>
      </w:pPr>
      <w:r>
        <w:fldChar w:fldCharType="begin"/>
      </w:r>
      <w:r>
        <w:instrText xml:space="preserve"> HYPERLINK \l "_Toc16675112" </w:instrText>
      </w:r>
      <w:r>
        <w:fldChar w:fldCharType="separate"/>
      </w:r>
      <w:r>
        <w:rPr>
          <w:rStyle w:val="29"/>
        </w:rPr>
        <w:t>8 保障措施</w:t>
      </w:r>
      <w:r>
        <w:tab/>
      </w:r>
      <w:r>
        <w:fldChar w:fldCharType="begin"/>
      </w:r>
      <w:r>
        <w:instrText xml:space="preserve"> PAGEREF _Toc16675112 \h </w:instrText>
      </w:r>
      <w:r>
        <w:fldChar w:fldCharType="separate"/>
      </w:r>
      <w:r>
        <w:t>111</w:t>
      </w:r>
      <w:r>
        <w:fldChar w:fldCharType="end"/>
      </w:r>
      <w:r>
        <w:fldChar w:fldCharType="end"/>
      </w:r>
    </w:p>
    <w:p w14:paraId="2A9FD63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"_Toc16675113" </w:instrText>
      </w:r>
      <w:r>
        <w:fldChar w:fldCharType="separate"/>
      </w:r>
      <w:r>
        <w:rPr>
          <w:rStyle w:val="29"/>
          <w:rFonts w:cs="Times New Roman"/>
        </w:rPr>
        <w:t>8.1加强组织领导，明确目标责任</w:t>
      </w:r>
      <w:r>
        <w:tab/>
      </w:r>
      <w:r>
        <w:fldChar w:fldCharType="begin"/>
      </w:r>
      <w:r>
        <w:instrText xml:space="preserve"> PAGEREF _Toc16675113 \h </w:instrText>
      </w:r>
      <w:r>
        <w:fldChar w:fldCharType="separate"/>
      </w:r>
      <w:r>
        <w:t>111</w:t>
      </w:r>
      <w:r>
        <w:fldChar w:fldCharType="end"/>
      </w:r>
      <w:r>
        <w:fldChar w:fldCharType="end"/>
      </w:r>
    </w:p>
    <w:p w14:paraId="2FDA6ED7">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"_Toc16675114" </w:instrText>
      </w:r>
      <w:r>
        <w:fldChar w:fldCharType="separate"/>
      </w:r>
      <w:r>
        <w:rPr>
          <w:rStyle w:val="29"/>
          <w:rFonts w:cs="Times New Roman"/>
        </w:rPr>
        <w:t>8.2加大资金投入，拓宽投资渠道</w:t>
      </w:r>
      <w:r>
        <w:tab/>
      </w:r>
      <w:r>
        <w:fldChar w:fldCharType="begin"/>
      </w:r>
      <w:r>
        <w:instrText xml:space="preserve"> PAGEREF _Toc16675114 \h </w:instrText>
      </w:r>
      <w:r>
        <w:fldChar w:fldCharType="separate"/>
      </w:r>
      <w:r>
        <w:t>111</w:t>
      </w:r>
      <w:r>
        <w:fldChar w:fldCharType="end"/>
      </w:r>
      <w:r>
        <w:fldChar w:fldCharType="end"/>
      </w:r>
    </w:p>
    <w:p w14:paraId="56E53AFA">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"_Toc16675115" </w:instrText>
      </w:r>
      <w:r>
        <w:fldChar w:fldCharType="separate"/>
      </w:r>
      <w:r>
        <w:rPr>
          <w:rStyle w:val="29"/>
          <w:rFonts w:cs="Times New Roman"/>
        </w:rPr>
        <w:t>8.3完善评估机制，强化监测评估</w:t>
      </w:r>
      <w:r>
        <w:tab/>
      </w:r>
      <w:r>
        <w:fldChar w:fldCharType="begin"/>
      </w:r>
      <w:r>
        <w:instrText xml:space="preserve"> PAGEREF _Toc16675115 \h </w:instrText>
      </w:r>
      <w:r>
        <w:fldChar w:fldCharType="separate"/>
      </w:r>
      <w:r>
        <w:t>112</w:t>
      </w:r>
      <w:r>
        <w:fldChar w:fldCharType="end"/>
      </w:r>
      <w:r>
        <w:fldChar w:fldCharType="end"/>
      </w:r>
    </w:p>
    <w:p w14:paraId="2A3399CD">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"_Toc16675116" </w:instrText>
      </w:r>
      <w:r>
        <w:fldChar w:fldCharType="separate"/>
      </w:r>
      <w:r>
        <w:rPr>
          <w:rStyle w:val="29"/>
          <w:rFonts w:cs="Times New Roman"/>
        </w:rPr>
        <w:t>8.4强化考核问责，落实主体工作</w:t>
      </w:r>
      <w:r>
        <w:tab/>
      </w:r>
      <w:r>
        <w:fldChar w:fldCharType="begin"/>
      </w:r>
      <w:r>
        <w:instrText xml:space="preserve"> PAGEREF _Toc16675116 \h </w:instrText>
      </w:r>
      <w:r>
        <w:fldChar w:fldCharType="separate"/>
      </w:r>
      <w:r>
        <w:t>112</w:t>
      </w:r>
      <w:r>
        <w:fldChar w:fldCharType="end"/>
      </w:r>
      <w:r>
        <w:fldChar w:fldCharType="end"/>
      </w:r>
    </w:p>
    <w:p w14:paraId="7DF7A465">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"_Toc16675117" </w:instrText>
      </w:r>
      <w:r>
        <w:fldChar w:fldCharType="separate"/>
      </w:r>
      <w:r>
        <w:rPr>
          <w:rStyle w:val="29"/>
          <w:rFonts w:cs="Times New Roman"/>
        </w:rPr>
        <w:t>8.5营造良好氛围，引导公众参与</w:t>
      </w:r>
      <w:r>
        <w:tab/>
      </w:r>
      <w:r>
        <w:fldChar w:fldCharType="begin"/>
      </w:r>
      <w:r>
        <w:instrText xml:space="preserve"> PAGEREF _Toc16675117 \h </w:instrText>
      </w:r>
      <w:r>
        <w:fldChar w:fldCharType="separate"/>
      </w:r>
      <w:r>
        <w:t>112</w:t>
      </w:r>
      <w:r>
        <w:fldChar w:fldCharType="end"/>
      </w:r>
      <w:r>
        <w:fldChar w:fldCharType="end"/>
      </w:r>
    </w:p>
    <w:p w14:paraId="58686893">
      <w:pPr>
        <w:pStyle w:val="16"/>
        <w:ind w:firstLine="0" w:firstLineChars="0"/>
        <w:rPr>
          <w:rFonts w:asciiTheme="minorHAnsi" w:hAnsiTheme="minorHAnsi" w:cstheme="minorBidi"/>
          <w:b w:val="0"/>
          <w:sz w:val="21"/>
          <w:szCs w:val="22"/>
        </w:rPr>
      </w:pPr>
      <w:r>
        <w:fldChar w:fldCharType="begin"/>
      </w:r>
      <w:r>
        <w:instrText xml:space="preserve"> HYPERLINK \l "_Toc16675118" </w:instrText>
      </w:r>
      <w:r>
        <w:fldChar w:fldCharType="separate"/>
      </w:r>
      <w:r>
        <w:rPr>
          <w:rStyle w:val="29"/>
        </w:rPr>
        <w:t>9 结论与建议</w:t>
      </w:r>
      <w:r>
        <w:tab/>
      </w:r>
      <w:r>
        <w:fldChar w:fldCharType="begin"/>
      </w:r>
      <w:r>
        <w:instrText xml:space="preserve"> PAGEREF _Toc16675118 \h </w:instrText>
      </w:r>
      <w:r>
        <w:fldChar w:fldCharType="separate"/>
      </w:r>
      <w:r>
        <w:t>113</w:t>
      </w:r>
      <w:r>
        <w:fldChar w:fldCharType="end"/>
      </w:r>
      <w:r>
        <w:fldChar w:fldCharType="end"/>
      </w:r>
    </w:p>
    <w:p w14:paraId="4AF3AC04">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"_Toc16675119" </w:instrText>
      </w:r>
      <w:r>
        <w:fldChar w:fldCharType="separate"/>
      </w:r>
      <w:r>
        <w:rPr>
          <w:rStyle w:val="29"/>
          <w:rFonts w:cs="Times New Roman"/>
        </w:rPr>
        <w:t>9.1结论</w:t>
      </w:r>
      <w:r>
        <w:tab/>
      </w:r>
      <w:r>
        <w:fldChar w:fldCharType="begin"/>
      </w:r>
      <w:r>
        <w:instrText xml:space="preserve"> PAGEREF _Toc16675119 \h </w:instrText>
      </w:r>
      <w:r>
        <w:fldChar w:fldCharType="separate"/>
      </w:r>
      <w:r>
        <w:t>113</w:t>
      </w:r>
      <w:r>
        <w:fldChar w:fldCharType="end"/>
      </w:r>
      <w:r>
        <w:fldChar w:fldCharType="end"/>
      </w:r>
    </w:p>
    <w:p w14:paraId="7CF8C15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"_Toc16675120" </w:instrText>
      </w:r>
      <w:r>
        <w:fldChar w:fldCharType="separate"/>
      </w:r>
      <w:r>
        <w:rPr>
          <w:rStyle w:val="29"/>
          <w:rFonts w:cs="Times New Roman"/>
        </w:rPr>
        <w:t>9.2建议</w:t>
      </w:r>
      <w:r>
        <w:tab/>
      </w:r>
      <w:r>
        <w:fldChar w:fldCharType="begin"/>
      </w:r>
      <w:r>
        <w:instrText xml:space="preserve"> PAGEREF _Toc16675120 \h </w:instrText>
      </w:r>
      <w:r>
        <w:fldChar w:fldCharType="separate"/>
      </w:r>
      <w:r>
        <w:t>114</w:t>
      </w:r>
      <w:r>
        <w:fldChar w:fldCharType="end"/>
      </w:r>
      <w:r>
        <w:fldChar w:fldCharType="end"/>
      </w:r>
    </w:p>
    <w:p w14:paraId="022E7FE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"_Toc16675121" </w:instrText>
      </w:r>
      <w:r>
        <w:fldChar w:fldCharType="separate"/>
      </w:r>
      <w:r>
        <w:rPr>
          <w:rStyle w:val="29"/>
          <w:rFonts w:cs="Times New Roman"/>
        </w:rPr>
        <w:t>9.3展望</w:t>
      </w:r>
      <w:r>
        <w:tab/>
      </w:r>
      <w:r>
        <w:fldChar w:fldCharType="begin"/>
      </w:r>
      <w:r>
        <w:instrText xml:space="preserve"> PAGEREF _Toc16675121 \h </w:instrText>
      </w:r>
      <w:r>
        <w:fldChar w:fldCharType="separate"/>
      </w:r>
      <w:r>
        <w:t>114</w:t>
      </w:r>
      <w:r>
        <w:fldChar w:fldCharType="end"/>
      </w:r>
      <w:r>
        <w:fldChar w:fldCharType="end"/>
      </w:r>
    </w:p>
    <w:p w14:paraId="531805F9">
      <w:pPr>
        <w:pStyle w:val="16"/>
        <w:ind w:firstLine="0" w:firstLineChars="0"/>
        <w:rPr>
          <w:rFonts w:asciiTheme="minorHAnsi" w:hAnsiTheme="minorHAnsi" w:cstheme="minorBidi"/>
          <w:b w:val="0"/>
          <w:sz w:val="21"/>
          <w:szCs w:val="22"/>
        </w:rPr>
      </w:pPr>
      <w:r>
        <w:fldChar w:fldCharType="begin"/>
      </w:r>
      <w:r>
        <w:instrText xml:space="preserve"> HYPERLINK \l "_Toc16675122" </w:instrText>
      </w:r>
      <w:r>
        <w:fldChar w:fldCharType="separate"/>
      </w:r>
      <w:r>
        <w:rPr>
          <w:rStyle w:val="29"/>
        </w:rPr>
        <w:t>附图1 西区地理位置图</w:t>
      </w:r>
      <w:r>
        <w:tab/>
      </w:r>
      <w:r>
        <w:fldChar w:fldCharType="begin"/>
      </w:r>
      <w:r>
        <w:instrText xml:space="preserve"> PAGEREF _Toc16675122 \h </w:instrText>
      </w:r>
      <w:r>
        <w:fldChar w:fldCharType="separate"/>
      </w:r>
      <w:r>
        <w:t>115</w:t>
      </w:r>
      <w:r>
        <w:fldChar w:fldCharType="end"/>
      </w:r>
      <w:r>
        <w:fldChar w:fldCharType="end"/>
      </w:r>
    </w:p>
    <w:p w14:paraId="3F040CA2">
      <w:pPr>
        <w:pStyle w:val="16"/>
        <w:ind w:firstLine="0" w:firstLineChars="0"/>
        <w:rPr>
          <w:rFonts w:asciiTheme="minorHAnsi" w:hAnsiTheme="minorHAnsi" w:cstheme="minorBidi"/>
          <w:b w:val="0"/>
          <w:sz w:val="21"/>
          <w:szCs w:val="22"/>
        </w:rPr>
      </w:pPr>
      <w:r>
        <w:fldChar w:fldCharType="begin"/>
      </w:r>
      <w:r>
        <w:instrText xml:space="preserve"> HYPERLINK \l "_Toc16675123" </w:instrText>
      </w:r>
      <w:r>
        <w:fldChar w:fldCharType="separate"/>
      </w:r>
      <w:r>
        <w:rPr>
          <w:rStyle w:val="29"/>
        </w:rPr>
        <w:t>附图2 西区行政区划图</w:t>
      </w:r>
      <w:r>
        <w:tab/>
      </w:r>
      <w:r>
        <w:fldChar w:fldCharType="begin"/>
      </w:r>
      <w:r>
        <w:instrText xml:space="preserve"> PAGEREF _Toc16675123 \h </w:instrText>
      </w:r>
      <w:r>
        <w:fldChar w:fldCharType="separate"/>
      </w:r>
      <w:r>
        <w:t>116</w:t>
      </w:r>
      <w:r>
        <w:fldChar w:fldCharType="end"/>
      </w:r>
      <w:r>
        <w:fldChar w:fldCharType="end"/>
      </w:r>
    </w:p>
    <w:p w14:paraId="2FFD50CE">
      <w:pPr>
        <w:pStyle w:val="16"/>
        <w:ind w:firstLine="0" w:firstLineChars="0"/>
        <w:rPr>
          <w:rFonts w:asciiTheme="minorHAnsi" w:hAnsiTheme="minorHAnsi" w:cstheme="minorBidi"/>
          <w:b w:val="0"/>
          <w:sz w:val="21"/>
          <w:szCs w:val="22"/>
        </w:rPr>
      </w:pPr>
      <w:r>
        <w:fldChar w:fldCharType="begin"/>
      </w:r>
      <w:r>
        <w:instrText xml:space="preserve"> HYPERLINK \l "_Toc16675124" </w:instrText>
      </w:r>
      <w:r>
        <w:fldChar w:fldCharType="separate"/>
      </w:r>
      <w:r>
        <w:rPr>
          <w:rStyle w:val="29"/>
        </w:rPr>
        <w:t>附图3 中山市河流水系图</w:t>
      </w:r>
      <w:r>
        <w:tab/>
      </w:r>
      <w:r>
        <w:fldChar w:fldCharType="begin"/>
      </w:r>
      <w:r>
        <w:instrText xml:space="preserve"> PAGEREF _Toc16675124 \h </w:instrText>
      </w:r>
      <w:r>
        <w:fldChar w:fldCharType="separate"/>
      </w:r>
      <w:r>
        <w:t>117</w:t>
      </w:r>
      <w:r>
        <w:fldChar w:fldCharType="end"/>
      </w:r>
      <w:r>
        <w:fldChar w:fldCharType="end"/>
      </w:r>
    </w:p>
    <w:p w14:paraId="3CF426D7">
      <w:pPr>
        <w:pStyle w:val="16"/>
        <w:ind w:firstLine="0" w:firstLineChars="0"/>
        <w:rPr>
          <w:rFonts w:asciiTheme="minorHAnsi" w:hAnsiTheme="minorHAnsi" w:cstheme="minorBidi"/>
          <w:b w:val="0"/>
          <w:sz w:val="21"/>
          <w:szCs w:val="22"/>
        </w:rPr>
      </w:pPr>
      <w:r>
        <w:fldChar w:fldCharType="begin"/>
      </w:r>
      <w:r>
        <w:instrText xml:space="preserve"> HYPERLINK \l "_Toc16675125" </w:instrText>
      </w:r>
      <w:r>
        <w:fldChar w:fldCharType="separate"/>
      </w:r>
      <w:r>
        <w:rPr>
          <w:rStyle w:val="29"/>
        </w:rPr>
        <w:t>附图4 西区水系分布图</w:t>
      </w:r>
      <w:r>
        <w:tab/>
      </w:r>
      <w:r>
        <w:fldChar w:fldCharType="begin"/>
      </w:r>
      <w:r>
        <w:instrText xml:space="preserve"> PAGEREF _Toc16675125 \h </w:instrText>
      </w:r>
      <w:r>
        <w:fldChar w:fldCharType="separate"/>
      </w:r>
      <w:r>
        <w:t>118</w:t>
      </w:r>
      <w:r>
        <w:fldChar w:fldCharType="end"/>
      </w:r>
      <w:r>
        <w:fldChar w:fldCharType="end"/>
      </w:r>
    </w:p>
    <w:p w14:paraId="7D743F7E">
      <w:pPr>
        <w:pStyle w:val="16"/>
        <w:ind w:firstLine="0" w:firstLineChars="0"/>
        <w:rPr>
          <w:rFonts w:asciiTheme="minorHAnsi" w:hAnsiTheme="minorHAnsi" w:cstheme="minorBidi"/>
          <w:b w:val="0"/>
          <w:sz w:val="21"/>
          <w:szCs w:val="22"/>
        </w:rPr>
      </w:pPr>
      <w:r>
        <w:fldChar w:fldCharType="begin"/>
      </w:r>
      <w:r>
        <w:instrText xml:space="preserve"> HYPERLINK \l "_Toc16675126" </w:instrText>
      </w:r>
      <w:r>
        <w:fldChar w:fldCharType="separate"/>
      </w:r>
      <w:r>
        <w:rPr>
          <w:rStyle w:val="29"/>
        </w:rPr>
        <w:t>附图5 西区土地利用总体规划图</w:t>
      </w:r>
      <w:r>
        <w:tab/>
      </w:r>
      <w:r>
        <w:fldChar w:fldCharType="begin"/>
      </w:r>
      <w:r>
        <w:instrText xml:space="preserve"> PAGEREF _Toc16675126 \h </w:instrText>
      </w:r>
      <w:r>
        <w:fldChar w:fldCharType="separate"/>
      </w:r>
      <w:r>
        <w:t>119</w:t>
      </w:r>
      <w:r>
        <w:fldChar w:fldCharType="end"/>
      </w:r>
      <w:r>
        <w:fldChar w:fldCharType="end"/>
      </w:r>
    </w:p>
    <w:p w14:paraId="4923F420">
      <w:pPr>
        <w:pStyle w:val="16"/>
        <w:ind w:firstLine="0" w:firstLineChars="0"/>
        <w:rPr>
          <w:rFonts w:asciiTheme="minorHAnsi" w:hAnsiTheme="minorHAnsi" w:cstheme="minorBidi"/>
          <w:b w:val="0"/>
          <w:sz w:val="21"/>
          <w:szCs w:val="22"/>
        </w:rPr>
      </w:pPr>
      <w:r>
        <w:fldChar w:fldCharType="begin"/>
      </w:r>
      <w:r>
        <w:instrText xml:space="preserve"> HYPERLINK \l "_Toc16675127" </w:instrText>
      </w:r>
      <w:r>
        <w:fldChar w:fldCharType="separate"/>
      </w:r>
      <w:r>
        <w:rPr>
          <w:rStyle w:val="29"/>
        </w:rPr>
        <w:t>附图6 中山市主体功能区区划图</w:t>
      </w:r>
      <w:r>
        <w:tab/>
      </w:r>
      <w:r>
        <w:fldChar w:fldCharType="begin"/>
      </w:r>
      <w:r>
        <w:instrText xml:space="preserve"> PAGEREF _Toc16675127 \h </w:instrText>
      </w:r>
      <w:r>
        <w:fldChar w:fldCharType="separate"/>
      </w:r>
      <w:r>
        <w:t>120</w:t>
      </w:r>
      <w:r>
        <w:fldChar w:fldCharType="end"/>
      </w:r>
      <w:r>
        <w:fldChar w:fldCharType="end"/>
      </w:r>
    </w:p>
    <w:p w14:paraId="38D0CAD1">
      <w:pPr>
        <w:pStyle w:val="16"/>
        <w:ind w:firstLine="0" w:firstLineChars="0"/>
        <w:rPr>
          <w:rFonts w:asciiTheme="minorHAnsi" w:hAnsiTheme="minorHAnsi" w:cstheme="minorBidi"/>
          <w:b w:val="0"/>
          <w:sz w:val="21"/>
          <w:szCs w:val="22"/>
        </w:rPr>
      </w:pPr>
      <w:r>
        <w:fldChar w:fldCharType="begin"/>
      </w:r>
      <w:r>
        <w:instrText xml:space="preserve"> HYPERLINK \l "_Toc16675128" </w:instrText>
      </w:r>
      <w:r>
        <w:fldChar w:fldCharType="separate"/>
      </w:r>
      <w:r>
        <w:rPr>
          <w:rStyle w:val="29"/>
        </w:rPr>
        <w:t>附图7 西区一核心三基地两提升区式发展结构示意图</w:t>
      </w:r>
      <w:r>
        <w:tab/>
      </w:r>
      <w:r>
        <w:fldChar w:fldCharType="begin"/>
      </w:r>
      <w:r>
        <w:instrText xml:space="preserve"> PAGEREF _Toc16675128 \h </w:instrText>
      </w:r>
      <w:r>
        <w:fldChar w:fldCharType="separate"/>
      </w:r>
      <w:r>
        <w:t>121</w:t>
      </w:r>
      <w:r>
        <w:fldChar w:fldCharType="end"/>
      </w:r>
      <w:r>
        <w:fldChar w:fldCharType="end"/>
      </w:r>
    </w:p>
    <w:p w14:paraId="4282BE97">
      <w:pPr>
        <w:pStyle w:val="16"/>
        <w:ind w:firstLine="0" w:firstLineChars="0"/>
        <w:rPr>
          <w:rFonts w:asciiTheme="minorHAnsi" w:hAnsiTheme="minorHAnsi" w:cstheme="minorBidi"/>
          <w:b w:val="0"/>
          <w:sz w:val="21"/>
          <w:szCs w:val="22"/>
        </w:rPr>
      </w:pPr>
      <w:r>
        <w:fldChar w:fldCharType="begin"/>
      </w:r>
      <w:r>
        <w:instrText xml:space="preserve"> HYPERLINK \l "_Toc16675129" </w:instrText>
      </w:r>
      <w:r>
        <w:fldChar w:fldCharType="separate"/>
      </w:r>
      <w:r>
        <w:rPr>
          <w:rStyle w:val="29"/>
        </w:rPr>
        <w:t>附图8 中山市生态功能区划</w:t>
      </w:r>
      <w:r>
        <w:tab/>
      </w:r>
      <w:r>
        <w:fldChar w:fldCharType="begin"/>
      </w:r>
      <w:r>
        <w:instrText xml:space="preserve"> PAGEREF _Toc16675129 \h </w:instrText>
      </w:r>
      <w:r>
        <w:fldChar w:fldCharType="separate"/>
      </w:r>
      <w:r>
        <w:t>122</w:t>
      </w:r>
      <w:r>
        <w:fldChar w:fldCharType="end"/>
      </w:r>
      <w:r>
        <w:fldChar w:fldCharType="end"/>
      </w:r>
    </w:p>
    <w:p w14:paraId="6A56B37A">
      <w:pPr>
        <w:pStyle w:val="16"/>
        <w:ind w:firstLine="0" w:firstLineChars="0"/>
        <w:rPr>
          <w:rFonts w:asciiTheme="minorHAnsi" w:hAnsiTheme="minorHAnsi" w:cstheme="minorBidi"/>
          <w:b w:val="0"/>
          <w:sz w:val="21"/>
          <w:szCs w:val="22"/>
        </w:rPr>
      </w:pPr>
      <w:r>
        <w:fldChar w:fldCharType="begin"/>
      </w:r>
      <w:r>
        <w:instrText xml:space="preserve"> HYPERLINK \l "_Toc16675130" </w:instrText>
      </w:r>
      <w:r>
        <w:fldChar w:fldCharType="separate"/>
      </w:r>
      <w:r>
        <w:rPr>
          <w:rStyle w:val="29"/>
        </w:rPr>
        <w:t>附图9 西区生态控制线</w:t>
      </w:r>
      <w:r>
        <w:tab/>
      </w:r>
      <w:r>
        <w:fldChar w:fldCharType="begin"/>
      </w:r>
      <w:r>
        <w:instrText xml:space="preserve"> PAGEREF _Toc16675130 \h </w:instrText>
      </w:r>
      <w:r>
        <w:fldChar w:fldCharType="separate"/>
      </w:r>
      <w:r>
        <w:t>123</w:t>
      </w:r>
      <w:r>
        <w:fldChar w:fldCharType="end"/>
      </w:r>
      <w:r>
        <w:fldChar w:fldCharType="end"/>
      </w:r>
    </w:p>
    <w:p w14:paraId="412718DF">
      <w:pPr>
        <w:pStyle w:val="16"/>
        <w:ind w:firstLine="0" w:firstLineChars="0"/>
        <w:rPr>
          <w:rFonts w:asciiTheme="minorHAnsi" w:hAnsiTheme="minorHAnsi" w:cstheme="minorBidi"/>
          <w:b w:val="0"/>
          <w:sz w:val="21"/>
          <w:szCs w:val="22"/>
        </w:rPr>
      </w:pPr>
      <w:r>
        <w:fldChar w:fldCharType="begin"/>
      </w:r>
      <w:r>
        <w:instrText xml:space="preserve"> HYPERLINK \l "_Toc16675131" </w:instrText>
      </w:r>
      <w:r>
        <w:fldChar w:fldCharType="separate"/>
      </w:r>
      <w:r>
        <w:rPr>
          <w:rStyle w:val="29"/>
        </w:rPr>
        <w:t>附图10 西区城市蓝线空间控制图</w:t>
      </w:r>
      <w:r>
        <w:tab/>
      </w:r>
      <w:r>
        <w:fldChar w:fldCharType="begin"/>
      </w:r>
      <w:r>
        <w:instrText xml:space="preserve"> PAGEREF _Toc16675131 \h </w:instrText>
      </w:r>
      <w:r>
        <w:fldChar w:fldCharType="separate"/>
      </w:r>
      <w:r>
        <w:t>124</w:t>
      </w:r>
      <w:r>
        <w:fldChar w:fldCharType="end"/>
      </w:r>
      <w:r>
        <w:fldChar w:fldCharType="end"/>
      </w:r>
    </w:p>
    <w:p w14:paraId="3202152F">
      <w:pPr>
        <w:pStyle w:val="16"/>
        <w:ind w:firstLine="0" w:firstLineChars="0"/>
        <w:rPr>
          <w:rFonts w:asciiTheme="minorHAnsi" w:hAnsiTheme="minorHAnsi" w:cstheme="minorBidi"/>
          <w:b w:val="0"/>
          <w:sz w:val="21"/>
          <w:szCs w:val="22"/>
        </w:rPr>
      </w:pPr>
      <w:r>
        <w:fldChar w:fldCharType="begin"/>
      </w:r>
      <w:r>
        <w:instrText xml:space="preserve"> HYPERLINK \l "_Toc16675132" </w:instrText>
      </w:r>
      <w:r>
        <w:fldChar w:fldCharType="separate"/>
      </w:r>
      <w:r>
        <w:rPr>
          <w:rStyle w:val="29"/>
        </w:rPr>
        <w:t>附图11 西区在中山市海绵空间格局的定位</w:t>
      </w:r>
      <w:r>
        <w:tab/>
      </w:r>
      <w:r>
        <w:fldChar w:fldCharType="begin"/>
      </w:r>
      <w:r>
        <w:instrText xml:space="preserve"> PAGEREF _Toc16675132 \h </w:instrText>
      </w:r>
      <w:r>
        <w:fldChar w:fldCharType="separate"/>
      </w:r>
      <w:r>
        <w:t>125</w:t>
      </w:r>
      <w:r>
        <w:fldChar w:fldCharType="end"/>
      </w:r>
      <w:r>
        <w:fldChar w:fldCharType="end"/>
      </w:r>
    </w:p>
    <w:p w14:paraId="7877B173">
      <w:pPr>
        <w:pStyle w:val="16"/>
        <w:ind w:firstLine="0" w:firstLineChars="0"/>
        <w:rPr>
          <w:rFonts w:asciiTheme="minorHAnsi" w:hAnsiTheme="minorHAnsi" w:cstheme="minorBidi"/>
          <w:b w:val="0"/>
          <w:sz w:val="21"/>
          <w:szCs w:val="22"/>
        </w:rPr>
      </w:pPr>
      <w:r>
        <w:fldChar w:fldCharType="begin"/>
      </w:r>
      <w:r>
        <w:instrText xml:space="preserve"> HYPERLINK \l "_Toc16675133" </w:instrText>
      </w:r>
      <w:r>
        <w:fldChar w:fldCharType="separate"/>
      </w:r>
      <w:r>
        <w:rPr>
          <w:rStyle w:val="29"/>
        </w:rPr>
        <w:t>附图12 西区排涝区在中山市排涝区的分布图</w:t>
      </w:r>
      <w:r>
        <w:tab/>
      </w:r>
      <w:r>
        <w:fldChar w:fldCharType="begin"/>
      </w:r>
      <w:r>
        <w:instrText xml:space="preserve"> PAGEREF _Toc16675133 \h </w:instrText>
      </w:r>
      <w:r>
        <w:fldChar w:fldCharType="separate"/>
      </w:r>
      <w:r>
        <w:t>126</w:t>
      </w:r>
      <w:r>
        <w:fldChar w:fldCharType="end"/>
      </w:r>
      <w:r>
        <w:fldChar w:fldCharType="end"/>
      </w:r>
    </w:p>
    <w:p w14:paraId="0619D795">
      <w:pPr>
        <w:pStyle w:val="16"/>
        <w:ind w:firstLine="0" w:firstLineChars="0"/>
        <w:rPr>
          <w:rFonts w:asciiTheme="minorHAnsi" w:hAnsiTheme="minorHAnsi" w:cstheme="minorBidi"/>
          <w:b w:val="0"/>
          <w:sz w:val="21"/>
          <w:szCs w:val="22"/>
        </w:rPr>
      </w:pPr>
      <w:r>
        <w:fldChar w:fldCharType="begin"/>
      </w:r>
      <w:r>
        <w:instrText xml:space="preserve"> HYPERLINK \l "_Toc16675134" </w:instrText>
      </w:r>
      <w:r>
        <w:fldChar w:fldCharType="separate"/>
      </w:r>
      <w:r>
        <w:rPr>
          <w:rStyle w:val="29"/>
        </w:rPr>
        <w:t>附图13 中心城区防洪排涝围堤示意图</w:t>
      </w:r>
      <w:r>
        <w:tab/>
      </w:r>
      <w:r>
        <w:fldChar w:fldCharType="begin"/>
      </w:r>
      <w:r>
        <w:instrText xml:space="preserve"> PAGEREF _Toc16675134 \h </w:instrText>
      </w:r>
      <w:r>
        <w:fldChar w:fldCharType="separate"/>
      </w:r>
      <w:r>
        <w:t>127</w:t>
      </w:r>
      <w:r>
        <w:fldChar w:fldCharType="end"/>
      </w:r>
      <w:r>
        <w:fldChar w:fldCharType="end"/>
      </w:r>
    </w:p>
    <w:p w14:paraId="1B25C7BE">
      <w:pPr>
        <w:pStyle w:val="16"/>
        <w:ind w:firstLine="0" w:firstLineChars="0"/>
        <w:rPr>
          <w:rFonts w:asciiTheme="minorHAnsi" w:hAnsiTheme="minorHAnsi" w:cstheme="minorBidi"/>
          <w:b w:val="0"/>
          <w:sz w:val="21"/>
          <w:szCs w:val="22"/>
        </w:rPr>
      </w:pPr>
      <w:r>
        <w:fldChar w:fldCharType="begin"/>
      </w:r>
      <w:r>
        <w:instrText xml:space="preserve"> HYPERLINK \l "_Toc16675135" </w:instrText>
      </w:r>
      <w:r>
        <w:fldChar w:fldCharType="separate"/>
      </w:r>
      <w:r>
        <w:rPr>
          <w:rStyle w:val="29"/>
        </w:rPr>
        <w:t>附图14 西区易涝点在中山中心城区的分布图</w:t>
      </w:r>
      <w:r>
        <w:tab/>
      </w:r>
      <w:r>
        <w:fldChar w:fldCharType="begin"/>
      </w:r>
      <w:r>
        <w:instrText xml:space="preserve"> PAGEREF _Toc16675135 \h </w:instrText>
      </w:r>
      <w:r>
        <w:fldChar w:fldCharType="separate"/>
      </w:r>
      <w:r>
        <w:t>128</w:t>
      </w:r>
      <w:r>
        <w:fldChar w:fldCharType="end"/>
      </w:r>
      <w:r>
        <w:fldChar w:fldCharType="end"/>
      </w:r>
    </w:p>
    <w:p w14:paraId="4C10A330">
      <w:pPr>
        <w:pStyle w:val="16"/>
        <w:ind w:firstLine="0" w:firstLineChars="0"/>
        <w:rPr>
          <w:rFonts w:asciiTheme="minorHAnsi" w:hAnsiTheme="minorHAnsi" w:cstheme="minorBidi"/>
          <w:b w:val="0"/>
          <w:sz w:val="21"/>
          <w:szCs w:val="22"/>
        </w:rPr>
      </w:pPr>
      <w:r>
        <w:fldChar w:fldCharType="begin"/>
      </w:r>
      <w:r>
        <w:instrText xml:space="preserve"> HYPERLINK \l "_Toc16675136" </w:instrText>
      </w:r>
      <w:r>
        <w:fldChar w:fldCharType="separate"/>
      </w:r>
      <w:r>
        <w:rPr>
          <w:rStyle w:val="29"/>
        </w:rPr>
        <w:t>附图15 西区的湿地公园在中山市湿地公园的位置</w:t>
      </w:r>
      <w:r>
        <w:tab/>
      </w:r>
      <w:r>
        <w:fldChar w:fldCharType="begin"/>
      </w:r>
      <w:r>
        <w:instrText xml:space="preserve"> PAGEREF _Toc16675136 \h </w:instrText>
      </w:r>
      <w:r>
        <w:fldChar w:fldCharType="separate"/>
      </w:r>
      <w:r>
        <w:t>129</w:t>
      </w:r>
      <w:r>
        <w:fldChar w:fldCharType="end"/>
      </w:r>
      <w:r>
        <w:fldChar w:fldCharType="end"/>
      </w:r>
    </w:p>
    <w:p w14:paraId="72DB4CF3">
      <w:pPr>
        <w:pStyle w:val="16"/>
        <w:ind w:firstLine="0" w:firstLineChars="0"/>
        <w:rPr>
          <w:rFonts w:asciiTheme="minorHAnsi" w:hAnsiTheme="minorHAnsi" w:cstheme="minorBidi"/>
          <w:b w:val="0"/>
          <w:sz w:val="21"/>
          <w:szCs w:val="22"/>
        </w:rPr>
      </w:pPr>
      <w:r>
        <w:fldChar w:fldCharType="begin"/>
      </w:r>
      <w:r>
        <w:instrText xml:space="preserve"> HYPERLINK \l "_Toc16675137" </w:instrText>
      </w:r>
      <w:r>
        <w:fldChar w:fldCharType="separate"/>
      </w:r>
      <w:r>
        <w:rPr>
          <w:rStyle w:val="29"/>
        </w:rPr>
        <w:t>附图16 西区水生态文明建设总体布局图</w:t>
      </w:r>
      <w:r>
        <w:tab/>
      </w:r>
      <w:r>
        <w:fldChar w:fldCharType="begin"/>
      </w:r>
      <w:r>
        <w:instrText xml:space="preserve"> PAGEREF _Toc16675137 \h </w:instrText>
      </w:r>
      <w:r>
        <w:fldChar w:fldCharType="separate"/>
      </w:r>
      <w:r>
        <w:t>130</w:t>
      </w:r>
      <w:r>
        <w:fldChar w:fldCharType="end"/>
      </w:r>
      <w:r>
        <w:fldChar w:fldCharType="end"/>
      </w:r>
    </w:p>
    <w:p w14:paraId="109A86E6">
      <w:pPr>
        <w:pStyle w:val="16"/>
        <w:ind w:firstLine="0" w:firstLineChars="0"/>
        <w:rPr>
          <w:rFonts w:asciiTheme="minorHAnsi" w:hAnsiTheme="minorHAnsi" w:cstheme="minorBidi"/>
          <w:b w:val="0"/>
          <w:sz w:val="21"/>
          <w:szCs w:val="22"/>
        </w:rPr>
      </w:pPr>
      <w:r>
        <w:fldChar w:fldCharType="begin"/>
      </w:r>
      <w:r>
        <w:instrText xml:space="preserve"> HYPERLINK \l "_Toc16675138" </w:instrText>
      </w:r>
      <w:r>
        <w:fldChar w:fldCharType="separate"/>
      </w:r>
      <w:r>
        <w:rPr>
          <w:rStyle w:val="29"/>
        </w:rPr>
        <w:t>附图17 西区水生态文明建设近期重点工程布置图</w:t>
      </w:r>
      <w:r>
        <w:tab/>
      </w:r>
      <w:r>
        <w:fldChar w:fldCharType="begin"/>
      </w:r>
      <w:r>
        <w:instrText xml:space="preserve"> PAGEREF _Toc16675138 \h </w:instrText>
      </w:r>
      <w:r>
        <w:fldChar w:fldCharType="separate"/>
      </w:r>
      <w:r>
        <w:t>131</w:t>
      </w:r>
      <w:r>
        <w:fldChar w:fldCharType="end"/>
      </w:r>
      <w:r>
        <w:fldChar w:fldCharType="end"/>
      </w:r>
    </w:p>
    <w:p w14:paraId="6F55CEE9">
      <w:pPr>
        <w:pStyle w:val="16"/>
        <w:ind w:firstLine="0" w:firstLineChars="0"/>
        <w:rPr>
          <w:rFonts w:asciiTheme="minorHAnsi" w:hAnsiTheme="minorHAnsi" w:cstheme="minorBidi"/>
          <w:b w:val="0"/>
          <w:sz w:val="21"/>
          <w:szCs w:val="22"/>
        </w:rPr>
      </w:pPr>
      <w:r>
        <w:fldChar w:fldCharType="begin"/>
      </w:r>
      <w:r>
        <w:instrText xml:space="preserve"> HYPERLINK \l "_Toc16675139" </w:instrText>
      </w:r>
      <w:r>
        <w:fldChar w:fldCharType="separate"/>
      </w:r>
      <w:r>
        <w:rPr>
          <w:rStyle w:val="29"/>
        </w:rPr>
        <w:t>附图18 西区水生态文明建设中期重点工程布置图</w:t>
      </w:r>
      <w:r>
        <w:tab/>
      </w:r>
      <w:r>
        <w:fldChar w:fldCharType="begin"/>
      </w:r>
      <w:r>
        <w:instrText xml:space="preserve"> PAGEREF _Toc16675139 \h </w:instrText>
      </w:r>
      <w:r>
        <w:fldChar w:fldCharType="separate"/>
      </w:r>
      <w:r>
        <w:t>132</w:t>
      </w:r>
      <w:r>
        <w:fldChar w:fldCharType="end"/>
      </w:r>
      <w:r>
        <w:fldChar w:fldCharType="end"/>
      </w:r>
    </w:p>
    <w:p w14:paraId="120D6BEC">
      <w:pPr>
        <w:pStyle w:val="16"/>
        <w:ind w:firstLine="0" w:firstLineChars="0"/>
        <w:rPr>
          <w:rFonts w:asciiTheme="minorHAnsi" w:hAnsiTheme="minorHAnsi" w:cstheme="minorBidi"/>
          <w:b w:val="0"/>
          <w:sz w:val="21"/>
          <w:szCs w:val="22"/>
        </w:rPr>
      </w:pPr>
      <w:r>
        <w:fldChar w:fldCharType="begin"/>
      </w:r>
      <w:r>
        <w:instrText xml:space="preserve"> HYPERLINK \l "_Toc16675140" </w:instrText>
      </w:r>
      <w:r>
        <w:fldChar w:fldCharType="separate"/>
      </w:r>
      <w:r>
        <w:rPr>
          <w:rStyle w:val="29"/>
        </w:rPr>
        <w:t>附图19 西区水生态文明建设远期重点工程布置图</w:t>
      </w:r>
      <w:r>
        <w:tab/>
      </w:r>
      <w:r>
        <w:fldChar w:fldCharType="begin"/>
      </w:r>
      <w:r>
        <w:instrText xml:space="preserve"> PAGEREF _Toc16675140 \h </w:instrText>
      </w:r>
      <w:r>
        <w:fldChar w:fldCharType="separate"/>
      </w:r>
      <w:r>
        <w:t>133</w:t>
      </w:r>
      <w:r>
        <w:fldChar w:fldCharType="end"/>
      </w:r>
      <w:r>
        <w:fldChar w:fldCharType="end"/>
      </w:r>
    </w:p>
    <w:p w14:paraId="11AC894B">
      <w:pPr>
        <w:pStyle w:val="16"/>
        <w:ind w:firstLine="0" w:firstLineChars="0"/>
        <w:rPr>
          <w:rFonts w:asciiTheme="minorHAnsi" w:hAnsiTheme="minorHAnsi" w:cstheme="minorBidi"/>
          <w:b w:val="0"/>
          <w:sz w:val="21"/>
          <w:szCs w:val="22"/>
        </w:rPr>
      </w:pPr>
      <w:r>
        <w:fldChar w:fldCharType="begin"/>
      </w:r>
      <w:r>
        <w:instrText xml:space="preserve"> HYPERLINK \l "_Toc16675141" </w:instrText>
      </w:r>
      <w:r>
        <w:fldChar w:fldCharType="separate"/>
      </w:r>
      <w:r>
        <w:rPr>
          <w:rStyle w:val="29"/>
        </w:rPr>
        <w:t>附表1 中山市2016~2020年度各镇区用水指标分配方案</w:t>
      </w:r>
      <w:r>
        <w:tab/>
      </w:r>
      <w:r>
        <w:fldChar w:fldCharType="begin"/>
      </w:r>
      <w:r>
        <w:instrText xml:space="preserve"> PAGEREF _Toc16675141 \h </w:instrText>
      </w:r>
      <w:r>
        <w:fldChar w:fldCharType="separate"/>
      </w:r>
      <w:r>
        <w:t>134</w:t>
      </w:r>
      <w:r>
        <w:fldChar w:fldCharType="end"/>
      </w:r>
      <w:r>
        <w:fldChar w:fldCharType="end"/>
      </w:r>
    </w:p>
    <w:p w14:paraId="1F63E866">
      <w:pPr>
        <w:pStyle w:val="16"/>
        <w:ind w:firstLine="0" w:firstLineChars="0"/>
        <w:rPr>
          <w:rFonts w:asciiTheme="minorHAnsi" w:hAnsiTheme="minorHAnsi" w:cstheme="minorBidi"/>
          <w:b w:val="0"/>
          <w:sz w:val="21"/>
          <w:szCs w:val="22"/>
        </w:rPr>
      </w:pPr>
      <w:r>
        <w:fldChar w:fldCharType="begin"/>
      </w:r>
      <w:r>
        <w:instrText xml:space="preserve"> HYPERLINK \l "_Toc16675142" </w:instrText>
      </w:r>
      <w:r>
        <w:fldChar w:fldCharType="separate"/>
      </w:r>
      <w:r>
        <w:rPr>
          <w:rStyle w:val="29"/>
        </w:rPr>
        <w:t>附表2 西区水生态文明城市建设评价计分细则表</w:t>
      </w:r>
      <w:r>
        <w:tab/>
      </w:r>
      <w:r>
        <w:fldChar w:fldCharType="begin"/>
      </w:r>
      <w:r>
        <w:instrText xml:space="preserve"> PAGEREF _Toc16675142 \h </w:instrText>
      </w:r>
      <w:r>
        <w:fldChar w:fldCharType="separate"/>
      </w:r>
      <w:r>
        <w:t>136</w:t>
      </w:r>
      <w:r>
        <w:fldChar w:fldCharType="end"/>
      </w:r>
      <w:r>
        <w:fldChar w:fldCharType="end"/>
      </w:r>
    </w:p>
    <w:p w14:paraId="612DD6F1">
      <w:pPr>
        <w:pStyle w:val="16"/>
        <w:ind w:firstLine="0" w:firstLineChars="0"/>
        <w:rPr>
          <w:rFonts w:asciiTheme="minorHAnsi" w:hAnsiTheme="minorHAnsi" w:cstheme="minorBidi"/>
          <w:b w:val="0"/>
          <w:sz w:val="21"/>
          <w:szCs w:val="22"/>
        </w:rPr>
      </w:pPr>
      <w:r>
        <w:fldChar w:fldCharType="begin"/>
      </w:r>
      <w:r>
        <w:instrText xml:space="preserve"> HYPERLINK \l "_Toc16675143" </w:instrText>
      </w:r>
      <w:r>
        <w:fldChar w:fldCharType="separate"/>
      </w:r>
      <w:r>
        <w:rPr>
          <w:rStyle w:val="29"/>
        </w:rPr>
        <w:t>附录1 水生态文明城市建设全国通用指标公式</w:t>
      </w:r>
      <w:r>
        <w:tab/>
      </w:r>
      <w:r>
        <w:fldChar w:fldCharType="begin"/>
      </w:r>
      <w:r>
        <w:instrText xml:space="preserve"> PAGEREF _Toc16675143 \h </w:instrText>
      </w:r>
      <w:r>
        <w:fldChar w:fldCharType="separate"/>
      </w:r>
      <w:r>
        <w:t>138</w:t>
      </w:r>
      <w:r>
        <w:fldChar w:fldCharType="end"/>
      </w:r>
      <w:r>
        <w:fldChar w:fldCharType="end"/>
      </w:r>
    </w:p>
    <w:p w14:paraId="080C3B80">
      <w:pPr>
        <w:pStyle w:val="16"/>
        <w:ind w:firstLine="0" w:firstLineChars="0"/>
        <w:rPr>
          <w:rFonts w:asciiTheme="minorHAnsi" w:hAnsiTheme="minorHAnsi" w:cstheme="minorBidi"/>
          <w:b w:val="0"/>
          <w:sz w:val="21"/>
          <w:szCs w:val="22"/>
        </w:rPr>
      </w:pPr>
      <w:r>
        <w:fldChar w:fldCharType="begin"/>
      </w:r>
      <w:r>
        <w:instrText xml:space="preserve"> HYPERLINK \l "_Toc16675144" </w:instrText>
      </w:r>
      <w:r>
        <w:fldChar w:fldCharType="separate"/>
      </w:r>
      <w:r>
        <w:rPr>
          <w:rStyle w:val="29"/>
        </w:rPr>
        <w:t>附件1 西区各部门意见和专家评审意见</w:t>
      </w:r>
      <w:r>
        <w:tab/>
      </w:r>
      <w:r>
        <w:fldChar w:fldCharType="begin"/>
      </w:r>
      <w:r>
        <w:instrText xml:space="preserve"> PAGEREF _Toc16675144 \h </w:instrText>
      </w:r>
      <w:r>
        <w:fldChar w:fldCharType="separate"/>
      </w:r>
      <w:r>
        <w:t>147</w:t>
      </w:r>
      <w:r>
        <w:fldChar w:fldCharType="end"/>
      </w:r>
      <w:r>
        <w:fldChar w:fldCharType="end"/>
      </w:r>
    </w:p>
    <w:p w14:paraId="354A1FBE">
      <w:pPr>
        <w:pStyle w:val="16"/>
        <w:ind w:firstLine="0" w:firstLineChars="0"/>
        <w:rPr>
          <w:rFonts w:asciiTheme="minorHAnsi" w:hAnsiTheme="minorHAnsi" w:cstheme="minorBidi"/>
          <w:b w:val="0"/>
          <w:sz w:val="21"/>
          <w:szCs w:val="22"/>
        </w:rPr>
      </w:pPr>
      <w:r>
        <w:fldChar w:fldCharType="begin"/>
      </w:r>
      <w:r>
        <w:instrText xml:space="preserve"> HYPERLINK \l "_Toc16675145" </w:instrText>
      </w:r>
      <w:r>
        <w:fldChar w:fldCharType="separate"/>
      </w:r>
      <w:r>
        <w:rPr>
          <w:rStyle w:val="29"/>
        </w:rPr>
        <w:t>附件2 西区各部门意见和专家评审意见回复与确认</w:t>
      </w:r>
      <w:r>
        <w:tab/>
      </w:r>
      <w:r>
        <w:fldChar w:fldCharType="begin"/>
      </w:r>
      <w:r>
        <w:instrText xml:space="preserve"> PAGEREF _Toc16675145 \h </w:instrText>
      </w:r>
      <w:r>
        <w:fldChar w:fldCharType="separate"/>
      </w:r>
      <w:r>
        <w:t>175</w:t>
      </w:r>
      <w:r>
        <w:fldChar w:fldCharType="end"/>
      </w:r>
      <w:r>
        <w:fldChar w:fldCharType="end"/>
      </w:r>
    </w:p>
    <w:p w14:paraId="3A969950">
      <w:pPr>
        <w:ind w:firstLine="0" w:firstLineChars="0"/>
        <w:jc w:val="left"/>
        <w:rPr>
          <w:rFonts w:cs="Times New Roman"/>
        </w:rPr>
      </w:pPr>
      <w:r>
        <w:rPr>
          <w:rFonts w:cs="Times New Roman"/>
          <w:bCs/>
          <w:lang w:val="zh-CN"/>
        </w:rPr>
        <w:fldChar w:fldCharType="end"/>
      </w:r>
    </w:p>
    <w:p w14:paraId="0830D3D1">
      <w:pPr>
        <w:widowControl/>
        <w:spacing w:line="240" w:lineRule="auto"/>
        <w:ind w:firstLine="0" w:firstLineChars="0"/>
        <w:jc w:val="left"/>
        <w:rPr>
          <w:rFonts w:eastAsia="仿宋"/>
          <w:sz w:val="28"/>
          <w:szCs w:val="28"/>
        </w:rPr>
      </w:pPr>
    </w:p>
    <w:p w14:paraId="299F315E">
      <w:pPr>
        <w:widowControl/>
        <w:spacing w:line="240" w:lineRule="auto"/>
        <w:ind w:firstLine="0" w:firstLineChars="0"/>
        <w:jc w:val="left"/>
        <w:rPr>
          <w:b/>
          <w:bCs/>
        </w:rPr>
      </w:pPr>
    </w:p>
    <w:p w14:paraId="7C57DF37">
      <w:pPr>
        <w:ind w:firstLine="0" w:firstLineChars="0"/>
        <w:rPr>
          <w:rFonts w:cs="Times New Roman"/>
        </w:rPr>
        <w:sectPr>
          <w:footerReference r:id="rId11" w:type="default"/>
          <w:pgSz w:w="11906" w:h="16838"/>
          <w:pgMar w:top="1440" w:right="1800" w:bottom="1440" w:left="1800" w:header="851" w:footer="992" w:gutter="0"/>
          <w:pgNumType w:fmt="upperRoman" w:start="1"/>
          <w:cols w:space="425" w:num="1"/>
          <w:docGrid w:type="lines" w:linePitch="312" w:charSpace="0"/>
        </w:sectPr>
      </w:pPr>
      <w:bookmarkStart w:id="1" w:name="_Toc430686400"/>
    </w:p>
    <w:bookmarkEnd w:id="0"/>
    <w:bookmarkEnd w:id="1"/>
    <w:p w14:paraId="29AC0F8C">
      <w:pPr>
        <w:pStyle w:val="2"/>
        <w:spacing w:before="0" w:after="0" w:line="360" w:lineRule="auto"/>
        <w:rPr>
          <w:rFonts w:cs="Times New Roman"/>
        </w:rPr>
      </w:pPr>
      <w:bookmarkStart w:id="2" w:name="_Toc16674997"/>
      <w:r>
        <w:rPr>
          <w:rFonts w:hint="eastAsia" w:cs="Times New Roman"/>
        </w:rPr>
        <w:t>1</w:t>
      </w:r>
      <w:r>
        <w:rPr>
          <w:rFonts w:cs="Times New Roman"/>
        </w:rPr>
        <w:t xml:space="preserve"> </w:t>
      </w:r>
      <w:r>
        <w:rPr>
          <w:rFonts w:hint="eastAsia" w:cs="Times New Roman"/>
        </w:rPr>
        <w:t>概述</w:t>
      </w:r>
      <w:bookmarkEnd w:id="2"/>
    </w:p>
    <w:p w14:paraId="7E9C789D">
      <w:pPr>
        <w:pStyle w:val="4"/>
        <w:spacing w:before="0" w:after="0" w:line="360" w:lineRule="auto"/>
      </w:pPr>
      <w:bookmarkStart w:id="3" w:name="_Toc16674998"/>
      <w:bookmarkStart w:id="4" w:name="_Toc318459802"/>
      <w:bookmarkStart w:id="5" w:name="_Toc290239757"/>
      <w:r>
        <w:rPr>
          <w:rFonts w:hint="eastAsia"/>
        </w:rPr>
        <w:t>1</w:t>
      </w:r>
      <w:r>
        <w:t>.1</w:t>
      </w:r>
      <w:r>
        <w:rPr>
          <w:rFonts w:hint="eastAsia"/>
        </w:rPr>
        <w:t>项目背景</w:t>
      </w:r>
      <w:bookmarkEnd w:id="3"/>
    </w:p>
    <w:p w14:paraId="113FA585">
      <w:pPr>
        <w:pStyle w:val="3"/>
        <w:spacing w:before="0" w:after="0"/>
        <w:rPr>
          <w:rFonts w:eastAsia="宋体"/>
          <w:szCs w:val="24"/>
        </w:rPr>
      </w:pPr>
      <w:bookmarkStart w:id="6" w:name="_Toc32517"/>
      <w:bookmarkStart w:id="7" w:name="_Toc498877646"/>
      <w:bookmarkStart w:id="8" w:name="_Toc7434"/>
      <w:bookmarkStart w:id="9" w:name="_Toc528880252"/>
      <w:bookmarkStart w:id="10" w:name="_Toc16674999"/>
      <w:bookmarkStart w:id="11" w:name="_Toc23224"/>
      <w:bookmarkStart w:id="12" w:name="_Toc630"/>
      <w:bookmarkStart w:id="13" w:name="_Toc503213992"/>
      <w:bookmarkStart w:id="14" w:name="_Toc523407610"/>
      <w:bookmarkStart w:id="15" w:name="_Toc32752"/>
      <w:bookmarkStart w:id="16" w:name="_Toc9274"/>
      <w:r>
        <w:rPr>
          <w:szCs w:val="28"/>
        </w:rPr>
        <w:t>1.1.</w:t>
      </w:r>
      <w:r>
        <w:rPr>
          <w:rFonts w:hint="eastAsia"/>
          <w:szCs w:val="28"/>
        </w:rPr>
        <w:t>1</w:t>
      </w:r>
      <w:r>
        <w:t>项目编制背景</w:t>
      </w:r>
      <w:bookmarkEnd w:id="6"/>
      <w:bookmarkEnd w:id="7"/>
      <w:bookmarkEnd w:id="8"/>
      <w:bookmarkEnd w:id="9"/>
      <w:bookmarkEnd w:id="10"/>
      <w:bookmarkEnd w:id="11"/>
      <w:bookmarkEnd w:id="12"/>
      <w:bookmarkEnd w:id="13"/>
      <w:bookmarkEnd w:id="14"/>
      <w:bookmarkEnd w:id="15"/>
      <w:bookmarkEnd w:id="16"/>
    </w:p>
    <w:p w14:paraId="5E464590">
      <w:pPr>
        <w:ind w:firstLine="480"/>
        <w:rPr>
          <w:rFonts w:eastAsia="宋体" w:cs="Times New Roman"/>
          <w:szCs w:val="24"/>
        </w:rPr>
      </w:pPr>
      <w:r>
        <w:rPr>
          <w:rFonts w:ascii="宋体" w:hAnsi="宋体" w:eastAsia="宋体" w:cs="Times New Roman"/>
          <w:szCs w:val="24"/>
        </w:rPr>
        <w:t>水资源是人类生存和发展的基础，是经济社会可持续发展的重要物质保障。《中共中央国务院关于加快水利改革发展的决定》（中发〔</w:t>
      </w:r>
      <w:r>
        <w:rPr>
          <w:rFonts w:eastAsia="宋体" w:cs="Times New Roman"/>
          <w:szCs w:val="24"/>
        </w:rPr>
        <w:t>2011</w:t>
      </w:r>
      <w:r>
        <w:rPr>
          <w:rFonts w:ascii="宋体" w:hAnsi="宋体" w:eastAsia="宋体" w:cs="Times New Roman"/>
          <w:szCs w:val="24"/>
        </w:rPr>
        <w:t>〕</w:t>
      </w:r>
      <w:r>
        <w:rPr>
          <w:rFonts w:eastAsia="宋体" w:cs="Times New Roman"/>
          <w:szCs w:val="24"/>
        </w:rPr>
        <w:t>1</w:t>
      </w:r>
      <w:r>
        <w:rPr>
          <w:rFonts w:ascii="宋体" w:hAnsi="宋体" w:eastAsia="宋体" w:cs="Times New Roman"/>
          <w:szCs w:val="24"/>
        </w:rPr>
        <w:t>号）、《中共广东省委广东省人民政府关于加快我省水利改革发展的决定》（粤发〔</w:t>
      </w:r>
      <w:r>
        <w:rPr>
          <w:rFonts w:eastAsia="宋体" w:cs="Times New Roman"/>
          <w:szCs w:val="24"/>
        </w:rPr>
        <w:t>2011</w:t>
      </w:r>
      <w:r>
        <w:rPr>
          <w:rFonts w:ascii="宋体" w:hAnsi="宋体" w:eastAsia="宋体" w:cs="Times New Roman"/>
          <w:szCs w:val="24"/>
        </w:rPr>
        <w:t>〕</w:t>
      </w:r>
      <w:r>
        <w:rPr>
          <w:rFonts w:eastAsia="宋体" w:cs="Times New Roman"/>
          <w:szCs w:val="24"/>
        </w:rPr>
        <w:t>9</w:t>
      </w:r>
      <w:r>
        <w:rPr>
          <w:rFonts w:ascii="宋体" w:hAnsi="宋体" w:eastAsia="宋体" w:cs="Times New Roman"/>
          <w:szCs w:val="24"/>
        </w:rPr>
        <w:t>号）、《广东省水利发</w:t>
      </w:r>
      <w:r>
        <w:rPr>
          <w:rFonts w:hint="eastAsia" w:ascii="宋体" w:hAnsi="宋体" w:eastAsia="宋体" w:cs="Times New Roman"/>
          <w:szCs w:val="24"/>
        </w:rPr>
        <w:t>展“十三五”规</w:t>
      </w:r>
      <w:r>
        <w:rPr>
          <w:rFonts w:ascii="宋体" w:hAnsi="宋体" w:eastAsia="宋体" w:cs="Times New Roman"/>
          <w:szCs w:val="24"/>
        </w:rPr>
        <w:t>划》、《水利部关于深化水利改革的指导意见》等为水生态文明建设提供了政治保障。党的十八大提</w:t>
      </w:r>
      <w:r>
        <w:rPr>
          <w:rFonts w:hint="eastAsia" w:ascii="宋体" w:hAnsi="宋体" w:eastAsia="宋体" w:cs="Times New Roman"/>
          <w:szCs w:val="24"/>
        </w:rPr>
        <w:t>出了“五位一体”的</w:t>
      </w:r>
      <w:r>
        <w:rPr>
          <w:rFonts w:ascii="宋体" w:hAnsi="宋体" w:eastAsia="宋体" w:cs="Times New Roman"/>
          <w:szCs w:val="24"/>
        </w:rPr>
        <w:t>战略部署，把生态文明建设放在更加突出的位置。水生态文明是生态文明建设最重要的组成部分</w:t>
      </w:r>
      <w:r>
        <w:rPr>
          <w:rFonts w:hint="eastAsia" w:ascii="宋体" w:hAnsi="宋体" w:eastAsia="宋体" w:cs="Times New Roman"/>
          <w:szCs w:val="24"/>
        </w:rPr>
        <w:t>。2017年10月，水利部召开干部大会，传达贯彻党的十九大精神，提出要积极践行人与自然和谐共生理念，着力强化水生态文明建设。深入落实最严格水资源管理制度，强化“三条红线”刚性约束，实施国家节水行动，推进水资源消耗总量和强度双控行动，全面建设节水型社会。落实水污染防治行动计划，大力实施江河库水系连通，扎实开展地下水超采区综合治理和水土流失综合防治，统筹推进城乡水生态文明建设。</w:t>
      </w:r>
      <w:r>
        <w:rPr>
          <w:rFonts w:eastAsia="宋体" w:cs="Times New Roman"/>
          <w:szCs w:val="24"/>
        </w:rPr>
        <w:t>2013</w:t>
      </w:r>
      <w:r>
        <w:rPr>
          <w:rFonts w:ascii="宋体" w:hAnsi="宋体" w:eastAsia="宋体" w:cs="Times New Roman"/>
          <w:szCs w:val="24"/>
        </w:rPr>
        <w:t>年，水利部出台了《关于加快推进水生态文明建设工作的意见》（水资源〔</w:t>
      </w:r>
      <w:r>
        <w:rPr>
          <w:rFonts w:eastAsia="宋体" w:cs="Times New Roman"/>
          <w:szCs w:val="24"/>
        </w:rPr>
        <w:t>2013</w:t>
      </w:r>
      <w:r>
        <w:rPr>
          <w:rFonts w:ascii="宋体" w:hAnsi="宋体" w:eastAsia="宋体" w:cs="Times New Roman"/>
          <w:szCs w:val="24"/>
        </w:rPr>
        <w:t>〕</w:t>
      </w:r>
      <w:r>
        <w:rPr>
          <w:rFonts w:eastAsia="宋体" w:cs="Times New Roman"/>
          <w:szCs w:val="24"/>
        </w:rPr>
        <w:t>1</w:t>
      </w:r>
      <w:r>
        <w:rPr>
          <w:rFonts w:ascii="宋体" w:hAnsi="宋体" w:eastAsia="宋体" w:cs="Times New Roman"/>
          <w:szCs w:val="24"/>
        </w:rPr>
        <w:t>号），启动了全国范围内的水生态文明建设试点工作。国务院</w:t>
      </w:r>
      <w:r>
        <w:rPr>
          <w:rFonts w:eastAsia="宋体" w:cs="Times New Roman"/>
          <w:szCs w:val="24"/>
        </w:rPr>
        <w:t>2016</w:t>
      </w:r>
      <w:r>
        <w:rPr>
          <w:rFonts w:ascii="宋体" w:hAnsi="宋体" w:eastAsia="宋体" w:cs="Times New Roman"/>
          <w:szCs w:val="24"/>
        </w:rPr>
        <w:t>年全面推行河长制工作，为推进水生态文明建设提供制度保障。广东省已先期开展了第一批、第二批水生态文明城市建设试点工作，广州、珠海、惠州、东莞市纳入了国家试点，并将进一步推进珠三角地区其余五市的水生态文明城市建设。同时，水生态文明</w:t>
      </w:r>
      <w:r>
        <w:rPr>
          <w:rFonts w:hint="eastAsia" w:ascii="宋体" w:hAnsi="宋体" w:eastAsia="宋体" w:cs="Times New Roman"/>
          <w:szCs w:val="24"/>
          <w:lang w:bidi="ar"/>
        </w:rPr>
        <w:t>水环境、水节约等</w:t>
      </w:r>
      <w:r>
        <w:rPr>
          <w:rFonts w:hint="eastAsia" w:ascii="宋体" w:hAnsi="宋体" w:eastAsia="宋体" w:cs="Times New Roman"/>
          <w:szCs w:val="24"/>
        </w:rPr>
        <w:t>相关指标</w:t>
      </w:r>
      <w:r>
        <w:rPr>
          <w:rFonts w:ascii="宋体" w:hAnsi="宋体" w:eastAsia="宋体" w:cs="Times New Roman"/>
          <w:szCs w:val="24"/>
        </w:rPr>
        <w:t>建设工作已纳入广东省实行最严格水资源管理制度考核工作中。</w:t>
      </w:r>
    </w:p>
    <w:p w14:paraId="56131C1B">
      <w:pPr>
        <w:ind w:firstLine="480"/>
        <w:rPr>
          <w:rFonts w:eastAsia="宋体" w:cs="Times New Roman"/>
          <w:szCs w:val="24"/>
        </w:rPr>
      </w:pPr>
      <w:r>
        <w:rPr>
          <w:rFonts w:ascii="宋体" w:hAnsi="宋体" w:eastAsia="宋体" w:cs="Times New Roman"/>
          <w:szCs w:val="24"/>
        </w:rPr>
        <w:t>为了贯彻落实党的十九大和十九届二中、三中全会关于加强生态文明建设的重要精神及中共中央、广东省委省政府、中山市委市政府关于全面深化改革的工作部署，中山市委市政府印发了《关于贯彻落实省改革试点方案的实施意见》（中山委办〔</w:t>
      </w:r>
      <w:r>
        <w:rPr>
          <w:rFonts w:eastAsia="宋体" w:cs="Times New Roman"/>
          <w:szCs w:val="24"/>
        </w:rPr>
        <w:t>2014</w:t>
      </w:r>
      <w:r>
        <w:rPr>
          <w:rFonts w:ascii="宋体" w:hAnsi="宋体" w:eastAsia="宋体" w:cs="Times New Roman"/>
          <w:szCs w:val="24"/>
        </w:rPr>
        <w:t>〕</w:t>
      </w:r>
      <w:r>
        <w:rPr>
          <w:rFonts w:eastAsia="宋体" w:cs="Times New Roman"/>
          <w:szCs w:val="24"/>
        </w:rPr>
        <w:t>25</w:t>
      </w:r>
      <w:r>
        <w:rPr>
          <w:rFonts w:ascii="宋体" w:hAnsi="宋体" w:eastAsia="宋体" w:cs="Times New Roman"/>
          <w:szCs w:val="24"/>
        </w:rPr>
        <w:t>号）要求推进中山市水生态文明城市试点建设。为了进一步加快推进水生态文明建设，促进经济社会发展与水资源、水环境承载能力相协调，不断提升中山市</w:t>
      </w:r>
      <w:r>
        <w:rPr>
          <w:rFonts w:hint="eastAsia" w:ascii="宋体" w:hAnsi="宋体" w:eastAsia="宋体" w:cs="Times New Roman"/>
          <w:szCs w:val="24"/>
        </w:rPr>
        <w:t>西区</w:t>
      </w:r>
      <w:r>
        <w:rPr>
          <w:rFonts w:ascii="宋体" w:hAnsi="宋体" w:eastAsia="宋体" w:cs="Times New Roman"/>
          <w:szCs w:val="24"/>
        </w:rPr>
        <w:t>生态文明建设。</w:t>
      </w:r>
      <w:r>
        <w:rPr>
          <w:rFonts w:hint="eastAsia" w:ascii="宋体" w:hAnsi="宋体" w:eastAsia="宋体" w:cs="Times New Roman"/>
          <w:szCs w:val="24"/>
        </w:rPr>
        <w:t>西区位于中山市中西部，是中山市重要的城市功能核心区。</w:t>
      </w:r>
      <w:r>
        <w:rPr>
          <w:rFonts w:ascii="宋体" w:hAnsi="宋体" w:eastAsia="宋体" w:cs="Times New Roman"/>
          <w:szCs w:val="24"/>
        </w:rPr>
        <w:t>随着中山市对全市水生态文明建设工作的推进，</w:t>
      </w:r>
      <w:r>
        <w:rPr>
          <w:rFonts w:hint="eastAsia" w:ascii="宋体" w:hAnsi="宋体" w:eastAsia="宋体" w:cs="Times New Roman"/>
          <w:szCs w:val="24"/>
        </w:rPr>
        <w:t>西区</w:t>
      </w:r>
      <w:r>
        <w:rPr>
          <w:rFonts w:ascii="宋体" w:hAnsi="宋体" w:eastAsia="宋体" w:cs="Times New Roman"/>
          <w:szCs w:val="24"/>
        </w:rPr>
        <w:t>抓住当前自身水利事业发展的重要战略机遇期，深化水利体制机制改革，建设水生态文明社会。通过水安全、水环境整治、水生态修复、水监管、水节约、水文化</w:t>
      </w:r>
      <w:r>
        <w:rPr>
          <w:rFonts w:hint="eastAsia" w:ascii="宋体" w:hAnsi="宋体" w:eastAsia="宋体" w:cs="Times New Roman"/>
          <w:szCs w:val="24"/>
        </w:rPr>
        <w:t>等</w:t>
      </w:r>
      <w:r>
        <w:rPr>
          <w:rFonts w:ascii="宋体" w:hAnsi="宋体" w:eastAsia="宋体" w:cs="Times New Roman"/>
          <w:szCs w:val="24"/>
        </w:rPr>
        <w:t>建设现状与</w:t>
      </w:r>
      <w:r>
        <w:rPr>
          <w:rFonts w:hint="eastAsia" w:ascii="宋体" w:hAnsi="宋体" w:eastAsia="宋体" w:cs="Times New Roman"/>
          <w:szCs w:val="24"/>
        </w:rPr>
        <w:t>相关</w:t>
      </w:r>
      <w:r>
        <w:rPr>
          <w:rFonts w:ascii="宋体" w:hAnsi="宋体" w:eastAsia="宋体" w:cs="Times New Roman"/>
          <w:szCs w:val="24"/>
        </w:rPr>
        <w:t>规划资料的收集、调查、分析，开展中山市</w:t>
      </w:r>
      <w:r>
        <w:rPr>
          <w:rFonts w:hint="eastAsia" w:ascii="宋体" w:hAnsi="宋体" w:eastAsia="宋体" w:cs="Times New Roman"/>
          <w:szCs w:val="24"/>
        </w:rPr>
        <w:t>西区</w:t>
      </w:r>
      <w:r>
        <w:rPr>
          <w:rFonts w:ascii="宋体" w:hAnsi="宋体" w:eastAsia="宋体" w:cs="Times New Roman"/>
          <w:szCs w:val="24"/>
        </w:rPr>
        <w:t>水生态文明现状评估；深入剖析</w:t>
      </w:r>
      <w:r>
        <w:rPr>
          <w:rFonts w:hint="eastAsia" w:ascii="宋体" w:hAnsi="宋体" w:eastAsia="宋体" w:cs="Times New Roman"/>
          <w:szCs w:val="24"/>
        </w:rPr>
        <w:t>西区</w:t>
      </w:r>
      <w:r>
        <w:rPr>
          <w:rFonts w:ascii="宋体" w:hAnsi="宋体" w:eastAsia="宋体" w:cs="Times New Roman"/>
          <w:szCs w:val="24"/>
        </w:rPr>
        <w:t>水生态城市建设的现状，根据《水利部关于加快推进水生态文明建设工作的意见》（水资源〔</w:t>
      </w:r>
      <w:r>
        <w:rPr>
          <w:rFonts w:eastAsia="宋体" w:cs="Times New Roman"/>
          <w:szCs w:val="24"/>
        </w:rPr>
        <w:t>2013</w:t>
      </w:r>
      <w:r>
        <w:rPr>
          <w:rFonts w:ascii="宋体" w:hAnsi="宋体" w:eastAsia="宋体" w:cs="Times New Roman"/>
          <w:szCs w:val="24"/>
        </w:rPr>
        <w:t>〕</w:t>
      </w:r>
      <w:r>
        <w:rPr>
          <w:rFonts w:eastAsia="宋体" w:cs="Times New Roman"/>
          <w:szCs w:val="24"/>
        </w:rPr>
        <w:t>145</w:t>
      </w:r>
      <w:r>
        <w:rPr>
          <w:rFonts w:ascii="宋体" w:hAnsi="宋体" w:eastAsia="宋体" w:cs="Times New Roman"/>
          <w:szCs w:val="24"/>
        </w:rPr>
        <w:t>号）中水生态文明建设的指导思想、基本原则、目标与主要工作内容，结合中山市生态文明规划、水资源规划、节水型社会建设规划、生态环境规划、水利规划、城市规划等相关规划成果，</w:t>
      </w:r>
      <w:r>
        <w:rPr>
          <w:rFonts w:hint="eastAsia" w:ascii="宋体" w:hAnsi="宋体" w:eastAsia="宋体" w:cs="Times New Roman"/>
          <w:szCs w:val="24"/>
        </w:rPr>
        <w:t>融合</w:t>
      </w:r>
      <w:r>
        <w:rPr>
          <w:rFonts w:hint="eastAsia" w:eastAsia="宋体" w:cs="Times New Roman"/>
          <w:szCs w:val="24"/>
        </w:rPr>
        <w:t>“水安全、水环境、水生态、水监管、水节约、水文化”，形成“六点一面”</w:t>
      </w:r>
      <w:r>
        <w:rPr>
          <w:rFonts w:ascii="宋体" w:hAnsi="宋体" w:eastAsia="宋体" w:cs="Times New Roman"/>
          <w:szCs w:val="24"/>
        </w:rPr>
        <w:t>的水生态文明建设体系，编制中山市</w:t>
      </w:r>
      <w:r>
        <w:rPr>
          <w:rFonts w:hint="eastAsia" w:ascii="宋体" w:hAnsi="宋体" w:eastAsia="宋体" w:cs="Times New Roman"/>
          <w:szCs w:val="24"/>
        </w:rPr>
        <w:t>西区</w:t>
      </w:r>
      <w:r>
        <w:rPr>
          <w:rFonts w:ascii="宋体" w:hAnsi="宋体" w:eastAsia="宋体" w:cs="Times New Roman"/>
          <w:szCs w:val="24"/>
        </w:rPr>
        <w:t>水生态文明建设规划。打造一批重点示范工程，积极推进治水与建设思路的战略性转变，使水生态文明理念深入人心，改善中山市</w:t>
      </w:r>
      <w:r>
        <w:rPr>
          <w:rFonts w:hint="eastAsia" w:ascii="宋体" w:hAnsi="宋体" w:eastAsia="宋体" w:cs="Times New Roman"/>
          <w:szCs w:val="24"/>
        </w:rPr>
        <w:t>西区</w:t>
      </w:r>
      <w:r>
        <w:rPr>
          <w:rFonts w:ascii="宋体" w:hAnsi="宋体" w:eastAsia="宋体" w:cs="Times New Roman"/>
          <w:szCs w:val="24"/>
        </w:rPr>
        <w:t>人居环境，促进社会和谐发展。</w:t>
      </w:r>
    </w:p>
    <w:p w14:paraId="68405573">
      <w:pPr>
        <w:spacing w:line="240" w:lineRule="auto"/>
        <w:ind w:firstLine="480"/>
        <w:rPr>
          <w:rFonts w:eastAsia="宋体" w:cs="Times New Roman"/>
          <w:szCs w:val="24"/>
        </w:rPr>
      </w:pPr>
    </w:p>
    <w:p w14:paraId="1B5E58AA">
      <w:pPr>
        <w:pStyle w:val="3"/>
        <w:spacing w:before="0" w:after="0"/>
      </w:pPr>
      <w:bookmarkStart w:id="17" w:name="_Toc528880253"/>
      <w:bookmarkStart w:id="18" w:name="_Toc6270"/>
      <w:bookmarkStart w:id="19" w:name="_Toc27942"/>
      <w:bookmarkStart w:id="20" w:name="_Toc503213993"/>
      <w:bookmarkStart w:id="21" w:name="_Toc17871"/>
      <w:bookmarkStart w:id="22" w:name="_Toc3527"/>
      <w:bookmarkStart w:id="23" w:name="_Toc24981"/>
      <w:bookmarkStart w:id="24" w:name="_Toc523407611"/>
      <w:bookmarkStart w:id="25" w:name="_Toc498877647"/>
      <w:bookmarkStart w:id="26" w:name="_Toc16675000"/>
      <w:bookmarkStart w:id="27" w:name="_Toc24330"/>
      <w:r>
        <w:t>1.1.2</w:t>
      </w:r>
      <w:r>
        <w:rPr>
          <w:rFonts w:hint="eastAsia"/>
        </w:rPr>
        <w:t>规划编制的必要性与紧迫性</w:t>
      </w:r>
      <w:bookmarkEnd w:id="17"/>
      <w:bookmarkEnd w:id="18"/>
      <w:bookmarkEnd w:id="19"/>
      <w:bookmarkEnd w:id="20"/>
      <w:bookmarkEnd w:id="21"/>
      <w:bookmarkEnd w:id="22"/>
      <w:bookmarkEnd w:id="23"/>
      <w:bookmarkEnd w:id="24"/>
      <w:bookmarkEnd w:id="25"/>
      <w:bookmarkEnd w:id="26"/>
      <w:bookmarkEnd w:id="27"/>
    </w:p>
    <w:p w14:paraId="76D6F0CF">
      <w:pPr>
        <w:ind w:firstLine="0" w:firstLineChars="0"/>
        <w:outlineLvl w:val="3"/>
        <w:rPr>
          <w:rFonts w:eastAsia="黑体"/>
          <w:szCs w:val="24"/>
        </w:rPr>
      </w:pPr>
      <w:r>
        <w:rPr>
          <w:rFonts w:hint="eastAsia" w:eastAsia="黑体"/>
          <w:szCs w:val="24"/>
        </w:rPr>
        <w:t>1</w:t>
      </w:r>
      <w:r>
        <w:rPr>
          <w:rFonts w:eastAsia="黑体"/>
          <w:szCs w:val="24"/>
        </w:rPr>
        <w:t>.1.</w:t>
      </w:r>
      <w:r>
        <w:rPr>
          <w:rFonts w:hint="eastAsia" w:eastAsia="黑体"/>
          <w:szCs w:val="24"/>
        </w:rPr>
        <w:t>2</w:t>
      </w:r>
      <w:r>
        <w:rPr>
          <w:rFonts w:eastAsia="黑体"/>
          <w:szCs w:val="24"/>
        </w:rPr>
        <w:t>.1</w:t>
      </w:r>
      <w:r>
        <w:rPr>
          <w:rFonts w:hint="eastAsia" w:eastAsia="黑体"/>
          <w:szCs w:val="24"/>
        </w:rPr>
        <w:t>贯彻落实中山市水生态文明城市建设的要求</w:t>
      </w:r>
    </w:p>
    <w:p w14:paraId="2554C6AD">
      <w:pPr>
        <w:ind w:firstLine="480"/>
        <w:rPr>
          <w:rFonts w:eastAsia="宋体" w:cs="Times New Roman"/>
          <w:szCs w:val="24"/>
        </w:rPr>
      </w:pPr>
      <w:r>
        <w:rPr>
          <w:rFonts w:eastAsia="宋体" w:cs="Times New Roman"/>
          <w:szCs w:val="24"/>
        </w:rPr>
        <w:t>为认真贯彻</w:t>
      </w:r>
      <w:r>
        <w:rPr>
          <w:rFonts w:hint="eastAsia" w:eastAsia="宋体" w:cs="Times New Roman"/>
          <w:szCs w:val="24"/>
        </w:rPr>
        <w:t>《中山市委市政府印发了关于贯彻落实省改革试点方案的实施意见》（中山委办〔2014〕25号）要求推进中山市水生态文明城市试点建设的</w:t>
      </w:r>
      <w:r>
        <w:rPr>
          <w:rFonts w:eastAsia="宋体" w:cs="Times New Roman"/>
          <w:szCs w:val="24"/>
        </w:rPr>
        <w:t>精神，进一步强化中山市</w:t>
      </w:r>
      <w:r>
        <w:rPr>
          <w:rFonts w:hint="eastAsia" w:eastAsia="宋体" w:cs="Times New Roman"/>
          <w:szCs w:val="24"/>
        </w:rPr>
        <w:t>水生态文明城市建设</w:t>
      </w:r>
      <w:r>
        <w:rPr>
          <w:rFonts w:eastAsia="宋体" w:cs="Times New Roman"/>
          <w:szCs w:val="24"/>
        </w:rPr>
        <w:t>工作</w:t>
      </w:r>
      <w:r>
        <w:rPr>
          <w:rFonts w:hint="eastAsia" w:eastAsia="宋体" w:cs="Times New Roman"/>
          <w:szCs w:val="24"/>
        </w:rPr>
        <w:t>。为贯彻落实最严格水资源管理制度和水生态文明建设要求，根据《广东省水利厅、广东省机关事务管理局转发关于开展公共机构节水型单位建设工作的通知》（粤水资源[2014]3号）、《广东省水利厅、广东省人民政府机关事务管理局关于印发广东省公共机构节水型单位建设标准的通知》（粤水资源[2014]11号）、《广东省水利发展“十三五”规划》、《中山市最严格水资源管理制度实施方案》、《中山市2016-2020年度最严格水资源管理制度考核实施细则》（中水函[2016]15号）、《水利部关于加快推进水生态文明建设工作的意见》（水资源〔2013〕1号）、《关于贯彻落实省改革试点方案的实施意见》（中山委办〔2014〕25号），并在推动经济可持续发展和生态和谐的要求下，中山市西区于2019年着手开展水生态文明建设规划编制工作。</w:t>
      </w:r>
    </w:p>
    <w:p w14:paraId="028810F3">
      <w:pPr>
        <w:ind w:firstLine="0" w:firstLineChars="0"/>
        <w:outlineLvl w:val="3"/>
        <w:rPr>
          <w:rFonts w:eastAsia="黑体"/>
          <w:szCs w:val="24"/>
        </w:rPr>
      </w:pPr>
      <w:r>
        <w:rPr>
          <w:rFonts w:hint="eastAsia" w:eastAsia="黑体"/>
          <w:szCs w:val="24"/>
        </w:rPr>
        <w:t>1.1.2.2支撑中山市西区可持续发展的迫切需求</w:t>
      </w:r>
    </w:p>
    <w:p w14:paraId="6037DEF3">
      <w:pPr>
        <w:ind w:firstLine="480"/>
        <w:rPr>
          <w:rFonts w:eastAsia="宋体" w:cs="Times New Roman"/>
          <w:szCs w:val="24"/>
        </w:rPr>
      </w:pPr>
      <w:r>
        <w:rPr>
          <w:rFonts w:hint="eastAsia" w:eastAsia="宋体" w:cs="Times New Roman"/>
          <w:szCs w:val="24"/>
        </w:rPr>
        <w:t>水生态文明建设是中山市西区生态文明建设的关键举措，它对于中山市西区的绿色资源保护和水生态环境保护起重要作用，同时对于中山市西区经济社会的可持续发展起重要作用。</w:t>
      </w:r>
    </w:p>
    <w:p w14:paraId="51F2767F">
      <w:pPr>
        <w:ind w:firstLine="480"/>
        <w:rPr>
          <w:rFonts w:eastAsia="宋体" w:cs="Times New Roman"/>
          <w:szCs w:val="24"/>
        </w:rPr>
      </w:pPr>
      <w:r>
        <w:rPr>
          <w:rFonts w:hint="eastAsia" w:eastAsia="宋体" w:cs="Times New Roman"/>
          <w:szCs w:val="24"/>
        </w:rPr>
        <w:t>根据中山市最严格水资源管理制度的考核结果，201</w:t>
      </w:r>
      <w:r>
        <w:rPr>
          <w:rFonts w:eastAsia="宋体" w:cs="Times New Roman"/>
          <w:szCs w:val="24"/>
        </w:rPr>
        <w:t>7</w:t>
      </w:r>
      <w:r>
        <w:rPr>
          <w:rFonts w:hint="eastAsia" w:eastAsia="宋体" w:cs="Times New Roman"/>
          <w:szCs w:val="24"/>
        </w:rPr>
        <w:t>年中山市西区水功能区水质达标率、水质保护和水质治理工作均处于中山各镇区的中下游，根据规划显示该区规划水功能区水质达标率需达到80%以上，水生态保护任务重且紧。从水量方面来看，根据</w:t>
      </w:r>
      <w:r>
        <w:rPr>
          <w:rFonts w:hint="eastAsia" w:eastAsia="宋体" w:cs="Times New Roman"/>
          <w:szCs w:val="28"/>
          <w:lang w:bidi="ar"/>
        </w:rPr>
        <w:t>《中山市</w:t>
      </w:r>
      <w:r>
        <w:rPr>
          <w:rFonts w:eastAsia="宋体" w:cs="Times New Roman"/>
          <w:szCs w:val="28"/>
          <w:lang w:bidi="ar"/>
        </w:rPr>
        <w:t>2016~2020</w:t>
      </w:r>
      <w:r>
        <w:rPr>
          <w:rFonts w:hint="eastAsia" w:eastAsia="宋体" w:cs="Times New Roman"/>
          <w:szCs w:val="28"/>
          <w:lang w:bidi="ar"/>
        </w:rPr>
        <w:t>年度用水指标分配方案》</w:t>
      </w:r>
      <w:r>
        <w:rPr>
          <w:rFonts w:hint="eastAsia" w:eastAsia="宋体" w:cs="Times New Roman"/>
          <w:szCs w:val="24"/>
        </w:rPr>
        <w:t>，西区用水总量指标为3707</w:t>
      </w:r>
      <w:r>
        <w:rPr>
          <w:rFonts w:eastAsia="宋体" w:cs="Times New Roman"/>
          <w:szCs w:val="24"/>
        </w:rPr>
        <w:t>万m³，</w:t>
      </w:r>
      <w:r>
        <w:rPr>
          <w:rFonts w:hint="eastAsia" w:eastAsia="宋体" w:cs="Times New Roman"/>
          <w:szCs w:val="24"/>
        </w:rPr>
        <w:t>占中山市用水总量16.53亿</w:t>
      </w:r>
      <w:r>
        <w:rPr>
          <w:rFonts w:eastAsia="宋体" w:cs="Times New Roman"/>
          <w:szCs w:val="24"/>
          <w:lang w:bidi="ar"/>
        </w:rPr>
        <w:t>m³</w:t>
      </w:r>
      <w:r>
        <w:rPr>
          <w:rFonts w:hint="eastAsia" w:eastAsia="宋体" w:cs="Times New Roman"/>
          <w:szCs w:val="24"/>
        </w:rPr>
        <w:t>的2.2%，</w:t>
      </w:r>
      <w:r>
        <w:rPr>
          <w:rFonts w:eastAsia="宋体" w:cs="Times New Roman"/>
          <w:szCs w:val="24"/>
        </w:rPr>
        <w:t>工业和生活用水总量指标为</w:t>
      </w:r>
      <w:r>
        <w:rPr>
          <w:rFonts w:hint="eastAsia" w:eastAsia="宋体" w:cs="Times New Roman"/>
          <w:szCs w:val="24"/>
        </w:rPr>
        <w:t>2800</w:t>
      </w:r>
      <w:r>
        <w:rPr>
          <w:rFonts w:eastAsia="宋体" w:cs="Times New Roman"/>
          <w:szCs w:val="24"/>
        </w:rPr>
        <w:t>万m³。2017年中山市</w:t>
      </w:r>
      <w:r>
        <w:rPr>
          <w:rFonts w:hint="eastAsia" w:eastAsia="宋体" w:cs="Times New Roman"/>
          <w:szCs w:val="24"/>
        </w:rPr>
        <w:t>西区</w:t>
      </w:r>
      <w:r>
        <w:rPr>
          <w:rFonts w:eastAsia="宋体" w:cs="Times New Roman"/>
          <w:szCs w:val="24"/>
        </w:rPr>
        <w:t>工业和生活用水量</w:t>
      </w:r>
      <w:r>
        <w:rPr>
          <w:rFonts w:hint="eastAsia" w:eastAsia="宋体" w:cs="Times New Roman"/>
          <w:szCs w:val="24"/>
        </w:rPr>
        <w:t>2308.4</w:t>
      </w:r>
      <w:r>
        <w:rPr>
          <w:rFonts w:eastAsia="宋体" w:cs="Times New Roman"/>
          <w:szCs w:val="24"/>
        </w:rPr>
        <w:t>万m³，其中生活用水量</w:t>
      </w:r>
      <w:r>
        <w:rPr>
          <w:rFonts w:hint="eastAsia" w:eastAsia="宋体" w:cs="Times New Roman"/>
          <w:szCs w:val="24"/>
        </w:rPr>
        <w:t>1936.4</w:t>
      </w:r>
      <w:r>
        <w:rPr>
          <w:rFonts w:eastAsia="宋体" w:cs="Times New Roman"/>
          <w:szCs w:val="24"/>
        </w:rPr>
        <w:t>万m³，工业用水量</w:t>
      </w:r>
      <w:r>
        <w:rPr>
          <w:rFonts w:hint="eastAsia" w:eastAsia="宋体" w:cs="Times New Roman"/>
          <w:szCs w:val="24"/>
        </w:rPr>
        <w:t>372.0</w:t>
      </w:r>
      <w:r>
        <w:rPr>
          <w:rFonts w:eastAsia="宋体" w:cs="Times New Roman"/>
          <w:szCs w:val="24"/>
        </w:rPr>
        <w:t>万m³，而到2020年其工业和生活用水量需控制在</w:t>
      </w:r>
      <w:r>
        <w:rPr>
          <w:rFonts w:hint="eastAsia" w:eastAsia="宋体" w:cs="Times New Roman"/>
          <w:szCs w:val="24"/>
        </w:rPr>
        <w:t>2800</w:t>
      </w:r>
      <w:r>
        <w:rPr>
          <w:rFonts w:eastAsia="宋体" w:cs="Times New Roman"/>
          <w:szCs w:val="24"/>
        </w:rPr>
        <w:t>万m³，</w:t>
      </w:r>
      <w:r>
        <w:rPr>
          <w:rFonts w:hint="eastAsia" w:eastAsia="宋体" w:cs="Times New Roman"/>
          <w:szCs w:val="24"/>
        </w:rPr>
        <w:t>用水总量增加空间有限。而“十三五”时期多项房地产项目和商业开发项目将先后落户西区，其中中国中小企业互联网应用创新（中山）示范园、嘉华彩虹大厦、西区服务业综合改革试验区、富业广场（二期）、LED产业园（格林曼）、领尚阳光家园、金色海棠花园、隽峰花园（博达）、沁美家园（大信）、棕榈彩虹项目、剑桥郡和富沙湾等相继建成或续建，预计“十三五”时期西区的用水量需求将持续增加，这给水生态文明建设带来一定压力。因此，亟需开展水生态文明建设规划等工作，以缓解水生态保护压力和节约水资源，以支撑西区经济社会的可持续发展的迫切需求。</w:t>
      </w:r>
    </w:p>
    <w:p w14:paraId="02DAFED6">
      <w:pPr>
        <w:spacing w:line="240" w:lineRule="auto"/>
        <w:ind w:firstLine="480"/>
        <w:rPr>
          <w:rFonts w:eastAsia="宋体" w:cs="Times New Roman"/>
          <w:szCs w:val="24"/>
        </w:rPr>
      </w:pPr>
    </w:p>
    <w:p w14:paraId="41A429A2">
      <w:pPr>
        <w:pStyle w:val="4"/>
        <w:spacing w:before="0" w:after="0" w:line="360" w:lineRule="auto"/>
      </w:pPr>
      <w:bookmarkStart w:id="28" w:name="_Toc16675001"/>
      <w:r>
        <w:rPr>
          <w:rFonts w:hint="eastAsia"/>
        </w:rPr>
        <w:t>1</w:t>
      </w:r>
      <w:r>
        <w:t>.2</w:t>
      </w:r>
      <w:r>
        <w:rPr>
          <w:rFonts w:hint="eastAsia"/>
        </w:rPr>
        <w:t>自然状况</w:t>
      </w:r>
      <w:bookmarkEnd w:id="28"/>
    </w:p>
    <w:p w14:paraId="240CEBB2">
      <w:pPr>
        <w:pStyle w:val="3"/>
        <w:spacing w:before="0" w:after="0"/>
      </w:pPr>
      <w:bookmarkStart w:id="29" w:name="_Toc523407613"/>
      <w:bookmarkStart w:id="30" w:name="_Toc503213995"/>
      <w:bookmarkStart w:id="31" w:name="_Toc498447346"/>
      <w:bookmarkStart w:id="32" w:name="_Toc498877674"/>
      <w:bookmarkStart w:id="33" w:name="_Toc6863"/>
      <w:bookmarkStart w:id="34" w:name="_Toc528880255"/>
      <w:bookmarkStart w:id="35" w:name="_Toc19746"/>
      <w:bookmarkStart w:id="36" w:name="_Toc16675002"/>
      <w:bookmarkStart w:id="37" w:name="_Toc8234"/>
      <w:bookmarkStart w:id="38" w:name="_Toc8207"/>
      <w:bookmarkStart w:id="39" w:name="_Toc32363"/>
      <w:bookmarkStart w:id="40" w:name="_Toc23686"/>
      <w:r>
        <w:rPr>
          <w:rFonts w:hint="eastAsia"/>
        </w:rPr>
        <w:t>1.2.1</w:t>
      </w:r>
      <w:bookmarkEnd w:id="29"/>
      <w:bookmarkEnd w:id="30"/>
      <w:bookmarkEnd w:id="31"/>
      <w:bookmarkEnd w:id="32"/>
      <w:r>
        <w:rPr>
          <w:rFonts w:hint="eastAsia"/>
        </w:rPr>
        <w:t>地理位置</w:t>
      </w:r>
      <w:bookmarkEnd w:id="33"/>
      <w:bookmarkEnd w:id="34"/>
      <w:bookmarkEnd w:id="35"/>
      <w:bookmarkEnd w:id="36"/>
      <w:bookmarkEnd w:id="37"/>
      <w:bookmarkEnd w:id="38"/>
      <w:bookmarkEnd w:id="39"/>
      <w:bookmarkEnd w:id="40"/>
    </w:p>
    <w:p w14:paraId="009A931C">
      <w:pPr>
        <w:ind w:firstLine="480"/>
        <w:rPr>
          <w:rFonts w:ascii="宋体" w:hAnsi="宋体" w:eastAsia="宋体" w:cs="Times New Roman"/>
          <w:szCs w:val="24"/>
        </w:rPr>
      </w:pPr>
      <w:r>
        <w:rPr>
          <w:rFonts w:hint="eastAsia" w:ascii="宋体" w:hAnsi="宋体" w:eastAsia="宋体" w:cs="Times New Roman"/>
          <w:szCs w:val="24"/>
        </w:rPr>
        <w:t>中山市东临珠江口，与珠海、澳门相邻，与深圳、香港隔海相望，北距省会广州市约</w:t>
      </w:r>
      <w:r>
        <w:rPr>
          <w:rFonts w:eastAsia="宋体" w:cs="Times New Roman"/>
          <w:szCs w:val="24"/>
        </w:rPr>
        <w:t>100km。</w:t>
      </w:r>
      <w:r>
        <w:rPr>
          <w:rFonts w:hint="eastAsia" w:ascii="宋体" w:hAnsi="宋体" w:eastAsia="宋体" w:cs="Times New Roman"/>
          <w:szCs w:val="24"/>
        </w:rPr>
        <w:t>西区位于中山市城区西部</w:t>
      </w:r>
      <w:r>
        <w:rPr>
          <w:rFonts w:eastAsia="宋体" w:cs="Times New Roman"/>
          <w:szCs w:val="24"/>
        </w:rPr>
        <w:t>（</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1</w:t>
      </w:r>
      <w:r>
        <w:rPr>
          <w:rFonts w:eastAsia="宋体" w:cs="Times New Roman"/>
          <w:szCs w:val="24"/>
        </w:rPr>
        <w:t>）</w:t>
      </w:r>
      <w:r>
        <w:rPr>
          <w:rFonts w:hint="eastAsia" w:ascii="宋体" w:hAnsi="宋体" w:eastAsia="宋体" w:cs="Times New Roman"/>
          <w:szCs w:val="24"/>
        </w:rPr>
        <w:t>，是中心城区的西大门，</w:t>
      </w:r>
      <w:r>
        <w:rPr>
          <w:rFonts w:eastAsia="宋体" w:cs="Times New Roman"/>
          <w:szCs w:val="24"/>
        </w:rPr>
        <w:t>行政区域总</w:t>
      </w:r>
      <w:r>
        <w:rPr>
          <w:rFonts w:hint="eastAsia" w:ascii="宋体" w:hAnsi="宋体" w:eastAsia="宋体" w:cs="Times New Roman"/>
          <w:szCs w:val="24"/>
        </w:rPr>
        <w:t>面积</w:t>
      </w:r>
      <w:r>
        <w:rPr>
          <w:rFonts w:eastAsia="宋体" w:cs="Times New Roman"/>
          <w:szCs w:val="24"/>
        </w:rPr>
        <w:t>25.21km。</w:t>
      </w:r>
      <w:r>
        <w:rPr>
          <w:rFonts w:hint="eastAsia" w:ascii="宋体" w:hAnsi="宋体" w:eastAsia="宋体" w:cs="Times New Roman"/>
          <w:szCs w:val="24"/>
        </w:rPr>
        <w:t>镇域东北临港口镇，西北与东升镇相邻，西临沙溪镇，东与石岐区相邻，南与南区接壤。是中山著名的侨乡和历史文化之乡，处广州、深圳、珠海、香港、澳门</w:t>
      </w:r>
      <w:r>
        <w:rPr>
          <w:rFonts w:eastAsia="宋体" w:cs="Times New Roman"/>
          <w:szCs w:val="24"/>
        </w:rPr>
        <w:t>1h</w:t>
      </w:r>
      <w:r>
        <w:rPr>
          <w:rFonts w:hint="eastAsia" w:ascii="宋体" w:hAnsi="宋体" w:eastAsia="宋体" w:cs="Times New Roman"/>
          <w:szCs w:val="24"/>
        </w:rPr>
        <w:t>生活圈内。</w:t>
      </w:r>
      <w:r>
        <w:rPr>
          <w:rFonts w:eastAsia="宋体" w:cs="Times New Roman"/>
          <w:szCs w:val="24"/>
        </w:rPr>
        <w:t>广珠轻轨、105国道、广珠公路、江中公路、新岐江公路、北外环、博爱路、富华道、中山路以</w:t>
      </w:r>
      <w:r>
        <w:rPr>
          <w:rFonts w:hint="eastAsia" w:ascii="宋体" w:hAnsi="宋体" w:eastAsia="宋体" w:cs="Times New Roman"/>
          <w:szCs w:val="24"/>
        </w:rPr>
        <w:t xml:space="preserve">及正在建设的太澳高速、小榄快线等道路纵横穿越，是中山重要的交通枢纽。 </w:t>
      </w:r>
    </w:p>
    <w:p w14:paraId="7AEC65B4">
      <w:pPr>
        <w:ind w:firstLine="480"/>
        <w:rPr>
          <w:rFonts w:ascii="宋体" w:hAnsi="宋体" w:eastAsia="宋体" w:cs="Times New Roman"/>
          <w:szCs w:val="24"/>
        </w:rPr>
      </w:pPr>
      <w:r>
        <w:rPr>
          <w:rFonts w:hint="eastAsia" w:eastAsia="宋体" w:cs="Times New Roman"/>
          <w:szCs w:val="24"/>
        </w:rPr>
        <w:t>西区</w:t>
      </w:r>
      <w:r>
        <w:rPr>
          <w:rFonts w:eastAsia="宋体" w:cs="Times New Roman"/>
          <w:szCs w:val="24"/>
        </w:rPr>
        <w:t>下辖9个社区，分别为：</w:t>
      </w:r>
      <w:r>
        <w:rPr>
          <w:rFonts w:hint="eastAsia" w:ascii="宋体" w:hAnsi="宋体" w:eastAsia="宋体" w:cs="Times New Roman"/>
          <w:szCs w:val="24"/>
        </w:rPr>
        <w:t>隆平社区</w:t>
      </w:r>
      <w:r>
        <w:rPr>
          <w:rFonts w:eastAsia="宋体" w:cs="Times New Roman"/>
          <w:szCs w:val="24"/>
        </w:rPr>
        <w:t>、</w:t>
      </w:r>
      <w:r>
        <w:rPr>
          <w:rFonts w:hint="eastAsia" w:ascii="宋体" w:hAnsi="宋体" w:eastAsia="宋体" w:cs="Times New Roman"/>
          <w:szCs w:val="24"/>
        </w:rPr>
        <w:t>后山社区</w:t>
      </w:r>
      <w:r>
        <w:rPr>
          <w:rFonts w:hint="eastAsia" w:eastAsia="宋体" w:cs="Times New Roman"/>
          <w:szCs w:val="24"/>
        </w:rPr>
        <w:t>、</w:t>
      </w:r>
      <w:r>
        <w:rPr>
          <w:rFonts w:hint="eastAsia" w:ascii="宋体" w:hAnsi="宋体" w:eastAsia="宋体" w:cs="Times New Roman"/>
          <w:szCs w:val="24"/>
        </w:rPr>
        <w:t>烟洲社区</w:t>
      </w:r>
      <w:r>
        <w:rPr>
          <w:rFonts w:hint="eastAsia" w:eastAsia="宋体" w:cs="Times New Roman"/>
          <w:szCs w:val="24"/>
        </w:rPr>
        <w:t>、</w:t>
      </w:r>
      <w:r>
        <w:rPr>
          <w:rFonts w:hint="eastAsia" w:ascii="宋体" w:hAnsi="宋体" w:eastAsia="宋体" w:cs="Times New Roman"/>
          <w:szCs w:val="24"/>
        </w:rPr>
        <w:t>长洲社区</w:t>
      </w:r>
      <w:r>
        <w:rPr>
          <w:rFonts w:hint="eastAsia" w:eastAsia="宋体" w:cs="Times New Roman"/>
          <w:szCs w:val="24"/>
        </w:rPr>
        <w:t>、</w:t>
      </w:r>
      <w:r>
        <w:rPr>
          <w:rFonts w:hint="eastAsia" w:ascii="宋体" w:hAnsi="宋体" w:eastAsia="宋体" w:cs="Times New Roman"/>
          <w:szCs w:val="24"/>
        </w:rPr>
        <w:t>沙朗社区</w:t>
      </w:r>
      <w:r>
        <w:rPr>
          <w:rFonts w:hint="eastAsia" w:eastAsia="宋体" w:cs="Times New Roman"/>
          <w:szCs w:val="24"/>
        </w:rPr>
        <w:t>、</w:t>
      </w:r>
      <w:r>
        <w:rPr>
          <w:rFonts w:hint="eastAsia" w:ascii="宋体" w:hAnsi="宋体" w:eastAsia="宋体" w:cs="Times New Roman"/>
          <w:szCs w:val="24"/>
        </w:rPr>
        <w:t>隆昌社区</w:t>
      </w:r>
      <w:r>
        <w:rPr>
          <w:rFonts w:hint="eastAsia" w:eastAsia="宋体" w:cs="Times New Roman"/>
          <w:szCs w:val="24"/>
        </w:rPr>
        <w:t>、</w:t>
      </w:r>
      <w:r>
        <w:rPr>
          <w:rFonts w:hint="eastAsia" w:ascii="宋体" w:hAnsi="宋体" w:eastAsia="宋体" w:cs="Times New Roman"/>
          <w:szCs w:val="24"/>
        </w:rPr>
        <w:t>彩虹社区</w:t>
      </w:r>
      <w:r>
        <w:rPr>
          <w:rFonts w:hint="eastAsia" w:eastAsia="宋体" w:cs="Times New Roman"/>
          <w:szCs w:val="24"/>
        </w:rPr>
        <w:t>、</w:t>
      </w:r>
      <w:r>
        <w:rPr>
          <w:rFonts w:hint="eastAsia" w:ascii="宋体" w:hAnsi="宋体" w:eastAsia="宋体" w:cs="Times New Roman"/>
          <w:szCs w:val="24"/>
        </w:rPr>
        <w:t>西苑社区</w:t>
      </w:r>
      <w:r>
        <w:rPr>
          <w:rFonts w:hint="eastAsia" w:eastAsia="宋体" w:cs="Times New Roman"/>
          <w:szCs w:val="24"/>
        </w:rPr>
        <w:t>、</w:t>
      </w:r>
      <w:r>
        <w:rPr>
          <w:rFonts w:hint="eastAsia" w:ascii="宋体" w:hAnsi="宋体" w:eastAsia="宋体" w:cs="Times New Roman"/>
          <w:szCs w:val="24"/>
        </w:rPr>
        <w:t>广丰社区</w:t>
      </w:r>
      <w:r>
        <w:rPr>
          <w:rFonts w:eastAsia="宋体" w:cs="Times New Roman"/>
          <w:szCs w:val="24"/>
        </w:rPr>
        <w:t>（</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2</w:t>
      </w:r>
      <w:r>
        <w:rPr>
          <w:rFonts w:eastAsia="宋体" w:cs="Times New Roman"/>
          <w:szCs w:val="24"/>
        </w:rPr>
        <w:t>）</w:t>
      </w:r>
      <w:r>
        <w:rPr>
          <w:rFonts w:hint="eastAsia" w:ascii="宋体" w:hAnsi="宋体" w:eastAsia="宋体" w:cs="Times New Roman"/>
          <w:szCs w:val="24"/>
        </w:rPr>
        <w:t>。</w:t>
      </w:r>
      <w:r>
        <w:rPr>
          <w:rFonts w:hint="eastAsia" w:ascii="宋体" w:hAnsi="宋体"/>
        </w:rPr>
        <w:t xml:space="preserve">          </w:t>
      </w:r>
    </w:p>
    <w:p w14:paraId="64A50815">
      <w:pPr>
        <w:pStyle w:val="3"/>
        <w:spacing w:before="0" w:after="0"/>
        <w:rPr>
          <w:rFonts w:eastAsia="宋体"/>
          <w:szCs w:val="24"/>
        </w:rPr>
      </w:pPr>
      <w:bookmarkStart w:id="41" w:name="_Toc498447347"/>
      <w:bookmarkStart w:id="42" w:name="_Toc523407614"/>
      <w:bookmarkStart w:id="43" w:name="_Toc498877675"/>
      <w:bookmarkStart w:id="44" w:name="_Toc503213996"/>
      <w:bookmarkStart w:id="45" w:name="_Toc18993"/>
      <w:bookmarkStart w:id="46" w:name="_Toc24732"/>
      <w:bookmarkStart w:id="47" w:name="_Toc528880256"/>
      <w:bookmarkStart w:id="48" w:name="_Toc21497"/>
      <w:bookmarkStart w:id="49" w:name="_Toc25850"/>
      <w:bookmarkStart w:id="50" w:name="_Toc16675003"/>
      <w:bookmarkStart w:id="51" w:name="_Toc25337"/>
      <w:bookmarkStart w:id="52" w:name="_Toc7230"/>
      <w:r>
        <w:t>1.2.</w:t>
      </w:r>
      <w:r>
        <w:rPr>
          <w:rFonts w:hint="eastAsia"/>
        </w:rPr>
        <w:t>2</w:t>
      </w:r>
      <w:bookmarkEnd w:id="41"/>
      <w:bookmarkEnd w:id="42"/>
      <w:bookmarkEnd w:id="43"/>
      <w:bookmarkEnd w:id="44"/>
      <w:r>
        <w:rPr>
          <w:rFonts w:hint="eastAsia"/>
        </w:rPr>
        <w:t>地形地貌</w:t>
      </w:r>
      <w:bookmarkEnd w:id="45"/>
      <w:bookmarkEnd w:id="46"/>
      <w:bookmarkEnd w:id="47"/>
      <w:bookmarkEnd w:id="48"/>
      <w:bookmarkEnd w:id="49"/>
      <w:bookmarkEnd w:id="50"/>
      <w:bookmarkEnd w:id="51"/>
      <w:bookmarkEnd w:id="52"/>
    </w:p>
    <w:p w14:paraId="6A6E6C38">
      <w:pPr>
        <w:ind w:firstLine="480"/>
        <w:rPr>
          <w:rFonts w:eastAsia="宋体" w:cs="Times New Roman"/>
          <w:szCs w:val="24"/>
        </w:rPr>
      </w:pPr>
      <w:r>
        <w:rPr>
          <w:rFonts w:hint="eastAsia" w:eastAsia="宋体" w:cs="Times New Roman"/>
          <w:szCs w:val="24"/>
        </w:rPr>
        <w:t>中山市位于珠江三角洲腹地，由大陆架隆起的山地、丘陵和冲积平原、滩地等组成。中部偏东南地势较高，为低山丘陵，北部和南部金斗湾属珠江三角洲冲积平原。东南部的五桂山为全市最高峰，海拔531m（珠基，下同）；北部平原自西北向东南略微倾斜，沉积厚度20~50m，耕地高程在-0.5~1.5m 之间；南部金斗湾平原三面环山，周缘是冲积带，中间是大片淤积平原，地势向西南微倾，耕地高程在-0.5~1.0m 之间。西区位于中山市中部、中心城区西部，以冲积平原为主，地势较平坦，地面高程为1.6~2.5m 左右，有少量农田和鱼塘。</w:t>
      </w:r>
    </w:p>
    <w:p w14:paraId="71759FC7">
      <w:pPr>
        <w:keepNext/>
        <w:keepLines/>
        <w:ind w:firstLine="0" w:firstLineChars="0"/>
        <w:outlineLvl w:val="2"/>
        <w:rPr>
          <w:rFonts w:eastAsia="黑体" w:cs="Times New Roman"/>
          <w:sz w:val="28"/>
          <w:szCs w:val="28"/>
        </w:rPr>
      </w:pPr>
      <w:bookmarkStart w:id="53" w:name="_Toc3567"/>
      <w:bookmarkStart w:id="54" w:name="_Toc528880257"/>
      <w:bookmarkStart w:id="55" w:name="_Toc30713"/>
      <w:bookmarkStart w:id="56" w:name="_Toc4183"/>
      <w:bookmarkStart w:id="57" w:name="_Toc29820"/>
      <w:bookmarkStart w:id="58" w:name="_Toc11692"/>
      <w:bookmarkStart w:id="59" w:name="_Toc12758"/>
      <w:bookmarkStart w:id="60" w:name="_Toc16675004"/>
      <w:r>
        <w:rPr>
          <w:rFonts w:eastAsia="黑体" w:cs="Times New Roman"/>
          <w:sz w:val="28"/>
          <w:szCs w:val="28"/>
        </w:rPr>
        <w:t xml:space="preserve">1.2.3 </w:t>
      </w:r>
      <w:r>
        <w:rPr>
          <w:rFonts w:ascii="黑体" w:hAnsi="黑体" w:eastAsia="黑体" w:cs="Times New Roman"/>
          <w:sz w:val="28"/>
          <w:szCs w:val="28"/>
        </w:rPr>
        <w:t>气候特征</w:t>
      </w:r>
      <w:bookmarkEnd w:id="53"/>
      <w:bookmarkEnd w:id="54"/>
      <w:bookmarkEnd w:id="55"/>
      <w:bookmarkEnd w:id="56"/>
      <w:bookmarkEnd w:id="57"/>
      <w:bookmarkEnd w:id="58"/>
      <w:bookmarkEnd w:id="59"/>
      <w:bookmarkEnd w:id="60"/>
    </w:p>
    <w:p w14:paraId="146FDE42">
      <w:pPr>
        <w:ind w:firstLine="480"/>
        <w:rPr>
          <w:rFonts w:eastAsia="宋体" w:cs="Times New Roman"/>
          <w:szCs w:val="24"/>
        </w:rPr>
      </w:pPr>
      <w:bookmarkStart w:id="61" w:name="_Toc528880258"/>
      <w:bookmarkStart w:id="62" w:name="_Toc22709"/>
      <w:bookmarkStart w:id="63" w:name="_Toc20771"/>
      <w:r>
        <w:rPr>
          <w:rFonts w:hint="eastAsia" w:eastAsia="宋体" w:cs="Times New Roman"/>
          <w:szCs w:val="24"/>
        </w:rPr>
        <w:t>西区有中山（石岐）站，西区地处北回归线以南，属亚热带季风气候区。根据中山（石岐）站多年观测资料，本地区气候温暖湿润，日照充足，雨量充沛，多发暴雨，热带气旋影响频繁。其多年平均（1956~2015年）降雨量1812.8mm；降雨时空分配不均匀，其中汛期（4～9月）占全年降雨总量的83%，非汛期（10 月～次年3月）仅占全年总量的17%。由于受海洋性气候的影响，西区气候温和，年际变化不大，多年平均气温为21.8℃。年内1月份平均气温最低，多年平均为13.3℃，最低气温为-1.3℃（1955 年1 月12日）；7月份平均气温最高，多年平均为28.4℃，最高气温为37.5℃（1994 年7月11日）。西区多年平均光照为1843.5 小时，占年可照的42%，最大日照时间为2393h（1955年），最小日照时间为1456h（1961年），年辐射总量约108千卡/cm2。其年平均蒸发量为1448mm，年蒸发量（Φ80蒸发器测量值）最大为1971年的1606mm，最小为1961 年的1280mm。多年平均相对湿度为83%，最大是1957年的86%，最小是1967年和1977年的81%。年内变化5月至6月大，12月至1月5较小。</w:t>
      </w:r>
    </w:p>
    <w:p w14:paraId="73BB9002">
      <w:pPr>
        <w:ind w:firstLine="480"/>
        <w:rPr>
          <w:rFonts w:eastAsia="宋体" w:cs="Times New Roman"/>
          <w:szCs w:val="24"/>
        </w:rPr>
      </w:pPr>
      <w:r>
        <w:rPr>
          <w:rFonts w:hint="eastAsia" w:eastAsia="宋体" w:cs="Times New Roman"/>
          <w:szCs w:val="24"/>
        </w:rPr>
        <w:t>西区主要受热带气旋（台风）、暴雨、洪水以及旱咸灾害影响较大。据市气象局1956~2015年60 年统计，对中山市有影响的热带气旋（台风）共136 次，其中影响较大的有47次。其中</w:t>
      </w:r>
      <w:r>
        <w:rPr>
          <w:rFonts w:eastAsia="宋体" w:cs="Times New Roman"/>
          <w:szCs w:val="24"/>
        </w:rPr>
        <w:t>2017</w:t>
      </w:r>
      <w:r>
        <w:rPr>
          <w:rFonts w:hint="eastAsia" w:eastAsia="宋体" w:cs="Times New Roman"/>
          <w:szCs w:val="24"/>
        </w:rPr>
        <w:t>年</w:t>
      </w:r>
      <w:r>
        <w:rPr>
          <w:rFonts w:eastAsia="宋体" w:cs="Times New Roman"/>
          <w:szCs w:val="24"/>
        </w:rPr>
        <w:t>8</w:t>
      </w:r>
      <w:r>
        <w:rPr>
          <w:rFonts w:hint="eastAsia" w:eastAsia="宋体" w:cs="Times New Roman"/>
          <w:szCs w:val="24"/>
        </w:rPr>
        <w:t>月</w:t>
      </w:r>
      <w:r>
        <w:rPr>
          <w:rFonts w:eastAsia="宋体" w:cs="Times New Roman"/>
          <w:szCs w:val="24"/>
        </w:rPr>
        <w:t>24</w:t>
      </w:r>
      <w:r>
        <w:rPr>
          <w:rFonts w:hint="eastAsia" w:eastAsia="宋体" w:cs="Times New Roman"/>
          <w:szCs w:val="24"/>
        </w:rPr>
        <w:t>日台风“天鸽”出现历史最大风速4</w:t>
      </w:r>
      <w:r>
        <w:rPr>
          <w:rFonts w:eastAsia="宋体" w:cs="Times New Roman"/>
          <w:szCs w:val="24"/>
        </w:rPr>
        <w:t>5</w:t>
      </w:r>
      <w:r>
        <w:rPr>
          <w:rFonts w:hint="eastAsia" w:eastAsia="宋体" w:cs="Times New Roman"/>
          <w:szCs w:val="24"/>
        </w:rPr>
        <w:t>m/s，最大风力有1</w:t>
      </w:r>
      <w:r>
        <w:rPr>
          <w:rFonts w:eastAsia="宋体" w:cs="Times New Roman"/>
          <w:szCs w:val="24"/>
        </w:rPr>
        <w:t>4</w:t>
      </w:r>
      <w:r>
        <w:rPr>
          <w:rFonts w:hint="eastAsia" w:eastAsia="宋体" w:cs="Times New Roman"/>
          <w:szCs w:val="24"/>
        </w:rPr>
        <w:t>级。台风侵袭时，常带来狂风暴雨、巨浪和暴潮。</w:t>
      </w:r>
    </w:p>
    <w:p w14:paraId="0C4C9C3C">
      <w:pPr>
        <w:keepNext/>
        <w:keepLines/>
        <w:ind w:firstLine="0" w:firstLineChars="0"/>
        <w:outlineLvl w:val="2"/>
        <w:rPr>
          <w:rFonts w:eastAsia="黑体" w:cs="Times New Roman"/>
          <w:sz w:val="28"/>
          <w:szCs w:val="28"/>
        </w:rPr>
      </w:pPr>
      <w:bookmarkStart w:id="64" w:name="_Toc23751"/>
      <w:bookmarkStart w:id="65" w:name="_Toc16675005"/>
      <w:bookmarkStart w:id="66" w:name="_Toc118"/>
      <w:bookmarkStart w:id="67" w:name="_Toc20370"/>
      <w:bookmarkStart w:id="68" w:name="_Toc20250"/>
      <w:r>
        <w:rPr>
          <w:rFonts w:eastAsia="黑体" w:cs="Times New Roman"/>
          <w:sz w:val="28"/>
          <w:szCs w:val="28"/>
        </w:rPr>
        <w:t xml:space="preserve">1.2.4 </w:t>
      </w:r>
      <w:r>
        <w:rPr>
          <w:rFonts w:ascii="黑体" w:hAnsi="黑体" w:eastAsia="黑体" w:cs="Times New Roman"/>
          <w:sz w:val="28"/>
          <w:szCs w:val="28"/>
        </w:rPr>
        <w:t>河流水系</w:t>
      </w:r>
      <w:bookmarkEnd w:id="61"/>
      <w:bookmarkEnd w:id="62"/>
      <w:bookmarkEnd w:id="63"/>
      <w:bookmarkEnd w:id="64"/>
      <w:bookmarkEnd w:id="65"/>
      <w:bookmarkEnd w:id="66"/>
      <w:bookmarkEnd w:id="67"/>
      <w:bookmarkEnd w:id="68"/>
    </w:p>
    <w:p w14:paraId="1EEE7C47">
      <w:pPr>
        <w:ind w:firstLine="480"/>
        <w:rPr>
          <w:rFonts w:ascii="宋体" w:hAnsi="宋体" w:eastAsia="宋体" w:cs="Times New Roman"/>
          <w:szCs w:val="24"/>
        </w:rPr>
      </w:pPr>
      <w:r>
        <w:rPr>
          <w:rFonts w:ascii="宋体" w:hAnsi="宋体" w:eastAsia="宋体" w:cs="Times New Roman"/>
          <w:szCs w:val="24"/>
        </w:rPr>
        <w:t>中山市位于珠江三角洲腹地，境内河网密布，河道、河涌及排水（洪）渠共有</w:t>
      </w:r>
      <w:r>
        <w:rPr>
          <w:rFonts w:eastAsia="宋体" w:cs="Times New Roman"/>
          <w:szCs w:val="24"/>
        </w:rPr>
        <w:t>311</w:t>
      </w:r>
      <w:r>
        <w:rPr>
          <w:rFonts w:ascii="宋体" w:hAnsi="宋体" w:eastAsia="宋体" w:cs="Times New Roman"/>
          <w:szCs w:val="24"/>
        </w:rPr>
        <w:t>条（段），其中主要河道（涌）及排水（洪）渠</w:t>
      </w:r>
      <w:r>
        <w:rPr>
          <w:rFonts w:eastAsia="宋体" w:cs="Times New Roman"/>
          <w:szCs w:val="24"/>
        </w:rPr>
        <w:t>140</w:t>
      </w:r>
      <w:r>
        <w:rPr>
          <w:rFonts w:ascii="宋体" w:hAnsi="宋体" w:eastAsia="宋体" w:cs="Times New Roman"/>
          <w:szCs w:val="24"/>
        </w:rPr>
        <w:t>条（段），总长</w:t>
      </w:r>
      <w:r>
        <w:rPr>
          <w:rFonts w:eastAsia="宋体" w:cs="Times New Roman"/>
          <w:szCs w:val="24"/>
        </w:rPr>
        <w:t>878.2km</w:t>
      </w:r>
      <w:r>
        <w:rPr>
          <w:rFonts w:ascii="宋体" w:hAnsi="宋体" w:eastAsia="宋体" w:cs="Times New Roman"/>
          <w:szCs w:val="24"/>
        </w:rPr>
        <w:t>。其中省管有鸡鸦水道、磨刀门水道等</w:t>
      </w:r>
      <w:r>
        <w:rPr>
          <w:rFonts w:eastAsia="宋体" w:cs="Times New Roman"/>
          <w:szCs w:val="24"/>
        </w:rPr>
        <w:t>13</w:t>
      </w:r>
      <w:r>
        <w:rPr>
          <w:rFonts w:ascii="宋体" w:hAnsi="宋体" w:eastAsia="宋体" w:cs="Times New Roman"/>
          <w:szCs w:val="24"/>
        </w:rPr>
        <w:t>条（段），总长度</w:t>
      </w:r>
      <w:r>
        <w:rPr>
          <w:rFonts w:eastAsia="宋体" w:cs="Times New Roman"/>
          <w:szCs w:val="24"/>
        </w:rPr>
        <w:t>213.7km</w:t>
      </w:r>
      <w:r>
        <w:rPr>
          <w:rFonts w:ascii="宋体" w:hAnsi="宋体" w:eastAsia="宋体" w:cs="Times New Roman"/>
          <w:szCs w:val="24"/>
        </w:rPr>
        <w:t>，市管河道有</w:t>
      </w:r>
      <w:r>
        <w:rPr>
          <w:rFonts w:hint="eastAsia" w:ascii="宋体" w:hAnsi="宋体" w:eastAsia="宋体" w:cs="Times New Roman"/>
          <w:szCs w:val="24"/>
        </w:rPr>
        <w:t>岐江河</w:t>
      </w:r>
      <w:r>
        <w:rPr>
          <w:rFonts w:ascii="宋体" w:hAnsi="宋体" w:eastAsia="宋体" w:cs="Times New Roman"/>
          <w:szCs w:val="24"/>
        </w:rPr>
        <w:t>等</w:t>
      </w:r>
      <w:r>
        <w:rPr>
          <w:rFonts w:eastAsia="宋体" w:cs="Times New Roman"/>
          <w:szCs w:val="24"/>
        </w:rPr>
        <w:t>140</w:t>
      </w:r>
      <w:r>
        <w:rPr>
          <w:rFonts w:ascii="宋体" w:hAnsi="宋体" w:eastAsia="宋体" w:cs="Times New Roman"/>
          <w:szCs w:val="24"/>
        </w:rPr>
        <w:t>条，总长度</w:t>
      </w:r>
      <w:r>
        <w:rPr>
          <w:rFonts w:eastAsia="宋体" w:cs="Times New Roman"/>
          <w:szCs w:val="24"/>
        </w:rPr>
        <w:t>878.2km</w:t>
      </w:r>
      <w:r>
        <w:rPr>
          <w:rFonts w:ascii="宋体" w:hAnsi="宋体" w:eastAsia="宋体" w:cs="Times New Roman"/>
          <w:szCs w:val="24"/>
        </w:rPr>
        <w:t>，全市河流均由磨刀门水道、横门水道、洪奇沥水道三大口门流经出海。本市境内河流少数除</w:t>
      </w:r>
      <w:r>
        <w:rPr>
          <w:rFonts w:hint="eastAsia" w:ascii="宋体" w:hAnsi="宋体" w:eastAsia="宋体" w:cs="Times New Roman"/>
          <w:szCs w:val="24"/>
        </w:rPr>
        <w:t>西区</w:t>
      </w:r>
      <w:r>
        <w:rPr>
          <w:rFonts w:ascii="宋体" w:hAnsi="宋体" w:eastAsia="宋体" w:cs="Times New Roman"/>
          <w:szCs w:val="24"/>
        </w:rPr>
        <w:t>的涌流为单向流，其余绝大多数河流均受洪潮影响，为双向流。中山市主要河流情况见表</w:t>
      </w:r>
      <w:r>
        <w:rPr>
          <w:rFonts w:eastAsia="宋体" w:cs="Times New Roman"/>
          <w:szCs w:val="24"/>
        </w:rPr>
        <w:t>1-1</w:t>
      </w:r>
      <w:r>
        <w:rPr>
          <w:rFonts w:ascii="宋体" w:hAnsi="宋体" w:eastAsia="宋体" w:cs="Times New Roman"/>
          <w:szCs w:val="24"/>
        </w:rPr>
        <w:t>和</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3</w:t>
      </w:r>
      <w:r>
        <w:rPr>
          <w:rFonts w:ascii="宋体" w:hAnsi="宋体" w:eastAsia="宋体" w:cs="Times New Roman"/>
          <w:szCs w:val="24"/>
        </w:rPr>
        <w:t>。</w:t>
      </w:r>
    </w:p>
    <w:p w14:paraId="7E926456">
      <w:pPr>
        <w:spacing w:before="156" w:beforeLines="50" w:line="240" w:lineRule="auto"/>
        <w:ind w:firstLine="420"/>
        <w:jc w:val="center"/>
        <w:rPr>
          <w:rFonts w:eastAsia="宋体" w:cs="Times New Roman"/>
          <w:sz w:val="21"/>
        </w:rPr>
      </w:pPr>
      <w:r>
        <w:rPr>
          <w:rFonts w:ascii="宋体" w:hAnsi="宋体" w:eastAsia="宋体" w:cs="Times New Roman"/>
          <w:sz w:val="21"/>
        </w:rPr>
        <w:t>表</w:t>
      </w:r>
      <w:r>
        <w:rPr>
          <w:rFonts w:eastAsia="宋体" w:cs="Times New Roman"/>
          <w:sz w:val="21"/>
        </w:rPr>
        <w:t xml:space="preserve">1-1 </w:t>
      </w:r>
      <w:r>
        <w:rPr>
          <w:rFonts w:ascii="宋体" w:hAnsi="宋体" w:eastAsia="宋体" w:cs="Times New Roman"/>
          <w:sz w:val="21"/>
        </w:rPr>
        <w:t>中山市主要河流情况</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567"/>
        <w:gridCol w:w="1238"/>
        <w:gridCol w:w="1782"/>
        <w:gridCol w:w="1968"/>
        <w:gridCol w:w="1303"/>
      </w:tblGrid>
      <w:tr w14:paraId="23395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3BF7D7DF">
            <w:pPr>
              <w:spacing w:line="240" w:lineRule="auto"/>
              <w:ind w:firstLine="0" w:firstLineChars="0"/>
              <w:jc w:val="center"/>
              <w:rPr>
                <w:rFonts w:eastAsia="宋体" w:cs="Times New Roman"/>
                <w:sz w:val="21"/>
              </w:rPr>
            </w:pPr>
            <w:r>
              <w:rPr>
                <w:rFonts w:eastAsia="宋体" w:cs="Times New Roman"/>
                <w:sz w:val="21"/>
              </w:rPr>
              <w:t>序号</w:t>
            </w:r>
          </w:p>
        </w:tc>
        <w:tc>
          <w:tcPr>
            <w:tcW w:w="1567" w:type="dxa"/>
            <w:tcBorders>
              <w:top w:val="single" w:color="auto" w:sz="4" w:space="0"/>
              <w:left w:val="nil"/>
              <w:bottom w:val="single" w:color="auto" w:sz="4" w:space="0"/>
              <w:right w:val="single" w:color="auto" w:sz="4" w:space="0"/>
            </w:tcBorders>
            <w:vAlign w:val="center"/>
          </w:tcPr>
          <w:p w14:paraId="06F92869">
            <w:pPr>
              <w:spacing w:line="240" w:lineRule="auto"/>
              <w:ind w:firstLine="0" w:firstLineChars="0"/>
              <w:jc w:val="center"/>
              <w:rPr>
                <w:rFonts w:eastAsia="宋体" w:cs="Times New Roman"/>
                <w:sz w:val="21"/>
              </w:rPr>
            </w:pPr>
            <w:r>
              <w:rPr>
                <w:rFonts w:eastAsia="宋体" w:cs="Times New Roman"/>
                <w:sz w:val="21"/>
              </w:rPr>
              <w:t>标准名称</w:t>
            </w:r>
          </w:p>
        </w:tc>
        <w:tc>
          <w:tcPr>
            <w:tcW w:w="1238" w:type="dxa"/>
            <w:tcBorders>
              <w:top w:val="single" w:color="auto" w:sz="4" w:space="0"/>
              <w:left w:val="nil"/>
              <w:bottom w:val="single" w:color="auto" w:sz="4" w:space="0"/>
              <w:right w:val="single" w:color="auto" w:sz="4" w:space="0"/>
            </w:tcBorders>
            <w:vAlign w:val="center"/>
          </w:tcPr>
          <w:p w14:paraId="0F61B700">
            <w:pPr>
              <w:spacing w:line="240" w:lineRule="auto"/>
              <w:ind w:firstLine="0" w:firstLineChars="0"/>
              <w:jc w:val="center"/>
              <w:rPr>
                <w:rFonts w:eastAsia="宋体" w:cs="Times New Roman"/>
                <w:sz w:val="21"/>
              </w:rPr>
            </w:pPr>
            <w:r>
              <w:rPr>
                <w:rFonts w:eastAsia="宋体" w:cs="Times New Roman"/>
                <w:sz w:val="21"/>
              </w:rPr>
              <w:t>河流等级</w:t>
            </w:r>
          </w:p>
        </w:tc>
        <w:tc>
          <w:tcPr>
            <w:tcW w:w="1782" w:type="dxa"/>
            <w:tcBorders>
              <w:top w:val="single" w:color="auto" w:sz="4" w:space="0"/>
              <w:left w:val="nil"/>
              <w:bottom w:val="single" w:color="auto" w:sz="4" w:space="0"/>
              <w:right w:val="single" w:color="auto" w:sz="4" w:space="0"/>
            </w:tcBorders>
            <w:vAlign w:val="center"/>
          </w:tcPr>
          <w:p w14:paraId="77AEE2B7">
            <w:pPr>
              <w:spacing w:line="240" w:lineRule="auto"/>
              <w:ind w:firstLine="0" w:firstLineChars="0"/>
              <w:jc w:val="center"/>
              <w:rPr>
                <w:rFonts w:eastAsia="宋体" w:cs="Times New Roman"/>
                <w:sz w:val="21"/>
              </w:rPr>
            </w:pPr>
            <w:r>
              <w:rPr>
                <w:rFonts w:eastAsia="宋体" w:cs="Times New Roman"/>
                <w:sz w:val="21"/>
              </w:rPr>
              <w:t>起点</w:t>
            </w:r>
          </w:p>
        </w:tc>
        <w:tc>
          <w:tcPr>
            <w:tcW w:w="1968" w:type="dxa"/>
            <w:tcBorders>
              <w:top w:val="single" w:color="auto" w:sz="4" w:space="0"/>
              <w:left w:val="nil"/>
              <w:bottom w:val="single" w:color="auto" w:sz="4" w:space="0"/>
              <w:right w:val="single" w:color="auto" w:sz="4" w:space="0"/>
            </w:tcBorders>
            <w:vAlign w:val="center"/>
          </w:tcPr>
          <w:p w14:paraId="7C16E37B">
            <w:pPr>
              <w:spacing w:line="240" w:lineRule="auto"/>
              <w:ind w:firstLine="0" w:firstLineChars="0"/>
              <w:jc w:val="center"/>
              <w:rPr>
                <w:rFonts w:eastAsia="宋体" w:cs="Times New Roman"/>
                <w:sz w:val="21"/>
              </w:rPr>
            </w:pPr>
            <w:r>
              <w:rPr>
                <w:rFonts w:eastAsia="宋体" w:cs="Times New Roman"/>
                <w:sz w:val="21"/>
              </w:rPr>
              <w:t>终点</w:t>
            </w:r>
          </w:p>
        </w:tc>
        <w:tc>
          <w:tcPr>
            <w:tcW w:w="1303" w:type="dxa"/>
            <w:tcBorders>
              <w:top w:val="single" w:color="auto" w:sz="4" w:space="0"/>
              <w:left w:val="nil"/>
              <w:bottom w:val="single" w:color="auto" w:sz="4" w:space="0"/>
              <w:right w:val="single" w:color="auto" w:sz="4" w:space="0"/>
            </w:tcBorders>
            <w:vAlign w:val="center"/>
          </w:tcPr>
          <w:p w14:paraId="6AFA6E6D">
            <w:pPr>
              <w:spacing w:line="240" w:lineRule="auto"/>
              <w:ind w:firstLine="0" w:firstLineChars="0"/>
              <w:jc w:val="center"/>
              <w:rPr>
                <w:rFonts w:eastAsia="宋体" w:cs="Times New Roman"/>
                <w:sz w:val="21"/>
              </w:rPr>
            </w:pPr>
            <w:r>
              <w:rPr>
                <w:rFonts w:eastAsia="宋体" w:cs="Times New Roman"/>
                <w:sz w:val="21"/>
              </w:rPr>
              <w:t>河长（km</w:t>
            </w:r>
            <w:r>
              <w:rPr>
                <w:rFonts w:ascii="宋体" w:hAnsi="宋体" w:eastAsia="宋体" w:cs="Times New Roman"/>
                <w:sz w:val="21"/>
              </w:rPr>
              <w:t>）</w:t>
            </w:r>
          </w:p>
        </w:tc>
      </w:tr>
      <w:tr w14:paraId="233AF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415D40BE">
            <w:pPr>
              <w:spacing w:line="240" w:lineRule="auto"/>
              <w:ind w:firstLine="0" w:firstLineChars="0"/>
              <w:jc w:val="center"/>
              <w:rPr>
                <w:rFonts w:eastAsia="宋体" w:cs="Times New Roman"/>
                <w:sz w:val="21"/>
              </w:rPr>
            </w:pPr>
            <w:r>
              <w:rPr>
                <w:rFonts w:eastAsia="宋体" w:cs="Times New Roman"/>
                <w:sz w:val="21"/>
              </w:rPr>
              <w:t>1</w:t>
            </w:r>
          </w:p>
        </w:tc>
        <w:tc>
          <w:tcPr>
            <w:tcW w:w="1567" w:type="dxa"/>
            <w:tcBorders>
              <w:top w:val="single" w:color="auto" w:sz="4" w:space="0"/>
              <w:left w:val="nil"/>
              <w:bottom w:val="single" w:color="auto" w:sz="4" w:space="0"/>
              <w:right w:val="single" w:color="auto" w:sz="4" w:space="0"/>
            </w:tcBorders>
            <w:vAlign w:val="center"/>
          </w:tcPr>
          <w:p w14:paraId="064452D6">
            <w:pPr>
              <w:spacing w:line="240" w:lineRule="auto"/>
              <w:ind w:firstLine="0" w:firstLineChars="0"/>
              <w:jc w:val="center"/>
              <w:rPr>
                <w:rFonts w:eastAsia="宋体" w:cs="Times New Roman"/>
                <w:sz w:val="21"/>
              </w:rPr>
            </w:pPr>
            <w:r>
              <w:rPr>
                <w:rFonts w:hint="eastAsia" w:eastAsia="宋体" w:cs="Times New Roman"/>
                <w:sz w:val="21"/>
              </w:rPr>
              <w:t>古镇</w:t>
            </w:r>
            <w:r>
              <w:rPr>
                <w:rFonts w:eastAsia="宋体" w:cs="Times New Roman"/>
                <w:sz w:val="21"/>
              </w:rPr>
              <w:t>水道</w:t>
            </w:r>
          </w:p>
        </w:tc>
        <w:tc>
          <w:tcPr>
            <w:tcW w:w="1238" w:type="dxa"/>
            <w:tcBorders>
              <w:top w:val="single" w:color="auto" w:sz="4" w:space="0"/>
              <w:left w:val="nil"/>
              <w:bottom w:val="single" w:color="auto" w:sz="4" w:space="0"/>
              <w:right w:val="single" w:color="auto" w:sz="4" w:space="0"/>
            </w:tcBorders>
            <w:vAlign w:val="center"/>
          </w:tcPr>
          <w:p w14:paraId="4810357D">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377C08C4">
            <w:pPr>
              <w:spacing w:line="240" w:lineRule="auto"/>
              <w:ind w:firstLine="0" w:firstLineChars="0"/>
              <w:jc w:val="center"/>
              <w:rPr>
                <w:rFonts w:eastAsia="宋体" w:cs="Times New Roman"/>
                <w:sz w:val="21"/>
              </w:rPr>
            </w:pPr>
            <w:r>
              <w:rPr>
                <w:rFonts w:eastAsia="宋体" w:cs="Times New Roman"/>
                <w:sz w:val="21"/>
              </w:rPr>
              <w:t>海州</w:t>
            </w:r>
          </w:p>
        </w:tc>
        <w:tc>
          <w:tcPr>
            <w:tcW w:w="1968" w:type="dxa"/>
            <w:tcBorders>
              <w:top w:val="single" w:color="auto" w:sz="4" w:space="0"/>
              <w:left w:val="nil"/>
              <w:bottom w:val="single" w:color="auto" w:sz="4" w:space="0"/>
              <w:right w:val="single" w:color="auto" w:sz="4" w:space="0"/>
            </w:tcBorders>
            <w:vAlign w:val="center"/>
          </w:tcPr>
          <w:p w14:paraId="216507CF">
            <w:pPr>
              <w:spacing w:line="240" w:lineRule="auto"/>
              <w:ind w:firstLine="0" w:firstLineChars="0"/>
              <w:jc w:val="center"/>
              <w:rPr>
                <w:rFonts w:eastAsia="宋体" w:cs="Times New Roman"/>
                <w:sz w:val="21"/>
              </w:rPr>
            </w:pPr>
            <w:r>
              <w:rPr>
                <w:rFonts w:eastAsia="宋体" w:cs="Times New Roman"/>
                <w:sz w:val="21"/>
              </w:rPr>
              <w:t>龙鳞沙尾</w:t>
            </w:r>
          </w:p>
        </w:tc>
        <w:tc>
          <w:tcPr>
            <w:tcW w:w="1303" w:type="dxa"/>
            <w:tcBorders>
              <w:top w:val="single" w:color="auto" w:sz="4" w:space="0"/>
              <w:left w:val="nil"/>
              <w:bottom w:val="single" w:color="auto" w:sz="4" w:space="0"/>
              <w:right w:val="single" w:color="auto" w:sz="4" w:space="0"/>
            </w:tcBorders>
            <w:vAlign w:val="center"/>
          </w:tcPr>
          <w:p w14:paraId="1FF3E536">
            <w:pPr>
              <w:spacing w:line="240" w:lineRule="auto"/>
              <w:ind w:firstLine="0" w:firstLineChars="0"/>
              <w:jc w:val="center"/>
              <w:rPr>
                <w:rFonts w:eastAsia="宋体" w:cs="Times New Roman"/>
                <w:sz w:val="21"/>
              </w:rPr>
            </w:pPr>
            <w:r>
              <w:rPr>
                <w:rFonts w:eastAsia="宋体" w:cs="Times New Roman"/>
                <w:sz w:val="21"/>
              </w:rPr>
              <w:t>6.9</w:t>
            </w:r>
          </w:p>
        </w:tc>
      </w:tr>
      <w:tr w14:paraId="7F8BD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5279BA16">
            <w:pPr>
              <w:spacing w:line="240" w:lineRule="auto"/>
              <w:ind w:firstLine="0" w:firstLineChars="0"/>
              <w:jc w:val="center"/>
              <w:rPr>
                <w:rFonts w:eastAsia="宋体" w:cs="Times New Roman"/>
                <w:sz w:val="21"/>
              </w:rPr>
            </w:pPr>
            <w:r>
              <w:rPr>
                <w:rFonts w:eastAsia="宋体" w:cs="Times New Roman"/>
                <w:sz w:val="21"/>
              </w:rPr>
              <w:t>2</w:t>
            </w:r>
          </w:p>
        </w:tc>
        <w:tc>
          <w:tcPr>
            <w:tcW w:w="1567" w:type="dxa"/>
            <w:tcBorders>
              <w:top w:val="single" w:color="auto" w:sz="4" w:space="0"/>
              <w:left w:val="nil"/>
              <w:bottom w:val="single" w:color="auto" w:sz="4" w:space="0"/>
              <w:right w:val="single" w:color="auto" w:sz="4" w:space="0"/>
            </w:tcBorders>
            <w:vAlign w:val="center"/>
          </w:tcPr>
          <w:p w14:paraId="3F6CD490">
            <w:pPr>
              <w:spacing w:line="240" w:lineRule="auto"/>
              <w:ind w:firstLine="0" w:firstLineChars="0"/>
              <w:jc w:val="center"/>
              <w:rPr>
                <w:rFonts w:eastAsia="宋体" w:cs="Times New Roman"/>
                <w:sz w:val="21"/>
              </w:rPr>
            </w:pPr>
            <w:r>
              <w:rPr>
                <w:rFonts w:eastAsia="宋体" w:cs="Times New Roman"/>
                <w:sz w:val="21"/>
              </w:rPr>
              <w:t>西海水道</w:t>
            </w:r>
          </w:p>
        </w:tc>
        <w:tc>
          <w:tcPr>
            <w:tcW w:w="1238" w:type="dxa"/>
            <w:tcBorders>
              <w:top w:val="single" w:color="auto" w:sz="4" w:space="0"/>
              <w:left w:val="nil"/>
              <w:bottom w:val="single" w:color="auto" w:sz="4" w:space="0"/>
              <w:right w:val="single" w:color="auto" w:sz="4" w:space="0"/>
            </w:tcBorders>
            <w:vAlign w:val="center"/>
          </w:tcPr>
          <w:p w14:paraId="602974C9">
            <w:pPr>
              <w:spacing w:line="240" w:lineRule="auto"/>
              <w:ind w:firstLine="0" w:firstLineChars="0"/>
              <w:jc w:val="center"/>
              <w:rPr>
                <w:rFonts w:eastAsia="宋体" w:cs="Times New Roman"/>
                <w:sz w:val="21"/>
              </w:rPr>
            </w:pPr>
            <w:r>
              <w:rPr>
                <w:rFonts w:eastAsia="宋体" w:cs="Times New Roman"/>
                <w:sz w:val="21"/>
              </w:rPr>
              <w:t>干</w:t>
            </w:r>
          </w:p>
        </w:tc>
        <w:tc>
          <w:tcPr>
            <w:tcW w:w="1782" w:type="dxa"/>
            <w:tcBorders>
              <w:top w:val="single" w:color="auto" w:sz="4" w:space="0"/>
              <w:left w:val="nil"/>
              <w:bottom w:val="single" w:color="auto" w:sz="4" w:space="0"/>
              <w:right w:val="single" w:color="auto" w:sz="4" w:space="0"/>
            </w:tcBorders>
            <w:vAlign w:val="center"/>
          </w:tcPr>
          <w:p w14:paraId="5B8DD4B4">
            <w:pPr>
              <w:spacing w:line="240" w:lineRule="auto"/>
              <w:ind w:firstLine="0" w:firstLineChars="0"/>
              <w:jc w:val="center"/>
              <w:rPr>
                <w:rFonts w:eastAsia="宋体" w:cs="Times New Roman"/>
                <w:sz w:val="21"/>
              </w:rPr>
            </w:pPr>
            <w:r>
              <w:rPr>
                <w:rFonts w:hint="eastAsia" w:eastAsia="宋体" w:cs="Times New Roman"/>
                <w:sz w:val="21"/>
              </w:rPr>
              <w:t>西区</w:t>
            </w:r>
            <w:r>
              <w:rPr>
                <w:rFonts w:eastAsia="宋体" w:cs="Times New Roman"/>
                <w:sz w:val="21"/>
              </w:rPr>
              <w:t>龙鳞沙顶</w:t>
            </w:r>
          </w:p>
        </w:tc>
        <w:tc>
          <w:tcPr>
            <w:tcW w:w="1968" w:type="dxa"/>
            <w:tcBorders>
              <w:top w:val="single" w:color="auto" w:sz="4" w:space="0"/>
              <w:left w:val="nil"/>
              <w:bottom w:val="single" w:color="auto" w:sz="4" w:space="0"/>
              <w:right w:val="single" w:color="auto" w:sz="4" w:space="0"/>
            </w:tcBorders>
            <w:vAlign w:val="center"/>
          </w:tcPr>
          <w:p w14:paraId="7138E80B">
            <w:pPr>
              <w:spacing w:line="240" w:lineRule="auto"/>
              <w:ind w:firstLine="0" w:firstLineChars="0"/>
              <w:jc w:val="center"/>
              <w:rPr>
                <w:rFonts w:eastAsia="宋体" w:cs="Times New Roman"/>
                <w:sz w:val="21"/>
              </w:rPr>
            </w:pPr>
            <w:r>
              <w:rPr>
                <w:rFonts w:eastAsia="宋体" w:cs="Times New Roman"/>
                <w:sz w:val="21"/>
              </w:rPr>
              <w:t>新会市百倾头</w:t>
            </w:r>
          </w:p>
        </w:tc>
        <w:tc>
          <w:tcPr>
            <w:tcW w:w="1303" w:type="dxa"/>
            <w:tcBorders>
              <w:top w:val="single" w:color="auto" w:sz="4" w:space="0"/>
              <w:left w:val="nil"/>
              <w:bottom w:val="single" w:color="auto" w:sz="4" w:space="0"/>
              <w:right w:val="single" w:color="auto" w:sz="4" w:space="0"/>
            </w:tcBorders>
            <w:vAlign w:val="center"/>
          </w:tcPr>
          <w:p w14:paraId="05F33FEF">
            <w:pPr>
              <w:spacing w:line="240" w:lineRule="auto"/>
              <w:ind w:firstLine="0" w:firstLineChars="0"/>
              <w:jc w:val="center"/>
              <w:rPr>
                <w:rFonts w:eastAsia="宋体" w:cs="Times New Roman"/>
                <w:sz w:val="21"/>
              </w:rPr>
            </w:pPr>
            <w:r>
              <w:rPr>
                <w:rFonts w:eastAsia="宋体" w:cs="Times New Roman"/>
                <w:sz w:val="21"/>
              </w:rPr>
              <w:t>8.3</w:t>
            </w:r>
          </w:p>
        </w:tc>
      </w:tr>
      <w:tr w14:paraId="5B9E6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76D2FBFD">
            <w:pPr>
              <w:spacing w:line="240" w:lineRule="auto"/>
              <w:ind w:firstLine="0" w:firstLineChars="0"/>
              <w:jc w:val="center"/>
              <w:rPr>
                <w:rFonts w:eastAsia="宋体" w:cs="Times New Roman"/>
                <w:sz w:val="21"/>
              </w:rPr>
            </w:pPr>
            <w:r>
              <w:rPr>
                <w:rFonts w:eastAsia="宋体" w:cs="Times New Roman"/>
                <w:sz w:val="21"/>
              </w:rPr>
              <w:t>3</w:t>
            </w:r>
          </w:p>
        </w:tc>
        <w:tc>
          <w:tcPr>
            <w:tcW w:w="1567" w:type="dxa"/>
            <w:tcBorders>
              <w:top w:val="single" w:color="auto" w:sz="4" w:space="0"/>
              <w:left w:val="nil"/>
              <w:bottom w:val="single" w:color="auto" w:sz="4" w:space="0"/>
              <w:right w:val="single" w:color="auto" w:sz="4" w:space="0"/>
            </w:tcBorders>
            <w:vAlign w:val="center"/>
          </w:tcPr>
          <w:p w14:paraId="1495D595">
            <w:pPr>
              <w:spacing w:line="240" w:lineRule="auto"/>
              <w:ind w:firstLine="0" w:firstLineChars="0"/>
              <w:jc w:val="center"/>
              <w:rPr>
                <w:rFonts w:eastAsia="宋体" w:cs="Times New Roman"/>
                <w:sz w:val="21"/>
              </w:rPr>
            </w:pPr>
            <w:r>
              <w:rPr>
                <w:rFonts w:eastAsia="宋体" w:cs="Times New Roman"/>
                <w:sz w:val="21"/>
              </w:rPr>
              <w:t>磨刀门水道</w:t>
            </w:r>
          </w:p>
        </w:tc>
        <w:tc>
          <w:tcPr>
            <w:tcW w:w="1238" w:type="dxa"/>
            <w:tcBorders>
              <w:top w:val="single" w:color="auto" w:sz="4" w:space="0"/>
              <w:left w:val="nil"/>
              <w:bottom w:val="single" w:color="auto" w:sz="4" w:space="0"/>
              <w:right w:val="single" w:color="auto" w:sz="4" w:space="0"/>
            </w:tcBorders>
            <w:vAlign w:val="center"/>
          </w:tcPr>
          <w:p w14:paraId="60D770A5">
            <w:pPr>
              <w:spacing w:line="240" w:lineRule="auto"/>
              <w:ind w:firstLine="0" w:firstLineChars="0"/>
              <w:jc w:val="center"/>
              <w:rPr>
                <w:rFonts w:eastAsia="宋体" w:cs="Times New Roman"/>
                <w:sz w:val="21"/>
              </w:rPr>
            </w:pPr>
            <w:r>
              <w:rPr>
                <w:rFonts w:eastAsia="宋体" w:cs="Times New Roman"/>
                <w:sz w:val="21"/>
              </w:rPr>
              <w:t>干</w:t>
            </w:r>
          </w:p>
        </w:tc>
        <w:tc>
          <w:tcPr>
            <w:tcW w:w="1782" w:type="dxa"/>
            <w:tcBorders>
              <w:top w:val="single" w:color="auto" w:sz="4" w:space="0"/>
              <w:left w:val="nil"/>
              <w:bottom w:val="single" w:color="auto" w:sz="4" w:space="0"/>
              <w:right w:val="single" w:color="auto" w:sz="4" w:space="0"/>
            </w:tcBorders>
            <w:vAlign w:val="center"/>
          </w:tcPr>
          <w:p w14:paraId="255E99BD">
            <w:pPr>
              <w:spacing w:line="240" w:lineRule="auto"/>
              <w:ind w:firstLine="0" w:firstLineChars="0"/>
              <w:jc w:val="center"/>
              <w:rPr>
                <w:rFonts w:eastAsia="宋体" w:cs="Times New Roman"/>
                <w:sz w:val="21"/>
              </w:rPr>
            </w:pPr>
            <w:r>
              <w:rPr>
                <w:rFonts w:eastAsia="宋体" w:cs="Times New Roman"/>
                <w:sz w:val="21"/>
              </w:rPr>
              <w:t>新会市百倾头</w:t>
            </w:r>
          </w:p>
        </w:tc>
        <w:tc>
          <w:tcPr>
            <w:tcW w:w="1968" w:type="dxa"/>
            <w:tcBorders>
              <w:top w:val="single" w:color="auto" w:sz="4" w:space="0"/>
              <w:left w:val="nil"/>
              <w:bottom w:val="single" w:color="auto" w:sz="4" w:space="0"/>
              <w:right w:val="single" w:color="auto" w:sz="4" w:space="0"/>
            </w:tcBorders>
            <w:vAlign w:val="center"/>
          </w:tcPr>
          <w:p w14:paraId="78107064">
            <w:pPr>
              <w:spacing w:line="240" w:lineRule="auto"/>
              <w:ind w:firstLine="0" w:firstLineChars="0"/>
              <w:jc w:val="center"/>
              <w:rPr>
                <w:rFonts w:eastAsia="宋体" w:cs="Times New Roman"/>
                <w:sz w:val="21"/>
              </w:rPr>
            </w:pPr>
            <w:r>
              <w:rPr>
                <w:rFonts w:eastAsia="宋体" w:cs="Times New Roman"/>
                <w:sz w:val="21"/>
              </w:rPr>
              <w:t>珠海挂定角</w:t>
            </w:r>
          </w:p>
        </w:tc>
        <w:tc>
          <w:tcPr>
            <w:tcW w:w="1303" w:type="dxa"/>
            <w:tcBorders>
              <w:top w:val="single" w:color="auto" w:sz="4" w:space="0"/>
              <w:left w:val="nil"/>
              <w:bottom w:val="single" w:color="auto" w:sz="4" w:space="0"/>
              <w:right w:val="single" w:color="auto" w:sz="4" w:space="0"/>
            </w:tcBorders>
            <w:vAlign w:val="center"/>
          </w:tcPr>
          <w:p w14:paraId="0D118352">
            <w:pPr>
              <w:spacing w:line="240" w:lineRule="auto"/>
              <w:ind w:firstLine="0" w:firstLineChars="0"/>
              <w:jc w:val="center"/>
              <w:rPr>
                <w:rFonts w:eastAsia="宋体" w:cs="Times New Roman"/>
                <w:sz w:val="21"/>
              </w:rPr>
            </w:pPr>
            <w:r>
              <w:rPr>
                <w:rFonts w:eastAsia="宋体" w:cs="Times New Roman"/>
                <w:sz w:val="21"/>
              </w:rPr>
              <w:t>53</w:t>
            </w:r>
          </w:p>
        </w:tc>
      </w:tr>
      <w:tr w14:paraId="289EF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1CDC3385">
            <w:pPr>
              <w:spacing w:line="240" w:lineRule="auto"/>
              <w:ind w:firstLine="0" w:firstLineChars="0"/>
              <w:jc w:val="center"/>
              <w:rPr>
                <w:rFonts w:eastAsia="宋体" w:cs="Times New Roman"/>
                <w:sz w:val="21"/>
              </w:rPr>
            </w:pPr>
            <w:r>
              <w:rPr>
                <w:rFonts w:eastAsia="宋体" w:cs="Times New Roman"/>
                <w:sz w:val="21"/>
              </w:rPr>
              <w:t>4</w:t>
            </w:r>
          </w:p>
        </w:tc>
        <w:tc>
          <w:tcPr>
            <w:tcW w:w="1567" w:type="dxa"/>
            <w:tcBorders>
              <w:top w:val="single" w:color="auto" w:sz="4" w:space="0"/>
              <w:left w:val="nil"/>
              <w:bottom w:val="single" w:color="auto" w:sz="4" w:space="0"/>
              <w:right w:val="single" w:color="auto" w:sz="4" w:space="0"/>
            </w:tcBorders>
            <w:vAlign w:val="center"/>
          </w:tcPr>
          <w:p w14:paraId="37336EB4">
            <w:pPr>
              <w:spacing w:line="240" w:lineRule="auto"/>
              <w:ind w:firstLine="0" w:firstLineChars="0"/>
              <w:jc w:val="center"/>
              <w:rPr>
                <w:rFonts w:eastAsia="宋体" w:cs="Times New Roman"/>
                <w:sz w:val="21"/>
              </w:rPr>
            </w:pPr>
            <w:r>
              <w:rPr>
                <w:rFonts w:eastAsia="宋体" w:cs="Times New Roman"/>
                <w:sz w:val="21"/>
              </w:rPr>
              <w:t>洪奇沥水道</w:t>
            </w:r>
          </w:p>
        </w:tc>
        <w:tc>
          <w:tcPr>
            <w:tcW w:w="1238" w:type="dxa"/>
            <w:tcBorders>
              <w:top w:val="single" w:color="auto" w:sz="4" w:space="0"/>
              <w:left w:val="nil"/>
              <w:bottom w:val="single" w:color="auto" w:sz="4" w:space="0"/>
              <w:right w:val="single" w:color="auto" w:sz="4" w:space="0"/>
            </w:tcBorders>
            <w:vAlign w:val="center"/>
          </w:tcPr>
          <w:p w14:paraId="33BBB0BB">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689355DF">
            <w:pPr>
              <w:spacing w:line="240" w:lineRule="auto"/>
              <w:ind w:firstLine="0" w:firstLineChars="0"/>
              <w:jc w:val="center"/>
              <w:rPr>
                <w:rFonts w:eastAsia="宋体" w:cs="Times New Roman"/>
                <w:sz w:val="21"/>
              </w:rPr>
            </w:pPr>
            <w:r>
              <w:rPr>
                <w:rFonts w:eastAsia="宋体" w:cs="Times New Roman"/>
                <w:sz w:val="21"/>
              </w:rPr>
              <w:t>大岑围头</w:t>
            </w:r>
          </w:p>
        </w:tc>
        <w:tc>
          <w:tcPr>
            <w:tcW w:w="1968" w:type="dxa"/>
            <w:tcBorders>
              <w:top w:val="single" w:color="auto" w:sz="4" w:space="0"/>
              <w:left w:val="nil"/>
              <w:bottom w:val="single" w:color="auto" w:sz="4" w:space="0"/>
              <w:right w:val="single" w:color="auto" w:sz="4" w:space="0"/>
            </w:tcBorders>
            <w:vAlign w:val="center"/>
          </w:tcPr>
          <w:p w14:paraId="30CF29AB">
            <w:pPr>
              <w:spacing w:line="240" w:lineRule="auto"/>
              <w:ind w:firstLine="0" w:firstLineChars="0"/>
              <w:jc w:val="center"/>
              <w:rPr>
                <w:rFonts w:eastAsia="宋体" w:cs="Times New Roman"/>
                <w:sz w:val="21"/>
              </w:rPr>
            </w:pPr>
            <w:r>
              <w:rPr>
                <w:rFonts w:eastAsia="宋体" w:cs="Times New Roman"/>
                <w:sz w:val="21"/>
              </w:rPr>
              <w:t>洪奇门口</w:t>
            </w:r>
          </w:p>
        </w:tc>
        <w:tc>
          <w:tcPr>
            <w:tcW w:w="1303" w:type="dxa"/>
            <w:tcBorders>
              <w:top w:val="single" w:color="auto" w:sz="4" w:space="0"/>
              <w:left w:val="nil"/>
              <w:bottom w:val="single" w:color="auto" w:sz="4" w:space="0"/>
              <w:right w:val="single" w:color="auto" w:sz="4" w:space="0"/>
            </w:tcBorders>
            <w:vAlign w:val="center"/>
          </w:tcPr>
          <w:p w14:paraId="4295BE37">
            <w:pPr>
              <w:spacing w:line="240" w:lineRule="auto"/>
              <w:ind w:firstLine="0" w:firstLineChars="0"/>
              <w:jc w:val="center"/>
              <w:rPr>
                <w:rFonts w:eastAsia="宋体" w:cs="Times New Roman"/>
                <w:sz w:val="21"/>
              </w:rPr>
            </w:pPr>
            <w:r>
              <w:rPr>
                <w:rFonts w:eastAsia="宋体" w:cs="Times New Roman"/>
                <w:sz w:val="21"/>
              </w:rPr>
              <w:t>28</w:t>
            </w:r>
          </w:p>
        </w:tc>
      </w:tr>
      <w:tr w14:paraId="676A9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6F0F5C62">
            <w:pPr>
              <w:spacing w:line="240" w:lineRule="auto"/>
              <w:ind w:firstLine="0" w:firstLineChars="0"/>
              <w:jc w:val="center"/>
              <w:rPr>
                <w:rFonts w:eastAsia="宋体" w:cs="Times New Roman"/>
                <w:sz w:val="21"/>
              </w:rPr>
            </w:pPr>
            <w:r>
              <w:rPr>
                <w:rFonts w:eastAsia="宋体" w:cs="Times New Roman"/>
                <w:sz w:val="21"/>
              </w:rPr>
              <w:t>5</w:t>
            </w:r>
          </w:p>
        </w:tc>
        <w:tc>
          <w:tcPr>
            <w:tcW w:w="1567" w:type="dxa"/>
            <w:tcBorders>
              <w:top w:val="single" w:color="auto" w:sz="4" w:space="0"/>
              <w:left w:val="nil"/>
              <w:bottom w:val="single" w:color="auto" w:sz="4" w:space="0"/>
              <w:right w:val="single" w:color="auto" w:sz="4" w:space="0"/>
            </w:tcBorders>
            <w:vAlign w:val="center"/>
          </w:tcPr>
          <w:p w14:paraId="562C380A">
            <w:pPr>
              <w:spacing w:line="240" w:lineRule="auto"/>
              <w:ind w:firstLine="0" w:firstLineChars="0"/>
              <w:jc w:val="center"/>
              <w:rPr>
                <w:rFonts w:eastAsia="宋体" w:cs="Times New Roman"/>
                <w:sz w:val="21"/>
              </w:rPr>
            </w:pPr>
            <w:r>
              <w:rPr>
                <w:rFonts w:eastAsia="宋体" w:cs="Times New Roman"/>
                <w:sz w:val="21"/>
              </w:rPr>
              <w:t>横门水道</w:t>
            </w:r>
          </w:p>
        </w:tc>
        <w:tc>
          <w:tcPr>
            <w:tcW w:w="1238" w:type="dxa"/>
            <w:tcBorders>
              <w:top w:val="single" w:color="auto" w:sz="4" w:space="0"/>
              <w:left w:val="nil"/>
              <w:bottom w:val="single" w:color="auto" w:sz="4" w:space="0"/>
              <w:right w:val="single" w:color="auto" w:sz="4" w:space="0"/>
            </w:tcBorders>
            <w:vAlign w:val="center"/>
          </w:tcPr>
          <w:p w14:paraId="31B34BA9">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1C23E960">
            <w:pPr>
              <w:spacing w:line="240" w:lineRule="auto"/>
              <w:ind w:firstLine="0" w:firstLineChars="0"/>
              <w:jc w:val="center"/>
              <w:rPr>
                <w:rFonts w:eastAsia="宋体" w:cs="Times New Roman"/>
                <w:sz w:val="21"/>
              </w:rPr>
            </w:pPr>
            <w:r>
              <w:rPr>
                <w:rFonts w:eastAsia="宋体" w:cs="Times New Roman"/>
                <w:sz w:val="21"/>
              </w:rPr>
              <w:t>下南</w:t>
            </w:r>
          </w:p>
        </w:tc>
        <w:tc>
          <w:tcPr>
            <w:tcW w:w="1968" w:type="dxa"/>
            <w:tcBorders>
              <w:top w:val="single" w:color="auto" w:sz="4" w:space="0"/>
              <w:left w:val="nil"/>
              <w:bottom w:val="single" w:color="auto" w:sz="4" w:space="0"/>
              <w:right w:val="single" w:color="auto" w:sz="4" w:space="0"/>
            </w:tcBorders>
            <w:vAlign w:val="center"/>
          </w:tcPr>
          <w:p w14:paraId="6AD0CA43">
            <w:pPr>
              <w:spacing w:line="240" w:lineRule="auto"/>
              <w:ind w:firstLine="0" w:firstLineChars="0"/>
              <w:jc w:val="center"/>
              <w:rPr>
                <w:rFonts w:eastAsia="宋体" w:cs="Times New Roman"/>
                <w:sz w:val="21"/>
              </w:rPr>
            </w:pPr>
            <w:r>
              <w:rPr>
                <w:rFonts w:eastAsia="宋体" w:cs="Times New Roman"/>
                <w:sz w:val="21"/>
              </w:rPr>
              <w:t>横门口</w:t>
            </w:r>
          </w:p>
        </w:tc>
        <w:tc>
          <w:tcPr>
            <w:tcW w:w="1303" w:type="dxa"/>
            <w:tcBorders>
              <w:top w:val="single" w:color="auto" w:sz="4" w:space="0"/>
              <w:left w:val="nil"/>
              <w:bottom w:val="single" w:color="auto" w:sz="4" w:space="0"/>
              <w:right w:val="single" w:color="auto" w:sz="4" w:space="0"/>
            </w:tcBorders>
            <w:vAlign w:val="center"/>
          </w:tcPr>
          <w:p w14:paraId="2BBC5081">
            <w:pPr>
              <w:spacing w:line="240" w:lineRule="auto"/>
              <w:ind w:firstLine="0" w:firstLineChars="0"/>
              <w:jc w:val="center"/>
              <w:rPr>
                <w:rFonts w:eastAsia="宋体" w:cs="Times New Roman"/>
                <w:sz w:val="21"/>
              </w:rPr>
            </w:pPr>
            <w:r>
              <w:rPr>
                <w:rFonts w:eastAsia="宋体" w:cs="Times New Roman"/>
                <w:sz w:val="21"/>
              </w:rPr>
              <w:t>19</w:t>
            </w:r>
          </w:p>
        </w:tc>
      </w:tr>
      <w:tr w14:paraId="0002F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6506B4C7">
            <w:pPr>
              <w:spacing w:line="240" w:lineRule="auto"/>
              <w:ind w:firstLine="0" w:firstLineChars="0"/>
              <w:jc w:val="center"/>
              <w:rPr>
                <w:rFonts w:eastAsia="宋体" w:cs="Times New Roman"/>
                <w:sz w:val="21"/>
              </w:rPr>
            </w:pPr>
            <w:r>
              <w:rPr>
                <w:rFonts w:eastAsia="宋体" w:cs="Times New Roman"/>
                <w:sz w:val="21"/>
              </w:rPr>
              <w:t>6</w:t>
            </w:r>
          </w:p>
        </w:tc>
        <w:tc>
          <w:tcPr>
            <w:tcW w:w="1567" w:type="dxa"/>
            <w:tcBorders>
              <w:top w:val="single" w:color="auto" w:sz="4" w:space="0"/>
              <w:left w:val="nil"/>
              <w:bottom w:val="single" w:color="auto" w:sz="4" w:space="0"/>
              <w:right w:val="single" w:color="auto" w:sz="4" w:space="0"/>
            </w:tcBorders>
            <w:vAlign w:val="center"/>
          </w:tcPr>
          <w:p w14:paraId="6C845C9A">
            <w:pPr>
              <w:spacing w:line="240" w:lineRule="auto"/>
              <w:ind w:firstLine="0" w:firstLineChars="0"/>
              <w:jc w:val="center"/>
              <w:rPr>
                <w:rFonts w:eastAsia="宋体" w:cs="Times New Roman"/>
                <w:sz w:val="21"/>
              </w:rPr>
            </w:pPr>
            <w:r>
              <w:rPr>
                <w:rFonts w:eastAsia="宋体" w:cs="Times New Roman"/>
                <w:sz w:val="21"/>
              </w:rPr>
              <w:t>东海水道</w:t>
            </w:r>
          </w:p>
        </w:tc>
        <w:tc>
          <w:tcPr>
            <w:tcW w:w="1238" w:type="dxa"/>
            <w:tcBorders>
              <w:top w:val="single" w:color="auto" w:sz="4" w:space="0"/>
              <w:left w:val="nil"/>
              <w:bottom w:val="single" w:color="auto" w:sz="4" w:space="0"/>
              <w:right w:val="single" w:color="auto" w:sz="4" w:space="0"/>
            </w:tcBorders>
            <w:vAlign w:val="center"/>
          </w:tcPr>
          <w:p w14:paraId="61298959">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36EB7FDC">
            <w:pPr>
              <w:spacing w:line="240" w:lineRule="auto"/>
              <w:ind w:firstLine="0" w:firstLineChars="0"/>
              <w:jc w:val="center"/>
              <w:rPr>
                <w:rFonts w:eastAsia="宋体" w:cs="Times New Roman"/>
                <w:sz w:val="21"/>
              </w:rPr>
            </w:pPr>
            <w:r>
              <w:rPr>
                <w:rFonts w:eastAsia="宋体" w:cs="Times New Roman"/>
                <w:sz w:val="21"/>
              </w:rPr>
              <w:t>小榄石龙水闸</w:t>
            </w:r>
          </w:p>
        </w:tc>
        <w:tc>
          <w:tcPr>
            <w:tcW w:w="1968" w:type="dxa"/>
            <w:tcBorders>
              <w:top w:val="single" w:color="auto" w:sz="4" w:space="0"/>
              <w:left w:val="nil"/>
              <w:bottom w:val="single" w:color="auto" w:sz="4" w:space="0"/>
              <w:right w:val="single" w:color="auto" w:sz="4" w:space="0"/>
            </w:tcBorders>
            <w:vAlign w:val="center"/>
          </w:tcPr>
          <w:p w14:paraId="6E06488D">
            <w:pPr>
              <w:spacing w:line="240" w:lineRule="auto"/>
              <w:ind w:firstLine="0" w:firstLineChars="0"/>
              <w:jc w:val="center"/>
              <w:rPr>
                <w:rFonts w:eastAsia="宋体" w:cs="Times New Roman"/>
                <w:sz w:val="21"/>
              </w:rPr>
            </w:pPr>
            <w:r>
              <w:rPr>
                <w:rFonts w:eastAsia="宋体" w:cs="Times New Roman"/>
                <w:sz w:val="21"/>
              </w:rPr>
              <w:t>顺德沙涌沙顶</w:t>
            </w:r>
          </w:p>
        </w:tc>
        <w:tc>
          <w:tcPr>
            <w:tcW w:w="1303" w:type="dxa"/>
            <w:tcBorders>
              <w:top w:val="single" w:color="auto" w:sz="4" w:space="0"/>
              <w:left w:val="nil"/>
              <w:bottom w:val="single" w:color="auto" w:sz="4" w:space="0"/>
              <w:right w:val="single" w:color="auto" w:sz="4" w:space="0"/>
            </w:tcBorders>
            <w:vAlign w:val="center"/>
          </w:tcPr>
          <w:p w14:paraId="145E439F">
            <w:pPr>
              <w:spacing w:line="240" w:lineRule="auto"/>
              <w:ind w:firstLine="0" w:firstLineChars="0"/>
              <w:jc w:val="center"/>
              <w:rPr>
                <w:rFonts w:eastAsia="宋体" w:cs="Times New Roman"/>
                <w:sz w:val="21"/>
              </w:rPr>
            </w:pPr>
            <w:r>
              <w:rPr>
                <w:rFonts w:eastAsia="宋体" w:cs="Times New Roman"/>
                <w:sz w:val="21"/>
              </w:rPr>
              <w:t>7</w:t>
            </w:r>
          </w:p>
        </w:tc>
      </w:tr>
      <w:tr w14:paraId="55028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5B677FE1">
            <w:pPr>
              <w:spacing w:line="240" w:lineRule="auto"/>
              <w:ind w:firstLine="0" w:firstLineChars="0"/>
              <w:jc w:val="center"/>
              <w:rPr>
                <w:rFonts w:eastAsia="宋体" w:cs="Times New Roman"/>
                <w:sz w:val="21"/>
              </w:rPr>
            </w:pPr>
            <w:r>
              <w:rPr>
                <w:rFonts w:eastAsia="宋体" w:cs="Times New Roman"/>
                <w:sz w:val="21"/>
              </w:rPr>
              <w:t>7</w:t>
            </w:r>
          </w:p>
        </w:tc>
        <w:tc>
          <w:tcPr>
            <w:tcW w:w="1567" w:type="dxa"/>
            <w:tcBorders>
              <w:top w:val="single" w:color="auto" w:sz="4" w:space="0"/>
              <w:left w:val="nil"/>
              <w:bottom w:val="single" w:color="auto" w:sz="4" w:space="0"/>
              <w:right w:val="single" w:color="auto" w:sz="4" w:space="0"/>
            </w:tcBorders>
            <w:vAlign w:val="center"/>
          </w:tcPr>
          <w:p w14:paraId="4176B71A">
            <w:pPr>
              <w:spacing w:line="240" w:lineRule="auto"/>
              <w:ind w:firstLine="0" w:firstLineChars="0"/>
              <w:jc w:val="center"/>
              <w:rPr>
                <w:rFonts w:eastAsia="宋体" w:cs="Times New Roman"/>
                <w:sz w:val="21"/>
              </w:rPr>
            </w:pPr>
            <w:r>
              <w:rPr>
                <w:rFonts w:eastAsia="宋体" w:cs="Times New Roman"/>
                <w:sz w:val="21"/>
              </w:rPr>
              <w:t>鸡鸦水道</w:t>
            </w:r>
          </w:p>
        </w:tc>
        <w:tc>
          <w:tcPr>
            <w:tcW w:w="1238" w:type="dxa"/>
            <w:tcBorders>
              <w:top w:val="single" w:color="auto" w:sz="4" w:space="0"/>
              <w:left w:val="nil"/>
              <w:bottom w:val="single" w:color="auto" w:sz="4" w:space="0"/>
              <w:right w:val="single" w:color="auto" w:sz="4" w:space="0"/>
            </w:tcBorders>
            <w:vAlign w:val="center"/>
          </w:tcPr>
          <w:p w14:paraId="301DCB5D">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016C80E9">
            <w:pPr>
              <w:spacing w:line="240" w:lineRule="auto"/>
              <w:ind w:firstLine="0" w:firstLineChars="0"/>
              <w:jc w:val="center"/>
              <w:rPr>
                <w:rFonts w:eastAsia="宋体" w:cs="Times New Roman"/>
                <w:sz w:val="21"/>
              </w:rPr>
            </w:pPr>
            <w:r>
              <w:rPr>
                <w:rFonts w:eastAsia="宋体" w:cs="Times New Roman"/>
                <w:sz w:val="21"/>
              </w:rPr>
              <w:t>顺德龙涌沙顶</w:t>
            </w:r>
          </w:p>
        </w:tc>
        <w:tc>
          <w:tcPr>
            <w:tcW w:w="1968" w:type="dxa"/>
            <w:tcBorders>
              <w:top w:val="single" w:color="auto" w:sz="4" w:space="0"/>
              <w:left w:val="nil"/>
              <w:bottom w:val="single" w:color="auto" w:sz="4" w:space="0"/>
              <w:right w:val="single" w:color="auto" w:sz="4" w:space="0"/>
            </w:tcBorders>
            <w:vAlign w:val="center"/>
          </w:tcPr>
          <w:p w14:paraId="57E96D5D">
            <w:pPr>
              <w:spacing w:line="240" w:lineRule="auto"/>
              <w:ind w:firstLine="0" w:firstLineChars="0"/>
              <w:jc w:val="center"/>
              <w:rPr>
                <w:rFonts w:eastAsia="宋体" w:cs="Times New Roman"/>
                <w:sz w:val="21"/>
              </w:rPr>
            </w:pPr>
            <w:r>
              <w:rPr>
                <w:rFonts w:eastAsia="宋体" w:cs="Times New Roman"/>
                <w:sz w:val="21"/>
              </w:rPr>
              <w:t>中山市下南</w:t>
            </w:r>
          </w:p>
        </w:tc>
        <w:tc>
          <w:tcPr>
            <w:tcW w:w="1303" w:type="dxa"/>
            <w:tcBorders>
              <w:top w:val="single" w:color="auto" w:sz="4" w:space="0"/>
              <w:left w:val="nil"/>
              <w:bottom w:val="single" w:color="auto" w:sz="4" w:space="0"/>
              <w:right w:val="single" w:color="auto" w:sz="4" w:space="0"/>
            </w:tcBorders>
            <w:vAlign w:val="center"/>
          </w:tcPr>
          <w:p w14:paraId="48B8D530">
            <w:pPr>
              <w:spacing w:line="240" w:lineRule="auto"/>
              <w:ind w:firstLine="0" w:firstLineChars="0"/>
              <w:jc w:val="center"/>
              <w:rPr>
                <w:rFonts w:eastAsia="宋体" w:cs="Times New Roman"/>
                <w:sz w:val="21"/>
              </w:rPr>
            </w:pPr>
            <w:r>
              <w:rPr>
                <w:rFonts w:eastAsia="宋体" w:cs="Times New Roman"/>
                <w:sz w:val="21"/>
              </w:rPr>
              <w:t>36</w:t>
            </w:r>
          </w:p>
        </w:tc>
      </w:tr>
      <w:tr w14:paraId="18759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12D63A66">
            <w:pPr>
              <w:spacing w:line="240" w:lineRule="auto"/>
              <w:ind w:firstLine="0" w:firstLineChars="0"/>
              <w:jc w:val="center"/>
              <w:rPr>
                <w:rFonts w:eastAsia="宋体" w:cs="Times New Roman"/>
                <w:sz w:val="21"/>
              </w:rPr>
            </w:pPr>
            <w:r>
              <w:rPr>
                <w:rFonts w:eastAsia="宋体" w:cs="Times New Roman"/>
                <w:sz w:val="21"/>
              </w:rPr>
              <w:t>8</w:t>
            </w:r>
          </w:p>
        </w:tc>
        <w:tc>
          <w:tcPr>
            <w:tcW w:w="1567" w:type="dxa"/>
            <w:tcBorders>
              <w:top w:val="single" w:color="auto" w:sz="4" w:space="0"/>
              <w:left w:val="nil"/>
              <w:bottom w:val="single" w:color="auto" w:sz="4" w:space="0"/>
              <w:right w:val="single" w:color="auto" w:sz="4" w:space="0"/>
            </w:tcBorders>
            <w:vAlign w:val="center"/>
          </w:tcPr>
          <w:p w14:paraId="0021266E">
            <w:pPr>
              <w:spacing w:line="240" w:lineRule="auto"/>
              <w:ind w:firstLine="0" w:firstLineChars="0"/>
              <w:jc w:val="center"/>
              <w:rPr>
                <w:rFonts w:eastAsia="宋体" w:cs="Times New Roman"/>
                <w:sz w:val="21"/>
              </w:rPr>
            </w:pPr>
            <w:r>
              <w:rPr>
                <w:rFonts w:eastAsia="宋体" w:cs="Times New Roman"/>
                <w:sz w:val="21"/>
              </w:rPr>
              <w:t>小榄水道</w:t>
            </w:r>
          </w:p>
        </w:tc>
        <w:tc>
          <w:tcPr>
            <w:tcW w:w="1238" w:type="dxa"/>
            <w:tcBorders>
              <w:top w:val="single" w:color="auto" w:sz="4" w:space="0"/>
              <w:left w:val="nil"/>
              <w:bottom w:val="single" w:color="auto" w:sz="4" w:space="0"/>
              <w:right w:val="single" w:color="auto" w:sz="4" w:space="0"/>
            </w:tcBorders>
            <w:vAlign w:val="center"/>
          </w:tcPr>
          <w:p w14:paraId="7D70ACED">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28B31807">
            <w:pPr>
              <w:spacing w:line="240" w:lineRule="auto"/>
              <w:ind w:firstLine="0" w:firstLineChars="0"/>
              <w:jc w:val="center"/>
              <w:rPr>
                <w:rFonts w:eastAsia="宋体" w:cs="Times New Roman"/>
                <w:sz w:val="21"/>
              </w:rPr>
            </w:pPr>
            <w:r>
              <w:rPr>
                <w:rFonts w:eastAsia="宋体" w:cs="Times New Roman"/>
                <w:sz w:val="21"/>
              </w:rPr>
              <w:t>小榄福兴</w:t>
            </w:r>
          </w:p>
        </w:tc>
        <w:tc>
          <w:tcPr>
            <w:tcW w:w="1968" w:type="dxa"/>
            <w:tcBorders>
              <w:top w:val="single" w:color="auto" w:sz="4" w:space="0"/>
              <w:left w:val="nil"/>
              <w:bottom w:val="single" w:color="auto" w:sz="4" w:space="0"/>
              <w:right w:val="single" w:color="auto" w:sz="4" w:space="0"/>
            </w:tcBorders>
            <w:vAlign w:val="center"/>
          </w:tcPr>
          <w:p w14:paraId="3A1020D5">
            <w:pPr>
              <w:spacing w:line="240" w:lineRule="auto"/>
              <w:ind w:firstLine="0" w:firstLineChars="0"/>
              <w:jc w:val="center"/>
              <w:rPr>
                <w:rFonts w:eastAsia="宋体" w:cs="Times New Roman"/>
                <w:sz w:val="21"/>
              </w:rPr>
            </w:pPr>
            <w:r>
              <w:rPr>
                <w:rFonts w:eastAsia="宋体" w:cs="Times New Roman"/>
                <w:sz w:val="21"/>
              </w:rPr>
              <w:t>港口下南</w:t>
            </w:r>
          </w:p>
        </w:tc>
        <w:tc>
          <w:tcPr>
            <w:tcW w:w="1303" w:type="dxa"/>
            <w:tcBorders>
              <w:top w:val="single" w:color="auto" w:sz="4" w:space="0"/>
              <w:left w:val="nil"/>
              <w:bottom w:val="single" w:color="auto" w:sz="4" w:space="0"/>
              <w:right w:val="single" w:color="auto" w:sz="4" w:space="0"/>
            </w:tcBorders>
            <w:vAlign w:val="center"/>
          </w:tcPr>
          <w:p w14:paraId="76BA11D9">
            <w:pPr>
              <w:spacing w:line="240" w:lineRule="auto"/>
              <w:ind w:firstLine="0" w:firstLineChars="0"/>
              <w:jc w:val="center"/>
              <w:rPr>
                <w:rFonts w:eastAsia="宋体" w:cs="Times New Roman"/>
                <w:sz w:val="21"/>
              </w:rPr>
            </w:pPr>
            <w:r>
              <w:rPr>
                <w:rFonts w:eastAsia="宋体" w:cs="Times New Roman"/>
                <w:sz w:val="21"/>
              </w:rPr>
              <w:t>29</w:t>
            </w:r>
          </w:p>
        </w:tc>
      </w:tr>
      <w:tr w14:paraId="4271C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2D477A32">
            <w:pPr>
              <w:spacing w:line="240" w:lineRule="auto"/>
              <w:ind w:firstLine="0" w:firstLineChars="0"/>
              <w:jc w:val="center"/>
              <w:rPr>
                <w:rFonts w:eastAsia="宋体" w:cs="Times New Roman"/>
                <w:sz w:val="21"/>
              </w:rPr>
            </w:pPr>
            <w:r>
              <w:rPr>
                <w:rFonts w:eastAsia="宋体" w:cs="Times New Roman"/>
                <w:sz w:val="21"/>
              </w:rPr>
              <w:t>9</w:t>
            </w:r>
          </w:p>
        </w:tc>
        <w:tc>
          <w:tcPr>
            <w:tcW w:w="1567" w:type="dxa"/>
            <w:tcBorders>
              <w:top w:val="single" w:color="auto" w:sz="4" w:space="0"/>
              <w:left w:val="nil"/>
              <w:bottom w:val="single" w:color="auto" w:sz="4" w:space="0"/>
              <w:right w:val="single" w:color="auto" w:sz="4" w:space="0"/>
            </w:tcBorders>
            <w:vAlign w:val="center"/>
          </w:tcPr>
          <w:p w14:paraId="622A6F62">
            <w:pPr>
              <w:spacing w:line="240" w:lineRule="auto"/>
              <w:ind w:firstLine="0" w:firstLineChars="0"/>
              <w:jc w:val="center"/>
              <w:rPr>
                <w:rFonts w:eastAsia="宋体" w:cs="Times New Roman"/>
                <w:sz w:val="21"/>
              </w:rPr>
            </w:pPr>
            <w:r>
              <w:rPr>
                <w:rFonts w:eastAsia="宋体" w:cs="Times New Roman"/>
                <w:sz w:val="21"/>
              </w:rPr>
              <w:t>桂州水道</w:t>
            </w:r>
          </w:p>
        </w:tc>
        <w:tc>
          <w:tcPr>
            <w:tcW w:w="1238" w:type="dxa"/>
            <w:tcBorders>
              <w:top w:val="single" w:color="auto" w:sz="4" w:space="0"/>
              <w:left w:val="nil"/>
              <w:bottom w:val="single" w:color="auto" w:sz="4" w:space="0"/>
              <w:right w:val="single" w:color="auto" w:sz="4" w:space="0"/>
            </w:tcBorders>
            <w:vAlign w:val="center"/>
          </w:tcPr>
          <w:p w14:paraId="23AFFBB6">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7E243CC4">
            <w:pPr>
              <w:spacing w:line="240" w:lineRule="auto"/>
              <w:ind w:firstLine="0" w:firstLineChars="0"/>
              <w:jc w:val="center"/>
              <w:rPr>
                <w:rFonts w:eastAsia="宋体" w:cs="Times New Roman"/>
                <w:sz w:val="21"/>
              </w:rPr>
            </w:pPr>
            <w:r>
              <w:rPr>
                <w:rFonts w:eastAsia="宋体" w:cs="Times New Roman"/>
                <w:sz w:val="21"/>
              </w:rPr>
              <w:t>汲水顶</w:t>
            </w:r>
          </w:p>
        </w:tc>
        <w:tc>
          <w:tcPr>
            <w:tcW w:w="1968" w:type="dxa"/>
            <w:tcBorders>
              <w:top w:val="single" w:color="auto" w:sz="4" w:space="0"/>
              <w:left w:val="nil"/>
              <w:bottom w:val="single" w:color="auto" w:sz="4" w:space="0"/>
              <w:right w:val="single" w:color="auto" w:sz="4" w:space="0"/>
            </w:tcBorders>
            <w:vAlign w:val="center"/>
          </w:tcPr>
          <w:p w14:paraId="4886F92C">
            <w:pPr>
              <w:spacing w:line="240" w:lineRule="auto"/>
              <w:ind w:firstLine="0" w:firstLineChars="0"/>
              <w:jc w:val="center"/>
              <w:rPr>
                <w:rFonts w:eastAsia="宋体" w:cs="Times New Roman"/>
                <w:sz w:val="21"/>
              </w:rPr>
            </w:pPr>
            <w:r>
              <w:rPr>
                <w:rFonts w:eastAsia="宋体" w:cs="Times New Roman"/>
                <w:sz w:val="21"/>
              </w:rPr>
              <w:t>大岑围头</w:t>
            </w:r>
          </w:p>
        </w:tc>
        <w:tc>
          <w:tcPr>
            <w:tcW w:w="1303" w:type="dxa"/>
            <w:tcBorders>
              <w:top w:val="single" w:color="auto" w:sz="4" w:space="0"/>
              <w:left w:val="nil"/>
              <w:bottom w:val="single" w:color="auto" w:sz="4" w:space="0"/>
              <w:right w:val="single" w:color="auto" w:sz="4" w:space="0"/>
            </w:tcBorders>
            <w:vAlign w:val="center"/>
          </w:tcPr>
          <w:p w14:paraId="29205379">
            <w:pPr>
              <w:spacing w:line="240" w:lineRule="auto"/>
              <w:ind w:firstLine="0" w:firstLineChars="0"/>
              <w:jc w:val="center"/>
              <w:rPr>
                <w:rFonts w:eastAsia="宋体" w:cs="Times New Roman"/>
                <w:sz w:val="21"/>
              </w:rPr>
            </w:pPr>
            <w:r>
              <w:rPr>
                <w:rFonts w:eastAsia="宋体" w:cs="Times New Roman"/>
                <w:sz w:val="21"/>
              </w:rPr>
              <w:t>12.5</w:t>
            </w:r>
          </w:p>
        </w:tc>
      </w:tr>
      <w:tr w14:paraId="0AF52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48E8F4CF">
            <w:pPr>
              <w:spacing w:line="240" w:lineRule="auto"/>
              <w:ind w:firstLine="0" w:firstLineChars="0"/>
              <w:jc w:val="center"/>
              <w:rPr>
                <w:rFonts w:eastAsia="宋体" w:cs="Times New Roman"/>
                <w:sz w:val="21"/>
              </w:rPr>
            </w:pPr>
            <w:r>
              <w:rPr>
                <w:rFonts w:eastAsia="宋体" w:cs="Times New Roman"/>
                <w:sz w:val="21"/>
              </w:rPr>
              <w:t>10</w:t>
            </w:r>
          </w:p>
        </w:tc>
        <w:tc>
          <w:tcPr>
            <w:tcW w:w="1567" w:type="dxa"/>
            <w:tcBorders>
              <w:top w:val="single" w:color="auto" w:sz="4" w:space="0"/>
              <w:left w:val="nil"/>
              <w:bottom w:val="single" w:color="auto" w:sz="4" w:space="0"/>
              <w:right w:val="single" w:color="auto" w:sz="4" w:space="0"/>
            </w:tcBorders>
            <w:vAlign w:val="center"/>
          </w:tcPr>
          <w:p w14:paraId="4F3B72BA">
            <w:pPr>
              <w:spacing w:line="240" w:lineRule="auto"/>
              <w:ind w:firstLine="0" w:firstLineChars="0"/>
              <w:jc w:val="center"/>
              <w:rPr>
                <w:rFonts w:eastAsia="宋体" w:cs="Times New Roman"/>
                <w:sz w:val="21"/>
              </w:rPr>
            </w:pPr>
            <w:r>
              <w:rPr>
                <w:rFonts w:eastAsia="宋体" w:cs="Times New Roman"/>
                <w:sz w:val="21"/>
              </w:rPr>
              <w:t>黄圃水道</w:t>
            </w:r>
          </w:p>
        </w:tc>
        <w:tc>
          <w:tcPr>
            <w:tcW w:w="1238" w:type="dxa"/>
            <w:tcBorders>
              <w:top w:val="single" w:color="auto" w:sz="4" w:space="0"/>
              <w:left w:val="nil"/>
              <w:bottom w:val="single" w:color="auto" w:sz="4" w:space="0"/>
              <w:right w:val="single" w:color="auto" w:sz="4" w:space="0"/>
            </w:tcBorders>
            <w:vAlign w:val="center"/>
          </w:tcPr>
          <w:p w14:paraId="6B1898E7">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2A3A073C">
            <w:pPr>
              <w:spacing w:line="240" w:lineRule="auto"/>
              <w:ind w:firstLine="0" w:firstLineChars="0"/>
              <w:jc w:val="center"/>
              <w:rPr>
                <w:rFonts w:eastAsia="宋体" w:cs="Times New Roman"/>
                <w:sz w:val="21"/>
              </w:rPr>
            </w:pPr>
            <w:r>
              <w:rPr>
                <w:rFonts w:eastAsia="宋体" w:cs="Times New Roman"/>
                <w:sz w:val="21"/>
              </w:rPr>
              <w:t>鸡鸦水道大坝头</w:t>
            </w:r>
          </w:p>
        </w:tc>
        <w:tc>
          <w:tcPr>
            <w:tcW w:w="1968" w:type="dxa"/>
            <w:tcBorders>
              <w:top w:val="single" w:color="auto" w:sz="4" w:space="0"/>
              <w:left w:val="nil"/>
              <w:bottom w:val="single" w:color="auto" w:sz="4" w:space="0"/>
              <w:right w:val="single" w:color="auto" w:sz="4" w:space="0"/>
            </w:tcBorders>
            <w:vAlign w:val="center"/>
          </w:tcPr>
          <w:p w14:paraId="56C20554">
            <w:pPr>
              <w:spacing w:line="240" w:lineRule="auto"/>
              <w:ind w:firstLine="0" w:firstLineChars="0"/>
              <w:jc w:val="center"/>
              <w:rPr>
                <w:rFonts w:eastAsia="宋体" w:cs="Times New Roman"/>
                <w:sz w:val="21"/>
              </w:rPr>
            </w:pPr>
            <w:r>
              <w:rPr>
                <w:rFonts w:eastAsia="宋体" w:cs="Times New Roman"/>
                <w:sz w:val="21"/>
              </w:rPr>
              <w:t>洪奇沥水道三星尾</w:t>
            </w:r>
          </w:p>
        </w:tc>
        <w:tc>
          <w:tcPr>
            <w:tcW w:w="1303" w:type="dxa"/>
            <w:tcBorders>
              <w:top w:val="single" w:color="auto" w:sz="4" w:space="0"/>
              <w:left w:val="nil"/>
              <w:bottom w:val="single" w:color="auto" w:sz="4" w:space="0"/>
              <w:right w:val="single" w:color="auto" w:sz="4" w:space="0"/>
            </w:tcBorders>
            <w:vAlign w:val="center"/>
          </w:tcPr>
          <w:p w14:paraId="1C15BFA2">
            <w:pPr>
              <w:spacing w:line="240" w:lineRule="auto"/>
              <w:ind w:firstLine="0" w:firstLineChars="0"/>
              <w:jc w:val="center"/>
              <w:rPr>
                <w:rFonts w:eastAsia="宋体" w:cs="Times New Roman"/>
                <w:sz w:val="21"/>
              </w:rPr>
            </w:pPr>
            <w:r>
              <w:rPr>
                <w:rFonts w:eastAsia="宋体" w:cs="Times New Roman"/>
                <w:sz w:val="21"/>
              </w:rPr>
              <w:t>11.5</w:t>
            </w:r>
          </w:p>
        </w:tc>
      </w:tr>
      <w:tr w14:paraId="5EAC1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4AF79654">
            <w:pPr>
              <w:spacing w:line="240" w:lineRule="auto"/>
              <w:ind w:firstLine="0" w:firstLineChars="0"/>
              <w:jc w:val="center"/>
              <w:rPr>
                <w:rFonts w:eastAsia="宋体" w:cs="Times New Roman"/>
                <w:sz w:val="21"/>
              </w:rPr>
            </w:pPr>
            <w:r>
              <w:rPr>
                <w:rFonts w:eastAsia="宋体" w:cs="Times New Roman"/>
                <w:sz w:val="21"/>
              </w:rPr>
              <w:t>11</w:t>
            </w:r>
          </w:p>
        </w:tc>
        <w:tc>
          <w:tcPr>
            <w:tcW w:w="1567" w:type="dxa"/>
            <w:tcBorders>
              <w:top w:val="single" w:color="auto" w:sz="4" w:space="0"/>
              <w:left w:val="nil"/>
              <w:bottom w:val="single" w:color="auto" w:sz="4" w:space="0"/>
              <w:right w:val="single" w:color="auto" w:sz="4" w:space="0"/>
            </w:tcBorders>
            <w:vAlign w:val="center"/>
          </w:tcPr>
          <w:p w14:paraId="1DFD6F80">
            <w:pPr>
              <w:spacing w:line="240" w:lineRule="auto"/>
              <w:ind w:firstLine="0" w:firstLineChars="0"/>
              <w:jc w:val="center"/>
              <w:rPr>
                <w:rFonts w:eastAsia="宋体" w:cs="Times New Roman"/>
                <w:sz w:val="21"/>
              </w:rPr>
            </w:pPr>
            <w:r>
              <w:rPr>
                <w:rFonts w:eastAsia="宋体" w:cs="Times New Roman"/>
                <w:sz w:val="21"/>
              </w:rPr>
              <w:t>黄沙沥水道</w:t>
            </w:r>
          </w:p>
        </w:tc>
        <w:tc>
          <w:tcPr>
            <w:tcW w:w="1238" w:type="dxa"/>
            <w:tcBorders>
              <w:top w:val="single" w:color="auto" w:sz="4" w:space="0"/>
              <w:left w:val="nil"/>
              <w:bottom w:val="single" w:color="auto" w:sz="4" w:space="0"/>
              <w:right w:val="single" w:color="auto" w:sz="4" w:space="0"/>
            </w:tcBorders>
            <w:vAlign w:val="center"/>
          </w:tcPr>
          <w:p w14:paraId="5AA4F917">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6E7F826C">
            <w:pPr>
              <w:spacing w:line="240" w:lineRule="auto"/>
              <w:ind w:firstLine="0" w:firstLineChars="0"/>
              <w:jc w:val="center"/>
              <w:rPr>
                <w:rFonts w:eastAsia="宋体" w:cs="Times New Roman"/>
                <w:sz w:val="21"/>
              </w:rPr>
            </w:pPr>
            <w:r>
              <w:rPr>
                <w:rFonts w:eastAsia="宋体" w:cs="Times New Roman"/>
                <w:sz w:val="21"/>
              </w:rPr>
              <w:t>基沿水道下分会</w:t>
            </w:r>
          </w:p>
        </w:tc>
        <w:tc>
          <w:tcPr>
            <w:tcW w:w="1968" w:type="dxa"/>
            <w:tcBorders>
              <w:top w:val="single" w:color="auto" w:sz="4" w:space="0"/>
              <w:left w:val="nil"/>
              <w:bottom w:val="single" w:color="auto" w:sz="4" w:space="0"/>
              <w:right w:val="single" w:color="auto" w:sz="4" w:space="0"/>
            </w:tcBorders>
            <w:vAlign w:val="center"/>
          </w:tcPr>
          <w:p w14:paraId="0800798F">
            <w:pPr>
              <w:spacing w:line="240" w:lineRule="auto"/>
              <w:ind w:firstLine="0" w:firstLineChars="0"/>
              <w:jc w:val="center"/>
              <w:rPr>
                <w:rFonts w:eastAsia="宋体" w:cs="Times New Roman"/>
                <w:sz w:val="21"/>
              </w:rPr>
            </w:pPr>
            <w:r>
              <w:rPr>
                <w:rFonts w:eastAsia="宋体" w:cs="Times New Roman"/>
                <w:sz w:val="21"/>
              </w:rPr>
              <w:t>洪奇沥水道竹笛围</w:t>
            </w:r>
          </w:p>
        </w:tc>
        <w:tc>
          <w:tcPr>
            <w:tcW w:w="1303" w:type="dxa"/>
            <w:tcBorders>
              <w:top w:val="single" w:color="auto" w:sz="4" w:space="0"/>
              <w:left w:val="nil"/>
              <w:bottom w:val="single" w:color="auto" w:sz="4" w:space="0"/>
              <w:right w:val="single" w:color="auto" w:sz="4" w:space="0"/>
            </w:tcBorders>
            <w:vAlign w:val="center"/>
          </w:tcPr>
          <w:p w14:paraId="0E628C2D">
            <w:pPr>
              <w:spacing w:line="240" w:lineRule="auto"/>
              <w:ind w:firstLine="0" w:firstLineChars="0"/>
              <w:jc w:val="center"/>
              <w:rPr>
                <w:rFonts w:eastAsia="宋体" w:cs="Times New Roman"/>
                <w:sz w:val="21"/>
              </w:rPr>
            </w:pPr>
            <w:r>
              <w:rPr>
                <w:rFonts w:eastAsia="宋体" w:cs="Times New Roman"/>
                <w:sz w:val="21"/>
              </w:rPr>
              <w:t>10</w:t>
            </w:r>
          </w:p>
        </w:tc>
      </w:tr>
      <w:tr w14:paraId="241FF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2610C7BF">
            <w:pPr>
              <w:spacing w:line="240" w:lineRule="auto"/>
              <w:ind w:firstLine="0" w:firstLineChars="0"/>
              <w:jc w:val="center"/>
              <w:rPr>
                <w:rFonts w:eastAsia="宋体" w:cs="Times New Roman"/>
                <w:sz w:val="21"/>
              </w:rPr>
            </w:pPr>
            <w:r>
              <w:rPr>
                <w:rFonts w:eastAsia="宋体" w:cs="Times New Roman"/>
                <w:sz w:val="21"/>
              </w:rPr>
              <w:t>12</w:t>
            </w:r>
          </w:p>
        </w:tc>
        <w:tc>
          <w:tcPr>
            <w:tcW w:w="1567" w:type="dxa"/>
            <w:tcBorders>
              <w:top w:val="single" w:color="auto" w:sz="4" w:space="0"/>
              <w:left w:val="nil"/>
              <w:bottom w:val="single" w:color="auto" w:sz="4" w:space="0"/>
              <w:right w:val="single" w:color="auto" w:sz="4" w:space="0"/>
            </w:tcBorders>
            <w:vAlign w:val="center"/>
          </w:tcPr>
          <w:p w14:paraId="5B153419">
            <w:pPr>
              <w:spacing w:line="240" w:lineRule="auto"/>
              <w:ind w:firstLine="0" w:firstLineChars="0"/>
              <w:jc w:val="center"/>
              <w:rPr>
                <w:rFonts w:eastAsia="宋体" w:cs="Times New Roman"/>
                <w:sz w:val="21"/>
              </w:rPr>
            </w:pPr>
            <w:r>
              <w:rPr>
                <w:rFonts w:eastAsia="宋体" w:cs="Times New Roman"/>
                <w:sz w:val="21"/>
              </w:rPr>
              <w:t>大魁水道</w:t>
            </w:r>
          </w:p>
        </w:tc>
        <w:tc>
          <w:tcPr>
            <w:tcW w:w="1238" w:type="dxa"/>
            <w:tcBorders>
              <w:top w:val="single" w:color="auto" w:sz="4" w:space="0"/>
              <w:left w:val="nil"/>
              <w:bottom w:val="single" w:color="auto" w:sz="4" w:space="0"/>
              <w:right w:val="single" w:color="auto" w:sz="4" w:space="0"/>
            </w:tcBorders>
            <w:vAlign w:val="center"/>
          </w:tcPr>
          <w:p w14:paraId="6C1C1226">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5565B39A">
            <w:pPr>
              <w:spacing w:line="240" w:lineRule="auto"/>
              <w:ind w:firstLine="0" w:firstLineChars="0"/>
              <w:jc w:val="center"/>
              <w:rPr>
                <w:rFonts w:eastAsia="宋体" w:cs="Times New Roman"/>
                <w:sz w:val="21"/>
              </w:rPr>
            </w:pPr>
            <w:r>
              <w:rPr>
                <w:rFonts w:eastAsia="宋体" w:cs="Times New Roman"/>
                <w:sz w:val="21"/>
              </w:rPr>
              <w:t>桂州水道鲤鱼咀</w:t>
            </w:r>
          </w:p>
        </w:tc>
        <w:tc>
          <w:tcPr>
            <w:tcW w:w="1968" w:type="dxa"/>
            <w:tcBorders>
              <w:top w:val="single" w:color="auto" w:sz="4" w:space="0"/>
              <w:left w:val="nil"/>
              <w:bottom w:val="single" w:color="auto" w:sz="4" w:space="0"/>
              <w:right w:val="single" w:color="auto" w:sz="4" w:space="0"/>
            </w:tcBorders>
            <w:vAlign w:val="center"/>
          </w:tcPr>
          <w:p w14:paraId="3AD06733">
            <w:pPr>
              <w:spacing w:line="240" w:lineRule="auto"/>
              <w:ind w:firstLine="0" w:firstLineChars="0"/>
              <w:jc w:val="center"/>
              <w:rPr>
                <w:rFonts w:eastAsia="宋体" w:cs="Times New Roman"/>
                <w:sz w:val="21"/>
              </w:rPr>
            </w:pPr>
            <w:r>
              <w:rPr>
                <w:rFonts w:eastAsia="宋体" w:cs="Times New Roman"/>
                <w:sz w:val="21"/>
              </w:rPr>
              <w:t>洪奇沥水道大魁尾</w:t>
            </w:r>
          </w:p>
        </w:tc>
        <w:tc>
          <w:tcPr>
            <w:tcW w:w="1303" w:type="dxa"/>
            <w:tcBorders>
              <w:top w:val="single" w:color="auto" w:sz="4" w:space="0"/>
              <w:left w:val="nil"/>
              <w:bottom w:val="single" w:color="auto" w:sz="4" w:space="0"/>
              <w:right w:val="single" w:color="auto" w:sz="4" w:space="0"/>
            </w:tcBorders>
            <w:vAlign w:val="center"/>
          </w:tcPr>
          <w:p w14:paraId="014EB768">
            <w:pPr>
              <w:spacing w:line="240" w:lineRule="auto"/>
              <w:ind w:firstLine="0" w:firstLineChars="0"/>
              <w:jc w:val="center"/>
              <w:rPr>
                <w:rFonts w:eastAsia="宋体" w:cs="Times New Roman"/>
                <w:sz w:val="21"/>
              </w:rPr>
            </w:pPr>
            <w:r>
              <w:rPr>
                <w:rFonts w:eastAsia="宋体" w:cs="Times New Roman"/>
                <w:sz w:val="21"/>
              </w:rPr>
              <w:t>4.6</w:t>
            </w:r>
          </w:p>
        </w:tc>
      </w:tr>
      <w:tr w14:paraId="26756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256EEA40">
            <w:pPr>
              <w:spacing w:line="240" w:lineRule="auto"/>
              <w:ind w:firstLine="0" w:firstLineChars="0"/>
              <w:jc w:val="center"/>
              <w:rPr>
                <w:rFonts w:eastAsia="宋体" w:cs="Times New Roman"/>
                <w:sz w:val="21"/>
              </w:rPr>
            </w:pPr>
            <w:r>
              <w:rPr>
                <w:rFonts w:eastAsia="宋体" w:cs="Times New Roman"/>
                <w:sz w:val="21"/>
              </w:rPr>
              <w:t>13</w:t>
            </w:r>
          </w:p>
        </w:tc>
        <w:tc>
          <w:tcPr>
            <w:tcW w:w="1567" w:type="dxa"/>
            <w:tcBorders>
              <w:top w:val="single" w:color="auto" w:sz="4" w:space="0"/>
              <w:left w:val="nil"/>
              <w:bottom w:val="single" w:color="auto" w:sz="4" w:space="0"/>
              <w:right w:val="single" w:color="auto" w:sz="4" w:space="0"/>
            </w:tcBorders>
            <w:vAlign w:val="center"/>
          </w:tcPr>
          <w:p w14:paraId="5E26DC24">
            <w:pPr>
              <w:spacing w:line="240" w:lineRule="auto"/>
              <w:ind w:firstLine="0" w:firstLineChars="0"/>
              <w:jc w:val="center"/>
              <w:rPr>
                <w:rFonts w:eastAsia="宋体" w:cs="Times New Roman"/>
                <w:sz w:val="21"/>
              </w:rPr>
            </w:pPr>
            <w:r>
              <w:rPr>
                <w:rFonts w:eastAsia="宋体" w:cs="Times New Roman"/>
                <w:sz w:val="21"/>
              </w:rPr>
              <w:t>平洲水道</w:t>
            </w:r>
          </w:p>
        </w:tc>
        <w:tc>
          <w:tcPr>
            <w:tcW w:w="1238" w:type="dxa"/>
            <w:tcBorders>
              <w:top w:val="single" w:color="auto" w:sz="4" w:space="0"/>
              <w:left w:val="nil"/>
              <w:bottom w:val="single" w:color="auto" w:sz="4" w:space="0"/>
              <w:right w:val="single" w:color="auto" w:sz="4" w:space="0"/>
            </w:tcBorders>
            <w:vAlign w:val="center"/>
          </w:tcPr>
          <w:p w14:paraId="7BC8744B">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34C74707">
            <w:pPr>
              <w:spacing w:line="240" w:lineRule="auto"/>
              <w:ind w:firstLine="0" w:firstLineChars="0"/>
              <w:jc w:val="center"/>
              <w:rPr>
                <w:rFonts w:eastAsia="宋体" w:cs="Times New Roman"/>
                <w:sz w:val="21"/>
              </w:rPr>
            </w:pPr>
            <w:r>
              <w:rPr>
                <w:rFonts w:eastAsia="宋体" w:cs="Times New Roman"/>
                <w:sz w:val="21"/>
              </w:rPr>
              <w:t>黄圃水道二河口</w:t>
            </w:r>
          </w:p>
        </w:tc>
        <w:tc>
          <w:tcPr>
            <w:tcW w:w="1968" w:type="dxa"/>
            <w:tcBorders>
              <w:top w:val="single" w:color="auto" w:sz="4" w:space="0"/>
              <w:left w:val="nil"/>
              <w:bottom w:val="single" w:color="auto" w:sz="4" w:space="0"/>
              <w:right w:val="single" w:color="auto" w:sz="4" w:space="0"/>
            </w:tcBorders>
            <w:vAlign w:val="center"/>
          </w:tcPr>
          <w:p w14:paraId="6DECBC4C">
            <w:pPr>
              <w:spacing w:line="240" w:lineRule="auto"/>
              <w:ind w:firstLine="0" w:firstLineChars="0"/>
              <w:jc w:val="center"/>
              <w:rPr>
                <w:rFonts w:eastAsia="宋体" w:cs="Times New Roman"/>
                <w:sz w:val="21"/>
              </w:rPr>
            </w:pPr>
            <w:r>
              <w:rPr>
                <w:rFonts w:eastAsia="宋体" w:cs="Times New Roman"/>
                <w:sz w:val="21"/>
              </w:rPr>
              <w:t>黄沙沥水道平洲口</w:t>
            </w:r>
          </w:p>
        </w:tc>
        <w:tc>
          <w:tcPr>
            <w:tcW w:w="1303" w:type="dxa"/>
            <w:tcBorders>
              <w:top w:val="single" w:color="auto" w:sz="4" w:space="0"/>
              <w:left w:val="nil"/>
              <w:bottom w:val="single" w:color="auto" w:sz="4" w:space="0"/>
              <w:right w:val="single" w:color="auto" w:sz="4" w:space="0"/>
            </w:tcBorders>
            <w:vAlign w:val="center"/>
          </w:tcPr>
          <w:p w14:paraId="36D0EA65">
            <w:pPr>
              <w:spacing w:line="240" w:lineRule="auto"/>
              <w:ind w:firstLine="0" w:firstLineChars="0"/>
              <w:jc w:val="center"/>
              <w:rPr>
                <w:rFonts w:eastAsia="宋体" w:cs="Times New Roman"/>
                <w:sz w:val="21"/>
              </w:rPr>
            </w:pPr>
            <w:r>
              <w:rPr>
                <w:rFonts w:eastAsia="宋体" w:cs="Times New Roman"/>
                <w:sz w:val="21"/>
              </w:rPr>
              <w:t>4.4</w:t>
            </w:r>
          </w:p>
        </w:tc>
      </w:tr>
    </w:tbl>
    <w:p w14:paraId="3ADC4B58">
      <w:pPr>
        <w:spacing w:line="240" w:lineRule="auto"/>
        <w:ind w:firstLine="0" w:firstLineChars="0"/>
        <w:rPr>
          <w:rFonts w:eastAsia="宋体" w:cs="Times New Roman"/>
          <w:sz w:val="18"/>
          <w:szCs w:val="18"/>
        </w:rPr>
      </w:pPr>
      <w:r>
        <w:rPr>
          <w:rFonts w:eastAsia="宋体" w:cs="Times New Roman"/>
          <w:sz w:val="18"/>
          <w:szCs w:val="18"/>
        </w:rPr>
        <w:t xml:space="preserve"> </w:t>
      </w:r>
    </w:p>
    <w:p w14:paraId="727E0052">
      <w:pPr>
        <w:ind w:firstLine="480"/>
        <w:rPr>
          <w:rFonts w:eastAsia="宋体" w:cs="Times New Roman"/>
          <w:szCs w:val="24"/>
        </w:rPr>
      </w:pPr>
      <w:r>
        <w:rPr>
          <w:rFonts w:hint="eastAsia" w:ascii="宋体" w:hAnsi="宋体" w:eastAsia="宋体" w:cs="Times New Roman"/>
          <w:szCs w:val="24"/>
        </w:rPr>
        <w:t>西区</w:t>
      </w:r>
      <w:r>
        <w:rPr>
          <w:rFonts w:ascii="宋体" w:hAnsi="宋体" w:eastAsia="宋体" w:cs="Times New Roman"/>
          <w:szCs w:val="24"/>
        </w:rPr>
        <w:t>位于中山市网河区</w:t>
      </w:r>
      <w:r>
        <w:rPr>
          <w:rFonts w:hint="eastAsia" w:ascii="宋体" w:hAnsi="宋体" w:eastAsia="宋体" w:cs="Times New Roman"/>
          <w:szCs w:val="24"/>
        </w:rPr>
        <w:t>中</w:t>
      </w:r>
      <w:r>
        <w:rPr>
          <w:rFonts w:ascii="宋体" w:hAnsi="宋体" w:eastAsia="宋体" w:cs="Times New Roman"/>
          <w:szCs w:val="24"/>
        </w:rPr>
        <w:t>游，镇内河涌纵横，</w:t>
      </w:r>
      <w:r>
        <w:rPr>
          <w:rFonts w:eastAsia="宋体" w:cs="Times New Roman"/>
          <w:szCs w:val="24"/>
        </w:rPr>
        <w:t>主要的平原河网是珠江河口区网状水系的组成部分之一</w:t>
      </w:r>
      <w:r>
        <w:rPr>
          <w:rFonts w:hint="eastAsia" w:eastAsia="宋体" w:cs="Times New Roman"/>
          <w:szCs w:val="24"/>
        </w:rPr>
        <w:t>，</w:t>
      </w:r>
      <w:r>
        <w:rPr>
          <w:rFonts w:eastAsia="宋体" w:cs="Times New Roman"/>
          <w:szCs w:val="24"/>
        </w:rPr>
        <w:t>河网密度相当大，达</w:t>
      </w:r>
      <w:r>
        <w:rPr>
          <w:rFonts w:hint="eastAsia" w:eastAsia="宋体" w:cs="Times New Roman"/>
          <w:szCs w:val="24"/>
        </w:rPr>
        <w:t>1.4km</w:t>
      </w:r>
      <w:r>
        <w:rPr>
          <w:rFonts w:eastAsia="宋体" w:cs="Times New Roman"/>
          <w:szCs w:val="24"/>
        </w:rPr>
        <w:t>/</w:t>
      </w:r>
      <w:r>
        <w:rPr>
          <w:rFonts w:hint="eastAsia" w:eastAsia="宋体" w:cs="Times New Roman"/>
          <w:szCs w:val="24"/>
        </w:rPr>
        <w:t>km</w:t>
      </w:r>
      <w:r>
        <w:rPr>
          <w:rFonts w:hint="eastAsia" w:eastAsia="宋体" w:cs="Times New Roman"/>
          <w:szCs w:val="24"/>
          <w:vertAlign w:val="superscript"/>
        </w:rPr>
        <w:t>2</w:t>
      </w:r>
      <w:r>
        <w:rPr>
          <w:rFonts w:eastAsia="宋体" w:cs="Times New Roman"/>
          <w:szCs w:val="24"/>
        </w:rPr>
        <w:t>，是中山市河网密度较大的地区之一</w:t>
      </w:r>
      <w:r>
        <w:rPr>
          <w:rFonts w:ascii="宋体" w:hAnsi="宋体" w:eastAsia="宋体" w:cs="Times New Roman"/>
          <w:szCs w:val="24"/>
        </w:rPr>
        <w:t>，现</w:t>
      </w:r>
      <w:r>
        <w:rPr>
          <w:rFonts w:hint="eastAsia" w:eastAsia="宋体" w:cs="Times New Roman"/>
          <w:szCs w:val="24"/>
        </w:rPr>
        <w:t>境内主要河流水道包括：</w:t>
      </w:r>
      <w:r>
        <w:rPr>
          <w:rFonts w:eastAsia="宋体" w:cs="Times New Roman"/>
          <w:szCs w:val="24"/>
        </w:rPr>
        <w:t>岐江河、</w:t>
      </w:r>
      <w:r>
        <w:rPr>
          <w:rFonts w:hint="eastAsia" w:eastAsia="宋体" w:cs="Times New Roman"/>
          <w:szCs w:val="24"/>
        </w:rPr>
        <w:t>狮滘河、新涌、悦生涌、朗滘涌、石特涌。同时还有分布在各村大大小小的河涌</w:t>
      </w:r>
      <w:r>
        <w:rPr>
          <w:rFonts w:ascii="宋体" w:hAnsi="宋体" w:eastAsia="宋体" w:cs="Times New Roman"/>
          <w:szCs w:val="24"/>
        </w:rPr>
        <w:t>，总长为</w:t>
      </w:r>
      <w:r>
        <w:rPr>
          <w:rFonts w:eastAsia="宋体" w:cs="Times New Roman"/>
          <w:szCs w:val="24"/>
        </w:rPr>
        <w:t>34.4km</w:t>
      </w:r>
      <w:r>
        <w:rPr>
          <w:rFonts w:hint="eastAsia" w:eastAsia="宋体" w:cs="Times New Roman"/>
          <w:szCs w:val="24"/>
        </w:rPr>
        <w:t>。西区主要河流水系分布图见</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4</w:t>
      </w:r>
      <w:r>
        <w:rPr>
          <w:rFonts w:hint="eastAsia" w:eastAsia="宋体" w:cs="Times New Roman"/>
          <w:szCs w:val="24"/>
        </w:rPr>
        <w:t>，西区境内共有15条河流，全部均为跨界或交界公共河涌，其中沙朗涌分两段（隆平段、沙朗段），还有一段为分流涌，由于实际长度在150m左右，通常都算在悦生涌内。</w:t>
      </w:r>
    </w:p>
    <w:p w14:paraId="1365A4AF">
      <w:pPr>
        <w:ind w:firstLine="480"/>
        <w:rPr>
          <w:rFonts w:eastAsia="宋体" w:cs="Times New Roman"/>
          <w:szCs w:val="24"/>
        </w:rPr>
      </w:pPr>
      <w:r>
        <w:rPr>
          <w:rFonts w:hint="eastAsia" w:eastAsia="宋体" w:cs="Times New Roman"/>
          <w:szCs w:val="24"/>
        </w:rPr>
        <w:t>西区位于中山市中西部，紧邻岐江河，其中岐江河长46km，河面宽80</w:t>
      </w:r>
      <w:r>
        <w:rPr>
          <w:rFonts w:eastAsia="宋体" w:cs="Times New Roman"/>
          <w:szCs w:val="24"/>
        </w:rPr>
        <w:t>~</w:t>
      </w:r>
      <w:r>
        <w:rPr>
          <w:rFonts w:hint="eastAsia" w:eastAsia="宋体" w:cs="Times New Roman"/>
          <w:szCs w:val="24"/>
        </w:rPr>
        <w:t>200m，平均河宽150m，低潮时水深2～3m，可通航300～500吨位船舶，具有灌溉、调蓄洪水、排涝、纳污、城市景观及通航的功能。岐江河流经西区的河长为6.7km，平均河宽100m，开始于大涌与板芙的交界处，终止于大涌与沙溪的交界处。根据2017年西区境内各镇区河涌水质监测数据统计，岐江河流经西区河段的水质为劣V类水质，超标项目为氨氮。</w:t>
      </w:r>
    </w:p>
    <w:p w14:paraId="5F97A016">
      <w:pPr>
        <w:ind w:firstLine="480"/>
        <w:rPr>
          <w:rFonts w:eastAsia="宋体" w:cs="Times New Roman"/>
          <w:szCs w:val="24"/>
        </w:rPr>
      </w:pPr>
      <w:r>
        <w:rPr>
          <w:rFonts w:ascii="宋体" w:hAnsi="宋体" w:eastAsia="宋体" w:cs="Times New Roman"/>
          <w:szCs w:val="24"/>
        </w:rPr>
        <w:t>该区域内河涌主要分为横向河涌和纵向河涌。</w:t>
      </w:r>
      <w:r>
        <w:rPr>
          <w:rFonts w:eastAsia="宋体" w:cs="Times New Roman"/>
          <w:szCs w:val="24"/>
        </w:rPr>
        <w:t>横向河涌主要有</w:t>
      </w:r>
      <w:r>
        <w:rPr>
          <w:rFonts w:hint="eastAsia" w:eastAsia="宋体" w:cs="Times New Roman"/>
          <w:szCs w:val="24"/>
        </w:rPr>
        <w:t>狮滘河、十六顷排灌渠、南六涌、沙朗新开涌等河涌，纵向河涌主要有岐江河、朗滘涌、悦生涌、十六顷涌、石特涌等（见表1-2）。</w:t>
      </w:r>
    </w:p>
    <w:p w14:paraId="63AA916F">
      <w:pPr>
        <w:spacing w:line="240" w:lineRule="auto"/>
        <w:ind w:firstLine="420"/>
        <w:jc w:val="center"/>
        <w:rPr>
          <w:rFonts w:ascii="宋体" w:hAnsi="宋体" w:eastAsia="宋体" w:cs="Times New Roman"/>
          <w:color w:val="000000"/>
          <w:sz w:val="21"/>
        </w:rPr>
      </w:pPr>
      <w:r>
        <w:rPr>
          <w:rFonts w:hint="eastAsia" w:ascii="宋体" w:hAnsi="宋体" w:eastAsia="宋体" w:cs="Times New Roman"/>
          <w:color w:val="000000"/>
          <w:sz w:val="21"/>
        </w:rPr>
        <w:t>表</w:t>
      </w:r>
      <w:r>
        <w:rPr>
          <w:rFonts w:hint="eastAsia" w:eastAsia="宋体" w:cs="Times New Roman"/>
          <w:color w:val="000000"/>
          <w:sz w:val="21"/>
        </w:rPr>
        <w:t xml:space="preserve">1-2  </w:t>
      </w:r>
      <w:r>
        <w:rPr>
          <w:rFonts w:hint="eastAsia" w:ascii="宋体" w:hAnsi="宋体" w:eastAsia="宋体" w:cs="Times New Roman"/>
          <w:color w:val="000000"/>
          <w:sz w:val="21"/>
        </w:rPr>
        <w:t>西区境内河涌</w:t>
      </w:r>
    </w:p>
    <w:tbl>
      <w:tblPr>
        <w:tblStyle w:val="75"/>
        <w:tblW w:w="91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
        <w:gridCol w:w="1387"/>
        <w:gridCol w:w="1518"/>
        <w:gridCol w:w="1281"/>
        <w:gridCol w:w="1228"/>
        <w:gridCol w:w="1077"/>
        <w:gridCol w:w="2239"/>
      </w:tblGrid>
      <w:tr w14:paraId="789DA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D9BB96">
            <w:pPr>
              <w:adjustRightInd w:val="0"/>
              <w:snapToGrid w:val="0"/>
              <w:spacing w:line="240" w:lineRule="auto"/>
              <w:ind w:firstLine="0" w:firstLineChars="0"/>
              <w:jc w:val="center"/>
              <w:rPr>
                <w:b/>
                <w:sz w:val="21"/>
              </w:rPr>
            </w:pPr>
            <w:r>
              <w:rPr>
                <w:rFonts w:hint="eastAsia" w:eastAsia="宋体" w:cs="宋体"/>
                <w:b/>
                <w:sz w:val="21"/>
                <w:lang w:bidi="ar"/>
              </w:rPr>
              <w:t>序号</w:t>
            </w:r>
          </w:p>
        </w:tc>
        <w:tc>
          <w:tcPr>
            <w:tcW w:w="1387" w:type="dxa"/>
            <w:vMerge w:val="restart"/>
            <w:tcBorders>
              <w:top w:val="single" w:color="000000" w:sz="4" w:space="0"/>
              <w:left w:val="nil"/>
              <w:bottom w:val="single" w:color="000000" w:sz="4" w:space="0"/>
              <w:right w:val="single" w:color="000000" w:sz="4" w:space="0"/>
            </w:tcBorders>
            <w:shd w:val="clear" w:color="auto" w:fill="auto"/>
            <w:vAlign w:val="center"/>
          </w:tcPr>
          <w:p w14:paraId="2146D65E">
            <w:pPr>
              <w:adjustRightInd w:val="0"/>
              <w:snapToGrid w:val="0"/>
              <w:spacing w:line="240" w:lineRule="auto"/>
              <w:ind w:firstLine="0" w:firstLineChars="0"/>
              <w:jc w:val="center"/>
              <w:rPr>
                <w:b/>
                <w:sz w:val="21"/>
              </w:rPr>
            </w:pPr>
            <w:r>
              <w:rPr>
                <w:rFonts w:hint="eastAsia" w:eastAsia="宋体" w:cs="宋体"/>
                <w:b/>
                <w:sz w:val="21"/>
                <w:lang w:bidi="ar"/>
              </w:rPr>
              <w:t>河涌</w:t>
            </w:r>
            <w:r>
              <w:rPr>
                <w:rFonts w:eastAsia="宋体" w:cs="Times New Roman"/>
                <w:b/>
                <w:sz w:val="21"/>
                <w:lang w:bidi="ar"/>
              </w:rPr>
              <w:t>/</w:t>
            </w:r>
            <w:r>
              <w:rPr>
                <w:rFonts w:hint="eastAsia" w:eastAsia="宋体" w:cs="宋体"/>
                <w:b/>
                <w:sz w:val="21"/>
                <w:lang w:bidi="ar"/>
              </w:rPr>
              <w:t>河道名称</w:t>
            </w:r>
          </w:p>
        </w:tc>
        <w:tc>
          <w:tcPr>
            <w:tcW w:w="2799" w:type="dxa"/>
            <w:gridSpan w:val="2"/>
            <w:tcBorders>
              <w:top w:val="single" w:color="000000" w:sz="4" w:space="0"/>
              <w:left w:val="nil"/>
              <w:bottom w:val="single" w:color="000000" w:sz="4" w:space="0"/>
              <w:right w:val="single" w:color="000000" w:sz="4" w:space="0"/>
            </w:tcBorders>
            <w:shd w:val="clear" w:color="auto" w:fill="auto"/>
            <w:vAlign w:val="center"/>
          </w:tcPr>
          <w:p w14:paraId="1E4E6438">
            <w:pPr>
              <w:adjustRightInd w:val="0"/>
              <w:snapToGrid w:val="0"/>
              <w:spacing w:line="240" w:lineRule="auto"/>
              <w:ind w:firstLine="0" w:firstLineChars="0"/>
              <w:jc w:val="center"/>
              <w:rPr>
                <w:b/>
                <w:sz w:val="21"/>
              </w:rPr>
            </w:pPr>
            <w:r>
              <w:rPr>
                <w:rFonts w:hint="eastAsia" w:eastAsia="宋体" w:cs="宋体"/>
                <w:b/>
                <w:sz w:val="21"/>
                <w:lang w:bidi="ar"/>
              </w:rPr>
              <w:t>起止地点</w:t>
            </w:r>
          </w:p>
        </w:tc>
        <w:tc>
          <w:tcPr>
            <w:tcW w:w="1228" w:type="dxa"/>
            <w:vMerge w:val="restart"/>
            <w:tcBorders>
              <w:top w:val="single" w:color="000000" w:sz="4" w:space="0"/>
              <w:left w:val="nil"/>
              <w:bottom w:val="single" w:color="000000" w:sz="4" w:space="0"/>
              <w:right w:val="single" w:color="000000" w:sz="4" w:space="0"/>
            </w:tcBorders>
            <w:shd w:val="clear" w:color="auto" w:fill="auto"/>
            <w:vAlign w:val="center"/>
          </w:tcPr>
          <w:p w14:paraId="72535DB6">
            <w:pPr>
              <w:adjustRightInd w:val="0"/>
              <w:snapToGrid w:val="0"/>
              <w:spacing w:line="240" w:lineRule="auto"/>
              <w:ind w:firstLine="0" w:firstLineChars="0"/>
              <w:jc w:val="center"/>
              <w:rPr>
                <w:b/>
                <w:sz w:val="21"/>
              </w:rPr>
            </w:pPr>
            <w:r>
              <w:rPr>
                <w:rFonts w:hint="eastAsia" w:eastAsia="宋体" w:cs="宋体"/>
                <w:b/>
                <w:sz w:val="21"/>
                <w:lang w:bidi="ar"/>
              </w:rPr>
              <w:t>河长</w:t>
            </w:r>
            <w:r>
              <w:rPr>
                <w:rFonts w:eastAsia="宋体" w:cs="Times New Roman"/>
                <w:b/>
                <w:sz w:val="21"/>
                <w:lang w:bidi="ar"/>
              </w:rPr>
              <w:t>/</w:t>
            </w:r>
            <w:r>
              <w:rPr>
                <w:rFonts w:hint="eastAsia" w:eastAsia="宋体" w:cs="宋体"/>
                <w:b/>
                <w:sz w:val="21"/>
                <w:lang w:bidi="ar"/>
              </w:rPr>
              <w:t>流经本镇长度</w:t>
            </w:r>
          </w:p>
          <w:p w14:paraId="29AC6F6C">
            <w:pPr>
              <w:adjustRightInd w:val="0"/>
              <w:snapToGrid w:val="0"/>
              <w:spacing w:line="240" w:lineRule="auto"/>
              <w:ind w:firstLine="0" w:firstLineChars="0"/>
              <w:jc w:val="center"/>
              <w:rPr>
                <w:b/>
                <w:sz w:val="21"/>
              </w:rPr>
            </w:pPr>
            <w:r>
              <w:rPr>
                <w:rFonts w:hint="eastAsia" w:eastAsia="宋体" w:cs="宋体"/>
                <w:b/>
                <w:sz w:val="21"/>
                <w:lang w:bidi="ar"/>
              </w:rPr>
              <w:t>（</w:t>
            </w:r>
            <w:r>
              <w:rPr>
                <w:rFonts w:eastAsia="宋体" w:cs="Times New Roman"/>
                <w:b/>
                <w:sz w:val="21"/>
                <w:lang w:bidi="ar"/>
              </w:rPr>
              <w:t>km</w:t>
            </w:r>
            <w:r>
              <w:rPr>
                <w:rFonts w:hint="eastAsia" w:eastAsia="宋体" w:cs="宋体"/>
                <w:b/>
                <w:sz w:val="21"/>
                <w:lang w:bidi="ar"/>
              </w:rPr>
              <w:t>）</w:t>
            </w:r>
          </w:p>
        </w:tc>
        <w:tc>
          <w:tcPr>
            <w:tcW w:w="1077" w:type="dxa"/>
            <w:vMerge w:val="restart"/>
            <w:tcBorders>
              <w:top w:val="single" w:color="000000" w:sz="4" w:space="0"/>
              <w:left w:val="nil"/>
              <w:bottom w:val="single" w:color="000000" w:sz="4" w:space="0"/>
              <w:right w:val="single" w:color="000000" w:sz="4" w:space="0"/>
            </w:tcBorders>
            <w:shd w:val="clear" w:color="auto" w:fill="auto"/>
            <w:vAlign w:val="center"/>
          </w:tcPr>
          <w:p w14:paraId="539A0D6B">
            <w:pPr>
              <w:adjustRightInd w:val="0"/>
              <w:snapToGrid w:val="0"/>
              <w:spacing w:line="240" w:lineRule="auto"/>
              <w:ind w:firstLine="0" w:firstLineChars="0"/>
              <w:jc w:val="center"/>
              <w:rPr>
                <w:b/>
                <w:sz w:val="21"/>
              </w:rPr>
            </w:pPr>
            <w:r>
              <w:rPr>
                <w:rFonts w:hint="eastAsia" w:eastAsia="宋体" w:cs="宋体"/>
                <w:b/>
                <w:sz w:val="21"/>
                <w:lang w:bidi="ar"/>
              </w:rPr>
              <w:t>平均宽度</w:t>
            </w:r>
          </w:p>
          <w:p w14:paraId="6DB68A5C">
            <w:pPr>
              <w:adjustRightInd w:val="0"/>
              <w:snapToGrid w:val="0"/>
              <w:spacing w:line="240" w:lineRule="auto"/>
              <w:ind w:firstLine="0" w:firstLineChars="0"/>
              <w:jc w:val="center"/>
              <w:rPr>
                <w:b/>
                <w:sz w:val="21"/>
              </w:rPr>
            </w:pPr>
            <w:r>
              <w:rPr>
                <w:rFonts w:hint="eastAsia" w:eastAsia="宋体" w:cs="宋体"/>
                <w:b/>
                <w:sz w:val="21"/>
                <w:lang w:bidi="ar"/>
              </w:rPr>
              <w:t>（</w:t>
            </w:r>
            <w:r>
              <w:rPr>
                <w:rFonts w:eastAsia="宋体" w:cs="Times New Roman"/>
                <w:b/>
                <w:sz w:val="21"/>
                <w:lang w:bidi="ar"/>
              </w:rPr>
              <w:t>m</w:t>
            </w:r>
            <w:r>
              <w:rPr>
                <w:rFonts w:hint="eastAsia" w:eastAsia="宋体" w:cs="宋体"/>
                <w:b/>
                <w:sz w:val="21"/>
                <w:lang w:bidi="ar"/>
              </w:rPr>
              <w:t>）</w:t>
            </w:r>
          </w:p>
        </w:tc>
        <w:tc>
          <w:tcPr>
            <w:tcW w:w="2239" w:type="dxa"/>
            <w:vMerge w:val="restart"/>
            <w:tcBorders>
              <w:top w:val="single" w:color="000000" w:sz="4" w:space="0"/>
              <w:left w:val="nil"/>
              <w:bottom w:val="single" w:color="000000" w:sz="4" w:space="0"/>
              <w:right w:val="single" w:color="000000" w:sz="4" w:space="0"/>
            </w:tcBorders>
            <w:shd w:val="clear" w:color="auto" w:fill="auto"/>
            <w:vAlign w:val="center"/>
          </w:tcPr>
          <w:p w14:paraId="0786F21A">
            <w:pPr>
              <w:adjustRightInd w:val="0"/>
              <w:snapToGrid w:val="0"/>
              <w:spacing w:line="240" w:lineRule="auto"/>
              <w:ind w:firstLine="0" w:firstLineChars="0"/>
              <w:jc w:val="center"/>
              <w:rPr>
                <w:b/>
                <w:sz w:val="21"/>
              </w:rPr>
            </w:pPr>
            <w:r>
              <w:rPr>
                <w:rFonts w:hint="eastAsia" w:eastAsia="宋体" w:cs="宋体"/>
                <w:b/>
                <w:sz w:val="21"/>
                <w:lang w:bidi="ar"/>
              </w:rPr>
              <w:t>流经社区</w:t>
            </w:r>
          </w:p>
        </w:tc>
      </w:tr>
      <w:tr w14:paraId="31254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4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6166B2">
            <w:pPr>
              <w:spacing w:line="240" w:lineRule="auto"/>
              <w:ind w:firstLine="420"/>
              <w:rPr>
                <w:rFonts w:eastAsia="Times New Roman" w:cs="Times New Roman"/>
                <w:sz w:val="21"/>
              </w:rPr>
            </w:pPr>
          </w:p>
        </w:tc>
        <w:tc>
          <w:tcPr>
            <w:tcW w:w="1387" w:type="dxa"/>
            <w:vMerge w:val="continue"/>
            <w:tcBorders>
              <w:top w:val="single" w:color="000000" w:sz="4" w:space="0"/>
              <w:left w:val="nil"/>
              <w:bottom w:val="single" w:color="000000" w:sz="4" w:space="0"/>
              <w:right w:val="single" w:color="000000" w:sz="4" w:space="0"/>
            </w:tcBorders>
            <w:shd w:val="clear" w:color="auto" w:fill="auto"/>
            <w:vAlign w:val="center"/>
          </w:tcPr>
          <w:p w14:paraId="70EE5550">
            <w:pPr>
              <w:spacing w:line="240" w:lineRule="auto"/>
              <w:ind w:firstLine="420"/>
              <w:rPr>
                <w:rFonts w:eastAsia="Times New Roman" w:cs="Times New Roman"/>
                <w:sz w:val="21"/>
              </w:rPr>
            </w:pPr>
          </w:p>
        </w:tc>
        <w:tc>
          <w:tcPr>
            <w:tcW w:w="1518" w:type="dxa"/>
            <w:tcBorders>
              <w:top w:val="single" w:color="000000" w:sz="4" w:space="0"/>
              <w:left w:val="nil"/>
              <w:bottom w:val="single" w:color="000000" w:sz="4" w:space="0"/>
              <w:right w:val="single" w:color="000000" w:sz="4" w:space="0"/>
            </w:tcBorders>
            <w:shd w:val="clear" w:color="auto" w:fill="auto"/>
            <w:vAlign w:val="center"/>
          </w:tcPr>
          <w:p w14:paraId="1A2333C9">
            <w:pPr>
              <w:adjustRightInd w:val="0"/>
              <w:snapToGrid w:val="0"/>
              <w:spacing w:line="240" w:lineRule="auto"/>
              <w:ind w:firstLine="0" w:firstLineChars="0"/>
              <w:jc w:val="center"/>
              <w:rPr>
                <w:b/>
                <w:sz w:val="21"/>
              </w:rPr>
            </w:pPr>
            <w:r>
              <w:rPr>
                <w:rFonts w:hint="eastAsia" w:eastAsia="宋体" w:cs="宋体"/>
                <w:b/>
                <w:sz w:val="21"/>
                <w:lang w:bidi="ar"/>
              </w:rPr>
              <w:t>起</w:t>
            </w:r>
          </w:p>
        </w:tc>
        <w:tc>
          <w:tcPr>
            <w:tcW w:w="1281" w:type="dxa"/>
            <w:tcBorders>
              <w:top w:val="single" w:color="000000" w:sz="4" w:space="0"/>
              <w:left w:val="nil"/>
              <w:bottom w:val="single" w:color="000000" w:sz="4" w:space="0"/>
              <w:right w:val="single" w:color="000000" w:sz="4" w:space="0"/>
            </w:tcBorders>
            <w:shd w:val="clear" w:color="auto" w:fill="auto"/>
            <w:vAlign w:val="center"/>
          </w:tcPr>
          <w:p w14:paraId="63699878">
            <w:pPr>
              <w:adjustRightInd w:val="0"/>
              <w:snapToGrid w:val="0"/>
              <w:spacing w:line="240" w:lineRule="auto"/>
              <w:ind w:firstLine="0" w:firstLineChars="0"/>
              <w:jc w:val="center"/>
              <w:rPr>
                <w:b/>
                <w:sz w:val="21"/>
              </w:rPr>
            </w:pPr>
            <w:r>
              <w:rPr>
                <w:rFonts w:hint="eastAsia" w:eastAsia="宋体" w:cs="宋体"/>
                <w:b/>
                <w:sz w:val="21"/>
                <w:lang w:bidi="ar"/>
              </w:rPr>
              <w:t>止</w:t>
            </w:r>
          </w:p>
        </w:tc>
        <w:tc>
          <w:tcPr>
            <w:tcW w:w="1228" w:type="dxa"/>
            <w:vMerge w:val="continue"/>
            <w:tcBorders>
              <w:top w:val="single" w:color="000000" w:sz="4" w:space="0"/>
              <w:left w:val="nil"/>
              <w:bottom w:val="single" w:color="000000" w:sz="4" w:space="0"/>
              <w:right w:val="single" w:color="000000" w:sz="4" w:space="0"/>
            </w:tcBorders>
            <w:shd w:val="clear" w:color="auto" w:fill="auto"/>
            <w:vAlign w:val="center"/>
          </w:tcPr>
          <w:p w14:paraId="29D54B21">
            <w:pPr>
              <w:spacing w:line="240" w:lineRule="auto"/>
              <w:ind w:firstLine="420"/>
              <w:rPr>
                <w:rFonts w:eastAsia="Times New Roman" w:cs="Times New Roman"/>
                <w:sz w:val="21"/>
              </w:rPr>
            </w:pPr>
          </w:p>
        </w:tc>
        <w:tc>
          <w:tcPr>
            <w:tcW w:w="1077" w:type="dxa"/>
            <w:vMerge w:val="continue"/>
            <w:tcBorders>
              <w:top w:val="single" w:color="000000" w:sz="4" w:space="0"/>
              <w:left w:val="nil"/>
              <w:bottom w:val="single" w:color="000000" w:sz="4" w:space="0"/>
              <w:right w:val="single" w:color="000000" w:sz="4" w:space="0"/>
            </w:tcBorders>
            <w:shd w:val="clear" w:color="auto" w:fill="auto"/>
            <w:vAlign w:val="center"/>
          </w:tcPr>
          <w:p w14:paraId="6557A6FB">
            <w:pPr>
              <w:spacing w:line="240" w:lineRule="auto"/>
              <w:ind w:firstLine="420"/>
              <w:rPr>
                <w:rFonts w:eastAsia="Times New Roman" w:cs="Times New Roman"/>
                <w:sz w:val="21"/>
              </w:rPr>
            </w:pPr>
          </w:p>
        </w:tc>
        <w:tc>
          <w:tcPr>
            <w:tcW w:w="2239" w:type="dxa"/>
            <w:vMerge w:val="continue"/>
            <w:tcBorders>
              <w:top w:val="single" w:color="000000" w:sz="4" w:space="0"/>
              <w:left w:val="nil"/>
              <w:bottom w:val="single" w:color="000000" w:sz="4" w:space="0"/>
              <w:right w:val="single" w:color="000000" w:sz="4" w:space="0"/>
            </w:tcBorders>
            <w:shd w:val="clear" w:color="auto" w:fill="auto"/>
            <w:vAlign w:val="center"/>
          </w:tcPr>
          <w:p w14:paraId="0E916D97">
            <w:pPr>
              <w:spacing w:line="240" w:lineRule="auto"/>
              <w:ind w:firstLine="420"/>
              <w:rPr>
                <w:rFonts w:eastAsia="Times New Roman" w:cs="Times New Roman"/>
                <w:sz w:val="21"/>
              </w:rPr>
            </w:pPr>
          </w:p>
        </w:tc>
      </w:tr>
      <w:tr w14:paraId="10A6C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1AF6E">
            <w:pPr>
              <w:adjustRightInd w:val="0"/>
              <w:snapToGrid w:val="0"/>
              <w:spacing w:line="240" w:lineRule="auto"/>
              <w:ind w:firstLine="0" w:firstLineChars="0"/>
              <w:jc w:val="center"/>
              <w:rPr>
                <w:sz w:val="21"/>
              </w:rPr>
            </w:pPr>
            <w:r>
              <w:rPr>
                <w:rFonts w:eastAsia="宋体" w:cs="Times New Roman"/>
                <w:sz w:val="21"/>
                <w:lang w:bidi="ar"/>
              </w:rPr>
              <w:t>1</w:t>
            </w:r>
          </w:p>
        </w:tc>
        <w:tc>
          <w:tcPr>
            <w:tcW w:w="1387" w:type="dxa"/>
            <w:tcBorders>
              <w:top w:val="single" w:color="auto" w:sz="4" w:space="0"/>
              <w:left w:val="single" w:color="auto" w:sz="4" w:space="0"/>
              <w:bottom w:val="single" w:color="auto" w:sz="4" w:space="0"/>
              <w:right w:val="single" w:color="auto" w:sz="4" w:space="0"/>
            </w:tcBorders>
            <w:shd w:val="clear" w:color="auto" w:fill="auto"/>
            <w:vAlign w:val="center"/>
          </w:tcPr>
          <w:p w14:paraId="29C7DE0D">
            <w:pPr>
              <w:adjustRightInd w:val="0"/>
              <w:snapToGrid w:val="0"/>
              <w:spacing w:line="240" w:lineRule="auto"/>
              <w:ind w:firstLine="0" w:firstLineChars="0"/>
              <w:jc w:val="center"/>
              <w:rPr>
                <w:sz w:val="21"/>
              </w:rPr>
            </w:pPr>
            <w:r>
              <w:rPr>
                <w:rFonts w:hint="eastAsia" w:eastAsia="宋体" w:cs="宋体"/>
                <w:sz w:val="21"/>
                <w:lang w:bidi="ar"/>
              </w:rPr>
              <w:t>岐江河</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E16C1">
            <w:pPr>
              <w:adjustRightInd w:val="0"/>
              <w:snapToGrid w:val="0"/>
              <w:spacing w:line="240" w:lineRule="auto"/>
              <w:ind w:firstLine="0" w:firstLineChars="0"/>
              <w:jc w:val="center"/>
              <w:rPr>
                <w:sz w:val="21"/>
              </w:rPr>
            </w:pPr>
            <w:r>
              <w:rPr>
                <w:rFonts w:hint="eastAsia"/>
                <w:sz w:val="21"/>
              </w:rPr>
              <w:t>白石涌口</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D5A1B">
            <w:pPr>
              <w:adjustRightInd w:val="0"/>
              <w:snapToGrid w:val="0"/>
              <w:spacing w:line="240" w:lineRule="auto"/>
              <w:ind w:firstLine="0" w:firstLineChars="0"/>
              <w:jc w:val="center"/>
              <w:rPr>
                <w:sz w:val="21"/>
              </w:rPr>
            </w:pPr>
            <w:r>
              <w:rPr>
                <w:rFonts w:hint="eastAsia"/>
                <w:sz w:val="21"/>
              </w:rPr>
              <w:t>博达外滩侧</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1F508B97">
            <w:pPr>
              <w:adjustRightInd w:val="0"/>
              <w:snapToGrid w:val="0"/>
              <w:spacing w:line="240" w:lineRule="auto"/>
              <w:ind w:firstLine="0" w:firstLineChars="0"/>
              <w:jc w:val="center"/>
              <w:rPr>
                <w:sz w:val="21"/>
              </w:rPr>
            </w:pPr>
            <w:r>
              <w:rPr>
                <w:rFonts w:hint="eastAsia"/>
                <w:sz w:val="21"/>
              </w:rPr>
              <w:t>4.7</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212A42A3">
            <w:pPr>
              <w:adjustRightInd w:val="0"/>
              <w:snapToGrid w:val="0"/>
              <w:spacing w:line="240" w:lineRule="auto"/>
              <w:ind w:firstLine="0" w:firstLineChars="0"/>
              <w:jc w:val="center"/>
              <w:rPr>
                <w:sz w:val="21"/>
              </w:rPr>
            </w:pPr>
            <w:r>
              <w:rPr>
                <w:rFonts w:hint="eastAsia"/>
                <w:sz w:val="21"/>
              </w:rPr>
              <w:t>90</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7A59DCA6">
            <w:pPr>
              <w:adjustRightInd w:val="0"/>
              <w:snapToGrid w:val="0"/>
              <w:spacing w:line="240" w:lineRule="auto"/>
              <w:ind w:firstLine="0" w:firstLineChars="0"/>
              <w:jc w:val="center"/>
              <w:rPr>
                <w:sz w:val="21"/>
              </w:rPr>
            </w:pPr>
            <w:r>
              <w:rPr>
                <w:rFonts w:hint="eastAsia"/>
                <w:sz w:val="21"/>
              </w:rPr>
              <w:t>后山社区</w:t>
            </w:r>
          </w:p>
        </w:tc>
      </w:tr>
      <w:tr w14:paraId="67A1D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75F34">
            <w:pPr>
              <w:adjustRightInd w:val="0"/>
              <w:snapToGrid w:val="0"/>
              <w:spacing w:line="240" w:lineRule="auto"/>
              <w:ind w:firstLine="0" w:firstLineChars="0"/>
              <w:jc w:val="center"/>
              <w:rPr>
                <w:sz w:val="21"/>
              </w:rPr>
            </w:pPr>
            <w:r>
              <w:rPr>
                <w:rFonts w:eastAsia="宋体" w:cs="Times New Roman"/>
                <w:sz w:val="21"/>
                <w:lang w:bidi="ar"/>
              </w:rPr>
              <w:t>2</w:t>
            </w:r>
          </w:p>
        </w:tc>
        <w:tc>
          <w:tcPr>
            <w:tcW w:w="1387" w:type="dxa"/>
            <w:tcBorders>
              <w:top w:val="single" w:color="auto" w:sz="4" w:space="0"/>
              <w:left w:val="single" w:color="auto" w:sz="4" w:space="0"/>
              <w:bottom w:val="single" w:color="auto" w:sz="4" w:space="0"/>
              <w:right w:val="single" w:color="auto" w:sz="4" w:space="0"/>
            </w:tcBorders>
            <w:shd w:val="clear" w:color="auto" w:fill="auto"/>
            <w:vAlign w:val="center"/>
          </w:tcPr>
          <w:p w14:paraId="54230FBF">
            <w:pPr>
              <w:adjustRightInd w:val="0"/>
              <w:snapToGrid w:val="0"/>
              <w:spacing w:line="240" w:lineRule="auto"/>
              <w:ind w:firstLine="0" w:firstLineChars="0"/>
              <w:jc w:val="center"/>
              <w:rPr>
                <w:sz w:val="21"/>
              </w:rPr>
            </w:pPr>
            <w:r>
              <w:rPr>
                <w:rFonts w:hint="eastAsia"/>
                <w:sz w:val="21"/>
              </w:rPr>
              <w:t>狮滘河</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7BFF9">
            <w:pPr>
              <w:adjustRightInd w:val="0"/>
              <w:snapToGrid w:val="0"/>
              <w:spacing w:line="240" w:lineRule="auto"/>
              <w:ind w:firstLine="0" w:firstLineChars="0"/>
              <w:jc w:val="center"/>
              <w:rPr>
                <w:sz w:val="21"/>
              </w:rPr>
            </w:pPr>
            <w:r>
              <w:rPr>
                <w:rFonts w:hint="eastAsia"/>
                <w:sz w:val="21"/>
              </w:rPr>
              <w:t>岐江河（滨江一号处）</w:t>
            </w:r>
          </w:p>
        </w:tc>
        <w:tc>
          <w:tcPr>
            <w:tcW w:w="1281" w:type="dxa"/>
            <w:tcBorders>
              <w:top w:val="single" w:color="auto" w:sz="4" w:space="0"/>
              <w:left w:val="single" w:color="000000" w:sz="4" w:space="0"/>
              <w:bottom w:val="single" w:color="000000" w:sz="4" w:space="0"/>
              <w:right w:val="single" w:color="000000" w:sz="4" w:space="0"/>
            </w:tcBorders>
            <w:shd w:val="clear" w:color="auto" w:fill="auto"/>
            <w:vAlign w:val="center"/>
          </w:tcPr>
          <w:p w14:paraId="06044C1F">
            <w:pPr>
              <w:adjustRightInd w:val="0"/>
              <w:snapToGrid w:val="0"/>
              <w:spacing w:line="240" w:lineRule="auto"/>
              <w:ind w:firstLine="0" w:firstLineChars="0"/>
              <w:jc w:val="center"/>
              <w:rPr>
                <w:sz w:val="21"/>
              </w:rPr>
            </w:pPr>
            <w:r>
              <w:rPr>
                <w:rFonts w:hint="eastAsia"/>
                <w:sz w:val="21"/>
              </w:rPr>
              <w:t>狮滘桥（105国道）</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714C0158">
            <w:pPr>
              <w:adjustRightInd w:val="0"/>
              <w:snapToGrid w:val="0"/>
              <w:spacing w:line="240" w:lineRule="auto"/>
              <w:ind w:firstLine="0" w:firstLineChars="0"/>
              <w:jc w:val="center"/>
              <w:rPr>
                <w:sz w:val="21"/>
              </w:rPr>
            </w:pPr>
            <w:r>
              <w:rPr>
                <w:rFonts w:hint="eastAsia"/>
                <w:sz w:val="21"/>
              </w:rPr>
              <w:t>2.1</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332969D3">
            <w:pPr>
              <w:adjustRightInd w:val="0"/>
              <w:snapToGrid w:val="0"/>
              <w:spacing w:line="240" w:lineRule="auto"/>
              <w:ind w:firstLine="0" w:firstLineChars="0"/>
              <w:jc w:val="center"/>
              <w:rPr>
                <w:sz w:val="21"/>
              </w:rPr>
            </w:pPr>
            <w:r>
              <w:rPr>
                <w:rFonts w:hint="eastAsia"/>
                <w:sz w:val="21"/>
              </w:rPr>
              <w:t>55</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469B7BBC">
            <w:pPr>
              <w:adjustRightInd w:val="0"/>
              <w:snapToGrid w:val="0"/>
              <w:spacing w:line="240" w:lineRule="auto"/>
              <w:ind w:firstLine="0" w:firstLineChars="0"/>
              <w:jc w:val="center"/>
              <w:rPr>
                <w:sz w:val="21"/>
              </w:rPr>
            </w:pPr>
            <w:r>
              <w:rPr>
                <w:rFonts w:hint="eastAsia"/>
                <w:sz w:val="21"/>
              </w:rPr>
              <w:t>烟洲社区</w:t>
            </w:r>
          </w:p>
        </w:tc>
      </w:tr>
      <w:tr w14:paraId="48E5B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vMerge w:val="restart"/>
            <w:tcBorders>
              <w:top w:val="single" w:color="000000" w:sz="4" w:space="0"/>
              <w:left w:val="single" w:color="000000" w:sz="4" w:space="0"/>
              <w:right w:val="single" w:color="000000" w:sz="4" w:space="0"/>
            </w:tcBorders>
            <w:shd w:val="clear" w:color="auto" w:fill="auto"/>
            <w:vAlign w:val="center"/>
          </w:tcPr>
          <w:p w14:paraId="1B6F1531">
            <w:pPr>
              <w:adjustRightInd w:val="0"/>
              <w:snapToGrid w:val="0"/>
              <w:spacing w:line="240" w:lineRule="auto"/>
              <w:ind w:firstLine="0" w:firstLineChars="0"/>
              <w:jc w:val="center"/>
              <w:rPr>
                <w:sz w:val="21"/>
              </w:rPr>
            </w:pPr>
            <w:r>
              <w:rPr>
                <w:rFonts w:hint="eastAsia" w:eastAsia="宋体" w:cs="Times New Roman"/>
                <w:sz w:val="21"/>
                <w:lang w:bidi="ar"/>
              </w:rPr>
              <w:t>3</w:t>
            </w:r>
          </w:p>
        </w:tc>
        <w:tc>
          <w:tcPr>
            <w:tcW w:w="1387" w:type="dxa"/>
            <w:vMerge w:val="restart"/>
            <w:tcBorders>
              <w:top w:val="single" w:color="auto" w:sz="4" w:space="0"/>
              <w:left w:val="single" w:color="auto" w:sz="4" w:space="0"/>
              <w:right w:val="single" w:color="auto" w:sz="4" w:space="0"/>
            </w:tcBorders>
            <w:shd w:val="clear" w:color="auto" w:fill="auto"/>
            <w:vAlign w:val="center"/>
          </w:tcPr>
          <w:p w14:paraId="0A969CA1">
            <w:pPr>
              <w:adjustRightInd w:val="0"/>
              <w:snapToGrid w:val="0"/>
              <w:spacing w:line="240" w:lineRule="auto"/>
              <w:ind w:firstLine="0" w:firstLineChars="0"/>
              <w:jc w:val="center"/>
              <w:rPr>
                <w:sz w:val="21"/>
              </w:rPr>
            </w:pPr>
            <w:r>
              <w:rPr>
                <w:rFonts w:hint="eastAsia"/>
                <w:sz w:val="21"/>
              </w:rPr>
              <w:t>沙朗涌</w:t>
            </w:r>
          </w:p>
        </w:tc>
        <w:tc>
          <w:tcPr>
            <w:tcW w:w="1518" w:type="dxa"/>
            <w:tcBorders>
              <w:top w:val="single" w:color="auto" w:sz="4" w:space="0"/>
              <w:left w:val="single" w:color="000000" w:sz="4" w:space="0"/>
              <w:bottom w:val="single" w:color="000000" w:sz="4" w:space="0"/>
              <w:right w:val="single" w:color="000000" w:sz="4" w:space="0"/>
            </w:tcBorders>
            <w:shd w:val="clear" w:color="auto" w:fill="auto"/>
            <w:vAlign w:val="center"/>
          </w:tcPr>
          <w:p w14:paraId="7089EA03">
            <w:pPr>
              <w:adjustRightInd w:val="0"/>
              <w:snapToGrid w:val="0"/>
              <w:spacing w:line="240" w:lineRule="auto"/>
              <w:ind w:firstLine="0" w:firstLineChars="0"/>
              <w:jc w:val="center"/>
              <w:rPr>
                <w:rFonts w:ascii="宋体" w:hAnsi="宋体" w:eastAsia="宋体" w:cs="宋体"/>
                <w:sz w:val="21"/>
              </w:rPr>
            </w:pPr>
            <w:r>
              <w:rPr>
                <w:rFonts w:hint="eastAsia"/>
                <w:sz w:val="21"/>
              </w:rPr>
              <w:t>南六涌</w:t>
            </w:r>
          </w:p>
        </w:tc>
        <w:tc>
          <w:tcPr>
            <w:tcW w:w="1281" w:type="dxa"/>
            <w:tcBorders>
              <w:top w:val="single" w:color="auto" w:sz="4" w:space="0"/>
              <w:left w:val="single" w:color="000000" w:sz="4" w:space="0"/>
              <w:bottom w:val="single" w:color="000000" w:sz="4" w:space="0"/>
              <w:right w:val="single" w:color="000000" w:sz="4" w:space="0"/>
            </w:tcBorders>
            <w:shd w:val="clear" w:color="auto" w:fill="auto"/>
            <w:vAlign w:val="center"/>
          </w:tcPr>
          <w:p w14:paraId="22D4D1BE">
            <w:pPr>
              <w:adjustRightInd w:val="0"/>
              <w:snapToGrid w:val="0"/>
              <w:spacing w:line="240" w:lineRule="auto"/>
              <w:ind w:firstLine="0" w:firstLineChars="0"/>
              <w:jc w:val="center"/>
              <w:rPr>
                <w:rFonts w:ascii="宋体" w:hAnsi="宋体" w:eastAsia="宋体" w:cs="宋体"/>
                <w:sz w:val="21"/>
              </w:rPr>
            </w:pPr>
            <w:r>
              <w:rPr>
                <w:rFonts w:hint="eastAsia"/>
                <w:sz w:val="21"/>
              </w:rPr>
              <w:t>大兴泵站</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5F3E97C5">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2.1</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2C3C3C4F">
            <w:pPr>
              <w:adjustRightInd w:val="0"/>
              <w:snapToGrid w:val="0"/>
              <w:spacing w:line="240" w:lineRule="auto"/>
              <w:ind w:firstLine="0" w:firstLineChars="0"/>
              <w:jc w:val="center"/>
              <w:rPr>
                <w:sz w:val="21"/>
              </w:rPr>
            </w:pPr>
            <w:r>
              <w:rPr>
                <w:rFonts w:hint="eastAsia"/>
                <w:sz w:val="21"/>
              </w:rPr>
              <w:t>27</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2000E545">
            <w:pPr>
              <w:adjustRightInd w:val="0"/>
              <w:snapToGrid w:val="0"/>
              <w:spacing w:line="240" w:lineRule="auto"/>
              <w:ind w:firstLine="0" w:firstLineChars="0"/>
              <w:jc w:val="center"/>
              <w:rPr>
                <w:sz w:val="21"/>
              </w:rPr>
            </w:pPr>
            <w:r>
              <w:rPr>
                <w:rFonts w:hint="eastAsia"/>
                <w:sz w:val="21"/>
              </w:rPr>
              <w:t>沙朗社区</w:t>
            </w:r>
          </w:p>
        </w:tc>
      </w:tr>
      <w:tr w14:paraId="0F450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vMerge w:val="continue"/>
            <w:tcBorders>
              <w:left w:val="single" w:color="000000" w:sz="4" w:space="0"/>
              <w:bottom w:val="single" w:color="000000" w:sz="4" w:space="0"/>
              <w:right w:val="single" w:color="000000" w:sz="4" w:space="0"/>
            </w:tcBorders>
            <w:shd w:val="clear" w:color="auto" w:fill="auto"/>
            <w:vAlign w:val="center"/>
          </w:tcPr>
          <w:p w14:paraId="159769D3">
            <w:pPr>
              <w:adjustRightInd w:val="0"/>
              <w:snapToGrid w:val="0"/>
              <w:spacing w:line="240" w:lineRule="auto"/>
              <w:ind w:firstLine="0" w:firstLineChars="0"/>
              <w:jc w:val="center"/>
              <w:rPr>
                <w:rFonts w:eastAsia="宋体" w:cs="Times New Roman"/>
                <w:sz w:val="21"/>
                <w:lang w:bidi="ar"/>
              </w:rPr>
            </w:pPr>
          </w:p>
        </w:tc>
        <w:tc>
          <w:tcPr>
            <w:tcW w:w="1387" w:type="dxa"/>
            <w:vMerge w:val="continue"/>
            <w:tcBorders>
              <w:left w:val="single" w:color="auto" w:sz="4" w:space="0"/>
              <w:bottom w:val="single" w:color="auto" w:sz="4" w:space="0"/>
              <w:right w:val="single" w:color="auto" w:sz="4" w:space="0"/>
            </w:tcBorders>
            <w:shd w:val="clear" w:color="auto" w:fill="auto"/>
            <w:vAlign w:val="center"/>
          </w:tcPr>
          <w:p w14:paraId="27D1481F">
            <w:pPr>
              <w:adjustRightInd w:val="0"/>
              <w:snapToGrid w:val="0"/>
              <w:spacing w:line="240" w:lineRule="auto"/>
              <w:ind w:firstLine="0" w:firstLineChars="0"/>
              <w:jc w:val="center"/>
              <w:rPr>
                <w:sz w:val="21"/>
              </w:rPr>
            </w:pPr>
          </w:p>
        </w:tc>
        <w:tc>
          <w:tcPr>
            <w:tcW w:w="1518" w:type="dxa"/>
            <w:tcBorders>
              <w:top w:val="single" w:color="auto" w:sz="4" w:space="0"/>
              <w:left w:val="single" w:color="000000" w:sz="4" w:space="0"/>
              <w:bottom w:val="single" w:color="000000" w:sz="4" w:space="0"/>
              <w:right w:val="single" w:color="000000" w:sz="4" w:space="0"/>
            </w:tcBorders>
            <w:shd w:val="clear" w:color="auto" w:fill="auto"/>
            <w:vAlign w:val="center"/>
          </w:tcPr>
          <w:p w14:paraId="69B0FF43">
            <w:pPr>
              <w:adjustRightInd w:val="0"/>
              <w:snapToGrid w:val="0"/>
              <w:spacing w:line="240" w:lineRule="auto"/>
              <w:ind w:firstLine="0" w:firstLineChars="0"/>
              <w:jc w:val="center"/>
              <w:rPr>
                <w:sz w:val="21"/>
              </w:rPr>
            </w:pPr>
            <w:r>
              <w:rPr>
                <w:rFonts w:hint="eastAsia"/>
                <w:sz w:val="21"/>
              </w:rPr>
              <w:t>石特涌泵站</w:t>
            </w:r>
          </w:p>
        </w:tc>
        <w:tc>
          <w:tcPr>
            <w:tcW w:w="1281" w:type="dxa"/>
            <w:tcBorders>
              <w:top w:val="single" w:color="auto" w:sz="4" w:space="0"/>
              <w:left w:val="single" w:color="000000" w:sz="4" w:space="0"/>
              <w:bottom w:val="single" w:color="000000" w:sz="4" w:space="0"/>
              <w:right w:val="single" w:color="000000" w:sz="4" w:space="0"/>
            </w:tcBorders>
            <w:shd w:val="clear" w:color="auto" w:fill="auto"/>
            <w:vAlign w:val="center"/>
          </w:tcPr>
          <w:p w14:paraId="362DC816">
            <w:pPr>
              <w:adjustRightInd w:val="0"/>
              <w:snapToGrid w:val="0"/>
              <w:spacing w:line="240" w:lineRule="auto"/>
              <w:ind w:firstLine="0" w:firstLineChars="0"/>
              <w:jc w:val="center"/>
              <w:rPr>
                <w:sz w:val="21"/>
              </w:rPr>
            </w:pPr>
            <w:r>
              <w:rPr>
                <w:rFonts w:hint="eastAsia"/>
                <w:sz w:val="21"/>
              </w:rPr>
              <w:t>四队人家尾</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270815E0">
            <w:pPr>
              <w:adjustRightInd w:val="0"/>
              <w:snapToGrid w:val="0"/>
              <w:spacing w:line="240" w:lineRule="auto"/>
              <w:ind w:firstLine="0" w:firstLineChars="0"/>
              <w:jc w:val="center"/>
              <w:rPr>
                <w:sz w:val="21"/>
              </w:rPr>
            </w:pPr>
            <w:r>
              <w:rPr>
                <w:rFonts w:hint="eastAsia"/>
                <w:sz w:val="21"/>
              </w:rPr>
              <w:t>1.5</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46D7BBF7">
            <w:pPr>
              <w:adjustRightInd w:val="0"/>
              <w:snapToGrid w:val="0"/>
              <w:spacing w:line="240" w:lineRule="auto"/>
              <w:ind w:firstLine="0" w:firstLineChars="0"/>
              <w:jc w:val="center"/>
              <w:rPr>
                <w:sz w:val="21"/>
              </w:rPr>
            </w:pPr>
            <w:r>
              <w:rPr>
                <w:rFonts w:hint="eastAsia"/>
                <w:sz w:val="21"/>
              </w:rPr>
              <w:t>27</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1BA27494">
            <w:pPr>
              <w:adjustRightInd w:val="0"/>
              <w:snapToGrid w:val="0"/>
              <w:spacing w:line="240" w:lineRule="auto"/>
              <w:ind w:firstLine="0" w:firstLineChars="0"/>
              <w:jc w:val="center"/>
              <w:rPr>
                <w:sz w:val="21"/>
              </w:rPr>
            </w:pPr>
            <w:r>
              <w:rPr>
                <w:rFonts w:hint="eastAsia"/>
                <w:sz w:val="21"/>
              </w:rPr>
              <w:t>隆平社区</w:t>
            </w:r>
          </w:p>
        </w:tc>
      </w:tr>
      <w:tr w14:paraId="7380E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14E7C">
            <w:pPr>
              <w:adjustRightInd w:val="0"/>
              <w:snapToGrid w:val="0"/>
              <w:spacing w:line="240" w:lineRule="auto"/>
              <w:ind w:firstLine="0" w:firstLineChars="0"/>
              <w:jc w:val="center"/>
              <w:rPr>
                <w:sz w:val="21"/>
              </w:rPr>
            </w:pPr>
            <w:r>
              <w:rPr>
                <w:rFonts w:hint="eastAsia" w:eastAsia="宋体" w:cs="Times New Roman"/>
                <w:sz w:val="21"/>
                <w:lang w:bidi="ar"/>
              </w:rPr>
              <w:t>4</w:t>
            </w:r>
          </w:p>
        </w:tc>
        <w:tc>
          <w:tcPr>
            <w:tcW w:w="1387" w:type="dxa"/>
            <w:tcBorders>
              <w:top w:val="single" w:color="000000" w:sz="4" w:space="0"/>
              <w:left w:val="single" w:color="auto" w:sz="4" w:space="0"/>
              <w:bottom w:val="single" w:color="auto" w:sz="4" w:space="0"/>
              <w:right w:val="single" w:color="000000" w:sz="4" w:space="0"/>
            </w:tcBorders>
            <w:shd w:val="clear" w:color="auto" w:fill="auto"/>
            <w:vAlign w:val="center"/>
          </w:tcPr>
          <w:p w14:paraId="6E21728D">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朗滘涌</w:t>
            </w:r>
          </w:p>
        </w:tc>
        <w:tc>
          <w:tcPr>
            <w:tcW w:w="1518" w:type="dxa"/>
            <w:tcBorders>
              <w:top w:val="single" w:color="000000" w:sz="4" w:space="0"/>
              <w:left w:val="single" w:color="000000" w:sz="4" w:space="0"/>
              <w:bottom w:val="single" w:color="auto" w:sz="4" w:space="0"/>
              <w:right w:val="single" w:color="000000" w:sz="4" w:space="0"/>
            </w:tcBorders>
            <w:shd w:val="clear" w:color="auto" w:fill="auto"/>
            <w:vAlign w:val="center"/>
          </w:tcPr>
          <w:p w14:paraId="3D888AC2">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十六顷涌</w:t>
            </w:r>
          </w:p>
        </w:tc>
        <w:tc>
          <w:tcPr>
            <w:tcW w:w="1281" w:type="dxa"/>
            <w:tcBorders>
              <w:top w:val="single" w:color="000000" w:sz="4" w:space="0"/>
              <w:left w:val="single" w:color="000000" w:sz="4" w:space="0"/>
              <w:bottom w:val="single" w:color="auto" w:sz="4" w:space="0"/>
              <w:right w:val="single" w:color="000000" w:sz="4" w:space="0"/>
            </w:tcBorders>
            <w:shd w:val="clear" w:color="auto" w:fill="auto"/>
            <w:vAlign w:val="center"/>
          </w:tcPr>
          <w:p w14:paraId="51C15320">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沙溪云汉及东升交界处</w:t>
            </w:r>
          </w:p>
        </w:tc>
        <w:tc>
          <w:tcPr>
            <w:tcW w:w="1228" w:type="dxa"/>
            <w:tcBorders>
              <w:top w:val="single" w:color="000000" w:sz="4" w:space="0"/>
              <w:left w:val="single" w:color="000000" w:sz="4" w:space="0"/>
              <w:bottom w:val="single" w:color="auto" w:sz="4" w:space="0"/>
              <w:right w:val="single" w:color="000000" w:sz="4" w:space="0"/>
            </w:tcBorders>
            <w:shd w:val="clear" w:color="auto" w:fill="auto"/>
            <w:vAlign w:val="center"/>
          </w:tcPr>
          <w:p w14:paraId="3E57B0FD">
            <w:pPr>
              <w:adjustRightInd w:val="0"/>
              <w:snapToGrid w:val="0"/>
              <w:spacing w:line="240" w:lineRule="auto"/>
              <w:ind w:firstLine="0" w:firstLineChars="0"/>
              <w:jc w:val="center"/>
              <w:rPr>
                <w:sz w:val="21"/>
              </w:rPr>
            </w:pPr>
            <w:r>
              <w:rPr>
                <w:rFonts w:hint="eastAsia"/>
                <w:sz w:val="21"/>
              </w:rPr>
              <w:t>1.3</w:t>
            </w:r>
          </w:p>
        </w:tc>
        <w:tc>
          <w:tcPr>
            <w:tcW w:w="1077" w:type="dxa"/>
            <w:tcBorders>
              <w:top w:val="single" w:color="000000" w:sz="4" w:space="0"/>
              <w:left w:val="single" w:color="000000" w:sz="4" w:space="0"/>
              <w:bottom w:val="single" w:color="auto" w:sz="4" w:space="0"/>
              <w:right w:val="single" w:color="000000" w:sz="4" w:space="0"/>
            </w:tcBorders>
            <w:shd w:val="clear" w:color="auto" w:fill="auto"/>
            <w:vAlign w:val="center"/>
          </w:tcPr>
          <w:p w14:paraId="2A74F7BE">
            <w:pPr>
              <w:adjustRightInd w:val="0"/>
              <w:snapToGrid w:val="0"/>
              <w:spacing w:line="240" w:lineRule="auto"/>
              <w:ind w:firstLine="0" w:firstLineChars="0"/>
              <w:jc w:val="center"/>
              <w:rPr>
                <w:sz w:val="21"/>
              </w:rPr>
            </w:pPr>
            <w:r>
              <w:rPr>
                <w:rFonts w:hint="eastAsia"/>
                <w:sz w:val="21"/>
              </w:rPr>
              <w:t>17.5</w:t>
            </w:r>
          </w:p>
        </w:tc>
        <w:tc>
          <w:tcPr>
            <w:tcW w:w="2239" w:type="dxa"/>
            <w:tcBorders>
              <w:top w:val="single" w:color="000000" w:sz="4" w:space="0"/>
              <w:left w:val="single" w:color="000000" w:sz="4" w:space="0"/>
              <w:bottom w:val="single" w:color="auto" w:sz="4" w:space="0"/>
              <w:right w:val="single" w:color="000000" w:sz="4" w:space="0"/>
            </w:tcBorders>
            <w:shd w:val="clear" w:color="auto" w:fill="auto"/>
            <w:vAlign w:val="center"/>
          </w:tcPr>
          <w:p w14:paraId="7FA63799">
            <w:pPr>
              <w:adjustRightInd w:val="0"/>
              <w:snapToGrid w:val="0"/>
              <w:spacing w:line="240" w:lineRule="auto"/>
              <w:ind w:firstLine="0" w:firstLineChars="0"/>
              <w:jc w:val="center"/>
              <w:rPr>
                <w:sz w:val="21"/>
              </w:rPr>
            </w:pPr>
            <w:r>
              <w:rPr>
                <w:rFonts w:hint="eastAsia"/>
                <w:sz w:val="21"/>
              </w:rPr>
              <w:t>隆昌社区</w:t>
            </w:r>
          </w:p>
        </w:tc>
      </w:tr>
      <w:tr w14:paraId="4DA61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3B2FF">
            <w:pPr>
              <w:adjustRightInd w:val="0"/>
              <w:snapToGrid w:val="0"/>
              <w:spacing w:line="240" w:lineRule="auto"/>
              <w:ind w:firstLine="0" w:firstLineChars="0"/>
              <w:jc w:val="center"/>
              <w:rPr>
                <w:sz w:val="21"/>
              </w:rPr>
            </w:pPr>
            <w:r>
              <w:rPr>
                <w:rFonts w:hint="eastAsia" w:eastAsia="宋体" w:cs="Times New Roman"/>
                <w:sz w:val="21"/>
                <w:lang w:bidi="ar"/>
              </w:rPr>
              <w:t>5</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46B40">
            <w:pPr>
              <w:adjustRightInd w:val="0"/>
              <w:snapToGrid w:val="0"/>
              <w:spacing w:line="240" w:lineRule="auto"/>
              <w:ind w:firstLine="0" w:firstLineChars="0"/>
              <w:jc w:val="center"/>
              <w:rPr>
                <w:sz w:val="21"/>
              </w:rPr>
            </w:pPr>
            <w:r>
              <w:rPr>
                <w:rFonts w:hint="eastAsia"/>
                <w:sz w:val="21"/>
              </w:rPr>
              <w:t>十六顷涌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F4E81">
            <w:pPr>
              <w:adjustRightInd w:val="0"/>
              <w:snapToGrid w:val="0"/>
              <w:spacing w:line="240" w:lineRule="auto"/>
              <w:ind w:firstLine="0" w:firstLineChars="0"/>
              <w:jc w:val="center"/>
              <w:rPr>
                <w:sz w:val="21"/>
              </w:rPr>
            </w:pPr>
            <w:r>
              <w:rPr>
                <w:rFonts w:hint="eastAsia" w:ascii="宋体" w:hAnsi="宋体" w:eastAsia="宋体" w:cs="宋体"/>
                <w:sz w:val="21"/>
              </w:rPr>
              <w:t>分流涌和东部排水渠交汇处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BC553">
            <w:pPr>
              <w:adjustRightInd w:val="0"/>
              <w:snapToGrid w:val="0"/>
              <w:spacing w:line="240" w:lineRule="auto"/>
              <w:ind w:firstLine="0" w:firstLineChars="0"/>
              <w:jc w:val="center"/>
              <w:rPr>
                <w:sz w:val="21"/>
              </w:rPr>
            </w:pPr>
            <w:r>
              <w:rPr>
                <w:rFonts w:hint="eastAsia" w:ascii="宋体" w:hAnsi="宋体" w:eastAsia="宋体" w:cs="宋体"/>
                <w:sz w:val="21"/>
              </w:rPr>
              <w:t>十六顷排灌渠</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0B3C8">
            <w:pPr>
              <w:adjustRightInd w:val="0"/>
              <w:snapToGrid w:val="0"/>
              <w:spacing w:line="240" w:lineRule="auto"/>
              <w:ind w:firstLine="0" w:firstLineChars="0"/>
              <w:jc w:val="center"/>
              <w:rPr>
                <w:sz w:val="21"/>
              </w:rPr>
            </w:pPr>
            <w:r>
              <w:rPr>
                <w:rFonts w:hint="eastAsia" w:ascii="宋体" w:hAnsi="宋体" w:eastAsia="宋体" w:cs="宋体"/>
                <w:sz w:val="21"/>
              </w:rPr>
              <w:t>4</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8CEDA">
            <w:pPr>
              <w:adjustRightInd w:val="0"/>
              <w:snapToGrid w:val="0"/>
              <w:spacing w:line="240" w:lineRule="auto"/>
              <w:ind w:firstLine="0" w:firstLineChars="0"/>
              <w:jc w:val="center"/>
              <w:rPr>
                <w:sz w:val="21"/>
              </w:rPr>
            </w:pPr>
            <w:r>
              <w:rPr>
                <w:rFonts w:hint="eastAsia"/>
                <w:sz w:val="21"/>
              </w:rPr>
              <w:t>25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48CED">
            <w:pPr>
              <w:adjustRightInd w:val="0"/>
              <w:snapToGrid w:val="0"/>
              <w:spacing w:line="240" w:lineRule="auto"/>
              <w:ind w:firstLine="0" w:firstLineChars="0"/>
              <w:jc w:val="center"/>
              <w:rPr>
                <w:sz w:val="21"/>
              </w:rPr>
            </w:pPr>
            <w:r>
              <w:rPr>
                <w:rFonts w:hint="eastAsia"/>
                <w:sz w:val="21"/>
              </w:rPr>
              <w:t>隆昌社区</w:t>
            </w:r>
          </w:p>
        </w:tc>
      </w:tr>
      <w:tr w14:paraId="2D1D9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3DF97">
            <w:pPr>
              <w:adjustRightInd w:val="0"/>
              <w:snapToGrid w:val="0"/>
              <w:spacing w:line="240" w:lineRule="auto"/>
              <w:ind w:firstLine="0" w:firstLineChars="0"/>
              <w:jc w:val="center"/>
              <w:rPr>
                <w:sz w:val="21"/>
              </w:rPr>
            </w:pPr>
            <w:r>
              <w:rPr>
                <w:rFonts w:hint="eastAsia" w:eastAsia="宋体" w:cs="Times New Roman"/>
                <w:sz w:val="21"/>
                <w:lang w:bidi="ar"/>
              </w:rPr>
              <w:t>6</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249BA">
            <w:pPr>
              <w:adjustRightInd w:val="0"/>
              <w:snapToGrid w:val="0"/>
              <w:spacing w:line="240" w:lineRule="auto"/>
              <w:ind w:firstLine="0" w:firstLineChars="0"/>
              <w:jc w:val="center"/>
              <w:rPr>
                <w:sz w:val="21"/>
              </w:rPr>
            </w:pPr>
            <w:r>
              <w:rPr>
                <w:rFonts w:hint="eastAsia"/>
                <w:sz w:val="21"/>
              </w:rPr>
              <w:t>石特涌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591F5">
            <w:pPr>
              <w:adjustRightInd w:val="0"/>
              <w:snapToGrid w:val="0"/>
              <w:spacing w:line="240" w:lineRule="auto"/>
              <w:ind w:firstLine="0" w:firstLineChars="0"/>
              <w:jc w:val="center"/>
              <w:rPr>
                <w:sz w:val="21"/>
              </w:rPr>
            </w:pPr>
            <w:r>
              <w:rPr>
                <w:rFonts w:hint="eastAsia"/>
                <w:sz w:val="21"/>
              </w:rPr>
              <w:t>深宝电器厂</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63FB7">
            <w:pPr>
              <w:adjustRightInd w:val="0"/>
              <w:snapToGrid w:val="0"/>
              <w:spacing w:line="240" w:lineRule="auto"/>
              <w:ind w:firstLine="0" w:firstLineChars="0"/>
              <w:jc w:val="center"/>
              <w:rPr>
                <w:sz w:val="21"/>
              </w:rPr>
            </w:pPr>
            <w:r>
              <w:rPr>
                <w:rFonts w:hint="eastAsia"/>
                <w:sz w:val="21"/>
              </w:rPr>
              <w:t>沙朗涌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A68B1">
            <w:pPr>
              <w:adjustRightInd w:val="0"/>
              <w:snapToGrid w:val="0"/>
              <w:spacing w:line="240" w:lineRule="auto"/>
              <w:ind w:firstLine="0" w:firstLineChars="0"/>
              <w:jc w:val="center"/>
              <w:rPr>
                <w:sz w:val="21"/>
              </w:rPr>
            </w:pPr>
            <w:r>
              <w:rPr>
                <w:rFonts w:hint="eastAsia"/>
                <w:sz w:val="21"/>
              </w:rPr>
              <w:t>5.1</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F50A9">
            <w:pPr>
              <w:adjustRightInd w:val="0"/>
              <w:snapToGrid w:val="0"/>
              <w:spacing w:line="240" w:lineRule="auto"/>
              <w:ind w:firstLine="0" w:firstLineChars="0"/>
              <w:jc w:val="center"/>
              <w:rPr>
                <w:sz w:val="21"/>
              </w:rPr>
            </w:pPr>
            <w:r>
              <w:rPr>
                <w:rFonts w:hint="eastAsia"/>
                <w:sz w:val="21"/>
              </w:rPr>
              <w:t>12.5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6F4BC">
            <w:pPr>
              <w:adjustRightInd w:val="0"/>
              <w:snapToGrid w:val="0"/>
              <w:spacing w:line="240" w:lineRule="auto"/>
              <w:ind w:firstLine="0" w:firstLineChars="0"/>
              <w:jc w:val="center"/>
              <w:rPr>
                <w:sz w:val="21"/>
              </w:rPr>
            </w:pPr>
            <w:r>
              <w:rPr>
                <w:rFonts w:hint="eastAsia"/>
                <w:sz w:val="21"/>
              </w:rPr>
              <w:t>隆平社区</w:t>
            </w:r>
          </w:p>
        </w:tc>
      </w:tr>
      <w:tr w14:paraId="1DA80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8C381">
            <w:pPr>
              <w:adjustRightInd w:val="0"/>
              <w:snapToGrid w:val="0"/>
              <w:spacing w:line="240" w:lineRule="auto"/>
              <w:ind w:firstLine="0" w:firstLineChars="0"/>
              <w:jc w:val="center"/>
              <w:rPr>
                <w:sz w:val="21"/>
              </w:rPr>
            </w:pPr>
            <w:r>
              <w:rPr>
                <w:rFonts w:hint="eastAsia" w:eastAsia="宋体" w:cs="Times New Roman"/>
                <w:sz w:val="21"/>
                <w:lang w:bidi="ar"/>
              </w:rPr>
              <w:t>7</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D16A0">
            <w:pPr>
              <w:adjustRightInd w:val="0"/>
              <w:snapToGrid w:val="0"/>
              <w:spacing w:line="240" w:lineRule="auto"/>
              <w:ind w:firstLine="0" w:firstLineChars="0"/>
              <w:jc w:val="center"/>
              <w:rPr>
                <w:sz w:val="21"/>
              </w:rPr>
            </w:pPr>
            <w:r>
              <w:rPr>
                <w:rFonts w:hint="eastAsia"/>
                <w:sz w:val="21"/>
              </w:rPr>
              <w:t>沙朗新开涌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42FA8">
            <w:pPr>
              <w:adjustRightInd w:val="0"/>
              <w:snapToGrid w:val="0"/>
              <w:spacing w:line="240" w:lineRule="auto"/>
              <w:ind w:firstLine="0" w:firstLineChars="0"/>
              <w:jc w:val="center"/>
              <w:rPr>
                <w:sz w:val="21"/>
              </w:rPr>
            </w:pPr>
            <w:r>
              <w:rPr>
                <w:rFonts w:hint="eastAsia"/>
                <w:sz w:val="21"/>
              </w:rPr>
              <w:t>沙朗涌</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0ACAE">
            <w:pPr>
              <w:adjustRightInd w:val="0"/>
              <w:snapToGrid w:val="0"/>
              <w:spacing w:line="240" w:lineRule="auto"/>
              <w:ind w:firstLine="0" w:firstLineChars="0"/>
              <w:jc w:val="center"/>
              <w:rPr>
                <w:sz w:val="21"/>
              </w:rPr>
            </w:pPr>
            <w:r>
              <w:rPr>
                <w:rFonts w:hint="eastAsia"/>
                <w:sz w:val="21"/>
              </w:rPr>
              <w:t>石特涌沙朗新开涌水闸处</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58D7E4">
            <w:pPr>
              <w:adjustRightInd w:val="0"/>
              <w:snapToGrid w:val="0"/>
              <w:spacing w:line="240" w:lineRule="auto"/>
              <w:ind w:firstLine="0" w:firstLineChars="0"/>
              <w:jc w:val="center"/>
              <w:rPr>
                <w:sz w:val="21"/>
              </w:rPr>
            </w:pPr>
            <w:r>
              <w:rPr>
                <w:rFonts w:hint="eastAsia"/>
                <w:sz w:val="21"/>
              </w:rPr>
              <w:t>0.98</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BAD91">
            <w:pPr>
              <w:adjustRightInd w:val="0"/>
              <w:snapToGrid w:val="0"/>
              <w:spacing w:line="240" w:lineRule="auto"/>
              <w:ind w:firstLine="0" w:firstLineChars="0"/>
              <w:jc w:val="center"/>
              <w:rPr>
                <w:sz w:val="21"/>
              </w:rPr>
            </w:pPr>
            <w:r>
              <w:rPr>
                <w:rFonts w:hint="eastAsia"/>
                <w:sz w:val="21"/>
              </w:rPr>
              <w:t>25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89DC5">
            <w:pPr>
              <w:adjustRightInd w:val="0"/>
              <w:snapToGrid w:val="0"/>
              <w:spacing w:line="240" w:lineRule="auto"/>
              <w:ind w:firstLine="0" w:firstLineChars="0"/>
              <w:jc w:val="center"/>
              <w:rPr>
                <w:sz w:val="21"/>
              </w:rPr>
            </w:pPr>
            <w:r>
              <w:rPr>
                <w:rFonts w:hint="eastAsia"/>
                <w:sz w:val="21"/>
              </w:rPr>
              <w:t>沙朗社区</w:t>
            </w:r>
          </w:p>
        </w:tc>
      </w:tr>
      <w:tr w14:paraId="1493B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F5D32">
            <w:pPr>
              <w:adjustRightInd w:val="0"/>
              <w:snapToGrid w:val="0"/>
              <w:spacing w:line="240" w:lineRule="auto"/>
              <w:ind w:firstLine="0" w:firstLineChars="0"/>
              <w:jc w:val="center"/>
              <w:rPr>
                <w:sz w:val="21"/>
              </w:rPr>
            </w:pPr>
            <w:r>
              <w:rPr>
                <w:rFonts w:hint="eastAsia" w:eastAsia="宋体" w:cs="Times New Roman"/>
                <w:sz w:val="21"/>
                <w:lang w:bidi="ar"/>
              </w:rPr>
              <w:t>8</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470BB">
            <w:pPr>
              <w:adjustRightInd w:val="0"/>
              <w:snapToGrid w:val="0"/>
              <w:spacing w:line="240" w:lineRule="auto"/>
              <w:ind w:firstLine="0" w:firstLineChars="0"/>
              <w:jc w:val="center"/>
              <w:rPr>
                <w:sz w:val="21"/>
              </w:rPr>
            </w:pPr>
            <w:r>
              <w:rPr>
                <w:rFonts w:hint="eastAsia"/>
                <w:sz w:val="21"/>
              </w:rPr>
              <w:t>西河涌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2EE28">
            <w:pPr>
              <w:adjustRightInd w:val="0"/>
              <w:snapToGrid w:val="0"/>
              <w:spacing w:line="240" w:lineRule="auto"/>
              <w:ind w:firstLine="0" w:firstLineChars="0"/>
              <w:jc w:val="center"/>
              <w:rPr>
                <w:sz w:val="21"/>
              </w:rPr>
            </w:pPr>
            <w:r>
              <w:rPr>
                <w:rFonts w:hint="eastAsia"/>
                <w:sz w:val="21"/>
              </w:rPr>
              <w:t>柏景苑</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0A3DC">
            <w:pPr>
              <w:adjustRightInd w:val="0"/>
              <w:snapToGrid w:val="0"/>
              <w:spacing w:line="240" w:lineRule="auto"/>
              <w:ind w:firstLine="0" w:firstLineChars="0"/>
              <w:jc w:val="center"/>
              <w:rPr>
                <w:sz w:val="21"/>
              </w:rPr>
            </w:pPr>
            <w:r>
              <w:rPr>
                <w:rFonts w:hint="eastAsia"/>
                <w:sz w:val="21"/>
              </w:rPr>
              <w:t>博爱一路</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C8210">
            <w:pPr>
              <w:adjustRightInd w:val="0"/>
              <w:snapToGrid w:val="0"/>
              <w:spacing w:line="240" w:lineRule="auto"/>
              <w:ind w:firstLine="0" w:firstLineChars="0"/>
              <w:jc w:val="center"/>
              <w:rPr>
                <w:sz w:val="21"/>
              </w:rPr>
            </w:pPr>
            <w:r>
              <w:rPr>
                <w:rFonts w:hint="eastAsia"/>
                <w:sz w:val="21"/>
              </w:rPr>
              <w:t>1.5</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F94BA">
            <w:pPr>
              <w:adjustRightInd w:val="0"/>
              <w:snapToGrid w:val="0"/>
              <w:spacing w:line="240" w:lineRule="auto"/>
              <w:ind w:firstLine="0" w:firstLineChars="0"/>
              <w:jc w:val="center"/>
              <w:rPr>
                <w:sz w:val="21"/>
              </w:rPr>
            </w:pPr>
            <w:r>
              <w:rPr>
                <w:rFonts w:hint="eastAsia"/>
                <w:sz w:val="21"/>
              </w:rPr>
              <w:t>17.5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102FA">
            <w:pPr>
              <w:adjustRightInd w:val="0"/>
              <w:snapToGrid w:val="0"/>
              <w:spacing w:line="240" w:lineRule="auto"/>
              <w:ind w:firstLine="0" w:firstLineChars="0"/>
              <w:jc w:val="center"/>
              <w:rPr>
                <w:sz w:val="21"/>
              </w:rPr>
            </w:pPr>
            <w:r>
              <w:rPr>
                <w:rFonts w:hint="eastAsia"/>
                <w:sz w:val="21"/>
              </w:rPr>
              <w:t>西苑社区</w:t>
            </w:r>
          </w:p>
        </w:tc>
      </w:tr>
      <w:tr w14:paraId="46202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388B9">
            <w:pPr>
              <w:adjustRightInd w:val="0"/>
              <w:snapToGrid w:val="0"/>
              <w:spacing w:line="240" w:lineRule="auto"/>
              <w:ind w:firstLine="0" w:firstLineChars="0"/>
              <w:jc w:val="center"/>
              <w:rPr>
                <w:sz w:val="21"/>
              </w:rPr>
            </w:pPr>
            <w:r>
              <w:rPr>
                <w:rFonts w:hint="eastAsia" w:eastAsia="宋体" w:cs="Times New Roman"/>
                <w:sz w:val="21"/>
                <w:lang w:bidi="ar"/>
              </w:rPr>
              <w:t>9</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610C1">
            <w:pPr>
              <w:adjustRightInd w:val="0"/>
              <w:snapToGrid w:val="0"/>
              <w:spacing w:line="240" w:lineRule="auto"/>
              <w:ind w:firstLine="0" w:firstLineChars="0"/>
              <w:jc w:val="center"/>
              <w:rPr>
                <w:sz w:val="21"/>
              </w:rPr>
            </w:pPr>
            <w:r>
              <w:rPr>
                <w:rFonts w:hint="eastAsia"/>
                <w:sz w:val="21"/>
              </w:rPr>
              <w:t>十六顷排灌渠</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91038">
            <w:pPr>
              <w:adjustRightInd w:val="0"/>
              <w:snapToGrid w:val="0"/>
              <w:spacing w:line="240" w:lineRule="auto"/>
              <w:ind w:firstLine="0" w:firstLineChars="0"/>
              <w:jc w:val="center"/>
              <w:rPr>
                <w:sz w:val="21"/>
              </w:rPr>
            </w:pPr>
            <w:r>
              <w:rPr>
                <w:rFonts w:hint="eastAsia"/>
                <w:sz w:val="21"/>
              </w:rPr>
              <w:t>悦生涌</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9AD00">
            <w:pPr>
              <w:adjustRightInd w:val="0"/>
              <w:snapToGrid w:val="0"/>
              <w:spacing w:line="240" w:lineRule="auto"/>
              <w:ind w:firstLine="0" w:firstLineChars="0"/>
              <w:jc w:val="center"/>
              <w:rPr>
                <w:sz w:val="21"/>
              </w:rPr>
            </w:pPr>
            <w:r>
              <w:rPr>
                <w:rFonts w:hint="eastAsia"/>
                <w:sz w:val="21"/>
              </w:rPr>
              <w:t>十六顷涌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01B52">
            <w:pPr>
              <w:adjustRightInd w:val="0"/>
              <w:snapToGrid w:val="0"/>
              <w:spacing w:line="240" w:lineRule="auto"/>
              <w:ind w:firstLine="0" w:firstLineChars="0"/>
              <w:jc w:val="center"/>
              <w:rPr>
                <w:sz w:val="21"/>
              </w:rPr>
            </w:pPr>
            <w:r>
              <w:rPr>
                <w:rFonts w:hint="eastAsia"/>
                <w:sz w:val="21"/>
              </w:rPr>
              <w:t>0.6</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A67D6">
            <w:pPr>
              <w:adjustRightInd w:val="0"/>
              <w:snapToGrid w:val="0"/>
              <w:spacing w:line="240" w:lineRule="auto"/>
              <w:ind w:firstLine="0" w:firstLineChars="0"/>
              <w:jc w:val="center"/>
              <w:rPr>
                <w:sz w:val="21"/>
              </w:rPr>
            </w:pPr>
            <w:r>
              <w:rPr>
                <w:rFonts w:hint="eastAsia"/>
                <w:sz w:val="21"/>
              </w:rPr>
              <w:t>20</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C958C">
            <w:pPr>
              <w:adjustRightInd w:val="0"/>
              <w:snapToGrid w:val="0"/>
              <w:spacing w:line="240" w:lineRule="auto"/>
              <w:ind w:firstLine="0" w:firstLineChars="0"/>
              <w:jc w:val="center"/>
              <w:rPr>
                <w:sz w:val="21"/>
              </w:rPr>
            </w:pPr>
            <w:r>
              <w:rPr>
                <w:rFonts w:hint="eastAsia"/>
                <w:sz w:val="21"/>
              </w:rPr>
              <w:t>隆昌社区</w:t>
            </w:r>
          </w:p>
        </w:tc>
      </w:tr>
      <w:tr w14:paraId="12B26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41F97">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0</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4C03B">
            <w:pPr>
              <w:adjustRightInd w:val="0"/>
              <w:snapToGrid w:val="0"/>
              <w:spacing w:line="240" w:lineRule="auto"/>
              <w:ind w:firstLine="0" w:firstLineChars="0"/>
              <w:jc w:val="center"/>
              <w:rPr>
                <w:sz w:val="21"/>
              </w:rPr>
            </w:pPr>
            <w:r>
              <w:rPr>
                <w:rFonts w:hint="eastAsia"/>
                <w:sz w:val="21"/>
              </w:rPr>
              <w:t>悦生涌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DE2EA">
            <w:pPr>
              <w:adjustRightInd w:val="0"/>
              <w:snapToGrid w:val="0"/>
              <w:spacing w:line="240" w:lineRule="auto"/>
              <w:ind w:firstLine="0" w:firstLineChars="0"/>
              <w:jc w:val="center"/>
              <w:rPr>
                <w:sz w:val="21"/>
              </w:rPr>
            </w:pPr>
            <w:r>
              <w:rPr>
                <w:rFonts w:hint="eastAsia"/>
                <w:sz w:val="21"/>
              </w:rPr>
              <w:t>东部排水渠（坦背村）</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BB906">
            <w:pPr>
              <w:adjustRightInd w:val="0"/>
              <w:snapToGrid w:val="0"/>
              <w:spacing w:line="240" w:lineRule="auto"/>
              <w:ind w:firstLine="0" w:firstLineChars="0"/>
              <w:jc w:val="center"/>
              <w:rPr>
                <w:sz w:val="21"/>
              </w:rPr>
            </w:pPr>
            <w:r>
              <w:rPr>
                <w:rFonts w:hint="eastAsia"/>
                <w:sz w:val="21"/>
              </w:rPr>
              <w:t>十六顷排灌渠</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00725">
            <w:pPr>
              <w:adjustRightInd w:val="0"/>
              <w:snapToGrid w:val="0"/>
              <w:spacing w:line="240" w:lineRule="auto"/>
              <w:ind w:firstLine="0" w:firstLineChars="0"/>
              <w:jc w:val="center"/>
              <w:rPr>
                <w:sz w:val="21"/>
              </w:rPr>
            </w:pPr>
            <w:r>
              <w:rPr>
                <w:rFonts w:hint="eastAsia"/>
                <w:sz w:val="21"/>
              </w:rPr>
              <w:t>4.3</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3DD54">
            <w:pPr>
              <w:adjustRightInd w:val="0"/>
              <w:snapToGrid w:val="0"/>
              <w:spacing w:line="240" w:lineRule="auto"/>
              <w:ind w:firstLine="0" w:firstLineChars="0"/>
              <w:jc w:val="center"/>
              <w:rPr>
                <w:sz w:val="21"/>
              </w:rPr>
            </w:pPr>
            <w:r>
              <w:rPr>
                <w:rFonts w:hint="eastAsia"/>
                <w:sz w:val="21"/>
              </w:rPr>
              <w:t>10.5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77748">
            <w:pPr>
              <w:adjustRightInd w:val="0"/>
              <w:snapToGrid w:val="0"/>
              <w:spacing w:line="240" w:lineRule="auto"/>
              <w:ind w:firstLine="0" w:firstLineChars="0"/>
              <w:jc w:val="center"/>
              <w:rPr>
                <w:sz w:val="21"/>
              </w:rPr>
            </w:pPr>
            <w:r>
              <w:rPr>
                <w:rFonts w:hint="eastAsia"/>
                <w:sz w:val="21"/>
              </w:rPr>
              <w:t>隆昌社区</w:t>
            </w:r>
          </w:p>
        </w:tc>
      </w:tr>
      <w:tr w14:paraId="01D22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68EDE">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1</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F4010">
            <w:pPr>
              <w:adjustRightInd w:val="0"/>
              <w:snapToGrid w:val="0"/>
              <w:spacing w:line="240" w:lineRule="auto"/>
              <w:ind w:firstLine="0" w:firstLineChars="0"/>
              <w:jc w:val="center"/>
              <w:rPr>
                <w:sz w:val="21"/>
              </w:rPr>
            </w:pPr>
            <w:r>
              <w:rPr>
                <w:rFonts w:hint="eastAsia"/>
                <w:sz w:val="21"/>
              </w:rPr>
              <w:t>南六涌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E8E3B">
            <w:pPr>
              <w:adjustRightInd w:val="0"/>
              <w:snapToGrid w:val="0"/>
              <w:spacing w:line="240" w:lineRule="auto"/>
              <w:ind w:firstLine="0" w:firstLineChars="0"/>
              <w:jc w:val="center"/>
              <w:rPr>
                <w:sz w:val="21"/>
              </w:rPr>
            </w:pPr>
            <w:r>
              <w:rPr>
                <w:rFonts w:hint="eastAsia"/>
                <w:sz w:val="21"/>
              </w:rPr>
              <w:t>星辰花园</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05CF2">
            <w:pPr>
              <w:adjustRightInd w:val="0"/>
              <w:snapToGrid w:val="0"/>
              <w:spacing w:line="240" w:lineRule="auto"/>
              <w:ind w:firstLine="0" w:firstLineChars="0"/>
              <w:jc w:val="center"/>
              <w:rPr>
                <w:sz w:val="21"/>
              </w:rPr>
            </w:pPr>
            <w:r>
              <w:rPr>
                <w:rFonts w:hint="eastAsia"/>
                <w:sz w:val="21"/>
              </w:rPr>
              <w:t>沙朗涌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CAFD1">
            <w:pPr>
              <w:adjustRightInd w:val="0"/>
              <w:snapToGrid w:val="0"/>
              <w:spacing w:line="240" w:lineRule="auto"/>
              <w:ind w:firstLine="0" w:firstLineChars="0"/>
              <w:jc w:val="center"/>
              <w:rPr>
                <w:sz w:val="21"/>
              </w:rPr>
            </w:pPr>
            <w:r>
              <w:rPr>
                <w:rFonts w:hint="eastAsia"/>
                <w:sz w:val="21"/>
              </w:rPr>
              <w:t>1.32</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8A0DE">
            <w:pPr>
              <w:adjustRightInd w:val="0"/>
              <w:snapToGrid w:val="0"/>
              <w:spacing w:line="240" w:lineRule="auto"/>
              <w:ind w:firstLine="0" w:firstLineChars="0"/>
              <w:jc w:val="center"/>
              <w:rPr>
                <w:sz w:val="21"/>
              </w:rPr>
            </w:pPr>
            <w:r>
              <w:rPr>
                <w:rFonts w:hint="eastAsia"/>
                <w:sz w:val="21"/>
              </w:rPr>
              <w:t>28</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403E2">
            <w:pPr>
              <w:adjustRightInd w:val="0"/>
              <w:snapToGrid w:val="0"/>
              <w:spacing w:line="240" w:lineRule="auto"/>
              <w:ind w:firstLine="0" w:firstLineChars="0"/>
              <w:jc w:val="center"/>
              <w:rPr>
                <w:sz w:val="21"/>
              </w:rPr>
            </w:pPr>
            <w:r>
              <w:rPr>
                <w:rFonts w:hint="eastAsia"/>
                <w:sz w:val="21"/>
              </w:rPr>
              <w:t>广丰社区</w:t>
            </w:r>
          </w:p>
        </w:tc>
      </w:tr>
      <w:tr w14:paraId="6BE28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C4C32">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2</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504DD">
            <w:pPr>
              <w:adjustRightInd w:val="0"/>
              <w:snapToGrid w:val="0"/>
              <w:spacing w:line="240" w:lineRule="auto"/>
              <w:ind w:firstLine="0" w:firstLineChars="0"/>
              <w:jc w:val="center"/>
              <w:rPr>
                <w:sz w:val="21"/>
              </w:rPr>
            </w:pPr>
            <w:r>
              <w:rPr>
                <w:rFonts w:hint="eastAsia"/>
                <w:sz w:val="21"/>
              </w:rPr>
              <w:t>南八涌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2A179">
            <w:pPr>
              <w:adjustRightInd w:val="0"/>
              <w:snapToGrid w:val="0"/>
              <w:spacing w:line="240" w:lineRule="auto"/>
              <w:ind w:firstLine="0" w:firstLineChars="0"/>
              <w:jc w:val="center"/>
              <w:rPr>
                <w:sz w:val="21"/>
              </w:rPr>
            </w:pPr>
            <w:r>
              <w:rPr>
                <w:rFonts w:hint="eastAsia"/>
                <w:sz w:val="21"/>
              </w:rPr>
              <w:t>南八涌水闸</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D2579">
            <w:pPr>
              <w:adjustRightInd w:val="0"/>
              <w:snapToGrid w:val="0"/>
              <w:spacing w:line="240" w:lineRule="auto"/>
              <w:ind w:firstLine="0" w:firstLineChars="0"/>
              <w:jc w:val="center"/>
              <w:rPr>
                <w:sz w:val="21"/>
              </w:rPr>
            </w:pPr>
            <w:r>
              <w:rPr>
                <w:rFonts w:hint="eastAsia"/>
                <w:sz w:val="21"/>
              </w:rPr>
              <w:t>沙朗涌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33892">
            <w:pPr>
              <w:adjustRightInd w:val="0"/>
              <w:snapToGrid w:val="0"/>
              <w:spacing w:line="240" w:lineRule="auto"/>
              <w:ind w:firstLine="0" w:firstLineChars="0"/>
              <w:jc w:val="center"/>
              <w:rPr>
                <w:sz w:val="21"/>
              </w:rPr>
            </w:pPr>
            <w:r>
              <w:rPr>
                <w:rFonts w:hint="eastAsia"/>
                <w:sz w:val="21"/>
              </w:rPr>
              <w:t>1.1</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967AB">
            <w:pPr>
              <w:adjustRightInd w:val="0"/>
              <w:snapToGrid w:val="0"/>
              <w:spacing w:line="240" w:lineRule="auto"/>
              <w:ind w:firstLine="0" w:firstLineChars="0"/>
              <w:jc w:val="center"/>
              <w:rPr>
                <w:sz w:val="21"/>
              </w:rPr>
            </w:pPr>
            <w:r>
              <w:rPr>
                <w:rFonts w:hint="eastAsia"/>
                <w:sz w:val="21"/>
              </w:rPr>
              <w:t>17</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05D72">
            <w:pPr>
              <w:adjustRightInd w:val="0"/>
              <w:snapToGrid w:val="0"/>
              <w:spacing w:line="240" w:lineRule="auto"/>
              <w:ind w:firstLine="0" w:firstLineChars="0"/>
              <w:jc w:val="center"/>
              <w:rPr>
                <w:sz w:val="21"/>
              </w:rPr>
            </w:pPr>
            <w:r>
              <w:rPr>
                <w:rFonts w:hint="eastAsia"/>
                <w:sz w:val="21"/>
              </w:rPr>
              <w:t>广丰社区</w:t>
            </w:r>
          </w:p>
        </w:tc>
      </w:tr>
      <w:tr w14:paraId="18C1D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0705B">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3</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7B250">
            <w:pPr>
              <w:adjustRightInd w:val="0"/>
              <w:snapToGrid w:val="0"/>
              <w:spacing w:line="240" w:lineRule="auto"/>
              <w:ind w:firstLine="0" w:firstLineChars="0"/>
              <w:jc w:val="center"/>
              <w:rPr>
                <w:sz w:val="21"/>
              </w:rPr>
            </w:pPr>
            <w:r>
              <w:rPr>
                <w:rFonts w:hint="eastAsia"/>
                <w:sz w:val="21"/>
              </w:rPr>
              <w:t>后山新开涌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1A19C">
            <w:pPr>
              <w:adjustRightInd w:val="0"/>
              <w:snapToGrid w:val="0"/>
              <w:spacing w:line="240" w:lineRule="auto"/>
              <w:ind w:firstLine="0" w:firstLineChars="0"/>
              <w:jc w:val="center"/>
              <w:rPr>
                <w:sz w:val="21"/>
              </w:rPr>
            </w:pPr>
            <w:r>
              <w:rPr>
                <w:rFonts w:hint="eastAsia"/>
                <w:sz w:val="21"/>
              </w:rPr>
              <w:t>北外环</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B90E6">
            <w:pPr>
              <w:adjustRightInd w:val="0"/>
              <w:snapToGrid w:val="0"/>
              <w:spacing w:line="240" w:lineRule="auto"/>
              <w:ind w:firstLine="0" w:firstLineChars="0"/>
              <w:jc w:val="center"/>
              <w:rPr>
                <w:sz w:val="21"/>
              </w:rPr>
            </w:pPr>
            <w:r>
              <w:rPr>
                <w:rFonts w:hint="eastAsia"/>
                <w:sz w:val="21"/>
              </w:rPr>
              <w:t>狮滘河</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5E718">
            <w:pPr>
              <w:adjustRightInd w:val="0"/>
              <w:snapToGrid w:val="0"/>
              <w:spacing w:line="240" w:lineRule="auto"/>
              <w:ind w:firstLine="0" w:firstLineChars="0"/>
              <w:jc w:val="center"/>
              <w:rPr>
                <w:sz w:val="21"/>
              </w:rPr>
            </w:pPr>
            <w:r>
              <w:rPr>
                <w:rFonts w:hint="eastAsia"/>
                <w:sz w:val="21"/>
              </w:rPr>
              <w:t>2</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968DF">
            <w:pPr>
              <w:adjustRightInd w:val="0"/>
              <w:snapToGrid w:val="0"/>
              <w:spacing w:line="240" w:lineRule="auto"/>
              <w:ind w:firstLine="0" w:firstLineChars="0"/>
              <w:jc w:val="center"/>
              <w:rPr>
                <w:sz w:val="21"/>
              </w:rPr>
            </w:pPr>
            <w:r>
              <w:rPr>
                <w:rFonts w:hint="eastAsia"/>
                <w:sz w:val="21"/>
              </w:rPr>
              <w:t>20</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97EB0">
            <w:pPr>
              <w:adjustRightInd w:val="0"/>
              <w:snapToGrid w:val="0"/>
              <w:spacing w:line="240" w:lineRule="auto"/>
              <w:ind w:firstLine="0" w:firstLineChars="0"/>
              <w:jc w:val="center"/>
              <w:rPr>
                <w:sz w:val="21"/>
              </w:rPr>
            </w:pPr>
            <w:r>
              <w:rPr>
                <w:rFonts w:hint="eastAsia"/>
                <w:sz w:val="21"/>
              </w:rPr>
              <w:t>烟洲社区</w:t>
            </w:r>
          </w:p>
        </w:tc>
      </w:tr>
      <w:tr w14:paraId="2194D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FC992">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4</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9425B">
            <w:pPr>
              <w:adjustRightInd w:val="0"/>
              <w:snapToGrid w:val="0"/>
              <w:spacing w:line="240" w:lineRule="auto"/>
              <w:ind w:firstLine="0" w:firstLineChars="0"/>
              <w:jc w:val="center"/>
              <w:rPr>
                <w:sz w:val="21"/>
              </w:rPr>
            </w:pPr>
            <w:r>
              <w:rPr>
                <w:rFonts w:hint="eastAsia"/>
                <w:sz w:val="21"/>
              </w:rPr>
              <w:t>朗心渠</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8E80C">
            <w:pPr>
              <w:adjustRightInd w:val="0"/>
              <w:snapToGrid w:val="0"/>
              <w:spacing w:line="240" w:lineRule="auto"/>
              <w:ind w:firstLine="0" w:firstLineChars="0"/>
              <w:jc w:val="center"/>
              <w:rPr>
                <w:sz w:val="21"/>
              </w:rPr>
            </w:pPr>
            <w:r>
              <w:rPr>
                <w:rFonts w:hint="eastAsia"/>
                <w:sz w:val="21"/>
              </w:rPr>
              <w:t>105国道</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0349A">
            <w:pPr>
              <w:adjustRightInd w:val="0"/>
              <w:snapToGrid w:val="0"/>
              <w:spacing w:line="240" w:lineRule="auto"/>
              <w:ind w:firstLine="0" w:firstLineChars="0"/>
              <w:jc w:val="center"/>
              <w:rPr>
                <w:sz w:val="21"/>
              </w:rPr>
            </w:pPr>
            <w:r>
              <w:rPr>
                <w:rFonts w:hint="eastAsia"/>
                <w:sz w:val="21"/>
              </w:rPr>
              <w:t>西河涌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9FB2A">
            <w:pPr>
              <w:adjustRightInd w:val="0"/>
              <w:snapToGrid w:val="0"/>
              <w:spacing w:line="240" w:lineRule="auto"/>
              <w:ind w:firstLine="0" w:firstLineChars="0"/>
              <w:jc w:val="center"/>
              <w:rPr>
                <w:sz w:val="21"/>
              </w:rPr>
            </w:pPr>
            <w:r>
              <w:rPr>
                <w:rFonts w:hint="eastAsia"/>
                <w:sz w:val="21"/>
              </w:rPr>
              <w:t>1.5</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D5FE2">
            <w:pPr>
              <w:adjustRightInd w:val="0"/>
              <w:snapToGrid w:val="0"/>
              <w:spacing w:line="240" w:lineRule="auto"/>
              <w:ind w:firstLine="0" w:firstLineChars="0"/>
              <w:jc w:val="center"/>
              <w:rPr>
                <w:sz w:val="21"/>
              </w:rPr>
            </w:pPr>
            <w:r>
              <w:rPr>
                <w:rFonts w:hint="eastAsia"/>
                <w:sz w:val="21"/>
              </w:rPr>
              <w:t>13</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20616">
            <w:pPr>
              <w:adjustRightInd w:val="0"/>
              <w:snapToGrid w:val="0"/>
              <w:spacing w:line="240" w:lineRule="auto"/>
              <w:ind w:firstLine="0" w:firstLineChars="0"/>
              <w:jc w:val="center"/>
              <w:rPr>
                <w:sz w:val="21"/>
              </w:rPr>
            </w:pPr>
            <w:r>
              <w:rPr>
                <w:rFonts w:hint="eastAsia"/>
                <w:sz w:val="21"/>
              </w:rPr>
              <w:t>西苑社区</w:t>
            </w:r>
          </w:p>
        </w:tc>
      </w:tr>
      <w:tr w14:paraId="23C55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63B7A">
            <w:pPr>
              <w:adjustRightInd w:val="0"/>
              <w:snapToGrid w:val="0"/>
              <w:spacing w:line="240" w:lineRule="auto"/>
              <w:ind w:firstLine="0" w:firstLineChars="0"/>
              <w:jc w:val="center"/>
              <w:rPr>
                <w:rFonts w:eastAsia="宋体" w:cs="Times New Roman"/>
                <w:sz w:val="21"/>
                <w:lang w:bidi="ar"/>
              </w:rPr>
            </w:pPr>
            <w:r>
              <w:rPr>
                <w:rFonts w:hint="eastAsia" w:eastAsia="宋体" w:cs="Times New Roman"/>
                <w:sz w:val="21"/>
                <w:lang w:bidi="ar"/>
              </w:rPr>
              <w:t>15</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4C70E">
            <w:pPr>
              <w:adjustRightInd w:val="0"/>
              <w:snapToGrid w:val="0"/>
              <w:spacing w:line="240" w:lineRule="auto"/>
              <w:ind w:firstLine="0" w:firstLineChars="0"/>
              <w:jc w:val="center"/>
              <w:rPr>
                <w:sz w:val="21"/>
              </w:rPr>
            </w:pPr>
            <w:r>
              <w:rPr>
                <w:rFonts w:hint="eastAsia"/>
                <w:sz w:val="21"/>
              </w:rPr>
              <w:t>新涌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06469">
            <w:pPr>
              <w:adjustRightInd w:val="0"/>
              <w:snapToGrid w:val="0"/>
              <w:spacing w:line="240" w:lineRule="auto"/>
              <w:ind w:firstLine="0" w:firstLineChars="0"/>
              <w:jc w:val="center"/>
              <w:rPr>
                <w:sz w:val="21"/>
              </w:rPr>
            </w:pPr>
            <w:r>
              <w:rPr>
                <w:rFonts w:hint="eastAsia"/>
                <w:sz w:val="21"/>
              </w:rPr>
              <w:t>花海湾小区</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10F09">
            <w:pPr>
              <w:adjustRightInd w:val="0"/>
              <w:snapToGrid w:val="0"/>
              <w:spacing w:line="240" w:lineRule="auto"/>
              <w:ind w:firstLine="0" w:firstLineChars="0"/>
              <w:jc w:val="center"/>
              <w:rPr>
                <w:sz w:val="21"/>
              </w:rPr>
            </w:pPr>
            <w:r>
              <w:rPr>
                <w:rFonts w:hint="eastAsia"/>
                <w:sz w:val="21"/>
              </w:rPr>
              <w:t>岐江河</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F3F4F">
            <w:pPr>
              <w:adjustRightInd w:val="0"/>
              <w:snapToGrid w:val="0"/>
              <w:spacing w:line="240" w:lineRule="auto"/>
              <w:ind w:firstLine="0" w:firstLineChars="0"/>
              <w:jc w:val="center"/>
              <w:rPr>
                <w:sz w:val="21"/>
              </w:rPr>
            </w:pPr>
            <w:r>
              <w:rPr>
                <w:rFonts w:hint="eastAsia"/>
                <w:sz w:val="21"/>
              </w:rPr>
              <w:t>0.4</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92BDF">
            <w:pPr>
              <w:adjustRightInd w:val="0"/>
              <w:snapToGrid w:val="0"/>
              <w:spacing w:line="240" w:lineRule="auto"/>
              <w:ind w:firstLine="0" w:firstLineChars="0"/>
              <w:jc w:val="center"/>
              <w:rPr>
                <w:sz w:val="21"/>
              </w:rPr>
            </w:pPr>
            <w:r>
              <w:rPr>
                <w:rFonts w:hint="eastAsia"/>
                <w:sz w:val="21"/>
              </w:rPr>
              <w:t>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97F30">
            <w:pPr>
              <w:adjustRightInd w:val="0"/>
              <w:snapToGrid w:val="0"/>
              <w:spacing w:line="240" w:lineRule="auto"/>
              <w:ind w:firstLine="0" w:firstLineChars="0"/>
              <w:jc w:val="center"/>
              <w:rPr>
                <w:sz w:val="21"/>
              </w:rPr>
            </w:pPr>
            <w:r>
              <w:rPr>
                <w:rFonts w:hint="eastAsia"/>
                <w:sz w:val="21"/>
              </w:rPr>
              <w:t>后山社区</w:t>
            </w:r>
          </w:p>
        </w:tc>
      </w:tr>
    </w:tbl>
    <w:p w14:paraId="5AD1E7FF">
      <w:pPr>
        <w:spacing w:line="240" w:lineRule="auto"/>
        <w:ind w:firstLine="480"/>
      </w:pPr>
      <w:bookmarkStart w:id="69" w:name="_Toc26572"/>
      <w:bookmarkStart w:id="70" w:name="_Toc1628"/>
      <w:bookmarkStart w:id="71" w:name="_Toc17448"/>
      <w:bookmarkStart w:id="72" w:name="_Toc368"/>
      <w:bookmarkStart w:id="73" w:name="_Toc527572458"/>
      <w:bookmarkStart w:id="74" w:name="_Toc528880259"/>
    </w:p>
    <w:p w14:paraId="17219A20">
      <w:pPr>
        <w:keepNext/>
        <w:keepLines/>
        <w:ind w:firstLine="0" w:firstLineChars="0"/>
        <w:outlineLvl w:val="2"/>
        <w:rPr>
          <w:rFonts w:eastAsia="黑体"/>
          <w:sz w:val="28"/>
          <w:szCs w:val="28"/>
        </w:rPr>
      </w:pPr>
      <w:bookmarkStart w:id="75" w:name="_Toc31575"/>
      <w:bookmarkStart w:id="76" w:name="_Toc5839"/>
      <w:bookmarkStart w:id="77" w:name="_Toc29928"/>
      <w:bookmarkStart w:id="78" w:name="_Toc14421"/>
      <w:bookmarkStart w:id="79" w:name="_Toc16675006"/>
      <w:r>
        <w:rPr>
          <w:rFonts w:eastAsia="黑体"/>
          <w:sz w:val="28"/>
          <w:szCs w:val="28"/>
        </w:rPr>
        <w:t>1.2.5 水资源</w:t>
      </w:r>
      <w:r>
        <w:rPr>
          <w:rFonts w:hint="eastAsia" w:eastAsia="黑体"/>
          <w:sz w:val="28"/>
          <w:szCs w:val="28"/>
        </w:rPr>
        <w:t>特征</w:t>
      </w:r>
      <w:bookmarkEnd w:id="69"/>
      <w:bookmarkEnd w:id="70"/>
      <w:bookmarkEnd w:id="71"/>
      <w:bookmarkEnd w:id="72"/>
      <w:bookmarkEnd w:id="73"/>
      <w:bookmarkEnd w:id="74"/>
      <w:bookmarkEnd w:id="75"/>
      <w:bookmarkEnd w:id="76"/>
      <w:bookmarkEnd w:id="77"/>
      <w:bookmarkEnd w:id="78"/>
      <w:bookmarkEnd w:id="79"/>
    </w:p>
    <w:p w14:paraId="28F4F155">
      <w:pPr>
        <w:ind w:firstLine="480"/>
        <w:rPr>
          <w:szCs w:val="24"/>
        </w:rPr>
      </w:pPr>
      <w:r>
        <w:rPr>
          <w:rFonts w:hint="eastAsia" w:eastAsia="宋体" w:cs="宋体"/>
          <w:szCs w:val="24"/>
          <w:lang w:bidi="ar"/>
        </w:rPr>
        <w:t>中山市面临南海，受热带季风气候影响，降雨量多、强度大、年径流量变化大，年内分配极度不均。根据《2</w:t>
      </w:r>
      <w:r>
        <w:rPr>
          <w:rFonts w:eastAsia="宋体" w:cs="宋体"/>
          <w:szCs w:val="24"/>
          <w:lang w:bidi="ar"/>
        </w:rPr>
        <w:t>000</w:t>
      </w:r>
      <w:r>
        <w:rPr>
          <w:rFonts w:hint="eastAsia" w:eastAsia="宋体" w:cs="宋体"/>
          <w:szCs w:val="24"/>
          <w:lang w:bidi="ar"/>
        </w:rPr>
        <w:t>年-2</w:t>
      </w:r>
      <w:r>
        <w:rPr>
          <w:rFonts w:eastAsia="宋体" w:cs="宋体"/>
          <w:szCs w:val="24"/>
          <w:lang w:bidi="ar"/>
        </w:rPr>
        <w:t>017</w:t>
      </w:r>
      <w:r>
        <w:rPr>
          <w:rFonts w:hint="eastAsia" w:eastAsia="宋体" w:cs="宋体"/>
          <w:szCs w:val="24"/>
          <w:lang w:bidi="ar"/>
        </w:rPr>
        <w:t>年中山市水资源公报》，中山市多年平均（1956~201</w:t>
      </w:r>
      <w:r>
        <w:rPr>
          <w:rFonts w:eastAsia="宋体" w:cs="宋体"/>
          <w:szCs w:val="24"/>
          <w:lang w:bidi="ar"/>
        </w:rPr>
        <w:t>7</w:t>
      </w:r>
      <w:r>
        <w:rPr>
          <w:rFonts w:hint="eastAsia" w:eastAsia="宋体" w:cs="宋体"/>
          <w:szCs w:val="24"/>
          <w:lang w:bidi="ar"/>
        </w:rPr>
        <w:t>年）降雨量为</w:t>
      </w:r>
      <w:r>
        <w:rPr>
          <w:rFonts w:eastAsia="宋体" w:cs="宋体"/>
          <w:szCs w:val="24"/>
          <w:lang w:bidi="ar"/>
        </w:rPr>
        <w:t>2071.27</w:t>
      </w:r>
      <w:r>
        <w:rPr>
          <w:rFonts w:hint="eastAsia" w:eastAsia="宋体" w:cs="宋体"/>
          <w:szCs w:val="24"/>
          <w:lang w:bidi="ar"/>
        </w:rPr>
        <w:t>mm，多年平均径流深1011.4mm，降水在地区上分布南部大于北部，中部居中，山区大于平原，由北向南逐渐增大；在时间上的差异主要表现为汛期雨量大且集中，</w:t>
      </w:r>
      <w:r>
        <w:rPr>
          <w:rFonts w:eastAsia="宋体" w:cs="Times New Roman"/>
          <w:szCs w:val="24"/>
          <w:lang w:bidi="ar"/>
        </w:rPr>
        <w:t>3~9</w:t>
      </w:r>
      <w:r>
        <w:rPr>
          <w:rFonts w:hint="eastAsia" w:eastAsia="宋体" w:cs="宋体"/>
          <w:szCs w:val="24"/>
          <w:lang w:bidi="ar"/>
        </w:rPr>
        <w:t>月份降雨量占全年降水量总量的</w:t>
      </w:r>
      <w:r>
        <w:rPr>
          <w:rFonts w:eastAsia="黑体" w:cs="Times New Roman"/>
          <w:szCs w:val="24"/>
          <w:lang w:bidi="ar"/>
        </w:rPr>
        <w:t>94.9%</w:t>
      </w:r>
      <w:r>
        <w:rPr>
          <w:rFonts w:hint="eastAsia" w:eastAsia="宋体" w:cs="宋体"/>
          <w:szCs w:val="24"/>
          <w:lang w:bidi="ar"/>
        </w:rPr>
        <w:t>。根据《中山市水资源公报2</w:t>
      </w:r>
      <w:r>
        <w:rPr>
          <w:rFonts w:eastAsia="宋体" w:cs="宋体"/>
          <w:szCs w:val="24"/>
          <w:lang w:bidi="ar"/>
        </w:rPr>
        <w:t>017</w:t>
      </w:r>
      <w:r>
        <w:rPr>
          <w:rFonts w:hint="eastAsia" w:eastAsia="宋体" w:cs="宋体"/>
          <w:szCs w:val="24"/>
          <w:lang w:bidi="ar"/>
        </w:rPr>
        <w:t>》，全市多年平均水资源总量</w:t>
      </w:r>
      <w:r>
        <w:rPr>
          <w:rFonts w:eastAsia="黑体" w:cs="Times New Roman"/>
          <w:szCs w:val="24"/>
          <w:lang w:bidi="ar"/>
        </w:rPr>
        <w:t>17.38</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，其中地表水资源量</w:t>
      </w:r>
      <w:r>
        <w:rPr>
          <w:rFonts w:eastAsia="宋体" w:cs="Times New Roman"/>
          <w:szCs w:val="24"/>
          <w:lang w:bidi="ar"/>
        </w:rPr>
        <w:t>16.86</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，地下水资源量</w:t>
      </w:r>
      <w:r>
        <w:rPr>
          <w:rFonts w:eastAsia="宋体" w:cs="Times New Roman"/>
          <w:szCs w:val="24"/>
          <w:lang w:bidi="ar"/>
        </w:rPr>
        <w:t>2.58</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；多年平均入境水资源量</w:t>
      </w:r>
      <w:r>
        <w:rPr>
          <w:rFonts w:eastAsia="宋体" w:cs="Times New Roman"/>
          <w:szCs w:val="24"/>
          <w:lang w:bidi="ar"/>
        </w:rPr>
        <w:t>2662.94</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；多年平均出境水资源量</w:t>
      </w:r>
      <w:r>
        <w:rPr>
          <w:rFonts w:eastAsia="宋体" w:cs="Times New Roman"/>
          <w:szCs w:val="24"/>
          <w:lang w:bidi="ar"/>
        </w:rPr>
        <w:t>2678.92</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；汛期（</w:t>
      </w:r>
      <w:r>
        <w:rPr>
          <w:rFonts w:eastAsia="宋体" w:cs="Times New Roman"/>
          <w:szCs w:val="24"/>
          <w:lang w:bidi="ar"/>
        </w:rPr>
        <w:t>4~9</w:t>
      </w:r>
      <w:r>
        <w:rPr>
          <w:rFonts w:hint="eastAsia" w:eastAsia="宋体" w:cs="宋体"/>
          <w:szCs w:val="24"/>
          <w:lang w:bidi="ar"/>
        </w:rPr>
        <w:t>月）西、北江洪水有</w:t>
      </w:r>
      <w:r>
        <w:rPr>
          <w:rFonts w:eastAsia="黑体" w:cs="Times New Roman"/>
          <w:szCs w:val="24"/>
          <w:lang w:bidi="ar"/>
        </w:rPr>
        <w:t>51.14%</w:t>
      </w:r>
      <w:r>
        <w:rPr>
          <w:rFonts w:hint="eastAsia" w:eastAsia="宋体" w:cs="宋体"/>
          <w:szCs w:val="24"/>
          <w:lang w:bidi="ar"/>
        </w:rPr>
        <w:t>经本市渲泄，其中洪奇沥占</w:t>
      </w:r>
      <w:r>
        <w:rPr>
          <w:rFonts w:eastAsia="黑体" w:cs="Times New Roman"/>
          <w:szCs w:val="24"/>
          <w:lang w:bidi="ar"/>
        </w:rPr>
        <w:t>17.54%</w:t>
      </w:r>
      <w:r>
        <w:rPr>
          <w:rFonts w:hint="eastAsia" w:eastAsia="宋体" w:cs="宋体"/>
          <w:szCs w:val="24"/>
          <w:lang w:bidi="ar"/>
        </w:rPr>
        <w:t>，横门水道占</w:t>
      </w:r>
      <w:r>
        <w:rPr>
          <w:rFonts w:eastAsia="黑体" w:cs="Times New Roman"/>
          <w:szCs w:val="24"/>
          <w:lang w:bidi="ar"/>
        </w:rPr>
        <w:t>12.12%</w:t>
      </w:r>
      <w:r>
        <w:rPr>
          <w:rFonts w:hint="eastAsia" w:eastAsia="宋体" w:cs="宋体"/>
          <w:szCs w:val="24"/>
          <w:lang w:bidi="ar"/>
        </w:rPr>
        <w:t>，磨刀门占</w:t>
      </w:r>
      <w:r>
        <w:rPr>
          <w:rFonts w:eastAsia="黑体" w:cs="Times New Roman"/>
          <w:szCs w:val="24"/>
          <w:lang w:bidi="ar"/>
        </w:rPr>
        <w:t>21.48%</w:t>
      </w:r>
      <w:r>
        <w:rPr>
          <w:rFonts w:hint="eastAsia" w:eastAsia="宋体" w:cs="宋体"/>
          <w:szCs w:val="24"/>
          <w:lang w:bidi="ar"/>
        </w:rPr>
        <w:t>，威胁本市西北部堤围的安全。</w:t>
      </w:r>
    </w:p>
    <w:p w14:paraId="2EA19BD9">
      <w:pPr>
        <w:widowControl/>
        <w:ind w:firstLine="480"/>
        <w:jc w:val="left"/>
      </w:pPr>
      <w:r>
        <w:rPr>
          <w:rFonts w:hint="eastAsia" w:eastAsia="宋体" w:cs="Times New Roman"/>
          <w:szCs w:val="24"/>
          <w:lang w:bidi="ar"/>
        </w:rPr>
        <w:t>西区地处华南丰水地区，水量充沛，</w:t>
      </w:r>
      <w:r>
        <w:rPr>
          <w:rFonts w:eastAsia="宋体" w:cs="Times New Roman"/>
          <w:szCs w:val="24"/>
          <w:lang w:bidi="ar"/>
        </w:rPr>
        <w:t>201</w:t>
      </w:r>
      <w:r>
        <w:rPr>
          <w:rFonts w:hint="eastAsia" w:eastAsia="宋体" w:cs="Times New Roman"/>
          <w:szCs w:val="24"/>
          <w:lang w:bidi="ar"/>
        </w:rPr>
        <w:t>7年西区降雨量为1805</w:t>
      </w:r>
      <w:r>
        <w:rPr>
          <w:rFonts w:eastAsia="黑体" w:cs="Times New Roman"/>
          <w:szCs w:val="24"/>
          <w:lang w:bidi="ar"/>
        </w:rPr>
        <w:t>mm</w:t>
      </w:r>
      <w:r>
        <w:rPr>
          <w:rFonts w:hint="eastAsia" w:eastAsia="宋体" w:cs="Times New Roman"/>
          <w:szCs w:val="24"/>
          <w:lang w:bidi="ar"/>
        </w:rPr>
        <w:t>，</w:t>
      </w:r>
      <w:r>
        <w:rPr>
          <w:rFonts w:hint="eastAsia" w:eastAsia="宋体" w:cs="Times New Roman"/>
          <w:szCs w:val="24"/>
        </w:rPr>
        <w:t>多年平均（1956~201</w:t>
      </w:r>
      <w:r>
        <w:rPr>
          <w:rFonts w:eastAsia="宋体" w:cs="Times New Roman"/>
          <w:szCs w:val="24"/>
        </w:rPr>
        <w:t>7</w:t>
      </w:r>
      <w:r>
        <w:rPr>
          <w:rFonts w:hint="eastAsia" w:eastAsia="宋体" w:cs="Times New Roman"/>
          <w:szCs w:val="24"/>
        </w:rPr>
        <w:t xml:space="preserve"> 年）降雨量</w:t>
      </w:r>
      <w:r>
        <w:rPr>
          <w:rFonts w:eastAsia="宋体" w:cs="Times New Roman"/>
          <w:szCs w:val="24"/>
        </w:rPr>
        <w:t>2071.27</w:t>
      </w:r>
      <w:r>
        <w:rPr>
          <w:rFonts w:hint="eastAsia" w:eastAsia="宋体" w:cs="Times New Roman"/>
          <w:szCs w:val="24"/>
        </w:rPr>
        <w:t>mm</w:t>
      </w:r>
      <w:r>
        <w:rPr>
          <w:rFonts w:hint="eastAsia" w:eastAsia="宋体" w:cs="Times New Roman"/>
          <w:szCs w:val="24"/>
          <w:lang w:bidi="ar"/>
        </w:rPr>
        <w:t>，多年平均径流深约为2547</w:t>
      </w:r>
      <w:r>
        <w:rPr>
          <w:rFonts w:eastAsia="宋体" w:cs="Times New Roman"/>
          <w:szCs w:val="24"/>
          <w:lang w:bidi="ar"/>
        </w:rPr>
        <w:t>mm</w:t>
      </w:r>
      <w:r>
        <w:rPr>
          <w:rFonts w:hint="eastAsia" w:eastAsia="宋体" w:cs="Times New Roman"/>
          <w:szCs w:val="24"/>
          <w:lang w:bidi="ar"/>
        </w:rPr>
        <w:t>，西区</w:t>
      </w:r>
      <w:r>
        <w:rPr>
          <w:rFonts w:hint="eastAsia" w:eastAsia="宋体" w:cs="宋体"/>
          <w:szCs w:val="24"/>
          <w:lang w:bidi="ar"/>
        </w:rPr>
        <w:t>境内河涌15条，西区无过境水资源。</w:t>
      </w:r>
      <w:r>
        <w:rPr>
          <w:rFonts w:eastAsia="黑体" w:cs="Times New Roman"/>
          <w:szCs w:val="24"/>
          <w:lang w:bidi="ar"/>
        </w:rPr>
        <w:t>2017</w:t>
      </w:r>
      <w:r>
        <w:rPr>
          <w:rFonts w:hint="eastAsia" w:eastAsia="宋体" w:cs="Times New Roman"/>
          <w:szCs w:val="24"/>
          <w:lang w:bidi="ar"/>
        </w:rPr>
        <w:t>年，西区全区用水总量为2308.4万</w:t>
      </w:r>
      <w:r>
        <w:rPr>
          <w:rFonts w:eastAsia="宋体" w:cs="Times New Roman"/>
          <w:szCs w:val="24"/>
          <w:lang w:bidi="ar"/>
        </w:rPr>
        <w:t>m</w:t>
      </w:r>
      <w:r>
        <w:rPr>
          <w:rFonts w:eastAsia="宋体" w:cs="Times New Roman"/>
          <w:szCs w:val="24"/>
          <w:vertAlign w:val="superscript"/>
          <w:lang w:bidi="ar"/>
        </w:rPr>
        <w:t>3</w:t>
      </w:r>
      <w:r>
        <w:rPr>
          <w:rFonts w:hint="eastAsia" w:eastAsia="宋体" w:cs="Times New Roman"/>
          <w:szCs w:val="24"/>
          <w:lang w:bidi="ar"/>
        </w:rPr>
        <w:t>，根据《中山市</w:t>
      </w:r>
      <w:r>
        <w:rPr>
          <w:rFonts w:eastAsia="宋体" w:cs="Times New Roman"/>
          <w:szCs w:val="24"/>
          <w:lang w:bidi="ar"/>
        </w:rPr>
        <w:t>2016~2020</w:t>
      </w:r>
      <w:r>
        <w:rPr>
          <w:rFonts w:hint="eastAsia" w:eastAsia="宋体" w:cs="Times New Roman"/>
          <w:szCs w:val="24"/>
          <w:lang w:bidi="ar"/>
        </w:rPr>
        <w:t>年度用水指标分配方案》，到</w:t>
      </w:r>
      <w:r>
        <w:rPr>
          <w:rFonts w:eastAsia="宋体" w:cs="Times New Roman"/>
          <w:szCs w:val="24"/>
          <w:lang w:bidi="ar"/>
        </w:rPr>
        <w:t>2</w:t>
      </w:r>
      <w:r>
        <w:rPr>
          <w:rFonts w:eastAsia="黑体" w:cs="Times New Roman"/>
          <w:szCs w:val="24"/>
          <w:lang w:bidi="ar"/>
        </w:rPr>
        <w:t>020</w:t>
      </w:r>
      <w:r>
        <w:rPr>
          <w:rFonts w:hint="eastAsia" w:eastAsia="宋体" w:cs="Times New Roman"/>
          <w:szCs w:val="24"/>
          <w:lang w:bidi="ar"/>
        </w:rPr>
        <w:t>年，西区农业用水量、工业和大生活用水量分别为</w:t>
      </w:r>
      <w:r>
        <w:rPr>
          <w:rFonts w:hint="eastAsia" w:eastAsia="黑体" w:cs="Times New Roman"/>
          <w:szCs w:val="24"/>
          <w:lang w:bidi="ar"/>
        </w:rPr>
        <w:t>907</w:t>
      </w:r>
      <w:r>
        <w:rPr>
          <w:rFonts w:hint="eastAsia" w:eastAsia="宋体" w:cs="Times New Roman"/>
          <w:szCs w:val="24"/>
          <w:lang w:bidi="ar"/>
        </w:rPr>
        <w:t>万</w:t>
      </w:r>
      <w:r>
        <w:rPr>
          <w:rFonts w:eastAsia="黑体" w:cs="Times New Roman"/>
          <w:szCs w:val="24"/>
          <w:lang w:bidi="ar"/>
        </w:rPr>
        <w:t>m</w:t>
      </w:r>
      <w:r>
        <w:rPr>
          <w:rFonts w:eastAsia="黑体" w:cs="Times New Roman"/>
          <w:szCs w:val="24"/>
          <w:vertAlign w:val="superscript"/>
          <w:lang w:bidi="ar"/>
        </w:rPr>
        <w:t>3</w:t>
      </w:r>
      <w:r>
        <w:rPr>
          <w:rFonts w:hint="eastAsia" w:eastAsia="宋体" w:cs="Times New Roman"/>
          <w:szCs w:val="24"/>
          <w:lang w:bidi="ar"/>
        </w:rPr>
        <w:t>、</w:t>
      </w:r>
      <w:r>
        <w:rPr>
          <w:rFonts w:hint="eastAsia" w:eastAsia="黑体" w:cs="Times New Roman"/>
          <w:szCs w:val="24"/>
          <w:lang w:bidi="ar"/>
        </w:rPr>
        <w:t>2800</w:t>
      </w:r>
      <w:r>
        <w:rPr>
          <w:rFonts w:hint="eastAsia" w:eastAsia="宋体" w:cs="Times New Roman"/>
          <w:szCs w:val="24"/>
          <w:lang w:bidi="ar"/>
        </w:rPr>
        <w:t>万</w:t>
      </w:r>
      <w:r>
        <w:rPr>
          <w:rFonts w:eastAsia="黑体" w:cs="Times New Roman"/>
          <w:szCs w:val="24"/>
          <w:lang w:bidi="ar"/>
        </w:rPr>
        <w:t>m</w:t>
      </w:r>
      <w:r>
        <w:rPr>
          <w:rFonts w:eastAsia="黑体" w:cs="Times New Roman"/>
          <w:szCs w:val="24"/>
          <w:vertAlign w:val="superscript"/>
          <w:lang w:bidi="ar"/>
        </w:rPr>
        <w:t>3</w:t>
      </w:r>
      <w:r>
        <w:rPr>
          <w:rFonts w:hint="eastAsia" w:eastAsia="宋体" w:cs="Times New Roman"/>
          <w:szCs w:val="24"/>
          <w:lang w:bidi="ar"/>
        </w:rPr>
        <w:t>，全区用水总量控制为</w:t>
      </w:r>
      <w:r>
        <w:rPr>
          <w:rFonts w:hint="eastAsia" w:eastAsia="黑体" w:cs="Times New Roman"/>
          <w:szCs w:val="24"/>
          <w:lang w:bidi="ar"/>
        </w:rPr>
        <w:t>3707</w:t>
      </w:r>
      <w:r>
        <w:rPr>
          <w:rFonts w:hint="eastAsia" w:eastAsia="宋体" w:cs="Times New Roman"/>
          <w:szCs w:val="24"/>
          <w:lang w:bidi="ar"/>
        </w:rPr>
        <w:t>万</w:t>
      </w:r>
      <w:r>
        <w:rPr>
          <w:rFonts w:eastAsia="黑体" w:cs="Times New Roman"/>
          <w:szCs w:val="24"/>
          <w:lang w:bidi="ar"/>
        </w:rPr>
        <w:t>m</w:t>
      </w:r>
      <w:r>
        <w:rPr>
          <w:rFonts w:eastAsia="黑体" w:cs="Times New Roman"/>
          <w:szCs w:val="24"/>
          <w:vertAlign w:val="superscript"/>
          <w:lang w:bidi="ar"/>
        </w:rPr>
        <w:t>3</w:t>
      </w:r>
      <w:r>
        <w:rPr>
          <w:rFonts w:hint="eastAsia" w:eastAsia="宋体" w:cs="Times New Roman"/>
          <w:szCs w:val="24"/>
          <w:lang w:bidi="ar"/>
        </w:rPr>
        <w:t>。</w:t>
      </w:r>
    </w:p>
    <w:p w14:paraId="0E4ED6DB">
      <w:pPr>
        <w:spacing w:line="240" w:lineRule="auto"/>
        <w:ind w:firstLine="480"/>
      </w:pPr>
    </w:p>
    <w:p w14:paraId="1EA13EB6">
      <w:pPr>
        <w:pStyle w:val="4"/>
        <w:spacing w:before="0" w:after="0" w:line="360" w:lineRule="auto"/>
      </w:pPr>
      <w:bookmarkStart w:id="80" w:name="_Toc16675007"/>
      <w:r>
        <w:rPr>
          <w:rFonts w:hint="eastAsia"/>
        </w:rPr>
        <w:t>1</w:t>
      </w:r>
      <w:r>
        <w:t>.</w:t>
      </w:r>
      <w:r>
        <w:rPr>
          <w:rFonts w:hint="eastAsia"/>
        </w:rPr>
        <w:t>3</w:t>
      </w:r>
      <w:r>
        <w:t>社会经济</w:t>
      </w:r>
      <w:bookmarkEnd w:id="80"/>
    </w:p>
    <w:p w14:paraId="771A5AB3">
      <w:pPr>
        <w:pStyle w:val="3"/>
        <w:spacing w:before="0" w:after="0" w:line="360" w:lineRule="auto"/>
      </w:pPr>
      <w:bookmarkStart w:id="81" w:name="_Toc30602"/>
      <w:bookmarkStart w:id="82" w:name="_Toc523407630"/>
      <w:bookmarkStart w:id="83" w:name="_Toc528880261"/>
      <w:bookmarkStart w:id="84" w:name="_Toc16675008"/>
      <w:bookmarkStart w:id="85" w:name="_Toc430686421"/>
      <w:bookmarkStart w:id="86" w:name="_Toc29886"/>
      <w:bookmarkStart w:id="87" w:name="_Toc503214012"/>
      <w:bookmarkStart w:id="88" w:name="_Toc31347"/>
      <w:bookmarkStart w:id="89" w:name="_Toc498877665"/>
      <w:bookmarkStart w:id="90" w:name="_Toc31137"/>
      <w:bookmarkStart w:id="91" w:name="_Toc498447334"/>
      <w:bookmarkStart w:id="92" w:name="_Toc6151"/>
      <w:bookmarkStart w:id="93" w:name="_Toc10250"/>
      <w:r>
        <w:rPr>
          <w:rFonts w:hint="eastAsia"/>
        </w:rPr>
        <w:t>1</w:t>
      </w:r>
      <w:r>
        <w:t>.</w:t>
      </w:r>
      <w:r>
        <w:rPr>
          <w:rFonts w:hint="eastAsia"/>
        </w:rPr>
        <w:t>3</w:t>
      </w:r>
      <w:r>
        <w:t>.1人口及城镇化发展</w:t>
      </w:r>
      <w:bookmarkEnd w:id="81"/>
      <w:bookmarkEnd w:id="82"/>
      <w:bookmarkEnd w:id="83"/>
      <w:bookmarkEnd w:id="84"/>
      <w:bookmarkEnd w:id="85"/>
      <w:bookmarkEnd w:id="86"/>
      <w:bookmarkEnd w:id="87"/>
      <w:bookmarkEnd w:id="88"/>
      <w:bookmarkEnd w:id="89"/>
      <w:bookmarkEnd w:id="90"/>
      <w:bookmarkEnd w:id="91"/>
      <w:bookmarkEnd w:id="92"/>
      <w:bookmarkEnd w:id="93"/>
    </w:p>
    <w:p w14:paraId="0C3B2F16">
      <w:pPr>
        <w:ind w:firstLine="480"/>
        <w:rPr>
          <w:rFonts w:cs="Times New Roman"/>
        </w:rPr>
      </w:pPr>
      <w:r>
        <w:rPr>
          <w:rFonts w:cs="Times New Roman"/>
        </w:rPr>
        <w:t>中山市统计局提供的《201</w:t>
      </w:r>
      <w:r>
        <w:rPr>
          <w:rFonts w:hint="eastAsia" w:cs="Times New Roman"/>
        </w:rPr>
        <w:t>8</w:t>
      </w:r>
      <w:r>
        <w:rPr>
          <w:rFonts w:cs="Times New Roman"/>
        </w:rPr>
        <w:t>年</w:t>
      </w:r>
      <w:r>
        <w:rPr>
          <w:rFonts w:hint="eastAsia" w:cs="Times New Roman"/>
        </w:rPr>
        <w:t>中山市</w:t>
      </w:r>
      <w:r>
        <w:rPr>
          <w:rFonts w:cs="Times New Roman"/>
        </w:rPr>
        <w:t>统计年鉴》</w:t>
      </w:r>
      <w:r>
        <w:rPr>
          <w:rFonts w:hint="eastAsia" w:cs="Times New Roman"/>
        </w:rPr>
        <w:t>的数据</w:t>
      </w:r>
      <w:r>
        <w:rPr>
          <w:rFonts w:cs="Times New Roman"/>
        </w:rPr>
        <w:t>显示，</w:t>
      </w:r>
      <w:r>
        <w:rPr>
          <w:rFonts w:hint="eastAsia" w:eastAsia="宋体" w:cs="Times New Roman"/>
          <w:szCs w:val="24"/>
        </w:rPr>
        <w:t>2009~2017</w:t>
      </w:r>
      <w:r>
        <w:rPr>
          <w:rFonts w:hint="eastAsia" w:ascii="宋体" w:hAnsi="宋体" w:eastAsia="宋体" w:cs="Times New Roman"/>
          <w:szCs w:val="24"/>
        </w:rPr>
        <w:t>年西区常住人口</w:t>
      </w:r>
      <w:r>
        <w:rPr>
          <w:rFonts w:eastAsia="宋体" w:cs="Times New Roman"/>
          <w:szCs w:val="24"/>
        </w:rPr>
        <w:t>整体情</w:t>
      </w:r>
      <w:r>
        <w:rPr>
          <w:rFonts w:hint="eastAsia" w:ascii="宋体" w:hAnsi="宋体" w:eastAsia="宋体" w:cs="Times New Roman"/>
          <w:szCs w:val="24"/>
        </w:rPr>
        <w:t>况缓慢增长，</w:t>
      </w:r>
      <w:r>
        <w:rPr>
          <w:rFonts w:hint="eastAsia" w:eastAsia="宋体" w:cs="Times New Roman"/>
          <w:szCs w:val="24"/>
        </w:rPr>
        <w:t>2009~2017</w:t>
      </w:r>
      <w:r>
        <w:rPr>
          <w:rFonts w:hint="eastAsia" w:ascii="宋体" w:hAnsi="宋体" w:eastAsia="宋体" w:cs="Times New Roman"/>
          <w:szCs w:val="24"/>
        </w:rPr>
        <w:t>年年均增长率为</w:t>
      </w:r>
      <w:r>
        <w:rPr>
          <w:rFonts w:hint="eastAsia" w:eastAsia="宋体" w:cs="Times New Roman"/>
          <w:szCs w:val="24"/>
        </w:rPr>
        <w:t>2.7%</w:t>
      </w:r>
      <w:r>
        <w:rPr>
          <w:rFonts w:hint="eastAsia" w:ascii="宋体" w:hAnsi="宋体" w:eastAsia="宋体" w:cs="Times New Roman"/>
          <w:szCs w:val="24"/>
        </w:rPr>
        <w:t>，</w:t>
      </w:r>
      <w:r>
        <w:rPr>
          <w:rFonts w:hint="eastAsia" w:eastAsia="宋体" w:cs="Times New Roman"/>
          <w:szCs w:val="24"/>
        </w:rPr>
        <w:t>2013~2017</w:t>
      </w:r>
      <w:r>
        <w:rPr>
          <w:rFonts w:hint="eastAsia" w:ascii="宋体" w:hAnsi="宋体" w:eastAsia="宋体" w:cs="Times New Roman"/>
          <w:szCs w:val="24"/>
        </w:rPr>
        <w:t>年年均增长率为</w:t>
      </w:r>
      <w:r>
        <w:rPr>
          <w:rFonts w:hint="eastAsia" w:eastAsia="宋体" w:cs="Times New Roman"/>
          <w:szCs w:val="24"/>
        </w:rPr>
        <w:t>1.4%</w:t>
      </w:r>
      <w:r>
        <w:rPr>
          <w:rFonts w:hint="eastAsia" w:ascii="宋体" w:hAnsi="宋体" w:eastAsia="宋体" w:cs="Times New Roman"/>
          <w:szCs w:val="24"/>
        </w:rPr>
        <w:t>，年均增长率不足</w:t>
      </w:r>
      <w:r>
        <w:rPr>
          <w:rFonts w:hint="eastAsia" w:eastAsia="宋体" w:cs="Times New Roman"/>
          <w:szCs w:val="24"/>
        </w:rPr>
        <w:t>2%</w:t>
      </w:r>
      <w:r>
        <w:rPr>
          <w:rFonts w:hint="eastAsia" w:ascii="宋体" w:hAnsi="宋体" w:eastAsia="宋体" w:cs="Times New Roman"/>
          <w:szCs w:val="24"/>
        </w:rPr>
        <w:t>，人口呈缓慢增长态势，如表</w:t>
      </w:r>
      <w:r>
        <w:rPr>
          <w:rFonts w:hint="eastAsia" w:eastAsia="宋体" w:cs="Times New Roman"/>
          <w:szCs w:val="24"/>
        </w:rPr>
        <w:t>1-3</w:t>
      </w:r>
      <w:r>
        <w:rPr>
          <w:rFonts w:hint="eastAsia" w:ascii="宋体" w:hAnsi="宋体" w:eastAsia="宋体" w:cs="Times New Roman"/>
          <w:szCs w:val="24"/>
        </w:rPr>
        <w:t>所示。</w:t>
      </w:r>
      <w:r>
        <w:rPr>
          <w:rFonts w:hint="eastAsia" w:cs="Times New Roman"/>
        </w:rPr>
        <w:t>其中2017年西区的常住人口107539人，占中山市常住人口（3260000人）3.3%，户籍人口为58445人，占中山市户籍人口（1704686人）3.4%。</w:t>
      </w:r>
    </w:p>
    <w:p w14:paraId="33951A22">
      <w:pPr>
        <w:spacing w:line="240" w:lineRule="auto"/>
        <w:ind w:firstLine="420"/>
        <w:jc w:val="center"/>
        <w:rPr>
          <w:rFonts w:eastAsia="宋体" w:cs="Times New Roman"/>
          <w:color w:val="000000"/>
          <w:sz w:val="21"/>
        </w:rPr>
      </w:pPr>
      <w:r>
        <w:rPr>
          <w:rFonts w:hint="eastAsia" w:ascii="宋体" w:hAnsi="宋体" w:eastAsia="宋体" w:cs="Times New Roman"/>
          <w:color w:val="000000"/>
          <w:sz w:val="21"/>
        </w:rPr>
        <w:t>表</w:t>
      </w:r>
      <w:r>
        <w:rPr>
          <w:rFonts w:hint="eastAsia" w:eastAsia="宋体" w:cs="Times New Roman"/>
          <w:color w:val="000000"/>
          <w:sz w:val="21"/>
        </w:rPr>
        <w:t xml:space="preserve">1-3  </w:t>
      </w:r>
      <w:r>
        <w:rPr>
          <w:rFonts w:hint="eastAsia" w:ascii="宋体" w:hAnsi="宋体" w:eastAsia="宋体" w:cs="Times New Roman"/>
          <w:color w:val="000000"/>
          <w:sz w:val="21"/>
        </w:rPr>
        <w:t>西区近年来常住人口变化情况（单位：人）</w:t>
      </w:r>
    </w:p>
    <w:tbl>
      <w:tblPr>
        <w:tblStyle w:val="25"/>
        <w:tblW w:w="8525" w:type="dxa"/>
        <w:jc w:val="center"/>
        <w:tblLayout w:type="fixed"/>
        <w:tblCellMar>
          <w:top w:w="15" w:type="dxa"/>
          <w:left w:w="15" w:type="dxa"/>
          <w:bottom w:w="15" w:type="dxa"/>
          <w:right w:w="15" w:type="dxa"/>
        </w:tblCellMar>
      </w:tblPr>
      <w:tblGrid>
        <w:gridCol w:w="851"/>
        <w:gridCol w:w="854"/>
        <w:gridCol w:w="854"/>
        <w:gridCol w:w="855"/>
        <w:gridCol w:w="855"/>
        <w:gridCol w:w="855"/>
        <w:gridCol w:w="854"/>
        <w:gridCol w:w="849"/>
        <w:gridCol w:w="849"/>
        <w:gridCol w:w="849"/>
      </w:tblGrid>
      <w:tr w14:paraId="3935CE0D">
        <w:tblPrEx>
          <w:tblCellMar>
            <w:top w:w="15" w:type="dxa"/>
            <w:left w:w="15" w:type="dxa"/>
            <w:bottom w:w="15" w:type="dxa"/>
            <w:right w:w="15" w:type="dxa"/>
          </w:tblCellMar>
        </w:tblPrEx>
        <w:trPr>
          <w:trHeight w:val="90" w:hRule="atLeast"/>
          <w:jc w:val="center"/>
        </w:trPr>
        <w:tc>
          <w:tcPr>
            <w:tcW w:w="851" w:type="dxa"/>
            <w:tcBorders>
              <w:top w:val="single" w:color="000000" w:sz="4" w:space="0"/>
              <w:left w:val="single" w:color="000000" w:sz="4" w:space="0"/>
              <w:bottom w:val="single" w:color="000000" w:sz="4" w:space="0"/>
              <w:right w:val="single" w:color="000000" w:sz="4" w:space="0"/>
            </w:tcBorders>
            <w:vAlign w:val="center"/>
          </w:tcPr>
          <w:p w14:paraId="2A36830B">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年份</w:t>
            </w:r>
          </w:p>
        </w:tc>
        <w:tc>
          <w:tcPr>
            <w:tcW w:w="854" w:type="dxa"/>
            <w:tcBorders>
              <w:top w:val="single" w:color="000000" w:sz="4" w:space="0"/>
              <w:left w:val="nil"/>
              <w:bottom w:val="single" w:color="000000" w:sz="4" w:space="0"/>
              <w:right w:val="single" w:color="000000" w:sz="4" w:space="0"/>
            </w:tcBorders>
            <w:vAlign w:val="center"/>
          </w:tcPr>
          <w:p w14:paraId="2E0656DE">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2009</w:t>
            </w:r>
          </w:p>
        </w:tc>
        <w:tc>
          <w:tcPr>
            <w:tcW w:w="854" w:type="dxa"/>
            <w:tcBorders>
              <w:top w:val="single" w:color="000000" w:sz="4" w:space="0"/>
              <w:left w:val="nil"/>
              <w:bottom w:val="single" w:color="000000" w:sz="4" w:space="0"/>
              <w:right w:val="single" w:color="000000" w:sz="4" w:space="0"/>
            </w:tcBorders>
            <w:vAlign w:val="center"/>
          </w:tcPr>
          <w:p w14:paraId="47BE66F0">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2010</w:t>
            </w:r>
          </w:p>
        </w:tc>
        <w:tc>
          <w:tcPr>
            <w:tcW w:w="855" w:type="dxa"/>
            <w:tcBorders>
              <w:top w:val="single" w:color="000000" w:sz="4" w:space="0"/>
              <w:left w:val="nil"/>
              <w:bottom w:val="single" w:color="000000" w:sz="4" w:space="0"/>
              <w:right w:val="single" w:color="000000" w:sz="4" w:space="0"/>
            </w:tcBorders>
            <w:vAlign w:val="center"/>
          </w:tcPr>
          <w:p w14:paraId="68AB0D69">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2011</w:t>
            </w:r>
          </w:p>
        </w:tc>
        <w:tc>
          <w:tcPr>
            <w:tcW w:w="855" w:type="dxa"/>
            <w:tcBorders>
              <w:top w:val="single" w:color="000000" w:sz="4" w:space="0"/>
              <w:left w:val="nil"/>
              <w:bottom w:val="single" w:color="000000" w:sz="4" w:space="0"/>
              <w:right w:val="single" w:color="000000" w:sz="4" w:space="0"/>
            </w:tcBorders>
            <w:vAlign w:val="center"/>
          </w:tcPr>
          <w:p w14:paraId="5C54DD1D">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2012</w:t>
            </w:r>
          </w:p>
        </w:tc>
        <w:tc>
          <w:tcPr>
            <w:tcW w:w="855" w:type="dxa"/>
            <w:tcBorders>
              <w:top w:val="single" w:color="000000" w:sz="4" w:space="0"/>
              <w:left w:val="nil"/>
              <w:bottom w:val="single" w:color="000000" w:sz="4" w:space="0"/>
              <w:right w:val="single" w:color="000000" w:sz="4" w:space="0"/>
            </w:tcBorders>
            <w:vAlign w:val="center"/>
          </w:tcPr>
          <w:p w14:paraId="679A14D8">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2013</w:t>
            </w:r>
          </w:p>
        </w:tc>
        <w:tc>
          <w:tcPr>
            <w:tcW w:w="854" w:type="dxa"/>
            <w:tcBorders>
              <w:top w:val="single" w:color="000000" w:sz="4" w:space="0"/>
              <w:left w:val="nil"/>
              <w:bottom w:val="single" w:color="000000" w:sz="4" w:space="0"/>
              <w:right w:val="single" w:color="000000" w:sz="4" w:space="0"/>
            </w:tcBorders>
            <w:vAlign w:val="center"/>
          </w:tcPr>
          <w:p w14:paraId="63E61D1C">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2014</w:t>
            </w:r>
          </w:p>
        </w:tc>
        <w:tc>
          <w:tcPr>
            <w:tcW w:w="849" w:type="dxa"/>
            <w:tcBorders>
              <w:top w:val="single" w:color="000000" w:sz="4" w:space="0"/>
              <w:left w:val="nil"/>
              <w:bottom w:val="single" w:color="000000" w:sz="4" w:space="0"/>
              <w:right w:val="single" w:color="000000" w:sz="4" w:space="0"/>
            </w:tcBorders>
            <w:vAlign w:val="center"/>
          </w:tcPr>
          <w:p w14:paraId="1DFB5C19">
            <w:pPr>
              <w:widowControl/>
              <w:spacing w:line="240" w:lineRule="auto"/>
              <w:ind w:firstLine="0" w:firstLineChars="0"/>
              <w:jc w:val="center"/>
            </w:pPr>
            <w:r>
              <w:rPr>
                <w:rFonts w:eastAsia="宋体" w:cs="Times New Roman"/>
                <w:color w:val="000000"/>
                <w:kern w:val="0"/>
                <w:sz w:val="21"/>
              </w:rPr>
              <w:t>2015</w:t>
            </w:r>
          </w:p>
        </w:tc>
        <w:tc>
          <w:tcPr>
            <w:tcW w:w="849" w:type="dxa"/>
            <w:tcBorders>
              <w:top w:val="single" w:color="000000" w:sz="4" w:space="0"/>
              <w:left w:val="nil"/>
              <w:bottom w:val="single" w:color="000000" w:sz="4" w:space="0"/>
              <w:right w:val="single" w:color="000000" w:sz="4" w:space="0"/>
            </w:tcBorders>
            <w:vAlign w:val="center"/>
          </w:tcPr>
          <w:p w14:paraId="6A02A826">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2016</w:t>
            </w:r>
          </w:p>
        </w:tc>
        <w:tc>
          <w:tcPr>
            <w:tcW w:w="849" w:type="dxa"/>
            <w:tcBorders>
              <w:top w:val="single" w:color="000000" w:sz="4" w:space="0"/>
              <w:left w:val="nil"/>
              <w:bottom w:val="single" w:color="000000" w:sz="4" w:space="0"/>
              <w:right w:val="single" w:color="000000" w:sz="4" w:space="0"/>
            </w:tcBorders>
            <w:vAlign w:val="center"/>
          </w:tcPr>
          <w:p w14:paraId="426B5C31">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2017</w:t>
            </w:r>
          </w:p>
        </w:tc>
      </w:tr>
      <w:tr w14:paraId="523B3604">
        <w:tblPrEx>
          <w:tblCellMar>
            <w:top w:w="15" w:type="dxa"/>
            <w:left w:w="15" w:type="dxa"/>
            <w:bottom w:w="15" w:type="dxa"/>
            <w:right w:w="15" w:type="dxa"/>
          </w:tblCellMar>
        </w:tblPrEx>
        <w:trPr>
          <w:trHeight w:val="181" w:hRule="atLeast"/>
          <w:jc w:val="center"/>
        </w:trPr>
        <w:tc>
          <w:tcPr>
            <w:tcW w:w="851" w:type="dxa"/>
            <w:tcBorders>
              <w:top w:val="single" w:color="000000" w:sz="4" w:space="0"/>
              <w:left w:val="single" w:color="000000" w:sz="4" w:space="0"/>
              <w:bottom w:val="single" w:color="000000" w:sz="4" w:space="0"/>
              <w:right w:val="single" w:color="000000" w:sz="4" w:space="0"/>
            </w:tcBorders>
            <w:vAlign w:val="center"/>
          </w:tcPr>
          <w:p w14:paraId="6F3034D7">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人口</w:t>
            </w:r>
          </w:p>
        </w:tc>
        <w:tc>
          <w:tcPr>
            <w:tcW w:w="854" w:type="dxa"/>
            <w:tcBorders>
              <w:top w:val="single" w:color="000000" w:sz="4" w:space="0"/>
              <w:left w:val="nil"/>
              <w:bottom w:val="single" w:color="000000" w:sz="4" w:space="0"/>
              <w:right w:val="single" w:color="000000" w:sz="4" w:space="0"/>
            </w:tcBorders>
            <w:vAlign w:val="center"/>
          </w:tcPr>
          <w:p w14:paraId="35890469">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87107</w:t>
            </w:r>
          </w:p>
        </w:tc>
        <w:tc>
          <w:tcPr>
            <w:tcW w:w="854" w:type="dxa"/>
            <w:tcBorders>
              <w:top w:val="single" w:color="000000" w:sz="4" w:space="0"/>
              <w:left w:val="nil"/>
              <w:bottom w:val="single" w:color="000000" w:sz="4" w:space="0"/>
              <w:right w:val="single" w:color="000000" w:sz="4" w:space="0"/>
            </w:tcBorders>
            <w:vAlign w:val="center"/>
          </w:tcPr>
          <w:p w14:paraId="3F1BBF65">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97922</w:t>
            </w:r>
          </w:p>
        </w:tc>
        <w:tc>
          <w:tcPr>
            <w:tcW w:w="855" w:type="dxa"/>
            <w:tcBorders>
              <w:top w:val="single" w:color="000000" w:sz="4" w:space="0"/>
              <w:left w:val="nil"/>
              <w:bottom w:val="single" w:color="000000" w:sz="4" w:space="0"/>
              <w:right w:val="single" w:color="000000" w:sz="4" w:space="0"/>
            </w:tcBorders>
            <w:vAlign w:val="center"/>
          </w:tcPr>
          <w:p w14:paraId="0CCA232C">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99005</w:t>
            </w:r>
          </w:p>
        </w:tc>
        <w:tc>
          <w:tcPr>
            <w:tcW w:w="855" w:type="dxa"/>
            <w:tcBorders>
              <w:top w:val="single" w:color="000000" w:sz="4" w:space="0"/>
              <w:left w:val="nil"/>
              <w:bottom w:val="single" w:color="000000" w:sz="4" w:space="0"/>
              <w:right w:val="single" w:color="000000" w:sz="4" w:space="0"/>
            </w:tcBorders>
            <w:vAlign w:val="center"/>
          </w:tcPr>
          <w:p w14:paraId="07C80D09">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100145</w:t>
            </w:r>
          </w:p>
        </w:tc>
        <w:tc>
          <w:tcPr>
            <w:tcW w:w="855" w:type="dxa"/>
            <w:tcBorders>
              <w:top w:val="single" w:color="000000" w:sz="4" w:space="0"/>
              <w:left w:val="nil"/>
              <w:bottom w:val="single" w:color="000000" w:sz="4" w:space="0"/>
              <w:right w:val="single" w:color="000000" w:sz="4" w:space="0"/>
            </w:tcBorders>
            <w:vAlign w:val="center"/>
          </w:tcPr>
          <w:p w14:paraId="766CE60C">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101579</w:t>
            </w:r>
          </w:p>
        </w:tc>
        <w:tc>
          <w:tcPr>
            <w:tcW w:w="854" w:type="dxa"/>
            <w:tcBorders>
              <w:top w:val="single" w:color="000000" w:sz="4" w:space="0"/>
              <w:left w:val="nil"/>
              <w:bottom w:val="single" w:color="000000" w:sz="4" w:space="0"/>
              <w:right w:val="single" w:color="000000" w:sz="4" w:space="0"/>
            </w:tcBorders>
            <w:vAlign w:val="center"/>
          </w:tcPr>
          <w:p w14:paraId="04ADE29B">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102911</w:t>
            </w:r>
          </w:p>
        </w:tc>
        <w:tc>
          <w:tcPr>
            <w:tcW w:w="849" w:type="dxa"/>
            <w:tcBorders>
              <w:top w:val="single" w:color="000000" w:sz="4" w:space="0"/>
              <w:left w:val="nil"/>
              <w:bottom w:val="single" w:color="000000" w:sz="4" w:space="0"/>
              <w:right w:val="single" w:color="000000" w:sz="4" w:space="0"/>
            </w:tcBorders>
            <w:vAlign w:val="center"/>
          </w:tcPr>
          <w:p w14:paraId="4ED5787E">
            <w:pPr>
              <w:widowControl/>
              <w:spacing w:line="240" w:lineRule="auto"/>
              <w:ind w:firstLine="0" w:firstLineChars="0"/>
              <w:jc w:val="center"/>
            </w:pPr>
            <w:r>
              <w:rPr>
                <w:rFonts w:hint="eastAsia"/>
              </w:rPr>
              <w:t>104040</w:t>
            </w:r>
          </w:p>
        </w:tc>
        <w:tc>
          <w:tcPr>
            <w:tcW w:w="849" w:type="dxa"/>
            <w:tcBorders>
              <w:top w:val="single" w:color="000000" w:sz="4" w:space="0"/>
              <w:left w:val="nil"/>
              <w:bottom w:val="single" w:color="000000" w:sz="4" w:space="0"/>
              <w:right w:val="single" w:color="000000" w:sz="4" w:space="0"/>
            </w:tcBorders>
            <w:vAlign w:val="center"/>
          </w:tcPr>
          <w:p w14:paraId="64C2472A">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105644</w:t>
            </w:r>
          </w:p>
        </w:tc>
        <w:tc>
          <w:tcPr>
            <w:tcW w:w="849" w:type="dxa"/>
            <w:tcBorders>
              <w:top w:val="single" w:color="000000" w:sz="4" w:space="0"/>
              <w:left w:val="nil"/>
              <w:bottom w:val="single" w:color="000000" w:sz="4" w:space="0"/>
              <w:right w:val="single" w:color="000000" w:sz="4" w:space="0"/>
            </w:tcBorders>
            <w:vAlign w:val="center"/>
          </w:tcPr>
          <w:p w14:paraId="527F191A">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107539</w:t>
            </w:r>
          </w:p>
        </w:tc>
      </w:tr>
    </w:tbl>
    <w:p w14:paraId="2C46718F">
      <w:pPr>
        <w:spacing w:line="240" w:lineRule="auto"/>
        <w:ind w:firstLine="480"/>
        <w:rPr>
          <w:rFonts w:cs="Times New Roman"/>
        </w:rPr>
      </w:pPr>
    </w:p>
    <w:p w14:paraId="4C49144F">
      <w:pPr>
        <w:pStyle w:val="3"/>
        <w:spacing w:before="0" w:after="0" w:line="360" w:lineRule="auto"/>
      </w:pPr>
      <w:bookmarkStart w:id="94" w:name="_Toc25225"/>
      <w:bookmarkStart w:id="95" w:name="_Toc523407631"/>
      <w:bookmarkStart w:id="96" w:name="_Toc17990"/>
      <w:bookmarkStart w:id="97" w:name="_Toc10965"/>
      <w:bookmarkStart w:id="98" w:name="_Toc2508"/>
      <w:bookmarkStart w:id="99" w:name="_Toc22117"/>
      <w:bookmarkStart w:id="100" w:name="_Toc19395"/>
      <w:bookmarkStart w:id="101" w:name="_Toc430686422"/>
      <w:bookmarkStart w:id="102" w:name="_Toc16675009"/>
      <w:bookmarkStart w:id="103" w:name="_Toc498877666"/>
      <w:bookmarkStart w:id="104" w:name="_Toc528880262"/>
      <w:bookmarkStart w:id="105" w:name="_Toc503214013"/>
      <w:bookmarkStart w:id="106" w:name="_Toc498447335"/>
      <w:r>
        <w:rPr>
          <w:rFonts w:hint="eastAsia"/>
        </w:rPr>
        <w:t>1</w:t>
      </w:r>
      <w:r>
        <w:t>.</w:t>
      </w:r>
      <w:r>
        <w:rPr>
          <w:rFonts w:hint="eastAsia"/>
        </w:rPr>
        <w:t>3</w:t>
      </w:r>
      <w:r>
        <w:t>.2地区国民经济发展</w:t>
      </w:r>
      <w:bookmarkEnd w:id="94"/>
      <w:bookmarkEnd w:id="95"/>
      <w:bookmarkEnd w:id="96"/>
      <w:bookmarkEnd w:id="97"/>
      <w:bookmarkEnd w:id="98"/>
      <w:bookmarkEnd w:id="99"/>
      <w:bookmarkEnd w:id="100"/>
      <w:bookmarkEnd w:id="101"/>
      <w:bookmarkEnd w:id="102"/>
      <w:bookmarkEnd w:id="103"/>
      <w:bookmarkEnd w:id="104"/>
      <w:bookmarkEnd w:id="105"/>
      <w:bookmarkEnd w:id="106"/>
    </w:p>
    <w:p w14:paraId="616A76CA">
      <w:pPr>
        <w:ind w:firstLine="480"/>
        <w:rPr>
          <w:rFonts w:cs="Times New Roman"/>
        </w:rPr>
      </w:pPr>
      <w:r>
        <w:rPr>
          <w:rFonts w:hint="eastAsia" w:cs="Times New Roman"/>
        </w:rPr>
        <w:t>西区坚持实施“一核心、三基地、两提升”的发展方略，牢固树立“抓大项目促大发展”思路，积极发挥区位优势和传统产业特色，推进“一核心、两基地、两提升”新型专业镇建设，不断引进优质和规模性产业，逐步确立了以电气机械制造业为主导，日用化工、造纸、电子及通信设备制造业共同发展的工业产业格局，全力加快建设“适宜创业、适宜创新、适宜居住”的更加美丽西区。</w:t>
      </w:r>
    </w:p>
    <w:p w14:paraId="09849154">
      <w:pPr>
        <w:ind w:firstLine="480"/>
        <w:rPr>
          <w:rFonts w:cs="Times New Roman"/>
        </w:rPr>
      </w:pPr>
      <w:r>
        <w:rPr>
          <w:rFonts w:hint="eastAsia" w:cs="Times New Roman"/>
        </w:rPr>
        <w:t>2017 年实现地区生产总值136.8 亿元，人均生产总值突破12.8 万元，三次产业结构比例为0.3:34.1:65.6，现代化服务业和先进制造业快速发展。西区商业底蕴深厚，第三产业所占比重超过65%，是中山乃至珠江三角洲著名的商业贸易和休闲观光区。西区是中山传统的物流集散中心，专业市场密度高、总量大。西区服务业综合改革试验区是省级服务业集聚区、市区共建服务业集聚区。</w:t>
      </w:r>
    </w:p>
    <w:p w14:paraId="4437C995">
      <w:pPr>
        <w:ind w:firstLine="480"/>
        <w:rPr>
          <w:rFonts w:cs="Times New Roman"/>
        </w:rPr>
      </w:pPr>
      <w:r>
        <w:rPr>
          <w:rFonts w:hint="eastAsia" w:cs="Times New Roman"/>
        </w:rPr>
        <w:t>根据2007-2018年的中山市统计年鉴统计结果显示，如图1</w:t>
      </w:r>
      <w:r>
        <w:rPr>
          <w:rFonts w:cs="Times New Roman"/>
        </w:rPr>
        <w:t>-</w:t>
      </w:r>
      <w:r>
        <w:rPr>
          <w:rFonts w:hint="eastAsia" w:cs="Times New Roman"/>
        </w:rPr>
        <w:t>1和表1-4所示，西区近11年的经济发展稳步增长，其中GDP逐年增速较快，年均增速达12.73%，第三产业增速也较快，年均增速达14.66%，第一产业为负增长，年均增速达-3.45%，第二产业增速相对较慢，持平甚至小范围的下降。2017年西区生产总值1368024万元，其增长速度为6.0%；其中第一产业增加值为4473万元，其增长速度为-20.1%；第二产业增加值为466086万元，其增长速度为7.1%；第三产业增加值为897464万元，其增长速度为5.5%；工业增加值为443283万元，其增长速度为8.2%。常住人均生产总值为128343元，增速为4.3%。</w:t>
      </w:r>
    </w:p>
    <w:p w14:paraId="71E7767D">
      <w:pPr>
        <w:ind w:firstLine="0" w:firstLineChars="0"/>
        <w:jc w:val="center"/>
        <w:rPr>
          <w:rFonts w:eastAsia="宋体" w:cs="Times New Roman"/>
          <w:color w:val="000000" w:themeColor="text1"/>
          <w:sz w:val="21"/>
          <w14:textFill>
            <w14:solidFill>
              <w14:schemeClr w14:val="tx1"/>
            </w14:solidFill>
          </w14:textFill>
        </w:rPr>
      </w:pPr>
      <w:r>
        <w:drawing>
          <wp:inline distT="0" distB="0" distL="114300" distR="114300">
            <wp:extent cx="4966335" cy="2912745"/>
            <wp:effectExtent l="4445" t="4445" r="20320" b="16510"/>
            <wp:docPr id="28"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8D1D6BB">
      <w:pPr>
        <w:ind w:firstLine="420"/>
        <w:jc w:val="center"/>
        <w:rPr>
          <w:rFonts w:eastAsia="宋体" w:cs="Times New Roman"/>
          <w:color w:val="000000" w:themeColor="text1"/>
          <w:sz w:val="21"/>
          <w14:textFill>
            <w14:solidFill>
              <w14:schemeClr w14:val="tx1"/>
            </w14:solidFill>
          </w14:textFill>
        </w:rPr>
      </w:pPr>
      <w:r>
        <w:rPr>
          <w:rFonts w:hint="eastAsia" w:eastAsia="宋体" w:cs="Times New Roman"/>
          <w:color w:val="000000" w:themeColor="text1"/>
          <w:sz w:val="21"/>
          <w14:textFill>
            <w14:solidFill>
              <w14:schemeClr w14:val="tx1"/>
            </w14:solidFill>
          </w14:textFill>
        </w:rPr>
        <w:t>图1-1 西区2007-2017年的经济发展情况</w:t>
      </w:r>
    </w:p>
    <w:p w14:paraId="775C393E">
      <w:pPr>
        <w:spacing w:line="240" w:lineRule="auto"/>
        <w:ind w:firstLine="420"/>
        <w:jc w:val="center"/>
        <w:rPr>
          <w:rFonts w:eastAsia="宋体" w:cs="Times New Roman"/>
          <w:color w:val="000000" w:themeColor="text1"/>
          <w:sz w:val="21"/>
          <w14:textFill>
            <w14:solidFill>
              <w14:schemeClr w14:val="tx1"/>
            </w14:solidFill>
          </w14:textFill>
        </w:rPr>
      </w:pPr>
      <w:r>
        <w:rPr>
          <w:rFonts w:hint="eastAsia" w:eastAsia="宋体" w:cs="Times New Roman"/>
          <w:color w:val="000000" w:themeColor="text1"/>
          <w:sz w:val="21"/>
          <w14:textFill>
            <w14:solidFill>
              <w14:schemeClr w14:val="tx1"/>
            </w14:solidFill>
          </w14:textFill>
        </w:rPr>
        <w:t>表1-4</w:t>
      </w:r>
      <w:r>
        <w:rPr>
          <w:rFonts w:eastAsia="宋体" w:cs="Times New Roman"/>
          <w:color w:val="000000" w:themeColor="text1"/>
          <w:sz w:val="21"/>
          <w14:textFill>
            <w14:solidFill>
              <w14:schemeClr w14:val="tx1"/>
            </w14:solidFill>
          </w14:textFill>
        </w:rPr>
        <w:t xml:space="preserve"> </w:t>
      </w:r>
      <w:r>
        <w:rPr>
          <w:rFonts w:hint="eastAsia" w:eastAsia="宋体" w:cs="Times New Roman"/>
          <w:color w:val="000000" w:themeColor="text1"/>
          <w:sz w:val="21"/>
          <w14:textFill>
            <w14:solidFill>
              <w14:schemeClr w14:val="tx1"/>
            </w14:solidFill>
          </w14:textFill>
        </w:rPr>
        <w:t>西区</w:t>
      </w:r>
      <w:r>
        <w:rPr>
          <w:rFonts w:eastAsia="宋体" w:cs="Times New Roman"/>
          <w:color w:val="000000" w:themeColor="text1"/>
          <w:sz w:val="21"/>
          <w14:textFill>
            <w14:solidFill>
              <w14:schemeClr w14:val="tx1"/>
            </w14:solidFill>
          </w14:textFill>
        </w:rPr>
        <w:t>200</w:t>
      </w:r>
      <w:r>
        <w:rPr>
          <w:rFonts w:hint="eastAsia" w:eastAsia="宋体" w:cs="Times New Roman"/>
          <w:color w:val="000000" w:themeColor="text1"/>
          <w:sz w:val="21"/>
          <w14:textFill>
            <w14:solidFill>
              <w14:schemeClr w14:val="tx1"/>
            </w14:solidFill>
          </w14:textFill>
        </w:rPr>
        <w:t>7-</w:t>
      </w:r>
      <w:r>
        <w:rPr>
          <w:rFonts w:eastAsia="宋体" w:cs="Times New Roman"/>
          <w:color w:val="000000" w:themeColor="text1"/>
          <w:sz w:val="21"/>
          <w14:textFill>
            <w14:solidFill>
              <w14:schemeClr w14:val="tx1"/>
            </w14:solidFill>
          </w14:textFill>
        </w:rPr>
        <w:t>201</w:t>
      </w:r>
      <w:r>
        <w:rPr>
          <w:rFonts w:hint="eastAsia" w:eastAsia="宋体" w:cs="Times New Roman"/>
          <w:color w:val="000000" w:themeColor="text1"/>
          <w:sz w:val="21"/>
          <w14:textFill>
            <w14:solidFill>
              <w14:schemeClr w14:val="tx1"/>
            </w14:solidFill>
          </w14:textFill>
        </w:rPr>
        <w:t>7年的经济发展情况表（单位：万元）</w:t>
      </w:r>
    </w:p>
    <w:tbl>
      <w:tblPr>
        <w:tblStyle w:val="25"/>
        <w:tblW w:w="7861" w:type="dxa"/>
        <w:jc w:val="center"/>
        <w:tblLayout w:type="fixed"/>
        <w:tblCellMar>
          <w:top w:w="0" w:type="dxa"/>
          <w:left w:w="108" w:type="dxa"/>
          <w:bottom w:w="0" w:type="dxa"/>
          <w:right w:w="108" w:type="dxa"/>
        </w:tblCellMar>
      </w:tblPr>
      <w:tblGrid>
        <w:gridCol w:w="1323"/>
        <w:gridCol w:w="1575"/>
        <w:gridCol w:w="1463"/>
        <w:gridCol w:w="1625"/>
        <w:gridCol w:w="1875"/>
      </w:tblGrid>
      <w:tr w14:paraId="518F5415">
        <w:tblPrEx>
          <w:tblCellMar>
            <w:top w:w="0" w:type="dxa"/>
            <w:left w:w="108" w:type="dxa"/>
            <w:bottom w:w="0" w:type="dxa"/>
            <w:right w:w="108" w:type="dxa"/>
          </w:tblCellMar>
        </w:tblPrEx>
        <w:trPr>
          <w:trHeight w:val="263"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79205D11">
            <w:pPr>
              <w:widowControl/>
              <w:spacing w:line="260" w:lineRule="exact"/>
              <w:ind w:firstLine="480" w:firstLineChars="0"/>
              <w:rPr>
                <w:rFonts w:ascii="Calibri" w:hAnsi="Calibri" w:eastAsia="宋体" w:cs="Times New Roman"/>
                <w:b/>
                <w:color w:val="000000"/>
                <w:kern w:val="0"/>
                <w:sz w:val="21"/>
              </w:rPr>
            </w:pPr>
            <w:r>
              <w:rPr>
                <w:rFonts w:hint="eastAsia" w:eastAsia="宋体" w:cs="Times New Roman"/>
                <w:b/>
                <w:color w:val="000000"/>
                <w:kern w:val="0"/>
                <w:sz w:val="21"/>
              </w:rPr>
              <w:t>年份</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4FDBE0CA">
            <w:pPr>
              <w:widowControl/>
              <w:spacing w:line="260" w:lineRule="exact"/>
              <w:ind w:firstLine="0" w:firstLineChars="0"/>
              <w:jc w:val="center"/>
              <w:rPr>
                <w:rFonts w:ascii="Calibri" w:hAnsi="Calibri" w:eastAsia="宋体" w:cs="Times New Roman"/>
                <w:b/>
                <w:color w:val="000000"/>
                <w:kern w:val="0"/>
                <w:sz w:val="21"/>
              </w:rPr>
            </w:pPr>
            <w:r>
              <w:rPr>
                <w:rFonts w:eastAsia="宋体" w:cs="Times New Roman"/>
                <w:b/>
                <w:color w:val="000000"/>
                <w:kern w:val="0"/>
                <w:sz w:val="21"/>
              </w:rPr>
              <w:t>GDP</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0BB67374">
            <w:pPr>
              <w:widowControl/>
              <w:spacing w:line="260" w:lineRule="exact"/>
              <w:ind w:firstLine="0" w:firstLineChars="0"/>
              <w:jc w:val="center"/>
              <w:rPr>
                <w:rFonts w:ascii="Calibri" w:hAnsi="Calibri" w:eastAsia="宋体" w:cs="Times New Roman"/>
                <w:b/>
                <w:color w:val="000000"/>
                <w:kern w:val="0"/>
                <w:sz w:val="21"/>
              </w:rPr>
            </w:pPr>
            <w:r>
              <w:rPr>
                <w:rFonts w:hint="eastAsia" w:eastAsia="宋体" w:cs="Times New Roman"/>
                <w:b/>
                <w:color w:val="000000"/>
                <w:kern w:val="0"/>
                <w:sz w:val="21"/>
              </w:rPr>
              <w:t>第一产业</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0E610362">
            <w:pPr>
              <w:widowControl/>
              <w:spacing w:line="260" w:lineRule="exact"/>
              <w:ind w:firstLine="0" w:firstLineChars="0"/>
              <w:jc w:val="center"/>
              <w:rPr>
                <w:rFonts w:ascii="Calibri" w:hAnsi="Calibri" w:eastAsia="宋体" w:cs="Times New Roman"/>
                <w:b/>
                <w:color w:val="000000"/>
                <w:kern w:val="0"/>
                <w:sz w:val="21"/>
              </w:rPr>
            </w:pPr>
            <w:r>
              <w:rPr>
                <w:rFonts w:hint="eastAsia" w:eastAsia="宋体" w:cs="Times New Roman"/>
                <w:b/>
                <w:color w:val="000000"/>
                <w:kern w:val="0"/>
                <w:sz w:val="21"/>
              </w:rPr>
              <w:t>第二产业</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4A22E802">
            <w:pPr>
              <w:widowControl/>
              <w:spacing w:line="260" w:lineRule="exact"/>
              <w:ind w:firstLine="0" w:firstLineChars="0"/>
              <w:jc w:val="center"/>
              <w:rPr>
                <w:rFonts w:ascii="Calibri" w:hAnsi="Calibri" w:eastAsia="宋体" w:cs="Times New Roman"/>
                <w:b/>
                <w:color w:val="000000"/>
                <w:kern w:val="0"/>
                <w:sz w:val="21"/>
              </w:rPr>
            </w:pPr>
            <w:r>
              <w:rPr>
                <w:rFonts w:hint="eastAsia" w:eastAsia="宋体" w:cs="Times New Roman"/>
                <w:b/>
                <w:color w:val="000000"/>
                <w:kern w:val="0"/>
                <w:sz w:val="21"/>
              </w:rPr>
              <w:t>第三产业</w:t>
            </w:r>
          </w:p>
        </w:tc>
      </w:tr>
      <w:tr w14:paraId="50427345">
        <w:tblPrEx>
          <w:tblCellMar>
            <w:top w:w="0" w:type="dxa"/>
            <w:left w:w="108" w:type="dxa"/>
            <w:bottom w:w="0" w:type="dxa"/>
            <w:right w:w="108" w:type="dxa"/>
          </w:tblCellMar>
        </w:tblPrEx>
        <w:trPr>
          <w:trHeight w:val="22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8C31E9C">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lang w:bidi="ar"/>
              </w:rPr>
              <w:t>2007</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97879AB">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414630</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AFA3F44">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7037</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4C04EC9">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176934</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37EEF0A">
            <w:pPr>
              <w:widowControl/>
              <w:spacing w:line="260" w:lineRule="exact"/>
              <w:ind w:firstLine="630" w:firstLineChars="300"/>
              <w:jc w:val="left"/>
              <w:textAlignment w:val="bottom"/>
              <w:rPr>
                <w:rFonts w:eastAsia="宋体" w:cs="Times New Roman"/>
                <w:color w:val="000000"/>
                <w:kern w:val="0"/>
                <w:sz w:val="21"/>
              </w:rPr>
            </w:pPr>
            <w:r>
              <w:rPr>
                <w:rFonts w:eastAsia="宋体" w:cs="Times New Roman"/>
                <w:color w:val="000000"/>
                <w:kern w:val="0"/>
                <w:sz w:val="21"/>
              </w:rPr>
              <w:t>230659</w:t>
            </w:r>
          </w:p>
        </w:tc>
      </w:tr>
      <w:tr w14:paraId="077BC881">
        <w:tblPrEx>
          <w:tblCellMar>
            <w:top w:w="0" w:type="dxa"/>
            <w:left w:w="108" w:type="dxa"/>
            <w:bottom w:w="0" w:type="dxa"/>
            <w:right w:w="108" w:type="dxa"/>
          </w:tblCellMar>
        </w:tblPrEx>
        <w:trPr>
          <w:trHeight w:val="22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185F96A3">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2008</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2A8A6E7">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466967</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36A49A3">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8117</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0EFC459">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196510</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38D2C4D">
            <w:pPr>
              <w:widowControl/>
              <w:spacing w:line="260" w:lineRule="exact"/>
              <w:ind w:firstLine="630" w:firstLineChars="300"/>
              <w:jc w:val="left"/>
              <w:textAlignment w:val="bottom"/>
              <w:rPr>
                <w:rFonts w:eastAsia="宋体" w:cs="Times New Roman"/>
                <w:color w:val="000000"/>
                <w:kern w:val="0"/>
                <w:sz w:val="21"/>
              </w:rPr>
            </w:pPr>
            <w:r>
              <w:rPr>
                <w:rFonts w:eastAsia="宋体" w:cs="Times New Roman"/>
                <w:color w:val="000000"/>
                <w:kern w:val="0"/>
                <w:sz w:val="21"/>
              </w:rPr>
              <w:t>262341</w:t>
            </w:r>
          </w:p>
        </w:tc>
      </w:tr>
      <w:tr w14:paraId="51DE3688">
        <w:tblPrEx>
          <w:tblCellMar>
            <w:top w:w="0" w:type="dxa"/>
            <w:left w:w="108" w:type="dxa"/>
            <w:bottom w:w="0" w:type="dxa"/>
            <w:right w:w="108" w:type="dxa"/>
          </w:tblCellMar>
        </w:tblPrEx>
        <w:trPr>
          <w:trHeight w:val="121"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1C6D2449">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2009</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C1DE0DA">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504066</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A9144B5">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8074</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BC5651C">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215569</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0487B54">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280423</w:t>
            </w:r>
          </w:p>
        </w:tc>
      </w:tr>
      <w:tr w14:paraId="2A4FB970">
        <w:tblPrEx>
          <w:tblCellMar>
            <w:top w:w="0" w:type="dxa"/>
            <w:left w:w="108" w:type="dxa"/>
            <w:bottom w:w="0" w:type="dxa"/>
            <w:right w:w="108" w:type="dxa"/>
          </w:tblCellMar>
        </w:tblPrEx>
        <w:trPr>
          <w:trHeight w:val="175"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8D354C0">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2010</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AF90499">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593914</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C058889">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9009</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77955B1">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237948</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3C13E03">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346957</w:t>
            </w:r>
          </w:p>
        </w:tc>
      </w:tr>
      <w:tr w14:paraId="209985D8">
        <w:tblPrEx>
          <w:tblCellMar>
            <w:top w:w="0" w:type="dxa"/>
            <w:left w:w="108" w:type="dxa"/>
            <w:bottom w:w="0" w:type="dxa"/>
            <w:right w:w="108" w:type="dxa"/>
          </w:tblCellMar>
        </w:tblPrEx>
        <w:trPr>
          <w:trHeight w:val="9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74877A74">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2011</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1FA0B3A">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698087</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39C5A885">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10533</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9EAC19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264752</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48B0B44">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422802</w:t>
            </w:r>
          </w:p>
        </w:tc>
      </w:tr>
      <w:tr w14:paraId="4720E66D">
        <w:tblPrEx>
          <w:tblCellMar>
            <w:top w:w="0" w:type="dxa"/>
            <w:left w:w="108" w:type="dxa"/>
            <w:bottom w:w="0" w:type="dxa"/>
            <w:right w:w="108" w:type="dxa"/>
          </w:tblCellMar>
        </w:tblPrEx>
        <w:trPr>
          <w:trHeight w:val="232"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7FC33F9">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2012</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EBA9736">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785963</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74B33C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8338</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2D0977D">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287025</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986133D">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490599</w:t>
            </w:r>
          </w:p>
        </w:tc>
      </w:tr>
      <w:tr w14:paraId="74CCF6E9">
        <w:tblPrEx>
          <w:tblCellMar>
            <w:top w:w="0" w:type="dxa"/>
            <w:left w:w="108" w:type="dxa"/>
            <w:bottom w:w="0" w:type="dxa"/>
            <w:right w:w="108" w:type="dxa"/>
          </w:tblCellMar>
        </w:tblPrEx>
        <w:trPr>
          <w:trHeight w:val="9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EB3F7D1">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2013</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ED8F4AB">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895063</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C3A964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7184</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BE7BF02">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315125</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452E6E3">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572755</w:t>
            </w:r>
          </w:p>
        </w:tc>
      </w:tr>
      <w:tr w14:paraId="3C881A20">
        <w:tblPrEx>
          <w:tblCellMar>
            <w:top w:w="0" w:type="dxa"/>
            <w:left w:w="108" w:type="dxa"/>
            <w:bottom w:w="0" w:type="dxa"/>
            <w:right w:w="108" w:type="dxa"/>
          </w:tblCellMar>
        </w:tblPrEx>
        <w:trPr>
          <w:trHeight w:val="162"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69F3F3B6">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2014</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261013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987326</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08DA667">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7135</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73CB48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350771</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DA75F83">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629420</w:t>
            </w:r>
          </w:p>
        </w:tc>
      </w:tr>
      <w:tr w14:paraId="0BCEBABD">
        <w:tblPrEx>
          <w:tblCellMar>
            <w:top w:w="0" w:type="dxa"/>
            <w:left w:w="108" w:type="dxa"/>
            <w:bottom w:w="0" w:type="dxa"/>
            <w:right w:w="108" w:type="dxa"/>
          </w:tblCellMar>
        </w:tblPrEx>
        <w:trPr>
          <w:trHeight w:val="125"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E356F8C">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2015</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AB1A9CE">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1064882</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9A1920F">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6693</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6F22F99">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364263</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469438F">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693925</w:t>
            </w:r>
          </w:p>
        </w:tc>
      </w:tr>
      <w:tr w14:paraId="2DA9E5B9">
        <w:tblPrEx>
          <w:tblCellMar>
            <w:top w:w="0" w:type="dxa"/>
            <w:left w:w="108" w:type="dxa"/>
            <w:bottom w:w="0" w:type="dxa"/>
            <w:right w:w="108" w:type="dxa"/>
          </w:tblCellMar>
        </w:tblPrEx>
        <w:trPr>
          <w:trHeight w:val="11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2D95FFF">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2016</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68EF08C">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1184331</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D2D376E">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5158</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3D26ED15">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395155</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3F78F156">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784018</w:t>
            </w:r>
          </w:p>
        </w:tc>
      </w:tr>
      <w:tr w14:paraId="09DC9E21">
        <w:tblPrEx>
          <w:tblCellMar>
            <w:top w:w="0" w:type="dxa"/>
            <w:left w:w="108" w:type="dxa"/>
            <w:bottom w:w="0" w:type="dxa"/>
            <w:right w:w="108" w:type="dxa"/>
          </w:tblCellMar>
        </w:tblPrEx>
        <w:trPr>
          <w:trHeight w:val="11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D5D62F0">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2017</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544AEBF">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1368024</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6B6A046">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4473</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626FA22">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466086</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19C6A9A">
            <w:pPr>
              <w:widowControl/>
              <w:spacing w:line="260" w:lineRule="exact"/>
              <w:ind w:firstLine="630" w:firstLineChars="30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897464</w:t>
            </w:r>
          </w:p>
        </w:tc>
      </w:tr>
    </w:tbl>
    <w:p w14:paraId="2B8C4FE4">
      <w:pPr>
        <w:pStyle w:val="3"/>
        <w:spacing w:before="0" w:after="0" w:line="360" w:lineRule="auto"/>
      </w:pPr>
      <w:bookmarkStart w:id="107" w:name="_Toc18804"/>
      <w:bookmarkStart w:id="108" w:name="_Toc503214014"/>
      <w:bookmarkStart w:id="109" w:name="_Toc528880263"/>
      <w:bookmarkStart w:id="110" w:name="_Toc430686423"/>
      <w:bookmarkStart w:id="111" w:name="_Toc16675010"/>
      <w:bookmarkStart w:id="112" w:name="_Toc23836"/>
      <w:bookmarkStart w:id="113" w:name="_Toc20112"/>
      <w:bookmarkStart w:id="114" w:name="_Toc23862"/>
      <w:bookmarkStart w:id="115" w:name="_Toc523407632"/>
      <w:bookmarkStart w:id="116" w:name="_Toc498447336"/>
      <w:bookmarkStart w:id="117" w:name="_Toc498877667"/>
      <w:bookmarkStart w:id="118" w:name="_Toc31133"/>
      <w:bookmarkStart w:id="119" w:name="_Toc15716"/>
      <w:r>
        <w:rPr>
          <w:rFonts w:hint="eastAsia"/>
        </w:rPr>
        <w:t>1</w:t>
      </w:r>
      <w:r>
        <w:t>.</w:t>
      </w:r>
      <w:r>
        <w:rPr>
          <w:rFonts w:hint="eastAsia"/>
        </w:rPr>
        <w:t>3</w:t>
      </w:r>
      <w:r>
        <w:t>.</w:t>
      </w:r>
      <w:r>
        <w:rPr>
          <w:rFonts w:hint="eastAsia"/>
        </w:rPr>
        <w:t>3</w:t>
      </w:r>
      <w:r>
        <w:t>农业发展与土地利用</w:t>
      </w:r>
      <w:bookmarkEnd w:id="107"/>
      <w:bookmarkEnd w:id="108"/>
      <w:bookmarkEnd w:id="109"/>
      <w:bookmarkEnd w:id="110"/>
      <w:bookmarkEnd w:id="111"/>
      <w:bookmarkEnd w:id="112"/>
      <w:bookmarkEnd w:id="113"/>
      <w:bookmarkEnd w:id="114"/>
      <w:bookmarkEnd w:id="115"/>
      <w:bookmarkEnd w:id="116"/>
      <w:bookmarkEnd w:id="117"/>
      <w:bookmarkEnd w:id="118"/>
      <w:bookmarkEnd w:id="119"/>
    </w:p>
    <w:p w14:paraId="74A0C78E">
      <w:pPr>
        <w:ind w:firstLine="0" w:firstLineChars="0"/>
        <w:outlineLvl w:val="3"/>
        <w:rPr>
          <w:rFonts w:eastAsia="黑体"/>
          <w:szCs w:val="24"/>
        </w:rPr>
      </w:pPr>
      <w:r>
        <w:rPr>
          <w:rFonts w:hint="eastAsia" w:eastAsia="黑体"/>
          <w:szCs w:val="24"/>
        </w:rPr>
        <w:t>1.3.3.1农业发展</w:t>
      </w:r>
    </w:p>
    <w:p w14:paraId="6D338EDA">
      <w:pPr>
        <w:ind w:firstLine="480"/>
        <w:rPr>
          <w:rFonts w:cs="Times New Roman"/>
        </w:rPr>
      </w:pPr>
      <w:r>
        <w:rPr>
          <w:rFonts w:hint="eastAsia" w:cs="Times New Roman"/>
        </w:rPr>
        <w:t>根据《中山市西区土地利用总体规划（2010-2020年）调整完善方案（2017）》和西区农社局提供的农业用地数据，西区土地总面积2521hm</w:t>
      </w:r>
      <w:r>
        <w:rPr>
          <w:rFonts w:hint="eastAsia" w:cs="Times New Roman"/>
          <w:vertAlign w:val="superscript"/>
        </w:rPr>
        <w:t>2</w:t>
      </w:r>
      <w:r>
        <w:rPr>
          <w:rFonts w:hint="eastAsia" w:cs="Times New Roman"/>
        </w:rPr>
        <w:t>，土地利用类型包括建设用地、非建设用地，主要以建设用地为主，其中建设用地包括居住用地、道路与交通设施用地、商业服务业设施用地、工业用地、公共管理与公共服务设施用地、绿地与广场用地、公用设施用地、物流仓储用地，非建设用地包括农林用地和水域两类。</w:t>
      </w:r>
    </w:p>
    <w:p w14:paraId="63C7E364">
      <w:pPr>
        <w:ind w:firstLine="480"/>
        <w:rPr>
          <w:rFonts w:cs="Times New Roman"/>
        </w:rPr>
      </w:pPr>
      <w:r>
        <w:rPr>
          <w:rFonts w:hint="eastAsia" w:cs="Times New Roman"/>
        </w:rPr>
        <w:t>2017年西区的农业用地包括耕地、林果地、鱼塘、牲畜，其中耕地面积为509亩，林果地面积为402亩，鱼塘面积为3450亩，牲畜数量为0。</w:t>
      </w:r>
    </w:p>
    <w:p w14:paraId="49E7404C">
      <w:pPr>
        <w:ind w:firstLine="0" w:firstLineChars="0"/>
        <w:outlineLvl w:val="3"/>
        <w:rPr>
          <w:rFonts w:eastAsia="黑体"/>
          <w:szCs w:val="24"/>
        </w:rPr>
      </w:pPr>
      <w:r>
        <w:rPr>
          <w:rFonts w:hint="eastAsia" w:eastAsia="黑体"/>
          <w:szCs w:val="24"/>
        </w:rPr>
        <w:t>1.3.3.2其他土地</w:t>
      </w:r>
    </w:p>
    <w:p w14:paraId="684FC432">
      <w:pPr>
        <w:ind w:firstLine="480"/>
        <w:rPr>
          <w:rFonts w:cs="Times New Roman"/>
        </w:rPr>
      </w:pPr>
      <w:r>
        <w:rPr>
          <w:rFonts w:hint="eastAsia" w:cs="Times New Roman"/>
        </w:rPr>
        <w:t>根据《中山市西区土地利用总体规划（2010-2020）调整完善方案（2017）》，至2020年西区用地总规模2521hm</w:t>
      </w:r>
      <w:r>
        <w:rPr>
          <w:rFonts w:hint="eastAsia" w:cs="Times New Roman"/>
          <w:vertAlign w:val="superscript"/>
        </w:rPr>
        <w:t>2</w:t>
      </w:r>
      <w:r>
        <w:rPr>
          <w:rFonts w:hint="eastAsia" w:cs="Times New Roman"/>
        </w:rPr>
        <w:t>，其中城乡建设用地规模1071.67hm</w:t>
      </w:r>
      <w:r>
        <w:rPr>
          <w:rFonts w:hint="eastAsia" w:cs="Times New Roman"/>
          <w:vertAlign w:val="superscript"/>
        </w:rPr>
        <w:t>2</w:t>
      </w:r>
      <w:r>
        <w:rPr>
          <w:rFonts w:hint="eastAsia" w:cs="Times New Roman"/>
        </w:rPr>
        <w:t>、交通水利及其它建设用地规模1449.33hm</w:t>
      </w:r>
      <w:r>
        <w:rPr>
          <w:rFonts w:hint="eastAsia" w:cs="Times New Roman"/>
          <w:vertAlign w:val="superscript"/>
        </w:rPr>
        <w:t>2</w:t>
      </w:r>
      <w:r>
        <w:rPr>
          <w:rFonts w:hint="eastAsia" w:cs="Times New Roman"/>
        </w:rPr>
        <w:t>；耕地保有量182.2hm</w:t>
      </w:r>
      <w:r>
        <w:rPr>
          <w:rFonts w:hint="eastAsia" w:cs="Times New Roman"/>
          <w:vertAlign w:val="superscript"/>
        </w:rPr>
        <w:t>2</w:t>
      </w:r>
      <w:r>
        <w:rPr>
          <w:rFonts w:hint="eastAsia" w:cs="Times New Roman"/>
        </w:rPr>
        <w:t>，基本农田保护面积45.73hm</w:t>
      </w:r>
      <w:r>
        <w:rPr>
          <w:rFonts w:hint="eastAsia" w:cs="Times New Roman"/>
          <w:vertAlign w:val="superscript"/>
        </w:rPr>
        <w:t>2</w:t>
      </w:r>
      <w:r>
        <w:rPr>
          <w:rFonts w:hint="eastAsia" w:cs="Times New Roman"/>
        </w:rPr>
        <w:t>。基本农田集中分布在沙朗片区，具体土地利用规划见</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5</w:t>
      </w:r>
      <w:r>
        <w:rPr>
          <w:rFonts w:hint="eastAsia" w:cs="Times New Roman"/>
        </w:rPr>
        <w:t>。</w:t>
      </w:r>
    </w:p>
    <w:p w14:paraId="1992F986">
      <w:pPr>
        <w:spacing w:line="240" w:lineRule="auto"/>
        <w:ind w:firstLine="480"/>
        <w:rPr>
          <w:rFonts w:cs="Times New Roman"/>
        </w:rPr>
      </w:pPr>
    </w:p>
    <w:p w14:paraId="563A0839">
      <w:pPr>
        <w:pStyle w:val="3"/>
        <w:spacing w:before="0" w:after="0" w:line="360" w:lineRule="auto"/>
      </w:pPr>
      <w:bookmarkStart w:id="120" w:name="_Toc6090"/>
      <w:bookmarkStart w:id="121" w:name="_Toc10122"/>
      <w:bookmarkStart w:id="122" w:name="_Toc2846"/>
      <w:bookmarkStart w:id="123" w:name="_Toc480"/>
      <w:bookmarkStart w:id="124" w:name="_Toc6677"/>
      <w:bookmarkStart w:id="125" w:name="_Toc2769"/>
      <w:bookmarkStart w:id="126" w:name="_Toc528880264"/>
      <w:bookmarkStart w:id="127" w:name="_Toc16675011"/>
      <w:r>
        <w:rPr>
          <w:rFonts w:hint="eastAsia"/>
        </w:rPr>
        <w:t>1.3.4主体功能区划</w:t>
      </w:r>
      <w:bookmarkEnd w:id="120"/>
      <w:bookmarkEnd w:id="121"/>
      <w:bookmarkEnd w:id="122"/>
      <w:bookmarkEnd w:id="123"/>
      <w:bookmarkEnd w:id="124"/>
      <w:bookmarkEnd w:id="125"/>
      <w:bookmarkEnd w:id="126"/>
      <w:bookmarkEnd w:id="127"/>
    </w:p>
    <w:p w14:paraId="1ECD942E">
      <w:pPr>
        <w:widowControl/>
        <w:ind w:firstLine="480"/>
        <w:jc w:val="left"/>
      </w:pPr>
      <w:r>
        <w:rPr>
          <w:rFonts w:hint="eastAsia" w:cs="Times New Roman"/>
          <w:szCs w:val="28"/>
        </w:rPr>
        <w:t>《中山市主体功能区规划实施纲要》参考国家、广东省主体功能区划分所依据的六个基本理念，以镇区为基本划分单元，基于中山市各镇区的国土空间现有开发强度、资源环境承载能力、未来发展潜力等方面指标的综合评价和城市空间发展总体战略，更加细致谋划市域国土空间格局，将中山市市域陆地国土空间划分为以下功能区：城市功能核心区、城市功能提升区、城镇功能统筹区、生态发展区、禁止开发区五类区域（如</w:t>
      </w:r>
      <w:r>
        <w:rPr>
          <w:rFonts w:hint="eastAsia" w:cs="Times New Roman"/>
          <w:b/>
          <w:bCs/>
          <w:szCs w:val="28"/>
        </w:rPr>
        <w:t>附图6</w:t>
      </w:r>
      <w:r>
        <w:rPr>
          <w:rFonts w:hint="eastAsia" w:cs="Times New Roman"/>
          <w:szCs w:val="28"/>
        </w:rPr>
        <w:t>）。其中西区属于城市功能核心区。</w:t>
      </w:r>
      <w:r>
        <w:rPr>
          <w:rFonts w:hint="eastAsia" w:eastAsia="宋体" w:cs="宋体"/>
          <w:szCs w:val="24"/>
          <w:lang w:bidi="ar"/>
        </w:rPr>
        <w:t>该区是中心城区的重要组成部分，资源环境承载力较强，发展潜力大。土地资源相对丰裕，新增国土开发空间较多，耕地保护压力较小。东部地区濒临海洋，具有一定的围垦造地潜力。环境容量相对较大，水资源丰富，生态环境优良。</w:t>
      </w:r>
    </w:p>
    <w:p w14:paraId="737AC771">
      <w:pPr>
        <w:ind w:firstLine="480"/>
        <w:rPr>
          <w:rFonts w:eastAsia="黑体" w:cs="宋体"/>
          <w:szCs w:val="24"/>
        </w:rPr>
      </w:pPr>
      <w:r>
        <w:rPr>
          <w:rFonts w:hint="eastAsia" w:eastAsia="宋体" w:cs="宋体"/>
          <w:szCs w:val="24"/>
          <w:lang w:bidi="ar"/>
        </w:rPr>
        <w:t>主城区国土开发强度相对较高，人口密集，环境容量较小，人居环境有待进一步优化，以服务业为主但服务中心地位不突出。翠亨新区及周边地区具有一定的拓展空间，后发优势明显，战略</w:t>
      </w:r>
      <w:r>
        <w:rPr>
          <w:rFonts w:hint="eastAsia" w:eastAsia="宋体" w:cs="宋体"/>
          <w:szCs w:val="24"/>
          <w:lang w:eastAsia="zh-CN" w:bidi="ar"/>
        </w:rPr>
        <w:t>性</w:t>
      </w:r>
      <w:r>
        <w:rPr>
          <w:rFonts w:hint="eastAsia" w:eastAsia="宋体" w:cs="宋体"/>
          <w:szCs w:val="24"/>
          <w:lang w:bidi="ar"/>
        </w:rPr>
        <w:t>新兴产业和先进制造业发展加速，经济总量、人口规模、产业结构有待提高，城市功能有待发展。</w:t>
      </w:r>
    </w:p>
    <w:p w14:paraId="3A0215A9">
      <w:pPr>
        <w:ind w:firstLine="480"/>
        <w:rPr>
          <w:rFonts w:cs="Times New Roman"/>
          <w:szCs w:val="28"/>
        </w:rPr>
      </w:pPr>
      <w:r>
        <w:rPr>
          <w:rFonts w:hint="eastAsia" w:eastAsia="宋体" w:cs="宋体"/>
          <w:szCs w:val="24"/>
          <w:lang w:bidi="ar"/>
        </w:rPr>
        <w:t>西区在中山市主体功能的功能定位、发展方向与重点具体如下。</w:t>
      </w:r>
    </w:p>
    <w:p w14:paraId="5C376D11">
      <w:pPr>
        <w:pStyle w:val="5"/>
        <w:widowControl/>
        <w:rPr>
          <w:bCs/>
        </w:rPr>
      </w:pPr>
      <w:r>
        <w:rPr>
          <w:bCs/>
        </w:rPr>
        <w:t>1.3.4.1</w:t>
      </w:r>
      <w:r>
        <w:rPr>
          <w:rFonts w:hint="eastAsia" w:cs="黑体"/>
          <w:bCs/>
        </w:rPr>
        <w:t>功能定位</w:t>
      </w:r>
    </w:p>
    <w:p w14:paraId="01EF05D9">
      <w:pPr>
        <w:ind w:firstLine="480"/>
        <w:rPr>
          <w:rFonts w:cs="宋体"/>
          <w:szCs w:val="24"/>
        </w:rPr>
      </w:pPr>
      <w:r>
        <w:rPr>
          <w:rFonts w:hint="eastAsia" w:eastAsia="宋体" w:cs="宋体"/>
          <w:szCs w:val="24"/>
          <w:lang w:bidi="ar"/>
        </w:rPr>
        <w:t>通过加强与港澳台、“广佛肇”、“深莞惠”经济圈的合作和经济一体化发展，打造珠三角湾区具有重要影响力的高端产业集聚区，高层次开放水平的区域性门户，全省重要科技创新与技术研发基地，珠三角西岸重要的经济核心区，面向全球、别具岭南特色的现代理想都市。珠三角湾区具有国际竞争力的高端产业集聚区，大力发展现代服务业集聚区，推进总部经济建设，发挥伟人文化的全球效应，打造面向世界、开放通达的现代服务中心；以战略</w:t>
      </w:r>
      <w:r>
        <w:rPr>
          <w:rFonts w:hint="eastAsia" w:eastAsia="宋体" w:cs="宋体"/>
          <w:szCs w:val="24"/>
          <w:lang w:eastAsia="zh-CN" w:bidi="ar"/>
        </w:rPr>
        <w:t>性</w:t>
      </w:r>
      <w:r>
        <w:rPr>
          <w:rFonts w:hint="eastAsia" w:eastAsia="宋体" w:cs="宋体"/>
          <w:szCs w:val="24"/>
          <w:lang w:bidi="ar"/>
        </w:rPr>
        <w:t>新兴产业和装备制造业为支撑，实施大项目带动大发展战略，打造引领全市经济转型升级、持续发展的新引擎。珠江口重要的枢纽区域，加快构建珠三角三大经济圈之间以及珠江口东西两岸的黄金通道，成为连接珠江口东西两岸重要的桥头堡，辐射带动粤西广阔腹地的龙头。珠三角西岸重要的经济核心区，大力提高开放型经济水平，增强人口、产业等高端要素集聚能力，形成珠三角西岸人口集聚最多、创新能力最强、综合实力最强的区域之一，打造最具活力和国际竞争力的都市区。面向全球、别具岭南特色的现代理想都市，创新城市发展理念，发挥文化效应、生态优势、滨海特色，营造适宜“居住、创业、创新”的城市环境，创建兼具历史文化底蕴、岭南水乡特色、现代时尚气息的理想都市。</w:t>
      </w:r>
    </w:p>
    <w:p w14:paraId="12B76466">
      <w:pPr>
        <w:pStyle w:val="5"/>
        <w:widowControl/>
        <w:rPr>
          <w:bCs/>
        </w:rPr>
      </w:pPr>
      <w:r>
        <w:rPr>
          <w:bCs/>
        </w:rPr>
        <w:t>1.3.4.2</w:t>
      </w:r>
      <w:r>
        <w:rPr>
          <w:rFonts w:hint="eastAsia" w:cs="黑体"/>
          <w:bCs/>
        </w:rPr>
        <w:t>发展方向与重点</w:t>
      </w:r>
    </w:p>
    <w:p w14:paraId="7D9A80BD">
      <w:pPr>
        <w:ind w:firstLine="480"/>
        <w:rPr>
          <w:rFonts w:eastAsia="黑体" w:cs="宋体"/>
          <w:szCs w:val="24"/>
        </w:rPr>
      </w:pPr>
      <w:r>
        <w:rPr>
          <w:rFonts w:eastAsia="宋体" w:cs="宋体"/>
          <w:szCs w:val="24"/>
          <w:lang w:bidi="ar"/>
        </w:rPr>
        <w:t>1</w:t>
      </w:r>
      <w:r>
        <w:rPr>
          <w:rFonts w:hint="eastAsia" w:eastAsia="宋体" w:cs="宋体"/>
          <w:szCs w:val="24"/>
          <w:lang w:bidi="ar"/>
        </w:rPr>
        <w:t>）统筹谋划国土空间，适当增加建设用地供给量。新增建设用地优先在区内安排，加快落实符合功能分区定位项目的用地指标。扩大服务业、交通和城市居住等建设空间，扩大绿色生态空间，增加先进制造业和战略性新兴产业建设空间，减少社区生活空间。</w:t>
      </w:r>
    </w:p>
    <w:p w14:paraId="713C470C">
      <w:pPr>
        <w:ind w:firstLine="480"/>
        <w:rPr>
          <w:rFonts w:eastAsia="黑体" w:cs="宋体"/>
          <w:szCs w:val="24"/>
        </w:rPr>
      </w:pPr>
      <w:r>
        <w:rPr>
          <w:rFonts w:eastAsia="宋体" w:cs="宋体"/>
          <w:szCs w:val="24"/>
          <w:lang w:bidi="ar"/>
        </w:rPr>
        <w:t>2</w:t>
      </w:r>
      <w:r>
        <w:rPr>
          <w:rFonts w:hint="eastAsia" w:eastAsia="宋体" w:cs="宋体"/>
          <w:szCs w:val="24"/>
          <w:lang w:bidi="ar"/>
        </w:rPr>
        <w:t>）扩容提质，优化城市空间结构。适度拉大城市框架，向东、向北拓展城市空间，壮大城市中心区。</w:t>
      </w:r>
    </w:p>
    <w:p w14:paraId="34195E6C">
      <w:pPr>
        <w:ind w:firstLine="480"/>
        <w:rPr>
          <w:rFonts w:eastAsia="黑体" w:cs="宋体"/>
          <w:szCs w:val="24"/>
        </w:rPr>
      </w:pPr>
      <w:r>
        <w:rPr>
          <w:rFonts w:eastAsia="宋体" w:cs="宋体"/>
          <w:szCs w:val="24"/>
          <w:lang w:bidi="ar"/>
        </w:rPr>
        <w:t>3</w:t>
      </w:r>
      <w:r>
        <w:rPr>
          <w:rFonts w:hint="eastAsia" w:eastAsia="宋体" w:cs="宋体"/>
          <w:szCs w:val="24"/>
          <w:lang w:bidi="ar"/>
        </w:rPr>
        <w:t>）优化产业结构，提升参与全球竞争的层次。拓展现代服务功能，提升传统服务业发展水平，培育服务业的高端职能，提升区域性综合服务能力；大力发展战略</w:t>
      </w:r>
      <w:r>
        <w:rPr>
          <w:rFonts w:hint="eastAsia" w:eastAsia="宋体" w:cs="宋体"/>
          <w:szCs w:val="24"/>
          <w:lang w:eastAsia="zh-CN" w:bidi="ar"/>
        </w:rPr>
        <w:t>性</w:t>
      </w:r>
      <w:r>
        <w:rPr>
          <w:rFonts w:hint="eastAsia" w:eastAsia="宋体" w:cs="宋体"/>
          <w:szCs w:val="24"/>
          <w:lang w:bidi="ar"/>
        </w:rPr>
        <w:t>新兴产业，培育高端产业集群，培植新的经济增长极，改造、提升现有制造业。</w:t>
      </w:r>
    </w:p>
    <w:p w14:paraId="5916B4D9">
      <w:pPr>
        <w:ind w:firstLine="480"/>
        <w:rPr>
          <w:rFonts w:eastAsia="黑体"/>
          <w:szCs w:val="24"/>
        </w:rPr>
      </w:pPr>
      <w:r>
        <w:rPr>
          <w:rFonts w:eastAsia="宋体" w:cs="宋体"/>
          <w:szCs w:val="24"/>
          <w:lang w:bidi="ar"/>
        </w:rPr>
        <w:t>4</w:t>
      </w:r>
      <w:r>
        <w:rPr>
          <w:rFonts w:hint="eastAsia" w:eastAsia="宋体" w:cs="宋体"/>
          <w:szCs w:val="24"/>
          <w:lang w:bidi="ar"/>
        </w:rPr>
        <w:t>）完善基础设施，优化设施布局。统筹规划、合理布局交通、能源、通信、环保、防灾等基础设施，加快完善交通基础设施，主动对接区域性交通枢纽，构建综合交通体系。</w:t>
      </w:r>
    </w:p>
    <w:p w14:paraId="5163A508">
      <w:pPr>
        <w:ind w:firstLine="480"/>
        <w:rPr>
          <w:rFonts w:eastAsia="黑体" w:cs="宋体"/>
          <w:szCs w:val="24"/>
        </w:rPr>
      </w:pPr>
      <w:r>
        <w:rPr>
          <w:rFonts w:eastAsia="宋体" w:cs="宋体"/>
          <w:szCs w:val="24"/>
          <w:lang w:bidi="ar"/>
        </w:rPr>
        <w:t>5</w:t>
      </w:r>
      <w:r>
        <w:rPr>
          <w:rFonts w:hint="eastAsia" w:eastAsia="宋体" w:cs="宋体"/>
          <w:szCs w:val="24"/>
          <w:lang w:bidi="ar"/>
        </w:rPr>
        <w:t>）引导人口流动，改善人居环境。合理引导人口流动，疏解主城区人口压力，加快新区人口集聚，完善公共服务设施，改善人居环境。</w:t>
      </w:r>
    </w:p>
    <w:p w14:paraId="390B4D7A">
      <w:pPr>
        <w:ind w:firstLine="480"/>
        <w:rPr>
          <w:rFonts w:eastAsia="黑体" w:cs="宋体"/>
          <w:szCs w:val="24"/>
        </w:rPr>
      </w:pPr>
      <w:r>
        <w:rPr>
          <w:rFonts w:eastAsia="宋体" w:cs="宋体"/>
          <w:szCs w:val="24"/>
          <w:lang w:bidi="ar"/>
        </w:rPr>
        <w:t>6</w:t>
      </w:r>
      <w:r>
        <w:rPr>
          <w:rFonts w:hint="eastAsia" w:eastAsia="宋体" w:cs="宋体"/>
          <w:szCs w:val="24"/>
          <w:lang w:bidi="ar"/>
        </w:rPr>
        <w:t>）保护生态环境，提高环境质量。加强对生态本底要素的保护力度，加大河流、湿地、基本农田的整治力度。</w:t>
      </w:r>
    </w:p>
    <w:p w14:paraId="2BC280A5">
      <w:pPr>
        <w:ind w:firstLine="480"/>
        <w:rPr>
          <w:rFonts w:eastAsia="黑体" w:cs="宋体"/>
          <w:szCs w:val="24"/>
        </w:rPr>
      </w:pPr>
      <w:r>
        <w:rPr>
          <w:rFonts w:eastAsia="宋体" w:cs="宋体"/>
          <w:szCs w:val="24"/>
          <w:lang w:bidi="ar"/>
        </w:rPr>
        <w:t>7</w:t>
      </w:r>
      <w:r>
        <w:rPr>
          <w:rFonts w:hint="eastAsia" w:eastAsia="宋体" w:cs="宋体"/>
          <w:szCs w:val="24"/>
          <w:lang w:bidi="ar"/>
        </w:rPr>
        <w:t>）把握开发时序，实施有序开发。区分近期、中期和远期实施有序开发。对目前尚不需要开发的区域，应作为预留发展空间予以保护。</w:t>
      </w:r>
    </w:p>
    <w:p w14:paraId="345C3A76">
      <w:pPr>
        <w:ind w:firstLine="480"/>
        <w:rPr>
          <w:rFonts w:eastAsia="黑体"/>
          <w:szCs w:val="24"/>
        </w:rPr>
      </w:pPr>
      <w:r>
        <w:rPr>
          <w:rFonts w:hint="eastAsia" w:eastAsia="宋体" w:cs="宋体"/>
          <w:szCs w:val="24"/>
          <w:lang w:bidi="ar"/>
        </w:rPr>
        <w:t>到</w:t>
      </w:r>
      <w:r>
        <w:rPr>
          <w:rFonts w:eastAsia="宋体" w:cs="Times New Roman"/>
          <w:szCs w:val="24"/>
          <w:lang w:bidi="ar"/>
        </w:rPr>
        <w:t>2020</w:t>
      </w:r>
      <w:r>
        <w:rPr>
          <w:rFonts w:hint="eastAsia" w:eastAsia="宋体" w:cs="宋体"/>
          <w:szCs w:val="24"/>
          <w:lang w:bidi="ar"/>
        </w:rPr>
        <w:t>年末，该区集聚的经济规模占全市的</w:t>
      </w:r>
      <w:r>
        <w:rPr>
          <w:rFonts w:eastAsia="黑体" w:cs="Times New Roman"/>
          <w:szCs w:val="24"/>
          <w:lang w:bidi="ar"/>
        </w:rPr>
        <w:t>52%</w:t>
      </w:r>
      <w:r>
        <w:rPr>
          <w:rFonts w:hint="eastAsia" w:eastAsia="宋体" w:cs="宋体"/>
          <w:szCs w:val="24"/>
          <w:lang w:bidi="ar"/>
        </w:rPr>
        <w:t>左右，总人口占全市的</w:t>
      </w:r>
      <w:r>
        <w:rPr>
          <w:rFonts w:eastAsia="黑体" w:cs="Times New Roman"/>
          <w:szCs w:val="24"/>
          <w:lang w:bidi="ar"/>
        </w:rPr>
        <w:t>42.79%</w:t>
      </w:r>
      <w:r>
        <w:rPr>
          <w:rFonts w:hint="eastAsia" w:eastAsia="宋体" w:cs="宋体"/>
          <w:szCs w:val="24"/>
          <w:lang w:bidi="ar"/>
        </w:rPr>
        <w:t>左右，国土开发强度减少为</w:t>
      </w:r>
      <w:r>
        <w:rPr>
          <w:rFonts w:eastAsia="黑体" w:cs="Times New Roman"/>
          <w:szCs w:val="24"/>
          <w:lang w:bidi="ar"/>
        </w:rPr>
        <w:t>35.12%</w:t>
      </w:r>
      <w:r>
        <w:rPr>
          <w:rFonts w:hint="eastAsia" w:eastAsia="宋体" w:cs="宋体"/>
          <w:szCs w:val="24"/>
          <w:lang w:bidi="ar"/>
        </w:rPr>
        <w:t>，建设用地效率提高至</w:t>
      </w:r>
      <w:r>
        <w:rPr>
          <w:rFonts w:eastAsia="黑体" w:cs="Times New Roman"/>
          <w:szCs w:val="24"/>
          <w:lang w:bidi="ar"/>
        </w:rPr>
        <w:t>65329</w:t>
      </w:r>
      <w:r>
        <w:rPr>
          <w:rFonts w:hint="eastAsia" w:eastAsia="宋体" w:cs="宋体"/>
          <w:szCs w:val="24"/>
          <w:lang w:bidi="ar"/>
        </w:rPr>
        <w:t>万元</w:t>
      </w:r>
      <w:r>
        <w:rPr>
          <w:rFonts w:eastAsia="黑体" w:cs="Times New Roman"/>
          <w:szCs w:val="24"/>
          <w:lang w:bidi="ar"/>
        </w:rPr>
        <w:t>/km</w:t>
      </w:r>
      <w:r>
        <w:rPr>
          <w:rFonts w:eastAsia="黑体" w:cs="Times New Roman"/>
          <w:szCs w:val="24"/>
          <w:vertAlign w:val="superscript"/>
          <w:lang w:bidi="ar"/>
        </w:rPr>
        <w:t>2</w:t>
      </w:r>
      <w:r>
        <w:rPr>
          <w:rFonts w:hint="eastAsia" w:eastAsia="宋体" w:cs="宋体"/>
          <w:szCs w:val="24"/>
          <w:lang w:bidi="ar"/>
        </w:rPr>
        <w:t>（见表</w:t>
      </w:r>
      <w:r>
        <w:rPr>
          <w:rFonts w:eastAsia="黑体" w:cs="Times New Roman"/>
          <w:szCs w:val="24"/>
          <w:lang w:bidi="ar"/>
        </w:rPr>
        <w:t>1-</w:t>
      </w:r>
      <w:r>
        <w:rPr>
          <w:rFonts w:hint="eastAsia" w:eastAsia="黑体" w:cs="Times New Roman"/>
          <w:szCs w:val="24"/>
          <w:lang w:bidi="ar"/>
        </w:rPr>
        <w:t>7</w:t>
      </w:r>
      <w:r>
        <w:rPr>
          <w:rFonts w:hint="eastAsia" w:eastAsia="宋体" w:cs="宋体"/>
          <w:szCs w:val="24"/>
          <w:lang w:bidi="ar"/>
        </w:rPr>
        <w:t>）。</w:t>
      </w:r>
    </w:p>
    <w:p w14:paraId="4D8AA7FB">
      <w:pPr>
        <w:adjustRightInd w:val="0"/>
        <w:snapToGrid w:val="0"/>
        <w:spacing w:line="240" w:lineRule="auto"/>
        <w:ind w:firstLine="420"/>
        <w:jc w:val="center"/>
        <w:rPr>
          <w:sz w:val="21"/>
        </w:rPr>
      </w:pPr>
      <w:r>
        <w:rPr>
          <w:rFonts w:hint="eastAsia" w:eastAsia="宋体" w:cs="宋体"/>
          <w:sz w:val="21"/>
          <w:lang w:bidi="ar"/>
        </w:rPr>
        <w:t>表</w:t>
      </w:r>
      <w:r>
        <w:rPr>
          <w:rFonts w:eastAsia="宋体" w:cs="Times New Roman"/>
          <w:sz w:val="21"/>
          <w:lang w:bidi="ar"/>
        </w:rPr>
        <w:t>1-</w:t>
      </w:r>
      <w:r>
        <w:rPr>
          <w:rFonts w:hint="eastAsia" w:eastAsia="宋体" w:cs="Times New Roman"/>
          <w:sz w:val="21"/>
          <w:lang w:bidi="ar"/>
        </w:rPr>
        <w:t>7</w:t>
      </w:r>
      <w:r>
        <w:rPr>
          <w:rFonts w:eastAsia="宋体" w:cs="Times New Roman"/>
          <w:sz w:val="21"/>
          <w:lang w:bidi="ar"/>
        </w:rPr>
        <w:t xml:space="preserve"> </w:t>
      </w:r>
      <w:r>
        <w:rPr>
          <w:rFonts w:hint="eastAsia" w:eastAsia="宋体" w:cs="宋体"/>
          <w:sz w:val="21"/>
          <w:lang w:bidi="ar"/>
        </w:rPr>
        <w:t>城市功能核心区国土开发规划控制指标</w:t>
      </w:r>
    </w:p>
    <w:tbl>
      <w:tblPr>
        <w:tblStyle w:val="25"/>
        <w:tblW w:w="8179" w:type="dxa"/>
        <w:jc w:val="center"/>
        <w:tblLayout w:type="fixed"/>
        <w:tblCellMar>
          <w:top w:w="0" w:type="dxa"/>
          <w:left w:w="108" w:type="dxa"/>
          <w:bottom w:w="0" w:type="dxa"/>
          <w:right w:w="108" w:type="dxa"/>
        </w:tblCellMar>
      </w:tblPr>
      <w:tblGrid>
        <w:gridCol w:w="4329"/>
        <w:gridCol w:w="1865"/>
        <w:gridCol w:w="1985"/>
      </w:tblGrid>
      <w:tr w14:paraId="31294A71">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6E6C8806">
            <w:pPr>
              <w:spacing w:line="240" w:lineRule="auto"/>
              <w:ind w:firstLine="0" w:firstLineChars="0"/>
              <w:jc w:val="center"/>
              <w:rPr>
                <w:sz w:val="21"/>
              </w:rPr>
            </w:pPr>
            <w:r>
              <w:rPr>
                <w:rFonts w:hint="eastAsia" w:eastAsia="宋体" w:cs="宋体"/>
                <w:sz w:val="21"/>
                <w:lang w:bidi="ar"/>
              </w:rPr>
              <w:t>指标</w:t>
            </w:r>
          </w:p>
        </w:tc>
        <w:tc>
          <w:tcPr>
            <w:tcW w:w="1865" w:type="dxa"/>
            <w:tcBorders>
              <w:top w:val="single" w:color="auto" w:sz="4" w:space="0"/>
              <w:left w:val="nil"/>
              <w:bottom w:val="single" w:color="auto" w:sz="4" w:space="0"/>
              <w:right w:val="single" w:color="auto" w:sz="4" w:space="0"/>
            </w:tcBorders>
            <w:shd w:val="clear" w:color="auto" w:fill="auto"/>
            <w:vAlign w:val="center"/>
          </w:tcPr>
          <w:p w14:paraId="185997DF">
            <w:pPr>
              <w:spacing w:line="240" w:lineRule="auto"/>
              <w:ind w:firstLine="0" w:firstLineChars="0"/>
              <w:jc w:val="center"/>
              <w:rPr>
                <w:sz w:val="21"/>
              </w:rPr>
            </w:pPr>
            <w:r>
              <w:rPr>
                <w:rFonts w:eastAsia="宋体" w:cs="Times New Roman"/>
                <w:sz w:val="21"/>
                <w:lang w:bidi="ar"/>
              </w:rPr>
              <w:t>2015</w:t>
            </w:r>
            <w:r>
              <w:rPr>
                <w:rFonts w:hint="eastAsia" w:eastAsia="宋体" w:cs="宋体"/>
                <w:sz w:val="21"/>
                <w:lang w:bidi="ar"/>
              </w:rPr>
              <w:t>年</w:t>
            </w:r>
          </w:p>
        </w:tc>
        <w:tc>
          <w:tcPr>
            <w:tcW w:w="1985" w:type="dxa"/>
            <w:tcBorders>
              <w:top w:val="single" w:color="auto" w:sz="4" w:space="0"/>
              <w:left w:val="nil"/>
              <w:bottom w:val="single" w:color="auto" w:sz="4" w:space="0"/>
              <w:right w:val="single" w:color="auto" w:sz="4" w:space="0"/>
            </w:tcBorders>
            <w:shd w:val="clear" w:color="auto" w:fill="auto"/>
            <w:vAlign w:val="center"/>
          </w:tcPr>
          <w:p w14:paraId="02E46EB5">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w:t>
            </w:r>
          </w:p>
        </w:tc>
      </w:tr>
      <w:tr w14:paraId="33BF520C">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61D70C48">
            <w:pPr>
              <w:spacing w:line="240" w:lineRule="auto"/>
              <w:ind w:firstLine="0" w:firstLineChars="0"/>
              <w:jc w:val="center"/>
              <w:rPr>
                <w:sz w:val="21"/>
              </w:rPr>
            </w:pPr>
            <w:r>
              <w:rPr>
                <w:rFonts w:hint="eastAsia" w:eastAsia="宋体" w:cs="宋体"/>
                <w:sz w:val="21"/>
                <w:lang w:bidi="ar"/>
              </w:rPr>
              <w:t>开发强度（</w:t>
            </w:r>
            <w:r>
              <w:rPr>
                <w:rFonts w:eastAsia="宋体" w:cs="Times New Roman"/>
                <w:sz w:val="21"/>
                <w:lang w:bidi="ar"/>
              </w:rPr>
              <w:t>%</w:t>
            </w:r>
            <w:r>
              <w:rPr>
                <w:rFonts w:hint="eastAsia" w:eastAsia="宋体" w:cs="宋体"/>
                <w:sz w:val="21"/>
                <w:lang w:bidi="ar"/>
              </w:rPr>
              <w:t>）</w:t>
            </w:r>
          </w:p>
        </w:tc>
        <w:tc>
          <w:tcPr>
            <w:tcW w:w="1865" w:type="dxa"/>
            <w:tcBorders>
              <w:top w:val="single" w:color="auto" w:sz="4" w:space="0"/>
              <w:left w:val="nil"/>
              <w:bottom w:val="single" w:color="auto" w:sz="4" w:space="0"/>
              <w:right w:val="single" w:color="auto" w:sz="4" w:space="0"/>
            </w:tcBorders>
            <w:shd w:val="clear" w:color="auto" w:fill="auto"/>
            <w:vAlign w:val="bottom"/>
          </w:tcPr>
          <w:p w14:paraId="0C86BC44">
            <w:pPr>
              <w:spacing w:line="240" w:lineRule="auto"/>
              <w:ind w:firstLine="0" w:firstLineChars="0"/>
              <w:jc w:val="center"/>
              <w:rPr>
                <w:sz w:val="21"/>
              </w:rPr>
            </w:pPr>
            <w:r>
              <w:rPr>
                <w:rFonts w:eastAsia="宋体" w:cs="Times New Roman"/>
                <w:sz w:val="21"/>
                <w:lang w:bidi="ar"/>
              </w:rPr>
              <w:t>35.87</w:t>
            </w:r>
          </w:p>
        </w:tc>
        <w:tc>
          <w:tcPr>
            <w:tcW w:w="1985" w:type="dxa"/>
            <w:tcBorders>
              <w:top w:val="single" w:color="auto" w:sz="4" w:space="0"/>
              <w:left w:val="nil"/>
              <w:bottom w:val="single" w:color="auto" w:sz="4" w:space="0"/>
              <w:right w:val="single" w:color="auto" w:sz="4" w:space="0"/>
            </w:tcBorders>
            <w:shd w:val="clear" w:color="auto" w:fill="auto"/>
            <w:vAlign w:val="bottom"/>
          </w:tcPr>
          <w:p w14:paraId="3C065DAA">
            <w:pPr>
              <w:spacing w:line="240" w:lineRule="auto"/>
              <w:ind w:firstLine="0" w:firstLineChars="0"/>
              <w:jc w:val="center"/>
              <w:rPr>
                <w:sz w:val="21"/>
              </w:rPr>
            </w:pPr>
            <w:r>
              <w:rPr>
                <w:rFonts w:eastAsia="宋体" w:cs="Times New Roman"/>
                <w:sz w:val="21"/>
                <w:lang w:bidi="ar"/>
              </w:rPr>
              <w:t>35.12</w:t>
            </w:r>
          </w:p>
        </w:tc>
      </w:tr>
      <w:tr w14:paraId="2DB2581B">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46C3BA8B">
            <w:pPr>
              <w:spacing w:line="240" w:lineRule="auto"/>
              <w:ind w:firstLine="0" w:firstLineChars="0"/>
              <w:jc w:val="center"/>
              <w:rPr>
                <w:sz w:val="21"/>
              </w:rPr>
            </w:pPr>
            <w:r>
              <w:rPr>
                <w:rFonts w:hint="eastAsia" w:eastAsia="宋体" w:cs="宋体"/>
                <w:sz w:val="21"/>
                <w:lang w:bidi="ar"/>
              </w:rPr>
              <w:t>城市空间（平方公里）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6B00D060">
            <w:pPr>
              <w:spacing w:line="240" w:lineRule="auto"/>
              <w:ind w:firstLine="0" w:firstLineChars="0"/>
              <w:jc w:val="center"/>
              <w:rPr>
                <w:sz w:val="21"/>
              </w:rPr>
            </w:pPr>
            <w:r>
              <w:rPr>
                <w:rFonts w:eastAsia="宋体" w:cs="Times New Roman"/>
                <w:sz w:val="21"/>
                <w:lang w:bidi="ar"/>
              </w:rPr>
              <w:t>178</w:t>
            </w:r>
          </w:p>
        </w:tc>
        <w:tc>
          <w:tcPr>
            <w:tcW w:w="1985" w:type="dxa"/>
            <w:tcBorders>
              <w:top w:val="single" w:color="auto" w:sz="4" w:space="0"/>
              <w:left w:val="nil"/>
              <w:bottom w:val="single" w:color="auto" w:sz="4" w:space="0"/>
              <w:right w:val="single" w:color="auto" w:sz="4" w:space="0"/>
            </w:tcBorders>
            <w:shd w:val="clear" w:color="auto" w:fill="auto"/>
            <w:vAlign w:val="bottom"/>
          </w:tcPr>
          <w:p w14:paraId="2DBAD8AD">
            <w:pPr>
              <w:spacing w:line="240" w:lineRule="auto"/>
              <w:ind w:firstLine="0" w:firstLineChars="0"/>
              <w:jc w:val="center"/>
              <w:rPr>
                <w:sz w:val="21"/>
              </w:rPr>
            </w:pPr>
            <w:r>
              <w:rPr>
                <w:rFonts w:eastAsia="宋体" w:cs="Times New Roman"/>
                <w:sz w:val="21"/>
                <w:lang w:bidi="ar"/>
              </w:rPr>
              <w:t>172</w:t>
            </w:r>
          </w:p>
        </w:tc>
      </w:tr>
      <w:tr w14:paraId="2DA13137">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73725AB">
            <w:pPr>
              <w:spacing w:line="240" w:lineRule="auto"/>
              <w:ind w:firstLine="0" w:firstLineChars="0"/>
              <w:jc w:val="center"/>
              <w:rPr>
                <w:sz w:val="21"/>
              </w:rPr>
            </w:pPr>
            <w:r>
              <w:rPr>
                <w:rFonts w:hint="eastAsia" w:eastAsia="宋体" w:cs="宋体"/>
                <w:sz w:val="21"/>
                <w:lang w:bidi="ar"/>
              </w:rPr>
              <w:t>社区居民点（平方公里）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3EC46C0F">
            <w:pPr>
              <w:spacing w:line="240" w:lineRule="auto"/>
              <w:ind w:firstLine="0" w:firstLineChars="0"/>
              <w:jc w:val="center"/>
              <w:rPr>
                <w:sz w:val="21"/>
              </w:rPr>
            </w:pPr>
            <w:r>
              <w:rPr>
                <w:rFonts w:eastAsia="宋体" w:cs="Times New Roman"/>
                <w:sz w:val="21"/>
                <w:lang w:bidi="ar"/>
              </w:rPr>
              <w:t>33</w:t>
            </w:r>
          </w:p>
        </w:tc>
        <w:tc>
          <w:tcPr>
            <w:tcW w:w="1985" w:type="dxa"/>
            <w:tcBorders>
              <w:top w:val="single" w:color="auto" w:sz="4" w:space="0"/>
              <w:left w:val="nil"/>
              <w:bottom w:val="single" w:color="auto" w:sz="4" w:space="0"/>
              <w:right w:val="single" w:color="auto" w:sz="4" w:space="0"/>
            </w:tcBorders>
            <w:shd w:val="clear" w:color="auto" w:fill="auto"/>
            <w:vAlign w:val="bottom"/>
          </w:tcPr>
          <w:p w14:paraId="166318F9">
            <w:pPr>
              <w:spacing w:line="240" w:lineRule="auto"/>
              <w:ind w:firstLine="0" w:firstLineChars="0"/>
              <w:jc w:val="center"/>
              <w:rPr>
                <w:sz w:val="21"/>
              </w:rPr>
            </w:pPr>
            <w:r>
              <w:rPr>
                <w:rFonts w:eastAsia="宋体" w:cs="Times New Roman"/>
                <w:sz w:val="21"/>
                <w:lang w:bidi="ar"/>
              </w:rPr>
              <w:t>30</w:t>
            </w:r>
          </w:p>
        </w:tc>
      </w:tr>
      <w:tr w14:paraId="5016DEC1">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A0CFF02">
            <w:pPr>
              <w:spacing w:line="240" w:lineRule="auto"/>
              <w:ind w:firstLine="0" w:firstLineChars="0"/>
              <w:jc w:val="center"/>
              <w:rPr>
                <w:sz w:val="21"/>
              </w:rPr>
            </w:pPr>
            <w:r>
              <w:rPr>
                <w:rFonts w:hint="eastAsia" w:eastAsia="宋体" w:cs="宋体"/>
                <w:sz w:val="21"/>
                <w:lang w:bidi="ar"/>
              </w:rPr>
              <w:t>耕地保有量（平方公里）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3CD6D8B1">
            <w:pPr>
              <w:spacing w:line="240" w:lineRule="auto"/>
              <w:ind w:firstLine="0" w:firstLineChars="0"/>
              <w:jc w:val="center"/>
              <w:rPr>
                <w:sz w:val="21"/>
              </w:rPr>
            </w:pPr>
            <w:r>
              <w:rPr>
                <w:rFonts w:eastAsia="宋体" w:cs="Times New Roman"/>
                <w:sz w:val="21"/>
                <w:lang w:bidi="ar"/>
              </w:rPr>
              <w:t>110</w:t>
            </w:r>
          </w:p>
        </w:tc>
        <w:tc>
          <w:tcPr>
            <w:tcW w:w="1985" w:type="dxa"/>
            <w:tcBorders>
              <w:top w:val="single" w:color="auto" w:sz="4" w:space="0"/>
              <w:left w:val="nil"/>
              <w:bottom w:val="single" w:color="auto" w:sz="4" w:space="0"/>
              <w:right w:val="single" w:color="auto" w:sz="4" w:space="0"/>
            </w:tcBorders>
            <w:shd w:val="clear" w:color="auto" w:fill="auto"/>
            <w:vAlign w:val="bottom"/>
          </w:tcPr>
          <w:p w14:paraId="3AAF30EF">
            <w:pPr>
              <w:spacing w:line="240" w:lineRule="auto"/>
              <w:ind w:firstLine="0" w:firstLineChars="0"/>
              <w:jc w:val="center"/>
              <w:rPr>
                <w:sz w:val="21"/>
              </w:rPr>
            </w:pPr>
            <w:r>
              <w:rPr>
                <w:rFonts w:eastAsia="宋体" w:cs="Times New Roman"/>
                <w:sz w:val="21"/>
                <w:lang w:bidi="ar"/>
              </w:rPr>
              <w:t>109</w:t>
            </w:r>
          </w:p>
        </w:tc>
      </w:tr>
      <w:tr w14:paraId="662CDC83">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70048C99">
            <w:pPr>
              <w:spacing w:line="240" w:lineRule="auto"/>
              <w:ind w:firstLine="0" w:firstLineChars="0"/>
              <w:jc w:val="center"/>
              <w:rPr>
                <w:sz w:val="21"/>
              </w:rPr>
            </w:pPr>
            <w:r>
              <w:rPr>
                <w:rFonts w:hint="eastAsia" w:eastAsia="宋体" w:cs="宋体"/>
                <w:sz w:val="21"/>
                <w:lang w:bidi="ar"/>
              </w:rPr>
              <w:t>基本农田（平方公里）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16EE3FBA">
            <w:pPr>
              <w:spacing w:line="240" w:lineRule="auto"/>
              <w:ind w:firstLine="0" w:firstLineChars="0"/>
              <w:jc w:val="center"/>
              <w:rPr>
                <w:sz w:val="21"/>
              </w:rPr>
            </w:pPr>
            <w:r>
              <w:rPr>
                <w:rFonts w:eastAsia="宋体" w:cs="Times New Roman"/>
                <w:sz w:val="21"/>
                <w:lang w:bidi="ar"/>
              </w:rPr>
              <w:t>83</w:t>
            </w:r>
          </w:p>
        </w:tc>
        <w:tc>
          <w:tcPr>
            <w:tcW w:w="1985" w:type="dxa"/>
            <w:tcBorders>
              <w:top w:val="single" w:color="auto" w:sz="4" w:space="0"/>
              <w:left w:val="nil"/>
              <w:bottom w:val="single" w:color="auto" w:sz="4" w:space="0"/>
              <w:right w:val="single" w:color="auto" w:sz="4" w:space="0"/>
            </w:tcBorders>
            <w:shd w:val="clear" w:color="auto" w:fill="auto"/>
            <w:vAlign w:val="bottom"/>
          </w:tcPr>
          <w:p w14:paraId="1F979CD3">
            <w:pPr>
              <w:spacing w:line="240" w:lineRule="auto"/>
              <w:ind w:firstLine="0" w:firstLineChars="0"/>
              <w:jc w:val="center"/>
              <w:rPr>
                <w:sz w:val="21"/>
              </w:rPr>
            </w:pPr>
            <w:r>
              <w:rPr>
                <w:rFonts w:eastAsia="宋体" w:cs="Times New Roman"/>
                <w:sz w:val="21"/>
                <w:lang w:bidi="ar"/>
              </w:rPr>
              <w:t>83</w:t>
            </w:r>
          </w:p>
        </w:tc>
      </w:tr>
      <w:tr w14:paraId="22D7ADE1">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2CFBD02">
            <w:pPr>
              <w:spacing w:line="240" w:lineRule="auto"/>
              <w:ind w:firstLine="0" w:firstLineChars="0"/>
              <w:jc w:val="center"/>
              <w:rPr>
                <w:sz w:val="21"/>
              </w:rPr>
            </w:pPr>
            <w:r>
              <w:rPr>
                <w:rFonts w:hint="eastAsia" w:eastAsia="宋体" w:cs="宋体"/>
                <w:sz w:val="21"/>
                <w:lang w:bidi="ar"/>
              </w:rPr>
              <w:t>林地面积（平方公里）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72923EC5">
            <w:pPr>
              <w:spacing w:line="240" w:lineRule="auto"/>
              <w:ind w:firstLine="0" w:firstLineChars="0"/>
              <w:jc w:val="center"/>
              <w:rPr>
                <w:sz w:val="21"/>
              </w:rPr>
            </w:pPr>
            <w:r>
              <w:rPr>
                <w:rFonts w:eastAsia="宋体" w:cs="Times New Roman"/>
                <w:sz w:val="21"/>
                <w:lang w:bidi="ar"/>
              </w:rPr>
              <w:t>130</w:t>
            </w:r>
          </w:p>
        </w:tc>
        <w:tc>
          <w:tcPr>
            <w:tcW w:w="1985" w:type="dxa"/>
            <w:tcBorders>
              <w:top w:val="single" w:color="auto" w:sz="4" w:space="0"/>
              <w:left w:val="nil"/>
              <w:bottom w:val="single" w:color="auto" w:sz="4" w:space="0"/>
              <w:right w:val="single" w:color="auto" w:sz="4" w:space="0"/>
            </w:tcBorders>
            <w:shd w:val="clear" w:color="auto" w:fill="auto"/>
            <w:vAlign w:val="bottom"/>
          </w:tcPr>
          <w:p w14:paraId="510FFD06">
            <w:pPr>
              <w:spacing w:line="240" w:lineRule="auto"/>
              <w:ind w:firstLine="0" w:firstLineChars="0"/>
              <w:jc w:val="center"/>
              <w:rPr>
                <w:sz w:val="21"/>
              </w:rPr>
            </w:pPr>
            <w:r>
              <w:rPr>
                <w:rFonts w:eastAsia="宋体" w:cs="Times New Roman"/>
                <w:sz w:val="21"/>
                <w:lang w:bidi="ar"/>
              </w:rPr>
              <w:t>131</w:t>
            </w:r>
          </w:p>
        </w:tc>
      </w:tr>
      <w:tr w14:paraId="3C6D86EE">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28457B85">
            <w:pPr>
              <w:spacing w:line="240" w:lineRule="auto"/>
              <w:ind w:firstLine="0" w:firstLineChars="0"/>
              <w:jc w:val="center"/>
              <w:rPr>
                <w:sz w:val="21"/>
              </w:rPr>
            </w:pPr>
            <w:r>
              <w:rPr>
                <w:rFonts w:hint="eastAsia" w:eastAsia="宋体" w:cs="宋体"/>
                <w:sz w:val="21"/>
                <w:lang w:bidi="ar"/>
              </w:rPr>
              <w:t>建设用地效率（万元</w:t>
            </w:r>
            <w:r>
              <w:rPr>
                <w:rFonts w:eastAsia="宋体" w:cs="Times New Roman"/>
                <w:sz w:val="21"/>
                <w:lang w:bidi="ar"/>
              </w:rPr>
              <w:t>/</w:t>
            </w:r>
            <w:r>
              <w:rPr>
                <w:rFonts w:hint="eastAsia" w:eastAsia="宋体" w:cs="宋体"/>
                <w:sz w:val="21"/>
                <w:lang w:bidi="ar"/>
              </w:rPr>
              <w:t>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5190151F">
            <w:pPr>
              <w:spacing w:line="240" w:lineRule="auto"/>
              <w:ind w:firstLine="0" w:firstLineChars="0"/>
              <w:jc w:val="center"/>
              <w:rPr>
                <w:sz w:val="21"/>
              </w:rPr>
            </w:pPr>
            <w:r>
              <w:rPr>
                <w:rFonts w:eastAsia="宋体" w:cs="Times New Roman"/>
                <w:sz w:val="21"/>
                <w:lang w:bidi="ar"/>
              </w:rPr>
              <w:t>63339</w:t>
            </w:r>
          </w:p>
        </w:tc>
        <w:tc>
          <w:tcPr>
            <w:tcW w:w="1985" w:type="dxa"/>
            <w:tcBorders>
              <w:top w:val="single" w:color="auto" w:sz="4" w:space="0"/>
              <w:left w:val="nil"/>
              <w:bottom w:val="single" w:color="auto" w:sz="4" w:space="0"/>
              <w:right w:val="single" w:color="auto" w:sz="4" w:space="0"/>
            </w:tcBorders>
            <w:shd w:val="clear" w:color="auto" w:fill="auto"/>
            <w:vAlign w:val="bottom"/>
          </w:tcPr>
          <w:p w14:paraId="6610E249">
            <w:pPr>
              <w:spacing w:line="240" w:lineRule="auto"/>
              <w:ind w:firstLine="0" w:firstLineChars="0"/>
              <w:jc w:val="center"/>
              <w:rPr>
                <w:sz w:val="21"/>
              </w:rPr>
            </w:pPr>
            <w:r>
              <w:rPr>
                <w:rFonts w:eastAsia="宋体" w:cs="Times New Roman"/>
                <w:sz w:val="21"/>
                <w:lang w:bidi="ar"/>
              </w:rPr>
              <w:t>65329</w:t>
            </w:r>
          </w:p>
        </w:tc>
      </w:tr>
      <w:tr w14:paraId="3F6C0125">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D2B49C6">
            <w:pPr>
              <w:spacing w:line="240" w:lineRule="auto"/>
              <w:ind w:firstLine="0" w:firstLineChars="0"/>
              <w:jc w:val="center"/>
              <w:rPr>
                <w:sz w:val="21"/>
              </w:rPr>
            </w:pPr>
            <w:r>
              <w:rPr>
                <w:rFonts w:hint="eastAsia" w:eastAsia="宋体" w:cs="宋体"/>
                <w:sz w:val="21"/>
                <w:lang w:bidi="ar"/>
              </w:rPr>
              <w:t>城市空间人口密度（人</w:t>
            </w:r>
            <w:r>
              <w:rPr>
                <w:rFonts w:eastAsia="宋体" w:cs="Times New Roman"/>
                <w:sz w:val="21"/>
                <w:lang w:bidi="ar"/>
              </w:rPr>
              <w:t>/</w:t>
            </w:r>
            <w:r>
              <w:rPr>
                <w:rFonts w:hint="eastAsia" w:eastAsia="宋体" w:cs="宋体"/>
                <w:sz w:val="21"/>
                <w:lang w:bidi="ar"/>
              </w:rPr>
              <w:t>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12B412CA">
            <w:pPr>
              <w:spacing w:line="240" w:lineRule="auto"/>
              <w:ind w:firstLine="0" w:firstLineChars="0"/>
              <w:jc w:val="center"/>
              <w:rPr>
                <w:sz w:val="21"/>
              </w:rPr>
            </w:pPr>
            <w:r>
              <w:rPr>
                <w:rFonts w:eastAsia="宋体" w:cs="Times New Roman"/>
                <w:sz w:val="21"/>
                <w:lang w:bidi="ar"/>
              </w:rPr>
              <w:t>7443</w:t>
            </w:r>
          </w:p>
        </w:tc>
        <w:tc>
          <w:tcPr>
            <w:tcW w:w="1985" w:type="dxa"/>
            <w:tcBorders>
              <w:top w:val="single" w:color="auto" w:sz="4" w:space="0"/>
              <w:left w:val="nil"/>
              <w:bottom w:val="single" w:color="auto" w:sz="4" w:space="0"/>
              <w:right w:val="single" w:color="auto" w:sz="4" w:space="0"/>
            </w:tcBorders>
            <w:shd w:val="clear" w:color="auto" w:fill="auto"/>
            <w:vAlign w:val="bottom"/>
          </w:tcPr>
          <w:p w14:paraId="6E183041">
            <w:pPr>
              <w:spacing w:line="240" w:lineRule="auto"/>
              <w:ind w:firstLine="0" w:firstLineChars="0"/>
              <w:jc w:val="center"/>
              <w:rPr>
                <w:sz w:val="21"/>
              </w:rPr>
            </w:pPr>
            <w:r>
              <w:rPr>
                <w:rFonts w:eastAsia="宋体" w:cs="Times New Roman"/>
                <w:sz w:val="21"/>
                <w:lang w:bidi="ar"/>
              </w:rPr>
              <w:t>8455</w:t>
            </w:r>
          </w:p>
        </w:tc>
      </w:tr>
      <w:tr w14:paraId="6B7CC999">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01C03667">
            <w:pPr>
              <w:spacing w:line="240" w:lineRule="auto"/>
              <w:ind w:firstLine="0" w:firstLineChars="0"/>
              <w:jc w:val="center"/>
              <w:rPr>
                <w:sz w:val="21"/>
              </w:rPr>
            </w:pPr>
            <w:r>
              <w:rPr>
                <w:rFonts w:hint="eastAsia" w:eastAsia="宋体" w:cs="宋体"/>
                <w:sz w:val="21"/>
                <w:lang w:bidi="ar"/>
              </w:rPr>
              <w:t>森林覆盖率</w:t>
            </w:r>
          </w:p>
        </w:tc>
        <w:tc>
          <w:tcPr>
            <w:tcW w:w="1865" w:type="dxa"/>
            <w:tcBorders>
              <w:top w:val="single" w:color="auto" w:sz="4" w:space="0"/>
              <w:left w:val="nil"/>
              <w:bottom w:val="single" w:color="auto" w:sz="4" w:space="0"/>
              <w:right w:val="single" w:color="auto" w:sz="4" w:space="0"/>
            </w:tcBorders>
            <w:shd w:val="clear" w:color="auto" w:fill="auto"/>
            <w:vAlign w:val="bottom"/>
          </w:tcPr>
          <w:p w14:paraId="247CDE40">
            <w:pPr>
              <w:spacing w:line="240" w:lineRule="auto"/>
              <w:ind w:firstLine="0" w:firstLineChars="0"/>
              <w:jc w:val="center"/>
              <w:rPr>
                <w:sz w:val="21"/>
              </w:rPr>
            </w:pPr>
            <w:r>
              <w:rPr>
                <w:rFonts w:eastAsia="宋体" w:cs="Times New Roman"/>
                <w:sz w:val="21"/>
                <w:lang w:bidi="ar"/>
              </w:rPr>
              <w:t>22.0</w:t>
            </w:r>
          </w:p>
        </w:tc>
        <w:tc>
          <w:tcPr>
            <w:tcW w:w="1985" w:type="dxa"/>
            <w:tcBorders>
              <w:top w:val="single" w:color="auto" w:sz="4" w:space="0"/>
              <w:left w:val="nil"/>
              <w:bottom w:val="single" w:color="auto" w:sz="4" w:space="0"/>
              <w:right w:val="single" w:color="auto" w:sz="4" w:space="0"/>
            </w:tcBorders>
            <w:shd w:val="clear" w:color="auto" w:fill="auto"/>
            <w:vAlign w:val="bottom"/>
          </w:tcPr>
          <w:p w14:paraId="7304BF9B">
            <w:pPr>
              <w:spacing w:line="240" w:lineRule="auto"/>
              <w:ind w:firstLine="0" w:firstLineChars="0"/>
              <w:jc w:val="center"/>
              <w:rPr>
                <w:sz w:val="21"/>
              </w:rPr>
            </w:pPr>
            <w:r>
              <w:rPr>
                <w:rFonts w:eastAsia="宋体" w:cs="Times New Roman"/>
                <w:sz w:val="21"/>
                <w:lang w:bidi="ar"/>
              </w:rPr>
              <w:t>22.5</w:t>
            </w:r>
          </w:p>
        </w:tc>
      </w:tr>
    </w:tbl>
    <w:p w14:paraId="12BE2FAC">
      <w:pPr>
        <w:spacing w:line="240" w:lineRule="auto"/>
        <w:ind w:firstLine="480"/>
        <w:rPr>
          <w:rFonts w:cs="Times New Roman"/>
          <w:szCs w:val="28"/>
        </w:rPr>
      </w:pPr>
    </w:p>
    <w:p w14:paraId="23C44648">
      <w:pPr>
        <w:pStyle w:val="3"/>
        <w:spacing w:before="0" w:after="0" w:line="360" w:lineRule="auto"/>
      </w:pPr>
      <w:bookmarkStart w:id="128" w:name="_Toc27655"/>
      <w:bookmarkStart w:id="129" w:name="_Toc503214018"/>
      <w:bookmarkStart w:id="130" w:name="_Toc26"/>
      <w:bookmarkStart w:id="131" w:name="_Toc23621"/>
      <w:bookmarkStart w:id="132" w:name="_Toc4659"/>
      <w:bookmarkStart w:id="133" w:name="_Toc10142"/>
      <w:bookmarkStart w:id="134" w:name="_Toc528880265"/>
      <w:bookmarkStart w:id="135" w:name="_Toc14183"/>
      <w:bookmarkStart w:id="136" w:name="_Toc16675012"/>
      <w:bookmarkStart w:id="137" w:name="_Toc523407636"/>
      <w:r>
        <w:rPr>
          <w:rFonts w:hint="eastAsia"/>
        </w:rPr>
        <w:t>1.3.5城市发展布局</w:t>
      </w:r>
      <w:bookmarkEnd w:id="128"/>
      <w:bookmarkEnd w:id="129"/>
      <w:bookmarkEnd w:id="130"/>
      <w:bookmarkEnd w:id="131"/>
      <w:bookmarkEnd w:id="132"/>
      <w:bookmarkEnd w:id="133"/>
      <w:bookmarkEnd w:id="134"/>
      <w:bookmarkEnd w:id="135"/>
      <w:bookmarkEnd w:id="136"/>
      <w:bookmarkEnd w:id="137"/>
    </w:p>
    <w:p w14:paraId="57D69E19">
      <w:pPr>
        <w:ind w:firstLine="480"/>
        <w:rPr>
          <w:rFonts w:eastAsia="宋体" w:cs="Times New Roman"/>
          <w:szCs w:val="24"/>
        </w:rPr>
      </w:pPr>
      <w:r>
        <w:rPr>
          <w:rFonts w:hint="eastAsia" w:eastAsia="宋体" w:cs="Times New Roman"/>
          <w:szCs w:val="24"/>
        </w:rPr>
        <w:t>根据《中山市城市总体规划（2010-2020）》，西区属于中心组团的组成部分。根据中心组团发展智能，中心组团着重发展地区性综合服务业、无污染的都市型工业。石岐区、东区、西区、南区主要承担地区性综合服务业职能，进一步调整产业布局，完善第三产业及配套设施，提高城市中心服务功能。在城镇等级与职能划分中，西区城镇性质为市级主中心（中心城区）。职能定位：为主城区主要承担地区性综合服务业职能，进一步调整产业布局，完善第三产业及配套设施，提高城市中心服务功能。</w:t>
      </w:r>
    </w:p>
    <w:p w14:paraId="17DB27AD">
      <w:pPr>
        <w:ind w:firstLine="480"/>
        <w:rPr>
          <w:rFonts w:eastAsia="宋体" w:cs="Times New Roman"/>
          <w:szCs w:val="24"/>
        </w:rPr>
      </w:pPr>
      <w:r>
        <w:rPr>
          <w:rFonts w:hint="eastAsia" w:eastAsia="宋体" w:cs="Times New Roman"/>
          <w:szCs w:val="24"/>
        </w:rPr>
        <w:t>《中山市西区国民经济和社会发展第十三个五年规划纲要（2016年）》、《中山市城市总体规划（2011-2020年）中心城区用地规划图（2017年8月）》等</w:t>
      </w:r>
      <w:r>
        <w:rPr>
          <w:rFonts w:eastAsia="宋体" w:cs="Times New Roman"/>
          <w:szCs w:val="24"/>
        </w:rPr>
        <w:t>提出，</w:t>
      </w:r>
      <w:r>
        <w:rPr>
          <w:rFonts w:hint="eastAsia" w:eastAsia="宋体" w:cs="Times New Roman"/>
          <w:szCs w:val="24"/>
        </w:rPr>
        <w:t>规划以实施“一核心、三基地、两提升”为战略，提升服务业集聚水平和发展质量，构建新型制造体系，培育壮大先进制造业和战略性新兴产业，促进经济发展提质增效。加快西区服务业综合改革试验区建设，以中医健康理念引领健康产业发展，建设世界一流中医健康养生基地，以创新驱动为发展战略，打造先进制造业示范基地，打造中山互联网应用创新示范基地，着力提升汽车销售产业，改造和提升辖区专业市场等多种类型</w:t>
      </w:r>
      <w:r>
        <w:rPr>
          <w:rFonts w:eastAsia="宋体" w:cs="Times New Roman"/>
          <w:szCs w:val="24"/>
        </w:rPr>
        <w:t>形成的</w:t>
      </w:r>
      <w:r>
        <w:rPr>
          <w:rFonts w:hint="eastAsia" w:eastAsia="宋体" w:cs="Times New Roman"/>
          <w:szCs w:val="24"/>
        </w:rPr>
        <w:t>“一核心三基地两提升区”的功能空间布局结构，</w:t>
      </w:r>
      <w:r>
        <w:rPr>
          <w:rFonts w:eastAsia="宋体" w:cs="Times New Roman"/>
          <w:szCs w:val="24"/>
        </w:rPr>
        <w:t>见</w:t>
      </w:r>
      <w:r>
        <w:rPr>
          <w:rFonts w:hint="eastAsia" w:eastAsia="宋体" w:cs="Times New Roman"/>
          <w:b/>
          <w:bCs/>
          <w:szCs w:val="24"/>
        </w:rPr>
        <w:t>附图7</w:t>
      </w:r>
      <w:r>
        <w:rPr>
          <w:rFonts w:hint="eastAsia" w:eastAsia="宋体" w:cs="Times New Roman"/>
          <w:szCs w:val="24"/>
        </w:rPr>
        <w:t>。</w:t>
      </w:r>
    </w:p>
    <w:p w14:paraId="33B0B3D8">
      <w:pPr>
        <w:ind w:firstLine="482"/>
        <w:rPr>
          <w:rFonts w:eastAsia="宋体" w:cs="Times New Roman"/>
          <w:szCs w:val="24"/>
        </w:rPr>
      </w:pPr>
      <w:r>
        <w:rPr>
          <w:rFonts w:hint="eastAsia" w:eastAsia="宋体" w:cs="Times New Roman"/>
          <w:b/>
          <w:bCs/>
          <w:szCs w:val="24"/>
        </w:rPr>
        <w:t>一核心</w:t>
      </w:r>
      <w:r>
        <w:rPr>
          <w:rFonts w:hint="eastAsia" w:eastAsia="宋体" w:cs="Times New Roman"/>
          <w:szCs w:val="24"/>
        </w:rPr>
        <w:t>：指加快西区服务业综合改革试验区建设，推动建设现代化酒店集聚区、高端商务办公集聚区、标志性文化休闲区，把试验区建成辐射能力强劲、服务水平最佳的现代服务业制高点，成为“商务西区”的核心支撑点和中山城市RBD的核心功能区。</w:t>
      </w:r>
    </w:p>
    <w:p w14:paraId="0101CFC1">
      <w:pPr>
        <w:ind w:firstLine="482"/>
        <w:rPr>
          <w:rFonts w:eastAsia="宋体" w:cs="Times New Roman"/>
          <w:szCs w:val="24"/>
        </w:rPr>
      </w:pPr>
      <w:r>
        <w:rPr>
          <w:rFonts w:hint="eastAsia" w:eastAsia="宋体" w:cs="Times New Roman"/>
          <w:b/>
          <w:bCs/>
          <w:szCs w:val="24"/>
        </w:rPr>
        <w:t>三基地：</w:t>
      </w:r>
      <w:r>
        <w:rPr>
          <w:rFonts w:hint="eastAsia" w:eastAsia="宋体" w:cs="Times New Roman"/>
          <w:szCs w:val="24"/>
        </w:rPr>
        <w:t>以中医健康理念引领健康产业发展，建设世界一流中医健康养生基地。以创新驱动为发展战略，促进传统产业转型升级，推动节能环保、新能源、新材料等领域发展，打造先进制造业示范基地。推进中国中小企业互联网应用创新(中山)示范园建设，打造一个立足中山、辐射周边，并在全国具有示范效应的中小企业电子商务服务组织聚集地、中山互联网应用创新和大众创业、万众创新的基地。</w:t>
      </w:r>
    </w:p>
    <w:p w14:paraId="3CC98A84">
      <w:pPr>
        <w:ind w:firstLine="482"/>
        <w:rPr>
          <w:rFonts w:eastAsia="宋体" w:cs="Times New Roman"/>
          <w:szCs w:val="24"/>
        </w:rPr>
      </w:pPr>
      <w:r>
        <w:rPr>
          <w:rFonts w:hint="eastAsia" w:eastAsia="宋体" w:cs="Times New Roman"/>
          <w:b/>
          <w:bCs/>
          <w:szCs w:val="24"/>
        </w:rPr>
        <w:t>两提升区：</w:t>
      </w:r>
      <w:r>
        <w:rPr>
          <w:rFonts w:hint="eastAsia" w:eastAsia="宋体" w:cs="Times New Roman"/>
          <w:szCs w:val="24"/>
        </w:rPr>
        <w:t>着力提升汽车销售产业发展，打造珠三角地区汽车“销售一条街”的集群品牌。以升级汽车博览会为契机，完善汽车街配套设施，整合汽车街周边空地和店铺，落实汽车街改造规划，充分展示汽车街形象。围绕汽车街，建立汽车公共服务平台，力争建设集汽车超市、展示中心、业务办理、市场信息服务等多种功能于一体的西区汽车城，配套维修、配件、美容一条龙产业链服务体系，不断扩宽汽车街服务范围。改造和提升辖区专业市场。着力提升专业市场发展，推进传统专业市场转型升级。加快建设改造提升各类商品批发市场，切实增强内生发展动力。以推进小商品批发市场改造升级为切入点，构建布局合理、功能齐全、现代化水平较高的商品批发市场体系。</w:t>
      </w:r>
    </w:p>
    <w:p w14:paraId="571F5188">
      <w:pPr>
        <w:pStyle w:val="4"/>
        <w:spacing w:before="0" w:after="0" w:line="360" w:lineRule="auto"/>
      </w:pPr>
      <w:bookmarkStart w:id="138" w:name="_Toc16675013"/>
      <w:r>
        <w:rPr>
          <w:rFonts w:hint="eastAsia"/>
        </w:rPr>
        <w:t>1</w:t>
      </w:r>
      <w:r>
        <w:t>.</w:t>
      </w:r>
      <w:r>
        <w:rPr>
          <w:rFonts w:hint="eastAsia"/>
        </w:rPr>
        <w:t>4 水生态系统状况</w:t>
      </w:r>
      <w:bookmarkEnd w:id="138"/>
    </w:p>
    <w:p w14:paraId="6B54D8BE">
      <w:pPr>
        <w:pStyle w:val="3"/>
        <w:spacing w:before="0" w:after="0"/>
      </w:pPr>
      <w:bookmarkStart w:id="139" w:name="_Toc28584"/>
      <w:bookmarkStart w:id="140" w:name="_Toc15146"/>
      <w:bookmarkStart w:id="141" w:name="_Toc15082"/>
      <w:bookmarkStart w:id="142" w:name="_Toc12614"/>
      <w:bookmarkStart w:id="143" w:name="_Toc528880267"/>
      <w:bookmarkStart w:id="144" w:name="_Toc4856"/>
      <w:bookmarkStart w:id="145" w:name="_Toc13224"/>
      <w:bookmarkStart w:id="146" w:name="_Toc16675014"/>
      <w:r>
        <w:t>1.</w:t>
      </w:r>
      <w:r>
        <w:rPr>
          <w:rFonts w:hint="eastAsia"/>
        </w:rPr>
        <w:t>4</w:t>
      </w:r>
      <w:r>
        <w:t>.</w:t>
      </w:r>
      <w:r>
        <w:rPr>
          <w:rFonts w:hint="eastAsia"/>
        </w:rPr>
        <w:t>1生态功能区划</w:t>
      </w:r>
      <w:bookmarkEnd w:id="139"/>
      <w:bookmarkEnd w:id="140"/>
      <w:bookmarkEnd w:id="141"/>
      <w:bookmarkEnd w:id="142"/>
      <w:bookmarkEnd w:id="143"/>
      <w:bookmarkEnd w:id="144"/>
      <w:bookmarkEnd w:id="145"/>
      <w:bookmarkEnd w:id="146"/>
    </w:p>
    <w:p w14:paraId="60DC957D">
      <w:pPr>
        <w:ind w:firstLine="480"/>
        <w:rPr>
          <w:rFonts w:cs="Times New Roman"/>
          <w:szCs w:val="28"/>
        </w:rPr>
      </w:pPr>
      <w:r>
        <w:rPr>
          <w:rFonts w:hint="eastAsia" w:cs="Times New Roman"/>
          <w:szCs w:val="28"/>
        </w:rPr>
        <w:t>根据《中山市生态文明建设规划（2013-2030年）》与《中山市环境保护规划（2011-2020年）》，中山市生态功能区划采用两级区划，在生态评价基础上，根据区域生态环境特点、社会、经济发展现状和可持续发展需求，参考现有的镇区行政边界，划分一级区的范围，中山市分为7个一级生态功能区，在一级功能</w:t>
      </w:r>
    </w:p>
    <w:p w14:paraId="4608388F">
      <w:pPr>
        <w:ind w:firstLine="0" w:firstLineChars="0"/>
        <w:rPr>
          <w:rFonts w:eastAsia="宋体" w:cs="宋体"/>
          <w:szCs w:val="24"/>
          <w:lang w:bidi="ar"/>
        </w:rPr>
      </w:pPr>
      <w:r>
        <w:rPr>
          <w:rFonts w:hint="eastAsia" w:cs="Times New Roman"/>
          <w:szCs w:val="28"/>
        </w:rPr>
        <w:t>区基础上，根据生态服务功能的不同，确定二级生态功能区的位置和范围，二级生态功能区分为生态保护区（包括水源涵养区、山地生态保护区）、引导开发区（平原农业生产区、丘陵台地农业生产区、滨海滩涂生态养殖区）和城镇建设区（中心城区生产生活区、城镇生产生活区），如</w:t>
      </w:r>
      <w:r>
        <w:rPr>
          <w:rFonts w:hint="eastAsia" w:cs="Times New Roman"/>
          <w:b/>
          <w:bCs/>
          <w:szCs w:val="28"/>
        </w:rPr>
        <w:t>附图8</w:t>
      </w:r>
      <w:r>
        <w:rPr>
          <w:rFonts w:hint="eastAsia" w:cs="Times New Roman"/>
          <w:szCs w:val="28"/>
        </w:rPr>
        <w:t>。</w:t>
      </w:r>
    </w:p>
    <w:p w14:paraId="072DC060">
      <w:pPr>
        <w:ind w:firstLine="480"/>
        <w:rPr>
          <w:rFonts w:eastAsia="宋体" w:cs="宋体"/>
          <w:szCs w:val="24"/>
          <w:lang w:bidi="ar"/>
        </w:rPr>
      </w:pPr>
      <w:r>
        <w:rPr>
          <w:rFonts w:hint="eastAsia" w:eastAsia="宋体" w:cs="宋体"/>
          <w:szCs w:val="24"/>
          <w:lang w:bidi="ar"/>
        </w:rPr>
        <w:t>西区地处中山市中心城区的西部，以平原、山地、丘陵为主，是广东省著名侨乡，属于中部中心城市区一级生态功能区。在二级生态功能区中，西区生态保护区属于城镇建设区，其中全市城镇建设区面积为</w:t>
      </w:r>
      <w:r>
        <w:rPr>
          <w:rFonts w:eastAsia="宋体" w:cs="Times New Roman"/>
          <w:szCs w:val="24"/>
          <w:lang w:bidi="ar"/>
        </w:rPr>
        <w:t>567.2km</w:t>
      </w:r>
      <w:r>
        <w:rPr>
          <w:rFonts w:eastAsia="宋体" w:cs="Times New Roman"/>
          <w:szCs w:val="24"/>
          <w:vertAlign w:val="superscript"/>
          <w:lang w:bidi="ar"/>
        </w:rPr>
        <w:t>2</w:t>
      </w:r>
      <w:r>
        <w:rPr>
          <w:rFonts w:hint="eastAsia" w:eastAsia="宋体" w:cs="宋体"/>
          <w:szCs w:val="24"/>
          <w:lang w:bidi="ar"/>
        </w:rPr>
        <w:t>，中心城市生活生产区总面积为</w:t>
      </w:r>
      <w:r>
        <w:rPr>
          <w:rFonts w:eastAsia="宋体" w:cs="Times New Roman"/>
          <w:szCs w:val="24"/>
          <w:lang w:bidi="ar"/>
        </w:rPr>
        <w:t>162.6km</w:t>
      </w:r>
      <w:r>
        <w:rPr>
          <w:rFonts w:eastAsia="宋体" w:cs="Times New Roman"/>
          <w:szCs w:val="24"/>
          <w:vertAlign w:val="superscript"/>
          <w:lang w:bidi="ar"/>
        </w:rPr>
        <w:t>2</w:t>
      </w:r>
      <w:r>
        <w:rPr>
          <w:rFonts w:hint="eastAsia" w:eastAsia="宋体" w:cs="宋体"/>
          <w:szCs w:val="24"/>
          <w:lang w:bidi="ar"/>
        </w:rPr>
        <w:t>，中心城市生产生活区面积为</w:t>
      </w:r>
      <w:r>
        <w:rPr>
          <w:rFonts w:eastAsia="宋体" w:cs="Times New Roman"/>
          <w:szCs w:val="24"/>
          <w:lang w:bidi="ar"/>
        </w:rPr>
        <w:t>116.4km</w:t>
      </w:r>
      <w:r>
        <w:rPr>
          <w:rFonts w:eastAsia="宋体" w:cs="Times New Roman"/>
          <w:szCs w:val="24"/>
          <w:vertAlign w:val="superscript"/>
          <w:lang w:bidi="ar"/>
        </w:rPr>
        <w:t>2</w:t>
      </w:r>
      <w:r>
        <w:rPr>
          <w:rFonts w:hint="eastAsia" w:eastAsia="宋体" w:cs="宋体"/>
          <w:szCs w:val="24"/>
          <w:lang w:bidi="ar"/>
        </w:rPr>
        <w:t>，占全市城镇建设区面积的</w:t>
      </w:r>
      <w:r>
        <w:rPr>
          <w:rFonts w:eastAsia="宋体" w:cs="Times New Roman"/>
          <w:szCs w:val="24"/>
          <w:lang w:bidi="ar"/>
        </w:rPr>
        <w:t>20.52%</w:t>
      </w:r>
      <w:r>
        <w:rPr>
          <w:rFonts w:hint="eastAsia" w:eastAsia="宋体" w:cs="宋体"/>
          <w:szCs w:val="24"/>
          <w:lang w:bidi="ar"/>
        </w:rPr>
        <w:t>，占中心城市生活生产区总面积的</w:t>
      </w:r>
      <w:r>
        <w:rPr>
          <w:rFonts w:eastAsia="宋体" w:cs="Times New Roman"/>
          <w:szCs w:val="24"/>
          <w:lang w:bidi="ar"/>
        </w:rPr>
        <w:t>71.59%</w:t>
      </w:r>
      <w:r>
        <w:rPr>
          <w:rFonts w:hint="eastAsia" w:eastAsia="宋体" w:cs="宋体"/>
          <w:szCs w:val="24"/>
          <w:lang w:bidi="ar"/>
        </w:rPr>
        <w:t>。城镇生活生产区总面积404.6</w:t>
      </w:r>
      <w:r>
        <w:rPr>
          <w:rFonts w:eastAsia="宋体" w:cs="Times New Roman"/>
          <w:szCs w:val="24"/>
          <w:lang w:bidi="ar"/>
        </w:rPr>
        <w:t>km</w:t>
      </w:r>
      <w:r>
        <w:rPr>
          <w:rFonts w:eastAsia="宋体" w:cs="Times New Roman"/>
          <w:szCs w:val="24"/>
          <w:vertAlign w:val="superscript"/>
          <w:lang w:bidi="ar"/>
        </w:rPr>
        <w:t>2</w:t>
      </w:r>
      <w:r>
        <w:rPr>
          <w:rFonts w:hint="eastAsia" w:eastAsia="宋体" w:cs="宋体"/>
          <w:szCs w:val="24"/>
          <w:lang w:bidi="ar"/>
        </w:rPr>
        <w:t>，西区面积为9.3</w:t>
      </w:r>
      <w:r>
        <w:rPr>
          <w:rFonts w:eastAsia="宋体" w:cs="Times New Roman"/>
          <w:szCs w:val="24"/>
          <w:lang w:bidi="ar"/>
        </w:rPr>
        <w:t>km</w:t>
      </w:r>
      <w:r>
        <w:rPr>
          <w:rFonts w:eastAsia="宋体" w:cs="Times New Roman"/>
          <w:szCs w:val="24"/>
          <w:vertAlign w:val="superscript"/>
          <w:lang w:bidi="ar"/>
        </w:rPr>
        <w:t>2</w:t>
      </w:r>
      <w:r>
        <w:rPr>
          <w:rFonts w:hint="eastAsia" w:eastAsia="宋体" w:cs="宋体"/>
          <w:szCs w:val="24"/>
          <w:lang w:bidi="ar"/>
        </w:rPr>
        <w:t>，占全市城镇建设区面积的</w:t>
      </w:r>
      <w:r>
        <w:rPr>
          <w:rFonts w:hint="eastAsia" w:eastAsia="宋体" w:cs="Times New Roman"/>
          <w:szCs w:val="24"/>
          <w:lang w:bidi="ar"/>
        </w:rPr>
        <w:t>1.64</w:t>
      </w:r>
      <w:r>
        <w:rPr>
          <w:rFonts w:eastAsia="宋体" w:cs="Times New Roman"/>
          <w:szCs w:val="24"/>
          <w:lang w:bidi="ar"/>
        </w:rPr>
        <w:t>%</w:t>
      </w:r>
      <w:r>
        <w:rPr>
          <w:rFonts w:hint="eastAsia" w:eastAsia="宋体" w:cs="宋体"/>
          <w:szCs w:val="24"/>
          <w:lang w:bidi="ar"/>
        </w:rPr>
        <w:t>，占中心城市生活生产区总面积的</w:t>
      </w:r>
      <w:r>
        <w:rPr>
          <w:rFonts w:hint="eastAsia" w:eastAsia="宋体" w:cs="Times New Roman"/>
          <w:szCs w:val="24"/>
          <w:lang w:bidi="ar"/>
        </w:rPr>
        <w:t>2.3</w:t>
      </w:r>
      <w:r>
        <w:rPr>
          <w:rFonts w:eastAsia="宋体" w:cs="Times New Roman"/>
          <w:szCs w:val="24"/>
          <w:lang w:bidi="ar"/>
        </w:rPr>
        <w:t>%</w:t>
      </w:r>
      <w:r>
        <w:rPr>
          <w:rFonts w:hint="eastAsia" w:eastAsia="宋体" w:cs="宋体"/>
          <w:szCs w:val="24"/>
          <w:lang w:bidi="ar"/>
        </w:rPr>
        <w:t>。涉及西区生态环境保护的还有岐江公园、马山公园、彩虹绿洲公园的环境安全。</w:t>
      </w:r>
    </w:p>
    <w:p w14:paraId="0E53B11D">
      <w:pPr>
        <w:ind w:firstLine="480"/>
        <w:rPr>
          <w:rFonts w:eastAsia="宋体" w:cs="Times New Roman"/>
          <w:szCs w:val="24"/>
        </w:rPr>
      </w:pPr>
      <w:r>
        <w:rPr>
          <w:szCs w:val="24"/>
        </w:rPr>
        <w:t>根据《中山市生态建设规划（2005－2020 年）》，</w:t>
      </w:r>
      <w:r>
        <w:rPr>
          <w:rFonts w:hint="eastAsia" w:cs="宋体"/>
          <w:szCs w:val="24"/>
        </w:rPr>
        <w:t>对中心城区提出重要生态区域建设，重点建设主城区绿地系统，主城区按照“一轴一带三区、十一绿岛、一环四横四纵”布局开展绿地系统建设。“一轴”指岐江河景观轴，“三区”指长江库区生态区、金钟水库－马岭水库区、凤凰山－虎头山城市绿核，“十一绿岛”指孙文纪念公园、中山学院上鹰山、逸仙湖公园、紫马岭公园、莲峰山、后蓢山、员峰山、中山公园、西林山、土瓜岭、马山十一个主城区生态绿岛，“一</w:t>
      </w:r>
    </w:p>
    <w:p w14:paraId="40470526">
      <w:pPr>
        <w:ind w:firstLine="0" w:firstLineChars="0"/>
        <w:rPr>
          <w:rFonts w:eastAsia="宋体" w:cs="Times New Roman"/>
          <w:szCs w:val="24"/>
        </w:rPr>
      </w:pPr>
      <w:r>
        <w:rPr>
          <w:rFonts w:hint="eastAsia" w:cs="宋体"/>
          <w:szCs w:val="24"/>
        </w:rPr>
        <w:t xml:space="preserve">环”指环城林带，“四横四纵”指贯穿主城区的道路交通系统。 </w:t>
      </w:r>
    </w:p>
    <w:p w14:paraId="528FE23B">
      <w:pPr>
        <w:ind w:firstLine="480"/>
        <w:rPr>
          <w:rFonts w:eastAsia="宋体" w:cs="Times New Roman"/>
          <w:szCs w:val="24"/>
        </w:rPr>
        <w:sectPr>
          <w:footerReference r:id="rId12" w:type="default"/>
          <w:pgSz w:w="11906" w:h="16838"/>
          <w:pgMar w:top="1440" w:right="1797" w:bottom="1440" w:left="1797" w:header="851" w:footer="992" w:gutter="0"/>
          <w:pgNumType w:start="1"/>
          <w:cols w:space="425" w:num="1"/>
          <w:docGrid w:type="lines" w:linePitch="312" w:charSpace="0"/>
        </w:sectPr>
      </w:pPr>
    </w:p>
    <w:p w14:paraId="5EB45075">
      <w:pPr>
        <w:pStyle w:val="3"/>
        <w:spacing w:before="0" w:after="0"/>
      </w:pPr>
      <w:bookmarkStart w:id="147" w:name="_Toc4084"/>
      <w:bookmarkStart w:id="148" w:name="_Toc28968"/>
      <w:bookmarkStart w:id="149" w:name="_Toc8076"/>
      <w:bookmarkStart w:id="150" w:name="_Toc9567"/>
      <w:bookmarkStart w:id="151" w:name="_Toc528880268"/>
      <w:bookmarkStart w:id="152" w:name="_Toc6849"/>
      <w:bookmarkStart w:id="153" w:name="_Toc7151"/>
      <w:bookmarkStart w:id="154" w:name="_Toc16675015"/>
      <w:r>
        <w:t>1.</w:t>
      </w:r>
      <w:r>
        <w:rPr>
          <w:rFonts w:hint="eastAsia"/>
        </w:rPr>
        <w:t>4</w:t>
      </w:r>
      <w:r>
        <w:t>.</w:t>
      </w:r>
      <w:r>
        <w:rPr>
          <w:rFonts w:hint="eastAsia"/>
        </w:rPr>
        <w:t>2生态控制线和蓝线</w:t>
      </w:r>
      <w:bookmarkEnd w:id="147"/>
      <w:bookmarkEnd w:id="148"/>
      <w:bookmarkEnd w:id="149"/>
      <w:bookmarkEnd w:id="150"/>
      <w:bookmarkEnd w:id="151"/>
      <w:bookmarkEnd w:id="152"/>
      <w:bookmarkEnd w:id="153"/>
      <w:bookmarkEnd w:id="154"/>
    </w:p>
    <w:p w14:paraId="0311C381">
      <w:pPr>
        <w:pStyle w:val="5"/>
        <w:widowControl/>
        <w:rPr>
          <w:bCs/>
          <w:szCs w:val="24"/>
        </w:rPr>
      </w:pPr>
      <w:r>
        <w:t>1.4.2.1</w:t>
      </w:r>
      <w:r>
        <w:rPr>
          <w:rFonts w:hint="eastAsia" w:cs="黑体"/>
        </w:rPr>
        <w:t>生态控制线</w:t>
      </w:r>
    </w:p>
    <w:p w14:paraId="4FED95E0">
      <w:pPr>
        <w:ind w:firstLine="480"/>
        <w:rPr>
          <w:rFonts w:cs="Times New Roman"/>
          <w:szCs w:val="28"/>
        </w:rPr>
      </w:pPr>
      <w:r>
        <w:rPr>
          <w:rFonts w:hint="eastAsia" w:cs="Times New Roman"/>
          <w:szCs w:val="28"/>
        </w:rPr>
        <w:t>根据《中山市市域蓝线规划（2018年）》</w:t>
      </w:r>
      <w:r>
        <w:rPr>
          <w:rFonts w:hint="eastAsia"/>
        </w:rPr>
        <w:t>、</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cs="Times New Roman"/>
          <w:szCs w:val="28"/>
        </w:rPr>
        <w:t>，根据生态系统服务重要性和监管级别，将西区生态控制线范围分为一级管制区和二级管制区。</w:t>
      </w:r>
    </w:p>
    <w:p w14:paraId="1F63D66D">
      <w:pPr>
        <w:ind w:firstLine="480"/>
        <w:rPr>
          <w:rFonts w:cs="Times New Roman"/>
          <w:szCs w:val="28"/>
        </w:rPr>
      </w:pPr>
      <w:r>
        <w:rPr>
          <w:rFonts w:hint="eastAsia" w:cs="Times New Roman"/>
          <w:szCs w:val="28"/>
        </w:rPr>
        <w:t>一级管制区：指对维护自然生态系统服务、保障城市生态安全具有关键作用的生态保护空间，是生态控制线的核心区域，由省人民政府及其有关部门负责监管，相关地级以上市人民政府配合，实行最严格的管控措施。</w:t>
      </w:r>
    </w:p>
    <w:p w14:paraId="752E4D96">
      <w:pPr>
        <w:ind w:firstLine="480"/>
        <w:rPr>
          <w:rFonts w:cs="Times New Roman"/>
          <w:szCs w:val="28"/>
        </w:rPr>
      </w:pPr>
      <w:r>
        <w:rPr>
          <w:rFonts w:hint="eastAsia" w:cs="Times New Roman"/>
          <w:szCs w:val="28"/>
        </w:rPr>
        <w:t>二级管制区：指对维护自然生态系统服务、保障城市生态安全、构建健康城市发展格局具有重要作用，需要进行保护和管控的重要区域，由地级以上市人民政府及其有关部门负责管控。</w:t>
      </w:r>
    </w:p>
    <w:p w14:paraId="343B6ED9">
      <w:pPr>
        <w:ind w:firstLine="480"/>
        <w:rPr>
          <w:rFonts w:cs="Times New Roman"/>
          <w:szCs w:val="28"/>
        </w:rPr>
      </w:pPr>
      <w:r>
        <w:rPr>
          <w:rFonts w:hint="eastAsia" w:cs="Times New Roman"/>
          <w:szCs w:val="28"/>
        </w:rPr>
        <w:t>分两级管制。其中，一级管制区23.05hm</w:t>
      </w:r>
      <w:r>
        <w:rPr>
          <w:rFonts w:hint="eastAsia" w:cs="Times New Roman"/>
          <w:szCs w:val="28"/>
          <w:vertAlign w:val="superscript"/>
        </w:rPr>
        <w:t>2</w:t>
      </w:r>
      <w:r>
        <w:rPr>
          <w:rFonts w:hint="eastAsia" w:cs="Times New Roman"/>
          <w:szCs w:val="28"/>
        </w:rPr>
        <w:t>，包含岐江河，二级管制区193.99hm</w:t>
      </w:r>
      <w:r>
        <w:rPr>
          <w:rFonts w:hint="eastAsia" w:cs="Times New Roman"/>
          <w:szCs w:val="28"/>
          <w:vertAlign w:val="superscript"/>
        </w:rPr>
        <w:t>2</w:t>
      </w:r>
      <w:r>
        <w:rPr>
          <w:rFonts w:hint="eastAsia" w:cs="Times New Roman"/>
          <w:szCs w:val="28"/>
        </w:rPr>
        <w:t>，包含岐江公园、马山公园、基本农田集中区等，具体如表1-8、表1-9和</w:t>
      </w:r>
      <w:r>
        <w:rPr>
          <w:rFonts w:hint="eastAsia" w:cs="Times New Roman"/>
          <w:b/>
          <w:bCs/>
          <w:szCs w:val="28"/>
        </w:rPr>
        <w:t>附图9</w:t>
      </w:r>
      <w:r>
        <w:rPr>
          <w:rFonts w:hint="eastAsia" w:cs="Times New Roman"/>
          <w:szCs w:val="28"/>
        </w:rPr>
        <w:t>。</w:t>
      </w:r>
    </w:p>
    <w:p w14:paraId="0BCD0F0C">
      <w:pPr>
        <w:spacing w:before="156" w:beforeLines="50" w:line="240" w:lineRule="auto"/>
        <w:ind w:firstLine="420"/>
        <w:jc w:val="center"/>
        <w:rPr>
          <w:rFonts w:cs="Times New Roman"/>
          <w:bCs/>
          <w:sz w:val="21"/>
          <w:lang w:val="zh-CN"/>
        </w:rPr>
      </w:pPr>
      <w:r>
        <w:rPr>
          <w:rFonts w:cs="Times New Roman"/>
          <w:bCs/>
          <w:sz w:val="21"/>
        </w:rPr>
        <w:t>表1-</w:t>
      </w:r>
      <w:r>
        <w:rPr>
          <w:rFonts w:hint="eastAsia" w:cs="Times New Roman"/>
          <w:bCs/>
          <w:sz w:val="21"/>
        </w:rPr>
        <w:t>8</w:t>
      </w:r>
      <w:r>
        <w:rPr>
          <w:rFonts w:cs="Times New Roman"/>
          <w:bCs/>
          <w:sz w:val="21"/>
        </w:rPr>
        <w:t xml:space="preserve"> </w:t>
      </w:r>
      <w:r>
        <w:rPr>
          <w:rFonts w:cs="Times New Roman"/>
          <w:bCs/>
          <w:sz w:val="21"/>
          <w:lang w:val="zh-CN"/>
        </w:rPr>
        <w:t>生态控制线用地分级统计汇总表</w:t>
      </w:r>
    </w:p>
    <w:tbl>
      <w:tblPr>
        <w:tblStyle w:val="2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5"/>
        <w:gridCol w:w="2550"/>
        <w:gridCol w:w="3192"/>
        <w:gridCol w:w="1741"/>
      </w:tblGrid>
      <w:tr w14:paraId="25E52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45" w:type="dxa"/>
            <w:shd w:val="clear" w:color="auto" w:fill="auto"/>
            <w:vAlign w:val="center"/>
          </w:tcPr>
          <w:p w14:paraId="0BDC407E">
            <w:pPr>
              <w:widowControl/>
              <w:spacing w:line="240" w:lineRule="auto"/>
              <w:ind w:firstLine="0" w:firstLineChars="0"/>
              <w:jc w:val="center"/>
              <w:rPr>
                <w:rFonts w:eastAsia="宋体" w:cs="Times New Roman"/>
                <w:kern w:val="0"/>
                <w:sz w:val="21"/>
              </w:rPr>
            </w:pPr>
            <w:r>
              <w:rPr>
                <w:rFonts w:eastAsia="宋体" w:cs="Times New Roman"/>
                <w:kern w:val="0"/>
                <w:sz w:val="21"/>
              </w:rPr>
              <w:t>序号</w:t>
            </w:r>
          </w:p>
        </w:tc>
        <w:tc>
          <w:tcPr>
            <w:tcW w:w="2550" w:type="dxa"/>
            <w:shd w:val="clear" w:color="auto" w:fill="auto"/>
            <w:vAlign w:val="center"/>
          </w:tcPr>
          <w:p w14:paraId="5C22615C">
            <w:pPr>
              <w:widowControl/>
              <w:spacing w:line="240" w:lineRule="auto"/>
              <w:ind w:firstLine="0" w:firstLineChars="0"/>
              <w:jc w:val="center"/>
              <w:rPr>
                <w:rFonts w:eastAsia="宋体" w:cs="Times New Roman"/>
                <w:kern w:val="0"/>
                <w:sz w:val="21"/>
              </w:rPr>
            </w:pPr>
            <w:r>
              <w:rPr>
                <w:rFonts w:eastAsia="宋体" w:cs="Times New Roman"/>
                <w:kern w:val="0"/>
                <w:sz w:val="21"/>
              </w:rPr>
              <w:t>管制等级</w:t>
            </w:r>
          </w:p>
        </w:tc>
        <w:tc>
          <w:tcPr>
            <w:tcW w:w="3192" w:type="dxa"/>
            <w:shd w:val="clear" w:color="auto" w:fill="auto"/>
            <w:vAlign w:val="center"/>
          </w:tcPr>
          <w:p w14:paraId="4847F909">
            <w:pPr>
              <w:widowControl/>
              <w:spacing w:line="240" w:lineRule="auto"/>
              <w:ind w:firstLine="0" w:firstLineChars="0"/>
              <w:jc w:val="center"/>
              <w:rPr>
                <w:rFonts w:eastAsia="宋体" w:cs="Times New Roman"/>
                <w:kern w:val="0"/>
                <w:sz w:val="21"/>
              </w:rPr>
            </w:pPr>
            <w:r>
              <w:rPr>
                <w:rFonts w:eastAsia="宋体" w:cs="Times New Roman"/>
                <w:kern w:val="0"/>
                <w:sz w:val="21"/>
              </w:rPr>
              <w:t>面积（</w:t>
            </w:r>
            <w:r>
              <w:rPr>
                <w:rFonts w:cs="Times New Roman"/>
                <w:sz w:val="21"/>
              </w:rPr>
              <w:t>hm</w:t>
            </w:r>
            <w:r>
              <w:rPr>
                <w:rFonts w:cs="Times New Roman"/>
                <w:sz w:val="21"/>
                <w:vertAlign w:val="superscript"/>
              </w:rPr>
              <w:t>2</w:t>
            </w:r>
            <w:r>
              <w:rPr>
                <w:rFonts w:eastAsia="宋体" w:cs="Times New Roman"/>
                <w:kern w:val="0"/>
                <w:sz w:val="21"/>
              </w:rPr>
              <w:t>）</w:t>
            </w:r>
          </w:p>
        </w:tc>
        <w:tc>
          <w:tcPr>
            <w:tcW w:w="1741" w:type="dxa"/>
            <w:shd w:val="clear" w:color="auto" w:fill="auto"/>
            <w:vAlign w:val="center"/>
          </w:tcPr>
          <w:p w14:paraId="1A7D7F5D">
            <w:pPr>
              <w:widowControl/>
              <w:spacing w:line="240" w:lineRule="auto"/>
              <w:ind w:firstLine="0" w:firstLineChars="0"/>
              <w:jc w:val="center"/>
              <w:rPr>
                <w:rFonts w:eastAsia="宋体" w:cs="Times New Roman"/>
                <w:kern w:val="0"/>
                <w:sz w:val="21"/>
              </w:rPr>
            </w:pPr>
            <w:r>
              <w:rPr>
                <w:rFonts w:eastAsia="宋体" w:cs="Times New Roman"/>
                <w:kern w:val="0"/>
                <w:sz w:val="21"/>
              </w:rPr>
              <w:t>占比(%)</w:t>
            </w:r>
          </w:p>
        </w:tc>
      </w:tr>
      <w:tr w14:paraId="47A67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45" w:type="dxa"/>
            <w:shd w:val="clear" w:color="auto" w:fill="auto"/>
            <w:vAlign w:val="center"/>
          </w:tcPr>
          <w:p w14:paraId="3BC910BF">
            <w:pPr>
              <w:widowControl/>
              <w:spacing w:line="240" w:lineRule="auto"/>
              <w:ind w:firstLine="0" w:firstLineChars="0"/>
              <w:jc w:val="center"/>
              <w:rPr>
                <w:rFonts w:eastAsia="宋体" w:cs="Times New Roman"/>
                <w:kern w:val="0"/>
                <w:sz w:val="21"/>
              </w:rPr>
            </w:pPr>
            <w:r>
              <w:rPr>
                <w:rFonts w:eastAsia="宋体" w:cs="Times New Roman"/>
                <w:kern w:val="0"/>
                <w:sz w:val="21"/>
              </w:rPr>
              <w:t>1</w:t>
            </w:r>
          </w:p>
        </w:tc>
        <w:tc>
          <w:tcPr>
            <w:tcW w:w="2550" w:type="dxa"/>
            <w:shd w:val="clear" w:color="auto" w:fill="auto"/>
            <w:vAlign w:val="center"/>
          </w:tcPr>
          <w:p w14:paraId="18EB45F0">
            <w:pPr>
              <w:widowControl/>
              <w:spacing w:line="240" w:lineRule="auto"/>
              <w:ind w:firstLine="0" w:firstLineChars="0"/>
              <w:jc w:val="center"/>
              <w:rPr>
                <w:rFonts w:eastAsia="宋体" w:cs="Times New Roman"/>
                <w:kern w:val="0"/>
                <w:sz w:val="21"/>
              </w:rPr>
            </w:pPr>
            <w:r>
              <w:rPr>
                <w:rFonts w:eastAsia="宋体" w:cs="Times New Roman"/>
                <w:kern w:val="0"/>
                <w:sz w:val="21"/>
              </w:rPr>
              <w:t>一级管制区</w:t>
            </w:r>
          </w:p>
        </w:tc>
        <w:tc>
          <w:tcPr>
            <w:tcW w:w="3192" w:type="dxa"/>
            <w:shd w:val="clear" w:color="auto" w:fill="auto"/>
            <w:vAlign w:val="center"/>
          </w:tcPr>
          <w:p w14:paraId="322E9508">
            <w:pPr>
              <w:widowControl/>
              <w:spacing w:line="240" w:lineRule="auto"/>
              <w:ind w:firstLine="0" w:firstLineChars="0"/>
              <w:jc w:val="center"/>
              <w:rPr>
                <w:rFonts w:eastAsia="宋体" w:cs="Times New Roman"/>
                <w:kern w:val="0"/>
                <w:sz w:val="21"/>
              </w:rPr>
            </w:pPr>
            <w:r>
              <w:rPr>
                <w:rFonts w:hint="eastAsia" w:eastAsia="宋体" w:cs="Times New Roman"/>
                <w:kern w:val="0"/>
                <w:sz w:val="21"/>
              </w:rPr>
              <w:t>23.05</w:t>
            </w:r>
          </w:p>
        </w:tc>
        <w:tc>
          <w:tcPr>
            <w:tcW w:w="1741" w:type="dxa"/>
            <w:shd w:val="clear" w:color="auto" w:fill="auto"/>
            <w:vAlign w:val="center"/>
          </w:tcPr>
          <w:p w14:paraId="3B0EFFBB">
            <w:pPr>
              <w:widowControl/>
              <w:spacing w:line="240" w:lineRule="auto"/>
              <w:ind w:firstLine="0" w:firstLineChars="0"/>
              <w:jc w:val="center"/>
              <w:rPr>
                <w:rFonts w:eastAsia="宋体" w:cs="Times New Roman"/>
                <w:kern w:val="0"/>
                <w:sz w:val="21"/>
              </w:rPr>
            </w:pPr>
            <w:r>
              <w:rPr>
                <w:rFonts w:hint="eastAsia" w:eastAsia="宋体" w:cs="Times New Roman"/>
                <w:kern w:val="0"/>
                <w:sz w:val="21"/>
              </w:rPr>
              <w:t>10.6</w:t>
            </w:r>
          </w:p>
        </w:tc>
      </w:tr>
      <w:tr w14:paraId="1F45F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45" w:type="dxa"/>
            <w:shd w:val="clear" w:color="auto" w:fill="auto"/>
            <w:vAlign w:val="center"/>
          </w:tcPr>
          <w:p w14:paraId="160894A4">
            <w:pPr>
              <w:widowControl/>
              <w:spacing w:line="240" w:lineRule="auto"/>
              <w:ind w:firstLine="0" w:firstLineChars="0"/>
              <w:jc w:val="center"/>
              <w:rPr>
                <w:rFonts w:eastAsia="宋体" w:cs="Times New Roman"/>
                <w:kern w:val="0"/>
                <w:sz w:val="21"/>
              </w:rPr>
            </w:pPr>
            <w:r>
              <w:rPr>
                <w:rFonts w:eastAsia="宋体" w:cs="Times New Roman"/>
                <w:kern w:val="0"/>
                <w:sz w:val="21"/>
              </w:rPr>
              <w:t>2</w:t>
            </w:r>
          </w:p>
        </w:tc>
        <w:tc>
          <w:tcPr>
            <w:tcW w:w="2550" w:type="dxa"/>
            <w:shd w:val="clear" w:color="auto" w:fill="auto"/>
            <w:vAlign w:val="center"/>
          </w:tcPr>
          <w:p w14:paraId="58E5EC4C">
            <w:pPr>
              <w:widowControl/>
              <w:spacing w:line="240" w:lineRule="auto"/>
              <w:ind w:firstLine="0" w:firstLineChars="0"/>
              <w:jc w:val="center"/>
              <w:rPr>
                <w:rFonts w:eastAsia="宋体" w:cs="Times New Roman"/>
                <w:kern w:val="0"/>
                <w:sz w:val="21"/>
              </w:rPr>
            </w:pPr>
            <w:r>
              <w:rPr>
                <w:rFonts w:eastAsia="宋体" w:cs="Times New Roman"/>
                <w:kern w:val="0"/>
                <w:sz w:val="21"/>
              </w:rPr>
              <w:t>二级管制区</w:t>
            </w:r>
          </w:p>
        </w:tc>
        <w:tc>
          <w:tcPr>
            <w:tcW w:w="3192" w:type="dxa"/>
            <w:shd w:val="clear" w:color="auto" w:fill="auto"/>
            <w:vAlign w:val="center"/>
          </w:tcPr>
          <w:p w14:paraId="4AEB4661">
            <w:pPr>
              <w:widowControl/>
              <w:spacing w:line="240" w:lineRule="auto"/>
              <w:ind w:firstLine="0" w:firstLineChars="0"/>
              <w:jc w:val="center"/>
              <w:rPr>
                <w:rFonts w:eastAsia="宋体" w:cs="Times New Roman"/>
                <w:kern w:val="0"/>
                <w:sz w:val="21"/>
              </w:rPr>
            </w:pPr>
            <w:r>
              <w:rPr>
                <w:rFonts w:hint="eastAsia" w:eastAsia="宋体" w:cs="Times New Roman"/>
                <w:kern w:val="0"/>
                <w:sz w:val="21"/>
              </w:rPr>
              <w:t>193.99</w:t>
            </w:r>
          </w:p>
        </w:tc>
        <w:tc>
          <w:tcPr>
            <w:tcW w:w="1741" w:type="dxa"/>
            <w:shd w:val="clear" w:color="auto" w:fill="auto"/>
            <w:vAlign w:val="center"/>
          </w:tcPr>
          <w:p w14:paraId="6F45667A">
            <w:pPr>
              <w:widowControl/>
              <w:spacing w:line="240" w:lineRule="auto"/>
              <w:ind w:firstLine="0" w:firstLineChars="0"/>
              <w:jc w:val="center"/>
              <w:rPr>
                <w:rFonts w:eastAsia="宋体" w:cs="Times New Roman"/>
                <w:kern w:val="0"/>
                <w:sz w:val="21"/>
              </w:rPr>
            </w:pPr>
            <w:r>
              <w:rPr>
                <w:rFonts w:hint="eastAsia" w:eastAsia="宋体" w:cs="Times New Roman"/>
                <w:kern w:val="0"/>
                <w:sz w:val="21"/>
              </w:rPr>
              <w:t>89.4</w:t>
            </w:r>
          </w:p>
        </w:tc>
      </w:tr>
      <w:tr w14:paraId="5E599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45" w:type="dxa"/>
            <w:shd w:val="clear" w:color="auto" w:fill="auto"/>
            <w:vAlign w:val="center"/>
          </w:tcPr>
          <w:p w14:paraId="16A95A71">
            <w:pPr>
              <w:widowControl/>
              <w:spacing w:line="240" w:lineRule="auto"/>
              <w:ind w:firstLine="0" w:firstLineChars="0"/>
              <w:jc w:val="center"/>
              <w:rPr>
                <w:rFonts w:eastAsia="宋体" w:cs="Times New Roman"/>
                <w:kern w:val="0"/>
                <w:sz w:val="21"/>
              </w:rPr>
            </w:pPr>
            <w:r>
              <w:rPr>
                <w:rFonts w:eastAsia="宋体" w:cs="Times New Roman"/>
                <w:kern w:val="0"/>
                <w:sz w:val="21"/>
              </w:rPr>
              <w:t>3</w:t>
            </w:r>
          </w:p>
        </w:tc>
        <w:tc>
          <w:tcPr>
            <w:tcW w:w="2550" w:type="dxa"/>
            <w:shd w:val="clear" w:color="auto" w:fill="auto"/>
            <w:vAlign w:val="center"/>
          </w:tcPr>
          <w:p w14:paraId="2F1F9E6E">
            <w:pPr>
              <w:widowControl/>
              <w:spacing w:line="240" w:lineRule="auto"/>
              <w:ind w:firstLine="0" w:firstLineChars="0"/>
              <w:jc w:val="center"/>
              <w:rPr>
                <w:rFonts w:eastAsia="宋体" w:cs="Times New Roman"/>
                <w:kern w:val="0"/>
                <w:sz w:val="21"/>
              </w:rPr>
            </w:pPr>
            <w:r>
              <w:rPr>
                <w:rFonts w:eastAsia="宋体" w:cs="Times New Roman"/>
                <w:kern w:val="0"/>
                <w:sz w:val="21"/>
              </w:rPr>
              <w:t>合计</w:t>
            </w:r>
          </w:p>
        </w:tc>
        <w:tc>
          <w:tcPr>
            <w:tcW w:w="3192" w:type="dxa"/>
            <w:shd w:val="clear" w:color="auto" w:fill="auto"/>
            <w:vAlign w:val="center"/>
          </w:tcPr>
          <w:p w14:paraId="3E41C204">
            <w:pPr>
              <w:widowControl/>
              <w:spacing w:line="240" w:lineRule="auto"/>
              <w:ind w:firstLine="0" w:firstLineChars="0"/>
              <w:jc w:val="center"/>
              <w:rPr>
                <w:rFonts w:eastAsia="宋体" w:cs="Times New Roman"/>
                <w:kern w:val="0"/>
                <w:sz w:val="21"/>
              </w:rPr>
            </w:pPr>
            <w:r>
              <w:rPr>
                <w:rFonts w:hint="eastAsia" w:eastAsia="宋体" w:cs="Times New Roman"/>
                <w:kern w:val="0"/>
                <w:sz w:val="21"/>
              </w:rPr>
              <w:t>217.04</w:t>
            </w:r>
          </w:p>
        </w:tc>
        <w:tc>
          <w:tcPr>
            <w:tcW w:w="1741" w:type="dxa"/>
            <w:shd w:val="clear" w:color="auto" w:fill="auto"/>
            <w:vAlign w:val="center"/>
          </w:tcPr>
          <w:p w14:paraId="0260F755">
            <w:pPr>
              <w:widowControl/>
              <w:spacing w:line="240" w:lineRule="auto"/>
              <w:ind w:firstLine="0" w:firstLineChars="0"/>
              <w:jc w:val="center"/>
              <w:rPr>
                <w:rFonts w:eastAsia="宋体" w:cs="Times New Roman"/>
                <w:kern w:val="0"/>
                <w:sz w:val="21"/>
              </w:rPr>
            </w:pPr>
            <w:r>
              <w:rPr>
                <w:rFonts w:hint="eastAsia" w:eastAsia="宋体" w:cs="Times New Roman"/>
                <w:kern w:val="0"/>
                <w:sz w:val="21"/>
              </w:rPr>
              <w:t>100</w:t>
            </w:r>
          </w:p>
        </w:tc>
      </w:tr>
    </w:tbl>
    <w:p w14:paraId="1C5044AC">
      <w:pPr>
        <w:spacing w:line="240" w:lineRule="auto"/>
        <w:ind w:firstLine="420"/>
        <w:jc w:val="center"/>
        <w:rPr>
          <w:rFonts w:cs="Times New Roman"/>
          <w:bCs/>
          <w:sz w:val="21"/>
        </w:rPr>
      </w:pPr>
    </w:p>
    <w:p w14:paraId="1B754DA4">
      <w:pPr>
        <w:spacing w:line="240" w:lineRule="auto"/>
        <w:ind w:firstLine="420"/>
        <w:jc w:val="center"/>
        <w:rPr>
          <w:rFonts w:cs="Times New Roman"/>
          <w:bCs/>
          <w:sz w:val="21"/>
          <w:lang w:val="zh-CN"/>
        </w:rPr>
      </w:pPr>
      <w:r>
        <w:rPr>
          <w:rFonts w:cs="Times New Roman"/>
          <w:bCs/>
          <w:sz w:val="21"/>
        </w:rPr>
        <w:t>表1-</w:t>
      </w:r>
      <w:r>
        <w:rPr>
          <w:rFonts w:hint="eastAsia" w:cs="Times New Roman"/>
          <w:bCs/>
          <w:sz w:val="21"/>
        </w:rPr>
        <w:t>9</w:t>
      </w:r>
      <w:r>
        <w:rPr>
          <w:rFonts w:cs="Times New Roman"/>
          <w:bCs/>
          <w:sz w:val="21"/>
        </w:rPr>
        <w:t xml:space="preserve"> </w:t>
      </w:r>
      <w:r>
        <w:rPr>
          <w:rFonts w:cs="Times New Roman"/>
          <w:bCs/>
          <w:sz w:val="21"/>
          <w:lang w:val="zh-CN"/>
        </w:rPr>
        <w:t>生态控制线构成对象</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1222"/>
        <w:gridCol w:w="1977"/>
        <w:gridCol w:w="1338"/>
        <w:gridCol w:w="1255"/>
        <w:gridCol w:w="2043"/>
      </w:tblGrid>
      <w:tr w14:paraId="6AB69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1A9FE73D">
            <w:pPr>
              <w:widowControl/>
              <w:spacing w:line="240" w:lineRule="exact"/>
              <w:ind w:firstLine="0" w:firstLineChars="0"/>
              <w:jc w:val="center"/>
              <w:rPr>
                <w:rFonts w:eastAsia="宋体" w:cs="Times New Roman"/>
                <w:kern w:val="0"/>
                <w:sz w:val="21"/>
              </w:rPr>
            </w:pPr>
            <w:r>
              <w:rPr>
                <w:rFonts w:eastAsia="宋体" w:cs="Times New Roman"/>
                <w:kern w:val="0"/>
                <w:sz w:val="21"/>
              </w:rPr>
              <w:t>序号</w:t>
            </w:r>
          </w:p>
        </w:tc>
        <w:tc>
          <w:tcPr>
            <w:tcW w:w="1222" w:type="dxa"/>
            <w:shd w:val="clear" w:color="auto" w:fill="auto"/>
            <w:vAlign w:val="center"/>
          </w:tcPr>
          <w:p w14:paraId="0AA92748">
            <w:pPr>
              <w:widowControl/>
              <w:spacing w:line="240" w:lineRule="exact"/>
              <w:ind w:firstLine="0" w:firstLineChars="0"/>
              <w:jc w:val="center"/>
              <w:rPr>
                <w:rFonts w:eastAsia="宋体" w:cs="Times New Roman"/>
                <w:kern w:val="0"/>
                <w:sz w:val="21"/>
              </w:rPr>
            </w:pPr>
            <w:r>
              <w:rPr>
                <w:rFonts w:eastAsia="宋体" w:cs="Times New Roman"/>
                <w:kern w:val="0"/>
                <w:sz w:val="21"/>
              </w:rPr>
              <w:t>宗地编码</w:t>
            </w:r>
          </w:p>
        </w:tc>
        <w:tc>
          <w:tcPr>
            <w:tcW w:w="1977" w:type="dxa"/>
            <w:shd w:val="clear" w:color="auto" w:fill="auto"/>
            <w:vAlign w:val="center"/>
          </w:tcPr>
          <w:p w14:paraId="2D056DE4">
            <w:pPr>
              <w:widowControl/>
              <w:spacing w:line="240" w:lineRule="exact"/>
              <w:ind w:firstLine="0" w:firstLineChars="0"/>
              <w:jc w:val="center"/>
              <w:rPr>
                <w:rFonts w:eastAsia="宋体" w:cs="Times New Roman"/>
                <w:kern w:val="0"/>
                <w:sz w:val="21"/>
              </w:rPr>
            </w:pPr>
            <w:r>
              <w:rPr>
                <w:rFonts w:eastAsia="宋体" w:cs="Times New Roman"/>
                <w:kern w:val="0"/>
                <w:sz w:val="21"/>
              </w:rPr>
              <w:t>用地分类</w:t>
            </w:r>
          </w:p>
        </w:tc>
        <w:tc>
          <w:tcPr>
            <w:tcW w:w="1338" w:type="dxa"/>
            <w:shd w:val="clear" w:color="auto" w:fill="auto"/>
            <w:vAlign w:val="center"/>
          </w:tcPr>
          <w:p w14:paraId="0A156A95">
            <w:pPr>
              <w:widowControl/>
              <w:spacing w:line="240" w:lineRule="exact"/>
              <w:ind w:firstLine="0" w:firstLineChars="0"/>
              <w:jc w:val="center"/>
              <w:rPr>
                <w:rFonts w:eastAsia="宋体" w:cs="Times New Roman"/>
                <w:kern w:val="0"/>
                <w:sz w:val="21"/>
              </w:rPr>
            </w:pPr>
            <w:r>
              <w:rPr>
                <w:rFonts w:eastAsia="宋体" w:cs="Times New Roman"/>
                <w:kern w:val="0"/>
                <w:sz w:val="21"/>
              </w:rPr>
              <w:t>面积（</w:t>
            </w:r>
            <w:r>
              <w:rPr>
                <w:rFonts w:eastAsia="宋体" w:cs="Times New Roman"/>
                <w:sz w:val="21"/>
              </w:rPr>
              <w:t>hm</w:t>
            </w:r>
            <w:r>
              <w:rPr>
                <w:rFonts w:eastAsia="宋体" w:cs="Times New Roman"/>
                <w:sz w:val="21"/>
                <w:vertAlign w:val="superscript"/>
              </w:rPr>
              <w:t>2</w:t>
            </w:r>
            <w:r>
              <w:rPr>
                <w:rFonts w:eastAsia="宋体" w:cs="Times New Roman"/>
                <w:kern w:val="0"/>
                <w:sz w:val="21"/>
              </w:rPr>
              <w:t>）</w:t>
            </w:r>
          </w:p>
        </w:tc>
        <w:tc>
          <w:tcPr>
            <w:tcW w:w="1255" w:type="dxa"/>
            <w:shd w:val="clear" w:color="auto" w:fill="auto"/>
            <w:vAlign w:val="center"/>
          </w:tcPr>
          <w:p w14:paraId="069A591A">
            <w:pPr>
              <w:widowControl/>
              <w:spacing w:line="240" w:lineRule="exact"/>
              <w:ind w:firstLine="0" w:firstLineChars="0"/>
              <w:jc w:val="center"/>
              <w:rPr>
                <w:rFonts w:eastAsia="宋体" w:cs="Times New Roman"/>
                <w:kern w:val="0"/>
                <w:sz w:val="21"/>
              </w:rPr>
            </w:pPr>
            <w:r>
              <w:rPr>
                <w:rFonts w:eastAsia="宋体" w:cs="Times New Roman"/>
                <w:kern w:val="0"/>
                <w:sz w:val="21"/>
              </w:rPr>
              <w:t>管制级别</w:t>
            </w:r>
          </w:p>
        </w:tc>
        <w:tc>
          <w:tcPr>
            <w:tcW w:w="2043" w:type="dxa"/>
            <w:shd w:val="clear" w:color="auto" w:fill="auto"/>
            <w:vAlign w:val="center"/>
          </w:tcPr>
          <w:p w14:paraId="160245DF">
            <w:pPr>
              <w:widowControl/>
              <w:spacing w:line="240" w:lineRule="exact"/>
              <w:ind w:firstLine="0" w:firstLineChars="0"/>
              <w:jc w:val="center"/>
              <w:rPr>
                <w:rFonts w:eastAsia="宋体" w:cs="Times New Roman"/>
                <w:kern w:val="0"/>
                <w:sz w:val="21"/>
              </w:rPr>
            </w:pPr>
            <w:r>
              <w:rPr>
                <w:rFonts w:eastAsia="宋体" w:cs="Times New Roman"/>
                <w:kern w:val="0"/>
                <w:sz w:val="21"/>
              </w:rPr>
              <w:t>备注</w:t>
            </w:r>
          </w:p>
        </w:tc>
      </w:tr>
      <w:tr w14:paraId="598E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6418DA6A">
            <w:pPr>
              <w:widowControl/>
              <w:spacing w:line="240" w:lineRule="exact"/>
              <w:ind w:firstLine="0" w:firstLineChars="0"/>
              <w:jc w:val="center"/>
              <w:rPr>
                <w:rFonts w:eastAsia="宋体" w:cs="Times New Roman"/>
                <w:kern w:val="0"/>
                <w:sz w:val="21"/>
              </w:rPr>
            </w:pPr>
            <w:r>
              <w:rPr>
                <w:rFonts w:eastAsia="宋体" w:cs="Times New Roman"/>
                <w:kern w:val="0"/>
                <w:sz w:val="21"/>
              </w:rPr>
              <w:t>1</w:t>
            </w:r>
          </w:p>
        </w:tc>
        <w:tc>
          <w:tcPr>
            <w:tcW w:w="1222" w:type="dxa"/>
            <w:shd w:val="clear" w:color="auto" w:fill="auto"/>
            <w:vAlign w:val="center"/>
          </w:tcPr>
          <w:p w14:paraId="5C08F06E">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01</w:t>
            </w:r>
          </w:p>
        </w:tc>
        <w:tc>
          <w:tcPr>
            <w:tcW w:w="1977" w:type="dxa"/>
            <w:shd w:val="clear" w:color="auto" w:fill="auto"/>
            <w:vAlign w:val="center"/>
          </w:tcPr>
          <w:p w14:paraId="564F3162">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4F303C1C">
            <w:pPr>
              <w:widowControl/>
              <w:spacing w:line="240" w:lineRule="exact"/>
              <w:ind w:firstLine="0" w:firstLineChars="0"/>
              <w:jc w:val="center"/>
              <w:rPr>
                <w:rFonts w:eastAsia="宋体" w:cs="Times New Roman"/>
                <w:kern w:val="0"/>
                <w:sz w:val="21"/>
              </w:rPr>
            </w:pPr>
            <w:r>
              <w:rPr>
                <w:rFonts w:hint="eastAsia" w:eastAsia="宋体" w:cs="Times New Roman"/>
                <w:kern w:val="0"/>
                <w:sz w:val="21"/>
              </w:rPr>
              <w:t>115.71</w:t>
            </w:r>
          </w:p>
        </w:tc>
        <w:tc>
          <w:tcPr>
            <w:tcW w:w="1255" w:type="dxa"/>
            <w:shd w:val="clear" w:color="auto" w:fill="auto"/>
            <w:vAlign w:val="center"/>
          </w:tcPr>
          <w:p w14:paraId="09D05D58">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6FF35E2A">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0FEA9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55ED3487">
            <w:pPr>
              <w:widowControl/>
              <w:spacing w:line="240" w:lineRule="exact"/>
              <w:ind w:firstLine="0" w:firstLineChars="0"/>
              <w:jc w:val="center"/>
              <w:rPr>
                <w:rFonts w:eastAsia="宋体" w:cs="Times New Roman"/>
                <w:kern w:val="0"/>
                <w:sz w:val="21"/>
              </w:rPr>
            </w:pPr>
            <w:r>
              <w:rPr>
                <w:rFonts w:eastAsia="宋体" w:cs="Times New Roman"/>
                <w:kern w:val="0"/>
                <w:sz w:val="21"/>
              </w:rPr>
              <w:t>2</w:t>
            </w:r>
          </w:p>
        </w:tc>
        <w:tc>
          <w:tcPr>
            <w:tcW w:w="1222" w:type="dxa"/>
            <w:shd w:val="clear" w:color="auto" w:fill="auto"/>
            <w:vAlign w:val="center"/>
          </w:tcPr>
          <w:p w14:paraId="1DE85EF3">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02</w:t>
            </w:r>
          </w:p>
        </w:tc>
        <w:tc>
          <w:tcPr>
            <w:tcW w:w="1977" w:type="dxa"/>
            <w:shd w:val="clear" w:color="auto" w:fill="auto"/>
            <w:vAlign w:val="center"/>
          </w:tcPr>
          <w:p w14:paraId="161CB720">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16A4BCE6">
            <w:pPr>
              <w:widowControl/>
              <w:spacing w:line="240" w:lineRule="exact"/>
              <w:ind w:firstLine="0" w:firstLineChars="0"/>
              <w:jc w:val="center"/>
              <w:rPr>
                <w:rFonts w:eastAsia="宋体" w:cs="Times New Roman"/>
                <w:kern w:val="0"/>
                <w:sz w:val="21"/>
              </w:rPr>
            </w:pPr>
            <w:r>
              <w:rPr>
                <w:rFonts w:hint="eastAsia" w:eastAsia="宋体" w:cs="Times New Roman"/>
                <w:kern w:val="0"/>
                <w:sz w:val="21"/>
              </w:rPr>
              <w:t>1.98</w:t>
            </w:r>
          </w:p>
        </w:tc>
        <w:tc>
          <w:tcPr>
            <w:tcW w:w="1255" w:type="dxa"/>
            <w:shd w:val="clear" w:color="auto" w:fill="auto"/>
            <w:vAlign w:val="center"/>
          </w:tcPr>
          <w:p w14:paraId="35595480">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4D183D46">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45787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4138D086">
            <w:pPr>
              <w:widowControl/>
              <w:spacing w:line="240" w:lineRule="exact"/>
              <w:ind w:firstLine="0" w:firstLineChars="0"/>
              <w:jc w:val="center"/>
              <w:rPr>
                <w:rFonts w:eastAsia="宋体" w:cs="Times New Roman"/>
                <w:kern w:val="0"/>
                <w:sz w:val="21"/>
              </w:rPr>
            </w:pPr>
            <w:r>
              <w:rPr>
                <w:rFonts w:eastAsia="宋体" w:cs="Times New Roman"/>
                <w:kern w:val="0"/>
                <w:sz w:val="21"/>
              </w:rPr>
              <w:t>3</w:t>
            </w:r>
          </w:p>
        </w:tc>
        <w:tc>
          <w:tcPr>
            <w:tcW w:w="1222" w:type="dxa"/>
            <w:shd w:val="clear" w:color="auto" w:fill="auto"/>
            <w:vAlign w:val="center"/>
          </w:tcPr>
          <w:p w14:paraId="49ADB39D">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03</w:t>
            </w:r>
          </w:p>
        </w:tc>
        <w:tc>
          <w:tcPr>
            <w:tcW w:w="1977" w:type="dxa"/>
            <w:shd w:val="clear" w:color="auto" w:fill="auto"/>
            <w:vAlign w:val="center"/>
          </w:tcPr>
          <w:p w14:paraId="416F7FC5">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5132F1C5">
            <w:pPr>
              <w:widowControl/>
              <w:spacing w:line="240" w:lineRule="exact"/>
              <w:ind w:firstLine="0" w:firstLineChars="0"/>
              <w:jc w:val="center"/>
              <w:rPr>
                <w:rFonts w:eastAsia="宋体" w:cs="Times New Roman"/>
                <w:kern w:val="0"/>
                <w:sz w:val="21"/>
              </w:rPr>
            </w:pPr>
            <w:r>
              <w:rPr>
                <w:rFonts w:hint="eastAsia" w:eastAsia="宋体" w:cs="Times New Roman"/>
                <w:kern w:val="0"/>
                <w:sz w:val="21"/>
              </w:rPr>
              <w:t>21.96</w:t>
            </w:r>
          </w:p>
        </w:tc>
        <w:tc>
          <w:tcPr>
            <w:tcW w:w="1255" w:type="dxa"/>
            <w:shd w:val="clear" w:color="auto" w:fill="auto"/>
            <w:vAlign w:val="center"/>
          </w:tcPr>
          <w:p w14:paraId="4C25546E">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0516BD19">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45C9D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729648C7">
            <w:pPr>
              <w:widowControl/>
              <w:spacing w:line="240" w:lineRule="exact"/>
              <w:ind w:firstLine="0" w:firstLineChars="0"/>
              <w:jc w:val="center"/>
              <w:rPr>
                <w:rFonts w:eastAsia="宋体" w:cs="Times New Roman"/>
                <w:kern w:val="0"/>
                <w:sz w:val="21"/>
              </w:rPr>
            </w:pPr>
            <w:r>
              <w:rPr>
                <w:rFonts w:eastAsia="宋体" w:cs="Times New Roman"/>
                <w:kern w:val="0"/>
                <w:sz w:val="21"/>
              </w:rPr>
              <w:t>4</w:t>
            </w:r>
          </w:p>
        </w:tc>
        <w:tc>
          <w:tcPr>
            <w:tcW w:w="1222" w:type="dxa"/>
            <w:shd w:val="clear" w:color="auto" w:fill="auto"/>
            <w:vAlign w:val="center"/>
          </w:tcPr>
          <w:p w14:paraId="3242CD46">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04</w:t>
            </w:r>
          </w:p>
        </w:tc>
        <w:tc>
          <w:tcPr>
            <w:tcW w:w="1977" w:type="dxa"/>
            <w:shd w:val="clear" w:color="auto" w:fill="auto"/>
            <w:vAlign w:val="center"/>
          </w:tcPr>
          <w:p w14:paraId="2B8EC8D0">
            <w:pPr>
              <w:widowControl/>
              <w:spacing w:line="240" w:lineRule="exact"/>
              <w:ind w:firstLine="0" w:firstLineChars="0"/>
              <w:jc w:val="center"/>
              <w:rPr>
                <w:rFonts w:eastAsia="宋体" w:cs="Times New Roman"/>
                <w:kern w:val="0"/>
                <w:sz w:val="21"/>
              </w:rPr>
            </w:pPr>
            <w:r>
              <w:rPr>
                <w:rFonts w:eastAsia="宋体" w:cs="Times New Roman"/>
                <w:kern w:val="0"/>
                <w:sz w:val="21"/>
              </w:rPr>
              <w:t>主干河流及堤围</w:t>
            </w:r>
          </w:p>
        </w:tc>
        <w:tc>
          <w:tcPr>
            <w:tcW w:w="1338" w:type="dxa"/>
            <w:shd w:val="clear" w:color="auto" w:fill="auto"/>
            <w:vAlign w:val="center"/>
          </w:tcPr>
          <w:p w14:paraId="26131297">
            <w:pPr>
              <w:widowControl/>
              <w:spacing w:line="240" w:lineRule="exact"/>
              <w:ind w:firstLine="0" w:firstLineChars="0"/>
              <w:jc w:val="center"/>
              <w:rPr>
                <w:rFonts w:eastAsia="宋体" w:cs="Times New Roman"/>
                <w:kern w:val="0"/>
                <w:sz w:val="21"/>
              </w:rPr>
            </w:pPr>
            <w:r>
              <w:rPr>
                <w:rFonts w:hint="eastAsia" w:eastAsia="宋体" w:cs="Times New Roman"/>
                <w:kern w:val="0"/>
                <w:sz w:val="21"/>
              </w:rPr>
              <w:t>23.05</w:t>
            </w:r>
          </w:p>
        </w:tc>
        <w:tc>
          <w:tcPr>
            <w:tcW w:w="1255" w:type="dxa"/>
            <w:shd w:val="clear" w:color="auto" w:fill="auto"/>
            <w:vAlign w:val="center"/>
          </w:tcPr>
          <w:p w14:paraId="0DD4D0CB">
            <w:pPr>
              <w:widowControl/>
              <w:spacing w:line="240" w:lineRule="exact"/>
              <w:ind w:firstLine="0" w:firstLineChars="0"/>
              <w:jc w:val="center"/>
              <w:rPr>
                <w:rFonts w:eastAsia="宋体" w:cs="Times New Roman"/>
                <w:kern w:val="0"/>
                <w:sz w:val="21"/>
              </w:rPr>
            </w:pPr>
            <w:r>
              <w:rPr>
                <w:rFonts w:eastAsia="宋体" w:cs="Times New Roman"/>
                <w:kern w:val="0"/>
                <w:sz w:val="21"/>
              </w:rPr>
              <w:t>一级</w:t>
            </w:r>
          </w:p>
        </w:tc>
        <w:tc>
          <w:tcPr>
            <w:tcW w:w="2043" w:type="dxa"/>
            <w:shd w:val="clear" w:color="auto" w:fill="auto"/>
            <w:vAlign w:val="center"/>
          </w:tcPr>
          <w:p w14:paraId="4D572CCC">
            <w:pPr>
              <w:widowControl/>
              <w:spacing w:line="240" w:lineRule="exact"/>
              <w:ind w:firstLine="0" w:firstLineChars="0"/>
              <w:jc w:val="center"/>
              <w:rPr>
                <w:rFonts w:eastAsia="宋体" w:cs="Times New Roman"/>
                <w:kern w:val="0"/>
                <w:sz w:val="21"/>
              </w:rPr>
            </w:pPr>
            <w:r>
              <w:rPr>
                <w:rFonts w:hint="eastAsia" w:eastAsia="宋体" w:cs="Times New Roman"/>
                <w:kern w:val="0"/>
                <w:sz w:val="21"/>
              </w:rPr>
              <w:t>岐江河</w:t>
            </w:r>
          </w:p>
        </w:tc>
      </w:tr>
      <w:tr w14:paraId="545FF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6BBFACE6">
            <w:pPr>
              <w:widowControl/>
              <w:spacing w:line="240" w:lineRule="exact"/>
              <w:ind w:firstLine="0" w:firstLineChars="0"/>
              <w:jc w:val="center"/>
              <w:rPr>
                <w:rFonts w:eastAsia="宋体" w:cs="Times New Roman"/>
                <w:kern w:val="0"/>
                <w:sz w:val="21"/>
              </w:rPr>
            </w:pPr>
            <w:r>
              <w:rPr>
                <w:rFonts w:eastAsia="宋体" w:cs="Times New Roman"/>
                <w:kern w:val="0"/>
                <w:sz w:val="21"/>
              </w:rPr>
              <w:t>5</w:t>
            </w:r>
          </w:p>
        </w:tc>
        <w:tc>
          <w:tcPr>
            <w:tcW w:w="1222" w:type="dxa"/>
            <w:shd w:val="clear" w:color="auto" w:fill="auto"/>
            <w:vAlign w:val="center"/>
          </w:tcPr>
          <w:p w14:paraId="74AEB124">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05</w:t>
            </w:r>
          </w:p>
        </w:tc>
        <w:tc>
          <w:tcPr>
            <w:tcW w:w="1977" w:type="dxa"/>
            <w:shd w:val="clear" w:color="auto" w:fill="auto"/>
            <w:vAlign w:val="center"/>
          </w:tcPr>
          <w:p w14:paraId="00CB4A72">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74AFAF81">
            <w:pPr>
              <w:widowControl/>
              <w:spacing w:line="240" w:lineRule="exact"/>
              <w:ind w:firstLine="0" w:firstLineChars="0"/>
              <w:jc w:val="center"/>
              <w:rPr>
                <w:rFonts w:eastAsia="宋体" w:cs="Times New Roman"/>
                <w:kern w:val="0"/>
                <w:sz w:val="21"/>
              </w:rPr>
            </w:pPr>
            <w:r>
              <w:rPr>
                <w:rFonts w:hint="eastAsia" w:eastAsia="宋体" w:cs="Times New Roman"/>
                <w:kern w:val="0"/>
                <w:sz w:val="21"/>
              </w:rPr>
              <w:t>15.72</w:t>
            </w:r>
          </w:p>
        </w:tc>
        <w:tc>
          <w:tcPr>
            <w:tcW w:w="1255" w:type="dxa"/>
            <w:shd w:val="clear" w:color="auto" w:fill="auto"/>
            <w:vAlign w:val="center"/>
          </w:tcPr>
          <w:p w14:paraId="40FC966E">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58A368D8">
            <w:pPr>
              <w:widowControl/>
              <w:spacing w:line="240" w:lineRule="exact"/>
              <w:ind w:firstLine="0" w:firstLineChars="0"/>
              <w:jc w:val="center"/>
              <w:rPr>
                <w:rFonts w:eastAsia="宋体" w:cs="Times New Roman"/>
                <w:kern w:val="0"/>
                <w:sz w:val="21"/>
              </w:rPr>
            </w:pPr>
            <w:r>
              <w:rPr>
                <w:rFonts w:hint="eastAsia" w:eastAsia="宋体" w:cs="Times New Roman"/>
                <w:kern w:val="0"/>
                <w:sz w:val="21"/>
              </w:rPr>
              <w:t>马山公园</w:t>
            </w:r>
          </w:p>
        </w:tc>
      </w:tr>
      <w:tr w14:paraId="6A696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67BA2329">
            <w:pPr>
              <w:widowControl/>
              <w:spacing w:line="240" w:lineRule="exact"/>
              <w:ind w:firstLine="0" w:firstLineChars="0"/>
              <w:jc w:val="center"/>
              <w:rPr>
                <w:rFonts w:eastAsia="宋体" w:cs="Times New Roman"/>
                <w:kern w:val="0"/>
                <w:sz w:val="21"/>
              </w:rPr>
            </w:pPr>
            <w:r>
              <w:rPr>
                <w:rFonts w:eastAsia="宋体" w:cs="Times New Roman"/>
                <w:kern w:val="0"/>
                <w:sz w:val="21"/>
              </w:rPr>
              <w:t>6</w:t>
            </w:r>
          </w:p>
        </w:tc>
        <w:tc>
          <w:tcPr>
            <w:tcW w:w="1222" w:type="dxa"/>
            <w:shd w:val="clear" w:color="auto" w:fill="auto"/>
            <w:vAlign w:val="center"/>
          </w:tcPr>
          <w:p w14:paraId="04530B06">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06</w:t>
            </w:r>
          </w:p>
        </w:tc>
        <w:tc>
          <w:tcPr>
            <w:tcW w:w="1977" w:type="dxa"/>
            <w:shd w:val="clear" w:color="auto" w:fill="auto"/>
            <w:vAlign w:val="center"/>
          </w:tcPr>
          <w:p w14:paraId="36A12184">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1E1F83E0">
            <w:pPr>
              <w:widowControl/>
              <w:spacing w:line="240" w:lineRule="exact"/>
              <w:ind w:firstLine="0" w:firstLineChars="0"/>
              <w:jc w:val="center"/>
              <w:rPr>
                <w:rFonts w:eastAsia="宋体" w:cs="Times New Roman"/>
                <w:kern w:val="0"/>
                <w:sz w:val="21"/>
              </w:rPr>
            </w:pPr>
            <w:r>
              <w:rPr>
                <w:rFonts w:hint="eastAsia" w:eastAsia="宋体" w:cs="Times New Roman"/>
                <w:kern w:val="0"/>
                <w:sz w:val="21"/>
              </w:rPr>
              <w:t>9.64</w:t>
            </w:r>
          </w:p>
        </w:tc>
        <w:tc>
          <w:tcPr>
            <w:tcW w:w="1255" w:type="dxa"/>
            <w:shd w:val="clear" w:color="auto" w:fill="auto"/>
            <w:vAlign w:val="center"/>
          </w:tcPr>
          <w:p w14:paraId="2621FDFD">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5F7A39EB">
            <w:pPr>
              <w:widowControl/>
              <w:spacing w:line="240" w:lineRule="exact"/>
              <w:ind w:firstLine="0" w:firstLineChars="0"/>
              <w:jc w:val="center"/>
              <w:rPr>
                <w:rFonts w:eastAsia="宋体" w:cs="Times New Roman"/>
                <w:kern w:val="0"/>
                <w:sz w:val="21"/>
              </w:rPr>
            </w:pPr>
            <w:r>
              <w:rPr>
                <w:rFonts w:hint="eastAsia" w:eastAsia="宋体" w:cs="Times New Roman"/>
                <w:kern w:val="0"/>
                <w:sz w:val="21"/>
              </w:rPr>
              <w:t>岐江公园</w:t>
            </w:r>
          </w:p>
        </w:tc>
      </w:tr>
      <w:tr w14:paraId="3B080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70FB8D75">
            <w:pPr>
              <w:widowControl/>
              <w:spacing w:line="240" w:lineRule="exact"/>
              <w:ind w:firstLine="0" w:firstLineChars="0"/>
              <w:jc w:val="center"/>
              <w:rPr>
                <w:rFonts w:eastAsia="宋体" w:cs="Times New Roman"/>
                <w:kern w:val="0"/>
                <w:sz w:val="21"/>
              </w:rPr>
            </w:pPr>
            <w:r>
              <w:rPr>
                <w:rFonts w:eastAsia="宋体" w:cs="Times New Roman"/>
                <w:kern w:val="0"/>
                <w:sz w:val="21"/>
              </w:rPr>
              <w:t>7</w:t>
            </w:r>
          </w:p>
        </w:tc>
        <w:tc>
          <w:tcPr>
            <w:tcW w:w="1222" w:type="dxa"/>
            <w:shd w:val="clear" w:color="auto" w:fill="auto"/>
            <w:vAlign w:val="center"/>
          </w:tcPr>
          <w:p w14:paraId="54C72BF6">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07</w:t>
            </w:r>
          </w:p>
        </w:tc>
        <w:tc>
          <w:tcPr>
            <w:tcW w:w="1977" w:type="dxa"/>
            <w:shd w:val="clear" w:color="auto" w:fill="auto"/>
            <w:vAlign w:val="center"/>
          </w:tcPr>
          <w:p w14:paraId="02C789DD">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2627A859">
            <w:pPr>
              <w:widowControl/>
              <w:spacing w:line="240" w:lineRule="exact"/>
              <w:ind w:firstLine="0" w:firstLineChars="0"/>
              <w:jc w:val="center"/>
              <w:rPr>
                <w:rFonts w:eastAsia="宋体" w:cs="Times New Roman"/>
                <w:kern w:val="0"/>
                <w:sz w:val="21"/>
              </w:rPr>
            </w:pPr>
            <w:r>
              <w:rPr>
                <w:rFonts w:hint="eastAsia" w:eastAsia="宋体" w:cs="Times New Roman"/>
                <w:kern w:val="0"/>
                <w:sz w:val="21"/>
              </w:rPr>
              <w:t>0.44</w:t>
            </w:r>
          </w:p>
        </w:tc>
        <w:tc>
          <w:tcPr>
            <w:tcW w:w="1255" w:type="dxa"/>
            <w:shd w:val="clear" w:color="auto" w:fill="auto"/>
            <w:vAlign w:val="center"/>
          </w:tcPr>
          <w:p w14:paraId="4D41D403">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39A25B7C">
            <w:pPr>
              <w:widowControl/>
              <w:spacing w:line="240" w:lineRule="exact"/>
              <w:ind w:firstLine="0" w:firstLineChars="0"/>
              <w:jc w:val="center"/>
              <w:rPr>
                <w:rFonts w:eastAsia="宋体" w:cs="Times New Roman"/>
                <w:kern w:val="0"/>
                <w:sz w:val="21"/>
              </w:rPr>
            </w:pPr>
            <w:r>
              <w:rPr>
                <w:rFonts w:hint="eastAsia" w:eastAsia="宋体" w:cs="Times New Roman"/>
                <w:kern w:val="0"/>
                <w:sz w:val="21"/>
              </w:rPr>
              <w:t>岐江公园</w:t>
            </w:r>
          </w:p>
        </w:tc>
      </w:tr>
      <w:tr w14:paraId="60137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47A4FB7A">
            <w:pPr>
              <w:widowControl/>
              <w:spacing w:line="240" w:lineRule="exact"/>
              <w:ind w:firstLine="0" w:firstLineChars="0"/>
              <w:jc w:val="center"/>
              <w:rPr>
                <w:rFonts w:eastAsia="宋体" w:cs="Times New Roman"/>
                <w:kern w:val="0"/>
                <w:sz w:val="21"/>
              </w:rPr>
            </w:pPr>
            <w:r>
              <w:rPr>
                <w:rFonts w:eastAsia="宋体" w:cs="Times New Roman"/>
                <w:kern w:val="0"/>
                <w:sz w:val="21"/>
              </w:rPr>
              <w:t>8</w:t>
            </w:r>
          </w:p>
        </w:tc>
        <w:tc>
          <w:tcPr>
            <w:tcW w:w="1222" w:type="dxa"/>
            <w:shd w:val="clear" w:color="auto" w:fill="auto"/>
            <w:vAlign w:val="center"/>
          </w:tcPr>
          <w:p w14:paraId="0526D2BF">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08</w:t>
            </w:r>
          </w:p>
        </w:tc>
        <w:tc>
          <w:tcPr>
            <w:tcW w:w="1977" w:type="dxa"/>
            <w:shd w:val="clear" w:color="auto" w:fill="auto"/>
            <w:vAlign w:val="center"/>
          </w:tcPr>
          <w:p w14:paraId="78B9E39C">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18C1A093">
            <w:pPr>
              <w:widowControl/>
              <w:spacing w:line="240" w:lineRule="exact"/>
              <w:ind w:firstLine="0" w:firstLineChars="0"/>
              <w:jc w:val="center"/>
              <w:rPr>
                <w:rFonts w:eastAsia="宋体" w:cs="Times New Roman"/>
                <w:kern w:val="0"/>
                <w:sz w:val="21"/>
              </w:rPr>
            </w:pPr>
            <w:r>
              <w:rPr>
                <w:rFonts w:hint="eastAsia" w:eastAsia="宋体" w:cs="Times New Roman"/>
                <w:kern w:val="0"/>
                <w:sz w:val="21"/>
              </w:rPr>
              <w:t>7.10</w:t>
            </w:r>
          </w:p>
        </w:tc>
        <w:tc>
          <w:tcPr>
            <w:tcW w:w="1255" w:type="dxa"/>
            <w:shd w:val="clear" w:color="auto" w:fill="auto"/>
            <w:vAlign w:val="center"/>
          </w:tcPr>
          <w:p w14:paraId="19B734D4">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2D165938">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3A5A8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7C8F3EA5">
            <w:pPr>
              <w:widowControl/>
              <w:spacing w:line="240" w:lineRule="exact"/>
              <w:ind w:firstLine="0" w:firstLineChars="0"/>
              <w:jc w:val="center"/>
              <w:rPr>
                <w:rFonts w:eastAsia="宋体" w:cs="Times New Roman"/>
                <w:kern w:val="0"/>
                <w:sz w:val="21"/>
              </w:rPr>
            </w:pPr>
            <w:r>
              <w:rPr>
                <w:rFonts w:eastAsia="宋体" w:cs="Times New Roman"/>
                <w:kern w:val="0"/>
                <w:sz w:val="21"/>
              </w:rPr>
              <w:t>9</w:t>
            </w:r>
          </w:p>
        </w:tc>
        <w:tc>
          <w:tcPr>
            <w:tcW w:w="1222" w:type="dxa"/>
            <w:shd w:val="clear" w:color="auto" w:fill="auto"/>
            <w:vAlign w:val="center"/>
          </w:tcPr>
          <w:p w14:paraId="63F6E340">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09</w:t>
            </w:r>
          </w:p>
        </w:tc>
        <w:tc>
          <w:tcPr>
            <w:tcW w:w="1977" w:type="dxa"/>
            <w:shd w:val="clear" w:color="auto" w:fill="auto"/>
            <w:vAlign w:val="center"/>
          </w:tcPr>
          <w:p w14:paraId="5810AC46">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3822F16F">
            <w:pPr>
              <w:widowControl/>
              <w:spacing w:line="240" w:lineRule="exact"/>
              <w:ind w:firstLine="0" w:firstLineChars="0"/>
              <w:jc w:val="center"/>
              <w:rPr>
                <w:rFonts w:eastAsia="宋体" w:cs="Times New Roman"/>
                <w:kern w:val="0"/>
                <w:sz w:val="21"/>
              </w:rPr>
            </w:pPr>
            <w:r>
              <w:rPr>
                <w:rFonts w:hint="eastAsia" w:eastAsia="宋体" w:cs="Times New Roman"/>
                <w:kern w:val="0"/>
                <w:sz w:val="21"/>
              </w:rPr>
              <w:t>7.29</w:t>
            </w:r>
          </w:p>
        </w:tc>
        <w:tc>
          <w:tcPr>
            <w:tcW w:w="1255" w:type="dxa"/>
            <w:shd w:val="clear" w:color="auto" w:fill="auto"/>
            <w:vAlign w:val="center"/>
          </w:tcPr>
          <w:p w14:paraId="2162D0C1">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40A24FDE">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51495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210C346E">
            <w:pPr>
              <w:widowControl/>
              <w:spacing w:line="240" w:lineRule="exact"/>
              <w:ind w:firstLine="0" w:firstLineChars="0"/>
              <w:jc w:val="center"/>
              <w:rPr>
                <w:rFonts w:eastAsia="宋体" w:cs="Times New Roman"/>
                <w:kern w:val="0"/>
                <w:sz w:val="21"/>
              </w:rPr>
            </w:pPr>
            <w:r>
              <w:rPr>
                <w:rFonts w:eastAsia="宋体" w:cs="Times New Roman"/>
                <w:kern w:val="0"/>
                <w:sz w:val="21"/>
              </w:rPr>
              <w:t>10</w:t>
            </w:r>
          </w:p>
        </w:tc>
        <w:tc>
          <w:tcPr>
            <w:tcW w:w="1222" w:type="dxa"/>
            <w:shd w:val="clear" w:color="auto" w:fill="auto"/>
            <w:vAlign w:val="center"/>
          </w:tcPr>
          <w:p w14:paraId="4CA38B94">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10</w:t>
            </w:r>
          </w:p>
        </w:tc>
        <w:tc>
          <w:tcPr>
            <w:tcW w:w="1977" w:type="dxa"/>
            <w:shd w:val="clear" w:color="auto" w:fill="auto"/>
            <w:vAlign w:val="center"/>
          </w:tcPr>
          <w:p w14:paraId="06C0A80E">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45E72C1F">
            <w:pPr>
              <w:widowControl/>
              <w:spacing w:line="240" w:lineRule="exact"/>
              <w:ind w:firstLine="0" w:firstLineChars="0"/>
              <w:jc w:val="center"/>
              <w:rPr>
                <w:rFonts w:eastAsia="宋体" w:cs="Times New Roman"/>
                <w:kern w:val="0"/>
                <w:sz w:val="21"/>
              </w:rPr>
            </w:pPr>
            <w:r>
              <w:rPr>
                <w:rFonts w:hint="eastAsia" w:eastAsia="宋体" w:cs="Times New Roman"/>
                <w:kern w:val="0"/>
                <w:sz w:val="21"/>
              </w:rPr>
              <w:t>9.39</w:t>
            </w:r>
          </w:p>
        </w:tc>
        <w:tc>
          <w:tcPr>
            <w:tcW w:w="1255" w:type="dxa"/>
            <w:shd w:val="clear" w:color="auto" w:fill="auto"/>
            <w:vAlign w:val="center"/>
          </w:tcPr>
          <w:p w14:paraId="0A93B36B">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1923D229">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56087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51A9E3E4">
            <w:pPr>
              <w:widowControl/>
              <w:spacing w:line="240" w:lineRule="exact"/>
              <w:ind w:firstLine="0" w:firstLineChars="0"/>
              <w:jc w:val="center"/>
              <w:rPr>
                <w:rFonts w:eastAsia="宋体" w:cs="Times New Roman"/>
                <w:kern w:val="0"/>
                <w:sz w:val="21"/>
              </w:rPr>
            </w:pPr>
            <w:r>
              <w:rPr>
                <w:rFonts w:eastAsia="宋体" w:cs="Times New Roman"/>
                <w:kern w:val="0"/>
                <w:sz w:val="21"/>
              </w:rPr>
              <w:t>11</w:t>
            </w:r>
          </w:p>
        </w:tc>
        <w:tc>
          <w:tcPr>
            <w:tcW w:w="1222" w:type="dxa"/>
            <w:shd w:val="clear" w:color="auto" w:fill="auto"/>
            <w:vAlign w:val="center"/>
          </w:tcPr>
          <w:p w14:paraId="4261BA53">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11</w:t>
            </w:r>
          </w:p>
        </w:tc>
        <w:tc>
          <w:tcPr>
            <w:tcW w:w="1977" w:type="dxa"/>
            <w:shd w:val="clear" w:color="auto" w:fill="auto"/>
            <w:vAlign w:val="center"/>
          </w:tcPr>
          <w:p w14:paraId="11BD441D">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4051B1FE">
            <w:pPr>
              <w:widowControl/>
              <w:spacing w:line="240" w:lineRule="exact"/>
              <w:ind w:firstLine="0" w:firstLineChars="0"/>
              <w:jc w:val="center"/>
              <w:rPr>
                <w:rFonts w:eastAsia="宋体" w:cs="Times New Roman"/>
                <w:kern w:val="0"/>
                <w:sz w:val="21"/>
              </w:rPr>
            </w:pPr>
            <w:r>
              <w:rPr>
                <w:rFonts w:hint="eastAsia" w:eastAsia="宋体" w:cs="Times New Roman"/>
                <w:kern w:val="0"/>
                <w:sz w:val="21"/>
              </w:rPr>
              <w:t>4.77</w:t>
            </w:r>
          </w:p>
        </w:tc>
        <w:tc>
          <w:tcPr>
            <w:tcW w:w="1255" w:type="dxa"/>
            <w:shd w:val="clear" w:color="auto" w:fill="auto"/>
            <w:vAlign w:val="center"/>
          </w:tcPr>
          <w:p w14:paraId="77F5BAFE">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43AF63B1">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bl>
    <w:p w14:paraId="36A17907">
      <w:pPr>
        <w:spacing w:line="240" w:lineRule="auto"/>
        <w:ind w:firstLine="480"/>
      </w:pPr>
    </w:p>
    <w:p w14:paraId="30660907">
      <w:pPr>
        <w:pStyle w:val="5"/>
        <w:widowControl/>
      </w:pPr>
      <w:r>
        <w:t>1.4.2.2</w:t>
      </w:r>
      <w:r>
        <w:rPr>
          <w:rFonts w:hint="eastAsia" w:cs="黑体"/>
        </w:rPr>
        <w:t>蓝线</w:t>
      </w:r>
    </w:p>
    <w:p w14:paraId="39D8199B">
      <w:pPr>
        <w:ind w:firstLine="480"/>
      </w:pPr>
      <w:r>
        <w:rPr>
          <w:rFonts w:hint="eastAsia"/>
        </w:rPr>
        <w:t>依据《</w:t>
      </w:r>
      <w:r>
        <w:rPr>
          <w:rFonts w:hint="eastAsia" w:cs="Times New Roman"/>
          <w:szCs w:val="28"/>
        </w:rPr>
        <w:t>《中山市市域蓝线规划（2018年）》</w:t>
      </w:r>
      <w:r>
        <w:rPr>
          <w:rFonts w:hint="eastAsia"/>
        </w:rPr>
        <w:t>、</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rPr>
        <w:t>，划定蓝线（如</w:t>
      </w:r>
      <w:r>
        <w:rPr>
          <w:rFonts w:hint="eastAsia"/>
          <w:b/>
          <w:bCs/>
        </w:rPr>
        <w:t>附图10</w:t>
      </w:r>
      <w:r>
        <w:rPr>
          <w:rFonts w:hint="eastAsia"/>
        </w:rPr>
        <w:t>）、绿线、黄线、紫线等“四线”控制用地。</w:t>
      </w:r>
    </w:p>
    <w:p w14:paraId="19714BDA">
      <w:pPr>
        <w:ind w:firstLine="482"/>
      </w:pPr>
      <w:r>
        <w:rPr>
          <w:rFonts w:hint="eastAsia" w:ascii="宋体" w:hAnsi="宋体" w:eastAsia="宋体" w:cs="宋体"/>
          <w:b/>
          <w:bCs/>
          <w:szCs w:val="24"/>
        </w:rPr>
        <w:t>“蓝线”</w:t>
      </w:r>
      <w:r>
        <w:rPr>
          <w:rFonts w:hint="eastAsia" w:ascii="宋体" w:hAnsi="宋体" w:eastAsia="宋体" w:cs="宋体"/>
          <w:szCs w:val="24"/>
        </w:rPr>
        <w:t>：</w:t>
      </w:r>
      <w:r>
        <w:rPr>
          <w:rFonts w:hint="eastAsia" w:eastAsia="宋体"/>
        </w:rPr>
        <w:t>西区</w:t>
      </w:r>
      <w:r>
        <w:rPr>
          <w:rFonts w:hint="eastAsia"/>
        </w:rPr>
        <w:t>根据中山市《中山市饮用水源保护区调整规划》及其他相关规划要求，结合西区内部水系，划定蓝线，重点加强岐江河、十六顷涌、石特涌、南八涌、沙朗涌、后山新开涌、狮窖河等的管制。西区城市“蓝线”的划定主要统筹考虑河流水系的完整性、协调性、安全性和功能性，满足堤防建设、防洪安全、环境保护、景观营造、生态修复的需要。逐步整合河道及水库两岸蓝线范围内的现状建设用地，包括村民住宅用地和工业用地，农村居民点实施迁并，工业用地实施异地置换，置换出的用地和规划预留控制用地作为绿地及公益性公用设施用地，美化河流两侧水体空间。根据《中山市市域蓝线规划》（2018年），西区的蓝线规划设计的主要包括7 条，详见表1-10。</w:t>
      </w:r>
    </w:p>
    <w:p w14:paraId="5D66B7EA">
      <w:pPr>
        <w:spacing w:line="240" w:lineRule="auto"/>
        <w:ind w:firstLine="420"/>
        <w:jc w:val="center"/>
        <w:rPr>
          <w:rFonts w:ascii="宋体" w:hAnsi="宋体" w:cs="宋体"/>
          <w:bCs/>
          <w:sz w:val="21"/>
          <w:lang w:val="zh-CN"/>
        </w:rPr>
      </w:pPr>
      <w:r>
        <w:rPr>
          <w:rFonts w:hint="eastAsia" w:ascii="宋体" w:hAnsi="宋体" w:cs="宋体"/>
          <w:bCs/>
          <w:sz w:val="21"/>
        </w:rPr>
        <w:t>表</w:t>
      </w:r>
      <w:r>
        <w:rPr>
          <w:rFonts w:cs="Times New Roman"/>
          <w:bCs/>
          <w:sz w:val="21"/>
        </w:rPr>
        <w:t>1-</w:t>
      </w:r>
      <w:r>
        <w:rPr>
          <w:rFonts w:hint="eastAsia" w:cs="Times New Roman"/>
          <w:bCs/>
          <w:sz w:val="21"/>
        </w:rPr>
        <w:t>10</w:t>
      </w:r>
      <w:r>
        <w:rPr>
          <w:rFonts w:hint="eastAsia" w:ascii="宋体" w:hAnsi="宋体" w:cs="宋体"/>
          <w:bCs/>
          <w:sz w:val="21"/>
        </w:rPr>
        <w:t xml:space="preserve"> </w:t>
      </w:r>
      <w:r>
        <w:rPr>
          <w:rFonts w:hint="eastAsia" w:ascii="宋体" w:hAnsi="宋体" w:cs="宋体"/>
          <w:bCs/>
          <w:sz w:val="21"/>
          <w:lang w:val="zh-CN"/>
        </w:rPr>
        <w:t>内河涌蓝线规划一览表</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939"/>
        <w:gridCol w:w="1393"/>
        <w:gridCol w:w="1714"/>
        <w:gridCol w:w="1340"/>
        <w:gridCol w:w="1504"/>
      </w:tblGrid>
      <w:tr w14:paraId="13486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638" w:type="dxa"/>
            <w:shd w:val="clear" w:color="auto" w:fill="auto"/>
            <w:vAlign w:val="center"/>
          </w:tcPr>
          <w:p w14:paraId="355CD225">
            <w:pPr>
              <w:widowControl/>
              <w:spacing w:line="240" w:lineRule="auto"/>
              <w:ind w:firstLine="0" w:firstLineChars="0"/>
              <w:jc w:val="center"/>
              <w:rPr>
                <w:rFonts w:eastAsia="宋体" w:cs="Times New Roman"/>
                <w:kern w:val="0"/>
                <w:sz w:val="21"/>
              </w:rPr>
            </w:pPr>
            <w:r>
              <w:rPr>
                <w:rFonts w:eastAsia="宋体" w:cs="Times New Roman"/>
                <w:kern w:val="0"/>
                <w:sz w:val="21"/>
              </w:rPr>
              <w:t>序号</w:t>
            </w:r>
          </w:p>
        </w:tc>
        <w:tc>
          <w:tcPr>
            <w:tcW w:w="1939" w:type="dxa"/>
            <w:shd w:val="clear" w:color="auto" w:fill="auto"/>
            <w:vAlign w:val="center"/>
          </w:tcPr>
          <w:p w14:paraId="276FA378">
            <w:pPr>
              <w:widowControl/>
              <w:spacing w:line="240" w:lineRule="auto"/>
              <w:ind w:firstLine="0" w:firstLineChars="0"/>
              <w:jc w:val="center"/>
              <w:rPr>
                <w:rFonts w:eastAsia="宋体" w:cs="Times New Roman"/>
                <w:kern w:val="0"/>
                <w:sz w:val="21"/>
              </w:rPr>
            </w:pPr>
            <w:r>
              <w:rPr>
                <w:rFonts w:eastAsia="宋体" w:cs="Times New Roman"/>
                <w:sz w:val="21"/>
              </w:rPr>
              <w:t xml:space="preserve">河涌名称 </w:t>
            </w:r>
          </w:p>
        </w:tc>
        <w:tc>
          <w:tcPr>
            <w:tcW w:w="1393" w:type="dxa"/>
            <w:shd w:val="clear" w:color="auto" w:fill="auto"/>
            <w:vAlign w:val="center"/>
          </w:tcPr>
          <w:p w14:paraId="2444DAB6">
            <w:pPr>
              <w:widowControl/>
              <w:spacing w:line="240" w:lineRule="auto"/>
              <w:ind w:firstLine="0" w:firstLineChars="0"/>
              <w:jc w:val="center"/>
              <w:rPr>
                <w:rFonts w:eastAsia="宋体" w:cs="Times New Roman"/>
                <w:kern w:val="0"/>
                <w:sz w:val="21"/>
              </w:rPr>
            </w:pPr>
            <w:r>
              <w:rPr>
                <w:rFonts w:eastAsia="宋体" w:cs="Times New Roman"/>
                <w:sz w:val="21"/>
              </w:rPr>
              <w:t>长度（m）</w:t>
            </w:r>
          </w:p>
        </w:tc>
        <w:tc>
          <w:tcPr>
            <w:tcW w:w="1714" w:type="dxa"/>
            <w:shd w:val="clear" w:color="auto" w:fill="auto"/>
            <w:vAlign w:val="center"/>
          </w:tcPr>
          <w:p w14:paraId="456099AD">
            <w:pPr>
              <w:widowControl/>
              <w:spacing w:line="240" w:lineRule="auto"/>
              <w:ind w:firstLine="0" w:firstLineChars="0"/>
              <w:jc w:val="center"/>
              <w:rPr>
                <w:rFonts w:eastAsia="宋体" w:cs="Times New Roman"/>
                <w:kern w:val="0"/>
                <w:sz w:val="21"/>
              </w:rPr>
            </w:pPr>
            <w:r>
              <w:rPr>
                <w:rFonts w:eastAsia="宋体" w:cs="Times New Roman"/>
                <w:sz w:val="21"/>
              </w:rPr>
              <w:t>规划宽度（m）</w:t>
            </w:r>
          </w:p>
        </w:tc>
        <w:tc>
          <w:tcPr>
            <w:tcW w:w="1340" w:type="dxa"/>
            <w:shd w:val="clear" w:color="auto" w:fill="auto"/>
            <w:vAlign w:val="center"/>
          </w:tcPr>
          <w:p w14:paraId="73B692CD">
            <w:pPr>
              <w:widowControl/>
              <w:spacing w:line="240" w:lineRule="auto"/>
              <w:ind w:firstLine="0" w:firstLineChars="0"/>
              <w:jc w:val="center"/>
              <w:rPr>
                <w:rFonts w:eastAsia="宋体" w:cs="Times New Roman"/>
                <w:kern w:val="0"/>
                <w:sz w:val="21"/>
              </w:rPr>
            </w:pPr>
            <w:r>
              <w:rPr>
                <w:rFonts w:eastAsia="宋体" w:cs="Times New Roman"/>
                <w:sz w:val="21"/>
              </w:rPr>
              <w:t>两侧退让</w:t>
            </w:r>
          </w:p>
        </w:tc>
        <w:tc>
          <w:tcPr>
            <w:tcW w:w="1504" w:type="dxa"/>
            <w:shd w:val="clear" w:color="auto" w:fill="auto"/>
            <w:vAlign w:val="center"/>
          </w:tcPr>
          <w:p w14:paraId="44A21AD0">
            <w:pPr>
              <w:widowControl/>
              <w:spacing w:line="240" w:lineRule="auto"/>
              <w:ind w:firstLine="0" w:firstLineChars="0"/>
              <w:jc w:val="center"/>
              <w:rPr>
                <w:rFonts w:eastAsia="宋体" w:cs="Times New Roman"/>
                <w:kern w:val="0"/>
                <w:sz w:val="21"/>
              </w:rPr>
            </w:pPr>
            <w:r>
              <w:rPr>
                <w:rFonts w:eastAsia="宋体" w:cs="Times New Roman"/>
                <w:sz w:val="21"/>
              </w:rPr>
              <w:t>其他</w:t>
            </w:r>
          </w:p>
        </w:tc>
      </w:tr>
      <w:tr w14:paraId="07DF8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shd w:val="clear" w:color="auto" w:fill="auto"/>
            <w:vAlign w:val="center"/>
          </w:tcPr>
          <w:p w14:paraId="39431BA8">
            <w:pPr>
              <w:widowControl/>
              <w:spacing w:line="240" w:lineRule="auto"/>
              <w:ind w:firstLine="0" w:firstLineChars="0"/>
              <w:jc w:val="center"/>
              <w:rPr>
                <w:rFonts w:eastAsia="宋体" w:cs="Times New Roman"/>
                <w:kern w:val="0"/>
                <w:sz w:val="21"/>
              </w:rPr>
            </w:pPr>
            <w:r>
              <w:rPr>
                <w:rFonts w:eastAsia="宋体" w:cs="Times New Roman"/>
                <w:kern w:val="0"/>
                <w:sz w:val="21"/>
              </w:rPr>
              <w:t>1</w:t>
            </w:r>
          </w:p>
        </w:tc>
        <w:tc>
          <w:tcPr>
            <w:tcW w:w="1939" w:type="dxa"/>
            <w:shd w:val="clear" w:color="auto" w:fill="auto"/>
            <w:vAlign w:val="center"/>
          </w:tcPr>
          <w:p w14:paraId="152C4942">
            <w:pPr>
              <w:widowControl/>
              <w:spacing w:line="240" w:lineRule="auto"/>
              <w:ind w:firstLine="0" w:firstLineChars="0"/>
              <w:jc w:val="center"/>
              <w:rPr>
                <w:rFonts w:eastAsia="宋体" w:cs="Times New Roman"/>
                <w:kern w:val="0"/>
                <w:sz w:val="21"/>
              </w:rPr>
            </w:pPr>
            <w:r>
              <w:rPr>
                <w:rFonts w:hint="eastAsia" w:eastAsia="宋体" w:cs="Times New Roman"/>
                <w:sz w:val="21"/>
              </w:rPr>
              <w:t>十六顷涌</w:t>
            </w:r>
          </w:p>
        </w:tc>
        <w:tc>
          <w:tcPr>
            <w:tcW w:w="1393" w:type="dxa"/>
            <w:shd w:val="clear" w:color="auto" w:fill="auto"/>
            <w:vAlign w:val="center"/>
          </w:tcPr>
          <w:p w14:paraId="637872DE">
            <w:pPr>
              <w:widowControl/>
              <w:spacing w:line="240" w:lineRule="auto"/>
              <w:ind w:firstLine="0" w:firstLineChars="0"/>
              <w:jc w:val="center"/>
              <w:rPr>
                <w:rFonts w:eastAsia="宋体" w:cs="Times New Roman"/>
                <w:kern w:val="0"/>
                <w:sz w:val="21"/>
              </w:rPr>
            </w:pPr>
            <w:r>
              <w:rPr>
                <w:rFonts w:hint="eastAsia" w:eastAsia="宋体" w:cs="Times New Roman"/>
                <w:sz w:val="21"/>
              </w:rPr>
              <w:t>2636</w:t>
            </w:r>
          </w:p>
        </w:tc>
        <w:tc>
          <w:tcPr>
            <w:tcW w:w="1714" w:type="dxa"/>
            <w:shd w:val="clear" w:color="auto" w:fill="auto"/>
            <w:vAlign w:val="center"/>
          </w:tcPr>
          <w:p w14:paraId="6E7914A9">
            <w:pPr>
              <w:widowControl/>
              <w:spacing w:line="240" w:lineRule="auto"/>
              <w:ind w:firstLine="0" w:firstLineChars="0"/>
              <w:jc w:val="center"/>
              <w:rPr>
                <w:rFonts w:eastAsia="宋体" w:cs="Times New Roman"/>
                <w:kern w:val="0"/>
                <w:sz w:val="21"/>
              </w:rPr>
            </w:pPr>
            <w:r>
              <w:rPr>
                <w:rFonts w:hint="eastAsia" w:eastAsia="宋体" w:cs="Times New Roman"/>
                <w:sz w:val="21"/>
              </w:rPr>
              <w:t>22</w:t>
            </w:r>
            <w:r>
              <w:rPr>
                <w:rFonts w:eastAsia="宋体" w:cs="Times New Roman"/>
                <w:sz w:val="21"/>
              </w:rPr>
              <w:t>~</w:t>
            </w:r>
            <w:r>
              <w:rPr>
                <w:rFonts w:hint="eastAsia" w:eastAsia="宋体" w:cs="Times New Roman"/>
                <w:sz w:val="21"/>
              </w:rPr>
              <w:t>35</w:t>
            </w:r>
          </w:p>
        </w:tc>
        <w:tc>
          <w:tcPr>
            <w:tcW w:w="1340" w:type="dxa"/>
            <w:shd w:val="clear" w:color="auto" w:fill="auto"/>
            <w:vAlign w:val="center"/>
          </w:tcPr>
          <w:p w14:paraId="3ED0FD44">
            <w:pPr>
              <w:widowControl/>
              <w:spacing w:line="240" w:lineRule="auto"/>
              <w:ind w:firstLine="0" w:firstLineChars="0"/>
              <w:jc w:val="center"/>
              <w:rPr>
                <w:rFonts w:eastAsia="宋体" w:cs="Times New Roman"/>
                <w:kern w:val="0"/>
                <w:sz w:val="21"/>
              </w:rPr>
            </w:pPr>
            <w:r>
              <w:rPr>
                <w:rFonts w:eastAsia="宋体" w:cs="Times New Roman"/>
                <w:sz w:val="21"/>
              </w:rPr>
              <w:t xml:space="preserve">10 </w:t>
            </w:r>
          </w:p>
        </w:tc>
        <w:tc>
          <w:tcPr>
            <w:tcW w:w="1504" w:type="dxa"/>
            <w:shd w:val="clear" w:color="auto" w:fill="auto"/>
            <w:vAlign w:val="center"/>
          </w:tcPr>
          <w:p w14:paraId="52D40383">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383AA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638" w:type="dxa"/>
            <w:shd w:val="clear" w:color="auto" w:fill="auto"/>
            <w:vAlign w:val="center"/>
          </w:tcPr>
          <w:p w14:paraId="2DEED1AD">
            <w:pPr>
              <w:widowControl/>
              <w:spacing w:line="240" w:lineRule="auto"/>
              <w:ind w:firstLine="0" w:firstLineChars="0"/>
              <w:jc w:val="center"/>
              <w:rPr>
                <w:rFonts w:eastAsia="宋体" w:cs="Times New Roman"/>
                <w:kern w:val="0"/>
                <w:sz w:val="21"/>
              </w:rPr>
            </w:pPr>
            <w:r>
              <w:rPr>
                <w:rFonts w:eastAsia="宋体" w:cs="Times New Roman"/>
                <w:kern w:val="0"/>
                <w:sz w:val="21"/>
              </w:rPr>
              <w:t>2</w:t>
            </w:r>
          </w:p>
        </w:tc>
        <w:tc>
          <w:tcPr>
            <w:tcW w:w="1939" w:type="dxa"/>
            <w:shd w:val="clear" w:color="auto" w:fill="auto"/>
            <w:vAlign w:val="center"/>
          </w:tcPr>
          <w:p w14:paraId="2323DD9C">
            <w:pPr>
              <w:widowControl/>
              <w:spacing w:line="240" w:lineRule="auto"/>
              <w:ind w:firstLine="0" w:firstLineChars="0"/>
              <w:jc w:val="center"/>
              <w:rPr>
                <w:rFonts w:eastAsia="宋体" w:cs="Times New Roman"/>
                <w:kern w:val="0"/>
                <w:sz w:val="21"/>
              </w:rPr>
            </w:pPr>
            <w:r>
              <w:rPr>
                <w:rFonts w:hint="eastAsia" w:eastAsia="宋体" w:cs="Times New Roman"/>
                <w:sz w:val="21"/>
              </w:rPr>
              <w:t>石特涌</w:t>
            </w:r>
          </w:p>
        </w:tc>
        <w:tc>
          <w:tcPr>
            <w:tcW w:w="1393" w:type="dxa"/>
            <w:shd w:val="clear" w:color="auto" w:fill="auto"/>
            <w:vAlign w:val="center"/>
          </w:tcPr>
          <w:p w14:paraId="20B6A7A8">
            <w:pPr>
              <w:widowControl/>
              <w:spacing w:line="240" w:lineRule="auto"/>
              <w:ind w:firstLine="0" w:firstLineChars="0"/>
              <w:jc w:val="center"/>
              <w:rPr>
                <w:rFonts w:eastAsia="宋体" w:cs="Times New Roman"/>
                <w:kern w:val="0"/>
                <w:sz w:val="21"/>
              </w:rPr>
            </w:pPr>
            <w:r>
              <w:rPr>
                <w:rFonts w:hint="eastAsia" w:eastAsia="宋体" w:cs="Times New Roman"/>
                <w:sz w:val="21"/>
              </w:rPr>
              <w:t>4047</w:t>
            </w:r>
          </w:p>
        </w:tc>
        <w:tc>
          <w:tcPr>
            <w:tcW w:w="1714" w:type="dxa"/>
            <w:shd w:val="clear" w:color="auto" w:fill="auto"/>
            <w:vAlign w:val="center"/>
          </w:tcPr>
          <w:p w14:paraId="38F4CBCC">
            <w:pPr>
              <w:widowControl/>
              <w:spacing w:line="240" w:lineRule="auto"/>
              <w:ind w:firstLine="0" w:firstLineChars="0"/>
              <w:jc w:val="center"/>
              <w:rPr>
                <w:rFonts w:eastAsia="宋体" w:cs="Times New Roman"/>
                <w:kern w:val="0"/>
                <w:sz w:val="21"/>
              </w:rPr>
            </w:pPr>
            <w:r>
              <w:rPr>
                <w:rFonts w:hint="eastAsia" w:eastAsia="宋体" w:cs="Times New Roman"/>
                <w:sz w:val="21"/>
              </w:rPr>
              <w:t>15</w:t>
            </w:r>
            <w:r>
              <w:rPr>
                <w:rFonts w:eastAsia="宋体" w:cs="Times New Roman"/>
                <w:sz w:val="21"/>
              </w:rPr>
              <w:t>~</w:t>
            </w:r>
            <w:r>
              <w:rPr>
                <w:rFonts w:hint="eastAsia" w:eastAsia="宋体" w:cs="Times New Roman"/>
                <w:sz w:val="21"/>
              </w:rPr>
              <w:t>25</w:t>
            </w:r>
          </w:p>
        </w:tc>
        <w:tc>
          <w:tcPr>
            <w:tcW w:w="1340" w:type="dxa"/>
            <w:shd w:val="clear" w:color="auto" w:fill="auto"/>
            <w:vAlign w:val="center"/>
          </w:tcPr>
          <w:p w14:paraId="53537577">
            <w:pPr>
              <w:widowControl/>
              <w:spacing w:line="240" w:lineRule="auto"/>
              <w:ind w:firstLine="0" w:firstLineChars="0"/>
              <w:jc w:val="center"/>
              <w:rPr>
                <w:rFonts w:eastAsia="宋体" w:cs="Times New Roman"/>
                <w:kern w:val="0"/>
                <w:sz w:val="21"/>
              </w:rPr>
            </w:pPr>
            <w:r>
              <w:rPr>
                <w:rFonts w:hint="eastAsia" w:eastAsia="宋体" w:cs="Times New Roman"/>
                <w:sz w:val="21"/>
              </w:rPr>
              <w:t>10</w:t>
            </w:r>
          </w:p>
        </w:tc>
        <w:tc>
          <w:tcPr>
            <w:tcW w:w="1504" w:type="dxa"/>
            <w:shd w:val="clear" w:color="auto" w:fill="auto"/>
            <w:vAlign w:val="center"/>
          </w:tcPr>
          <w:p w14:paraId="23E5E666">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61BB6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shd w:val="clear" w:color="auto" w:fill="auto"/>
            <w:vAlign w:val="center"/>
          </w:tcPr>
          <w:p w14:paraId="580E8819">
            <w:pPr>
              <w:widowControl/>
              <w:spacing w:line="240" w:lineRule="auto"/>
              <w:ind w:firstLine="0" w:firstLineChars="0"/>
              <w:jc w:val="center"/>
              <w:rPr>
                <w:rFonts w:eastAsia="宋体" w:cs="Times New Roman"/>
                <w:kern w:val="0"/>
                <w:sz w:val="21"/>
              </w:rPr>
            </w:pPr>
            <w:r>
              <w:rPr>
                <w:rFonts w:eastAsia="宋体" w:cs="Times New Roman"/>
                <w:kern w:val="0"/>
                <w:sz w:val="21"/>
              </w:rPr>
              <w:t>3</w:t>
            </w:r>
          </w:p>
        </w:tc>
        <w:tc>
          <w:tcPr>
            <w:tcW w:w="1939" w:type="dxa"/>
            <w:shd w:val="clear" w:color="auto" w:fill="auto"/>
            <w:vAlign w:val="center"/>
          </w:tcPr>
          <w:p w14:paraId="75CDFE4A">
            <w:pPr>
              <w:widowControl/>
              <w:spacing w:line="240" w:lineRule="auto"/>
              <w:ind w:firstLine="0" w:firstLineChars="0"/>
              <w:jc w:val="center"/>
              <w:rPr>
                <w:rFonts w:eastAsia="宋体" w:cs="Times New Roman"/>
                <w:kern w:val="0"/>
                <w:sz w:val="21"/>
              </w:rPr>
            </w:pPr>
            <w:r>
              <w:rPr>
                <w:rFonts w:hint="eastAsia" w:eastAsia="宋体" w:cs="Times New Roman"/>
                <w:sz w:val="21"/>
              </w:rPr>
              <w:t>南八涌</w:t>
            </w:r>
          </w:p>
        </w:tc>
        <w:tc>
          <w:tcPr>
            <w:tcW w:w="1393" w:type="dxa"/>
            <w:shd w:val="clear" w:color="auto" w:fill="auto"/>
            <w:vAlign w:val="center"/>
          </w:tcPr>
          <w:p w14:paraId="2E1D2729">
            <w:pPr>
              <w:widowControl/>
              <w:spacing w:line="240" w:lineRule="auto"/>
              <w:ind w:firstLine="0" w:firstLineChars="0"/>
              <w:jc w:val="center"/>
              <w:rPr>
                <w:rFonts w:eastAsia="宋体" w:cs="Times New Roman"/>
                <w:kern w:val="0"/>
                <w:sz w:val="21"/>
              </w:rPr>
            </w:pPr>
            <w:r>
              <w:rPr>
                <w:rFonts w:hint="eastAsia" w:eastAsia="宋体" w:cs="Times New Roman"/>
                <w:sz w:val="21"/>
              </w:rPr>
              <w:t>1129</w:t>
            </w:r>
          </w:p>
        </w:tc>
        <w:tc>
          <w:tcPr>
            <w:tcW w:w="1714" w:type="dxa"/>
            <w:shd w:val="clear" w:color="auto" w:fill="auto"/>
            <w:vAlign w:val="center"/>
          </w:tcPr>
          <w:p w14:paraId="12CB7A20">
            <w:pPr>
              <w:widowControl/>
              <w:spacing w:line="240" w:lineRule="auto"/>
              <w:ind w:firstLine="0" w:firstLineChars="0"/>
              <w:jc w:val="center"/>
              <w:rPr>
                <w:rFonts w:eastAsia="宋体" w:cs="Times New Roman"/>
                <w:kern w:val="0"/>
                <w:sz w:val="21"/>
              </w:rPr>
            </w:pPr>
            <w:r>
              <w:rPr>
                <w:rFonts w:hint="eastAsia" w:eastAsia="宋体" w:cs="Times New Roman"/>
                <w:sz w:val="21"/>
              </w:rPr>
              <w:t>15</w:t>
            </w:r>
            <w:r>
              <w:rPr>
                <w:rFonts w:eastAsia="宋体" w:cs="Times New Roman"/>
                <w:sz w:val="21"/>
              </w:rPr>
              <w:t>~</w:t>
            </w:r>
            <w:r>
              <w:rPr>
                <w:rFonts w:hint="eastAsia" w:eastAsia="宋体" w:cs="Times New Roman"/>
                <w:sz w:val="21"/>
              </w:rPr>
              <w:t>25</w:t>
            </w:r>
          </w:p>
        </w:tc>
        <w:tc>
          <w:tcPr>
            <w:tcW w:w="1340" w:type="dxa"/>
            <w:shd w:val="clear" w:color="auto" w:fill="auto"/>
            <w:vAlign w:val="center"/>
          </w:tcPr>
          <w:p w14:paraId="140AAF7B">
            <w:pPr>
              <w:widowControl/>
              <w:spacing w:line="240" w:lineRule="auto"/>
              <w:ind w:firstLine="0" w:firstLineChars="0"/>
              <w:jc w:val="center"/>
              <w:rPr>
                <w:rFonts w:eastAsia="宋体" w:cs="Times New Roman"/>
                <w:kern w:val="0"/>
                <w:sz w:val="21"/>
              </w:rPr>
            </w:pPr>
            <w:r>
              <w:rPr>
                <w:rFonts w:eastAsia="宋体" w:cs="Times New Roman"/>
                <w:sz w:val="21"/>
              </w:rPr>
              <w:t>10</w:t>
            </w:r>
          </w:p>
        </w:tc>
        <w:tc>
          <w:tcPr>
            <w:tcW w:w="1504" w:type="dxa"/>
            <w:shd w:val="clear" w:color="auto" w:fill="auto"/>
            <w:vAlign w:val="center"/>
          </w:tcPr>
          <w:p w14:paraId="42ABF5E3">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25511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638" w:type="dxa"/>
            <w:shd w:val="clear" w:color="auto" w:fill="auto"/>
            <w:vAlign w:val="center"/>
          </w:tcPr>
          <w:p w14:paraId="2E57244D">
            <w:pPr>
              <w:widowControl/>
              <w:spacing w:line="240" w:lineRule="auto"/>
              <w:ind w:firstLine="0" w:firstLineChars="0"/>
              <w:jc w:val="center"/>
              <w:rPr>
                <w:rFonts w:eastAsia="宋体" w:cs="Times New Roman"/>
                <w:kern w:val="0"/>
                <w:sz w:val="21"/>
              </w:rPr>
            </w:pPr>
            <w:r>
              <w:rPr>
                <w:rFonts w:eastAsia="宋体" w:cs="Times New Roman"/>
                <w:kern w:val="0"/>
                <w:sz w:val="21"/>
              </w:rPr>
              <w:t>4</w:t>
            </w:r>
          </w:p>
        </w:tc>
        <w:tc>
          <w:tcPr>
            <w:tcW w:w="1939" w:type="dxa"/>
            <w:shd w:val="clear" w:color="auto" w:fill="auto"/>
            <w:vAlign w:val="center"/>
          </w:tcPr>
          <w:p w14:paraId="57427009">
            <w:pPr>
              <w:widowControl/>
              <w:spacing w:line="240" w:lineRule="auto"/>
              <w:ind w:firstLine="0" w:firstLineChars="0"/>
              <w:jc w:val="center"/>
              <w:rPr>
                <w:rFonts w:eastAsia="宋体" w:cs="Times New Roman"/>
                <w:kern w:val="0"/>
                <w:sz w:val="21"/>
              </w:rPr>
            </w:pPr>
            <w:r>
              <w:rPr>
                <w:rFonts w:hint="eastAsia" w:eastAsia="宋体" w:cs="Times New Roman"/>
                <w:sz w:val="21"/>
              </w:rPr>
              <w:t>沙朗涌</w:t>
            </w:r>
          </w:p>
        </w:tc>
        <w:tc>
          <w:tcPr>
            <w:tcW w:w="1393" w:type="dxa"/>
            <w:shd w:val="clear" w:color="auto" w:fill="auto"/>
            <w:vAlign w:val="center"/>
          </w:tcPr>
          <w:p w14:paraId="73033B20">
            <w:pPr>
              <w:widowControl/>
              <w:spacing w:line="240" w:lineRule="auto"/>
              <w:ind w:firstLine="0" w:firstLineChars="0"/>
              <w:jc w:val="center"/>
              <w:rPr>
                <w:rFonts w:eastAsia="宋体" w:cs="Times New Roman"/>
                <w:kern w:val="0"/>
                <w:sz w:val="21"/>
              </w:rPr>
            </w:pPr>
            <w:r>
              <w:rPr>
                <w:rFonts w:hint="eastAsia" w:eastAsia="宋体" w:cs="Times New Roman"/>
                <w:sz w:val="21"/>
              </w:rPr>
              <w:t>2209</w:t>
            </w:r>
          </w:p>
        </w:tc>
        <w:tc>
          <w:tcPr>
            <w:tcW w:w="1714" w:type="dxa"/>
            <w:shd w:val="clear" w:color="auto" w:fill="auto"/>
            <w:vAlign w:val="center"/>
          </w:tcPr>
          <w:p w14:paraId="00956AFE">
            <w:pPr>
              <w:widowControl/>
              <w:spacing w:line="240" w:lineRule="auto"/>
              <w:ind w:firstLine="0" w:firstLineChars="0"/>
              <w:jc w:val="center"/>
              <w:rPr>
                <w:rFonts w:eastAsia="宋体" w:cs="Times New Roman"/>
                <w:kern w:val="0"/>
                <w:sz w:val="21"/>
              </w:rPr>
            </w:pPr>
            <w:r>
              <w:rPr>
                <w:rFonts w:hint="eastAsia" w:eastAsia="宋体" w:cs="Times New Roman"/>
                <w:sz w:val="21"/>
              </w:rPr>
              <w:t>20</w:t>
            </w:r>
            <w:r>
              <w:rPr>
                <w:rFonts w:eastAsia="宋体" w:cs="Times New Roman"/>
                <w:sz w:val="21"/>
              </w:rPr>
              <w:t>~3</w:t>
            </w:r>
            <w:r>
              <w:rPr>
                <w:rFonts w:hint="eastAsia" w:eastAsia="宋体" w:cs="Times New Roman"/>
                <w:sz w:val="21"/>
              </w:rPr>
              <w:t>0</w:t>
            </w:r>
            <w:r>
              <w:rPr>
                <w:rFonts w:eastAsia="宋体" w:cs="Times New Roman"/>
                <w:sz w:val="21"/>
              </w:rPr>
              <w:t xml:space="preserve"> </w:t>
            </w:r>
          </w:p>
        </w:tc>
        <w:tc>
          <w:tcPr>
            <w:tcW w:w="1340" w:type="dxa"/>
            <w:shd w:val="clear" w:color="auto" w:fill="auto"/>
            <w:vAlign w:val="center"/>
          </w:tcPr>
          <w:p w14:paraId="0C14D50A">
            <w:pPr>
              <w:widowControl/>
              <w:spacing w:line="240" w:lineRule="auto"/>
              <w:ind w:firstLine="0" w:firstLineChars="0"/>
              <w:jc w:val="center"/>
              <w:rPr>
                <w:rFonts w:eastAsia="宋体" w:cs="Times New Roman"/>
                <w:kern w:val="0"/>
                <w:sz w:val="21"/>
              </w:rPr>
            </w:pPr>
            <w:r>
              <w:rPr>
                <w:rFonts w:eastAsia="宋体" w:cs="Times New Roman"/>
                <w:sz w:val="21"/>
              </w:rPr>
              <w:t>10</w:t>
            </w:r>
          </w:p>
        </w:tc>
        <w:tc>
          <w:tcPr>
            <w:tcW w:w="1504" w:type="dxa"/>
            <w:shd w:val="clear" w:color="auto" w:fill="auto"/>
            <w:vAlign w:val="center"/>
          </w:tcPr>
          <w:p w14:paraId="5D99CA86">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28C48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638" w:type="dxa"/>
            <w:shd w:val="clear" w:color="auto" w:fill="auto"/>
            <w:vAlign w:val="center"/>
          </w:tcPr>
          <w:p w14:paraId="6995F98F">
            <w:pPr>
              <w:widowControl/>
              <w:spacing w:line="240" w:lineRule="auto"/>
              <w:ind w:firstLine="0" w:firstLineChars="0"/>
              <w:jc w:val="center"/>
              <w:rPr>
                <w:rFonts w:eastAsia="宋体" w:cs="Times New Roman"/>
                <w:kern w:val="0"/>
                <w:sz w:val="21"/>
              </w:rPr>
            </w:pPr>
            <w:r>
              <w:rPr>
                <w:rFonts w:eastAsia="宋体" w:cs="Times New Roman"/>
                <w:kern w:val="0"/>
                <w:sz w:val="21"/>
              </w:rPr>
              <w:t>5</w:t>
            </w:r>
          </w:p>
        </w:tc>
        <w:tc>
          <w:tcPr>
            <w:tcW w:w="1939" w:type="dxa"/>
            <w:shd w:val="clear" w:color="auto" w:fill="auto"/>
            <w:vAlign w:val="center"/>
          </w:tcPr>
          <w:p w14:paraId="5EFD9438">
            <w:pPr>
              <w:widowControl/>
              <w:spacing w:line="240" w:lineRule="auto"/>
              <w:ind w:firstLine="0" w:firstLineChars="0"/>
              <w:jc w:val="center"/>
              <w:rPr>
                <w:rFonts w:eastAsia="宋体" w:cs="Times New Roman"/>
                <w:kern w:val="0"/>
                <w:sz w:val="21"/>
              </w:rPr>
            </w:pPr>
            <w:r>
              <w:rPr>
                <w:rFonts w:hint="eastAsia" w:eastAsia="宋体" w:cs="Times New Roman"/>
                <w:kern w:val="0"/>
                <w:sz w:val="21"/>
              </w:rPr>
              <w:t>后山新开涌</w:t>
            </w:r>
          </w:p>
        </w:tc>
        <w:tc>
          <w:tcPr>
            <w:tcW w:w="1393" w:type="dxa"/>
            <w:shd w:val="clear" w:color="auto" w:fill="auto"/>
            <w:vAlign w:val="center"/>
          </w:tcPr>
          <w:p w14:paraId="462AA900">
            <w:pPr>
              <w:widowControl/>
              <w:spacing w:line="240" w:lineRule="auto"/>
              <w:ind w:firstLine="0" w:firstLineChars="0"/>
              <w:jc w:val="center"/>
              <w:rPr>
                <w:rFonts w:eastAsia="宋体" w:cs="Times New Roman"/>
                <w:kern w:val="0"/>
                <w:sz w:val="21"/>
              </w:rPr>
            </w:pPr>
            <w:r>
              <w:rPr>
                <w:rFonts w:hint="eastAsia" w:eastAsia="宋体" w:cs="Times New Roman"/>
                <w:sz w:val="21"/>
              </w:rPr>
              <w:t>2081</w:t>
            </w:r>
          </w:p>
        </w:tc>
        <w:tc>
          <w:tcPr>
            <w:tcW w:w="1714" w:type="dxa"/>
            <w:shd w:val="clear" w:color="auto" w:fill="auto"/>
            <w:vAlign w:val="center"/>
          </w:tcPr>
          <w:p w14:paraId="3EB912EB">
            <w:pPr>
              <w:widowControl/>
              <w:spacing w:line="240" w:lineRule="auto"/>
              <w:ind w:firstLine="0" w:firstLineChars="0"/>
              <w:jc w:val="center"/>
              <w:rPr>
                <w:rFonts w:eastAsia="宋体" w:cs="Times New Roman"/>
                <w:kern w:val="0"/>
                <w:sz w:val="21"/>
              </w:rPr>
            </w:pPr>
            <w:r>
              <w:rPr>
                <w:rFonts w:hint="eastAsia" w:eastAsia="宋体" w:cs="Times New Roman"/>
                <w:sz w:val="21"/>
              </w:rPr>
              <w:t>25</w:t>
            </w:r>
            <w:r>
              <w:rPr>
                <w:rFonts w:eastAsia="宋体" w:cs="Times New Roman"/>
                <w:sz w:val="21"/>
              </w:rPr>
              <w:t>~</w:t>
            </w:r>
            <w:r>
              <w:rPr>
                <w:rFonts w:hint="eastAsia" w:eastAsia="宋体" w:cs="Times New Roman"/>
                <w:sz w:val="21"/>
              </w:rPr>
              <w:t>35</w:t>
            </w:r>
          </w:p>
        </w:tc>
        <w:tc>
          <w:tcPr>
            <w:tcW w:w="1340" w:type="dxa"/>
            <w:shd w:val="clear" w:color="auto" w:fill="auto"/>
            <w:vAlign w:val="center"/>
          </w:tcPr>
          <w:p w14:paraId="4977D809">
            <w:pPr>
              <w:widowControl/>
              <w:spacing w:line="240" w:lineRule="auto"/>
              <w:ind w:firstLine="0" w:firstLineChars="0"/>
              <w:jc w:val="center"/>
              <w:rPr>
                <w:rFonts w:eastAsia="宋体" w:cs="Times New Roman"/>
                <w:kern w:val="0"/>
                <w:sz w:val="21"/>
              </w:rPr>
            </w:pPr>
            <w:r>
              <w:rPr>
                <w:rFonts w:eastAsia="宋体" w:cs="Times New Roman"/>
                <w:sz w:val="21"/>
              </w:rPr>
              <w:t>10</w:t>
            </w:r>
          </w:p>
        </w:tc>
        <w:tc>
          <w:tcPr>
            <w:tcW w:w="1504" w:type="dxa"/>
            <w:shd w:val="clear" w:color="auto" w:fill="auto"/>
            <w:vAlign w:val="center"/>
          </w:tcPr>
          <w:p w14:paraId="636C4BF3">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569D6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dxa"/>
            <w:shd w:val="clear" w:color="auto" w:fill="auto"/>
            <w:vAlign w:val="center"/>
          </w:tcPr>
          <w:p w14:paraId="2A25F0B7">
            <w:pPr>
              <w:widowControl/>
              <w:spacing w:line="240" w:lineRule="auto"/>
              <w:ind w:firstLine="0" w:firstLineChars="0"/>
              <w:jc w:val="center"/>
              <w:rPr>
                <w:rFonts w:eastAsia="宋体" w:cs="Times New Roman"/>
                <w:kern w:val="0"/>
                <w:sz w:val="21"/>
              </w:rPr>
            </w:pPr>
            <w:r>
              <w:rPr>
                <w:rFonts w:eastAsia="宋体" w:cs="Times New Roman"/>
                <w:kern w:val="0"/>
                <w:sz w:val="21"/>
              </w:rPr>
              <w:t>6</w:t>
            </w:r>
          </w:p>
        </w:tc>
        <w:tc>
          <w:tcPr>
            <w:tcW w:w="1939" w:type="dxa"/>
            <w:shd w:val="clear" w:color="auto" w:fill="auto"/>
            <w:vAlign w:val="center"/>
          </w:tcPr>
          <w:p w14:paraId="1591A541">
            <w:pPr>
              <w:widowControl/>
              <w:spacing w:line="240" w:lineRule="auto"/>
              <w:ind w:firstLine="0" w:firstLineChars="0"/>
              <w:jc w:val="center"/>
              <w:rPr>
                <w:rFonts w:eastAsia="宋体" w:cs="Times New Roman"/>
                <w:kern w:val="0"/>
                <w:sz w:val="21"/>
              </w:rPr>
            </w:pPr>
            <w:r>
              <w:rPr>
                <w:rFonts w:hint="eastAsia" w:eastAsia="宋体" w:cs="Times New Roman"/>
                <w:kern w:val="0"/>
                <w:sz w:val="21"/>
              </w:rPr>
              <w:t>狮滘河</w:t>
            </w:r>
          </w:p>
        </w:tc>
        <w:tc>
          <w:tcPr>
            <w:tcW w:w="1393" w:type="dxa"/>
            <w:shd w:val="clear" w:color="auto" w:fill="auto"/>
            <w:vAlign w:val="center"/>
          </w:tcPr>
          <w:p w14:paraId="719DFF34">
            <w:pPr>
              <w:widowControl/>
              <w:spacing w:line="240" w:lineRule="auto"/>
              <w:ind w:firstLine="0" w:firstLineChars="0"/>
              <w:jc w:val="center"/>
              <w:rPr>
                <w:rFonts w:eastAsia="宋体" w:cs="Times New Roman"/>
                <w:kern w:val="0"/>
                <w:sz w:val="21"/>
              </w:rPr>
            </w:pPr>
            <w:r>
              <w:rPr>
                <w:rFonts w:hint="eastAsia" w:eastAsia="宋体" w:cs="Times New Roman"/>
                <w:sz w:val="21"/>
              </w:rPr>
              <w:t>2546</w:t>
            </w:r>
          </w:p>
        </w:tc>
        <w:tc>
          <w:tcPr>
            <w:tcW w:w="1714" w:type="dxa"/>
            <w:shd w:val="clear" w:color="auto" w:fill="auto"/>
            <w:vAlign w:val="center"/>
          </w:tcPr>
          <w:p w14:paraId="117EC01D">
            <w:pPr>
              <w:widowControl/>
              <w:spacing w:line="240" w:lineRule="auto"/>
              <w:ind w:firstLine="0" w:firstLineChars="0"/>
              <w:jc w:val="center"/>
              <w:rPr>
                <w:rFonts w:eastAsia="宋体" w:cs="Times New Roman"/>
                <w:kern w:val="0"/>
                <w:sz w:val="21"/>
              </w:rPr>
            </w:pPr>
            <w:r>
              <w:rPr>
                <w:rFonts w:hint="eastAsia" w:eastAsia="宋体" w:cs="Times New Roman"/>
                <w:sz w:val="21"/>
              </w:rPr>
              <w:t>45</w:t>
            </w:r>
            <w:r>
              <w:rPr>
                <w:rFonts w:eastAsia="宋体" w:cs="Times New Roman"/>
                <w:sz w:val="21"/>
              </w:rPr>
              <w:t>~</w:t>
            </w:r>
            <w:r>
              <w:rPr>
                <w:rFonts w:hint="eastAsia" w:eastAsia="宋体" w:cs="Times New Roman"/>
                <w:sz w:val="21"/>
              </w:rPr>
              <w:t>80</w:t>
            </w:r>
            <w:r>
              <w:rPr>
                <w:rFonts w:eastAsia="宋体" w:cs="Times New Roman"/>
                <w:sz w:val="21"/>
              </w:rPr>
              <w:t xml:space="preserve"> </w:t>
            </w:r>
          </w:p>
        </w:tc>
        <w:tc>
          <w:tcPr>
            <w:tcW w:w="1340" w:type="dxa"/>
            <w:shd w:val="clear" w:color="auto" w:fill="auto"/>
            <w:vAlign w:val="center"/>
          </w:tcPr>
          <w:p w14:paraId="286A6587">
            <w:pPr>
              <w:widowControl/>
              <w:spacing w:line="240" w:lineRule="auto"/>
              <w:ind w:firstLine="0" w:firstLineChars="0"/>
              <w:jc w:val="center"/>
              <w:rPr>
                <w:rFonts w:eastAsia="宋体" w:cs="Times New Roman"/>
                <w:kern w:val="0"/>
                <w:sz w:val="21"/>
              </w:rPr>
            </w:pPr>
            <w:r>
              <w:rPr>
                <w:rFonts w:hint="eastAsia" w:eastAsia="宋体" w:cs="Times New Roman"/>
                <w:sz w:val="21"/>
              </w:rPr>
              <w:t>30</w:t>
            </w:r>
          </w:p>
        </w:tc>
        <w:tc>
          <w:tcPr>
            <w:tcW w:w="1504" w:type="dxa"/>
            <w:shd w:val="clear" w:color="auto" w:fill="auto"/>
            <w:vAlign w:val="center"/>
          </w:tcPr>
          <w:p w14:paraId="2BCD499C">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6A4BC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dxa"/>
            <w:shd w:val="clear" w:color="auto" w:fill="auto"/>
            <w:vAlign w:val="center"/>
          </w:tcPr>
          <w:p w14:paraId="3DEBE9EE">
            <w:pPr>
              <w:widowControl/>
              <w:spacing w:line="240" w:lineRule="auto"/>
              <w:ind w:firstLine="0" w:firstLineChars="0"/>
              <w:jc w:val="center"/>
              <w:rPr>
                <w:rFonts w:eastAsia="宋体" w:cs="Times New Roman"/>
                <w:kern w:val="0"/>
                <w:sz w:val="21"/>
              </w:rPr>
            </w:pPr>
            <w:r>
              <w:rPr>
                <w:rFonts w:hint="eastAsia" w:eastAsia="宋体" w:cs="Times New Roman"/>
                <w:kern w:val="0"/>
                <w:sz w:val="21"/>
              </w:rPr>
              <w:t>7</w:t>
            </w:r>
          </w:p>
        </w:tc>
        <w:tc>
          <w:tcPr>
            <w:tcW w:w="1939" w:type="dxa"/>
            <w:shd w:val="clear" w:color="auto" w:fill="auto"/>
            <w:vAlign w:val="center"/>
          </w:tcPr>
          <w:p w14:paraId="0006A593">
            <w:pPr>
              <w:widowControl/>
              <w:spacing w:line="240" w:lineRule="auto"/>
              <w:ind w:firstLine="0" w:firstLineChars="0"/>
              <w:jc w:val="center"/>
              <w:rPr>
                <w:rFonts w:eastAsia="宋体" w:cs="Times New Roman"/>
                <w:kern w:val="0"/>
                <w:sz w:val="21"/>
              </w:rPr>
            </w:pPr>
            <w:r>
              <w:rPr>
                <w:rFonts w:hint="eastAsia" w:eastAsia="宋体" w:cs="Times New Roman"/>
                <w:kern w:val="0"/>
                <w:sz w:val="21"/>
              </w:rPr>
              <w:t>岐江河</w:t>
            </w:r>
          </w:p>
        </w:tc>
        <w:tc>
          <w:tcPr>
            <w:tcW w:w="1393" w:type="dxa"/>
            <w:shd w:val="clear" w:color="auto" w:fill="auto"/>
            <w:vAlign w:val="center"/>
          </w:tcPr>
          <w:p w14:paraId="41C89DC8">
            <w:pPr>
              <w:widowControl/>
              <w:spacing w:line="240" w:lineRule="auto"/>
              <w:ind w:firstLine="0" w:firstLineChars="0"/>
              <w:jc w:val="center"/>
              <w:rPr>
                <w:rFonts w:eastAsia="宋体" w:cs="Times New Roman"/>
                <w:sz w:val="21"/>
              </w:rPr>
            </w:pPr>
            <w:r>
              <w:rPr>
                <w:rFonts w:hint="eastAsia" w:eastAsia="宋体" w:cs="Times New Roman"/>
                <w:sz w:val="21"/>
              </w:rPr>
              <w:t>25670</w:t>
            </w:r>
          </w:p>
        </w:tc>
        <w:tc>
          <w:tcPr>
            <w:tcW w:w="1714" w:type="dxa"/>
            <w:shd w:val="clear" w:color="auto" w:fill="auto"/>
            <w:vAlign w:val="center"/>
          </w:tcPr>
          <w:p w14:paraId="6DC69633">
            <w:pPr>
              <w:widowControl/>
              <w:spacing w:line="240" w:lineRule="auto"/>
              <w:ind w:firstLine="0" w:firstLineChars="0"/>
              <w:jc w:val="center"/>
              <w:rPr>
                <w:rFonts w:eastAsia="宋体" w:cs="Times New Roman"/>
                <w:sz w:val="21"/>
              </w:rPr>
            </w:pPr>
            <w:r>
              <w:rPr>
                <w:rFonts w:hint="eastAsia" w:eastAsia="宋体" w:cs="Times New Roman"/>
                <w:sz w:val="21"/>
              </w:rPr>
              <w:t>80</w:t>
            </w:r>
            <w:r>
              <w:rPr>
                <w:rFonts w:eastAsia="宋体" w:cs="Times New Roman"/>
                <w:sz w:val="21"/>
              </w:rPr>
              <w:t>~</w:t>
            </w:r>
            <w:r>
              <w:rPr>
                <w:rFonts w:hint="eastAsia" w:eastAsia="宋体" w:cs="Times New Roman"/>
                <w:sz w:val="21"/>
              </w:rPr>
              <w:t>260</w:t>
            </w:r>
          </w:p>
        </w:tc>
        <w:tc>
          <w:tcPr>
            <w:tcW w:w="1340" w:type="dxa"/>
            <w:shd w:val="clear" w:color="auto" w:fill="auto"/>
            <w:vAlign w:val="center"/>
          </w:tcPr>
          <w:p w14:paraId="05152042">
            <w:pPr>
              <w:widowControl/>
              <w:spacing w:line="240" w:lineRule="auto"/>
              <w:ind w:firstLine="0" w:firstLineChars="0"/>
              <w:jc w:val="center"/>
              <w:rPr>
                <w:rFonts w:eastAsia="宋体" w:cs="Times New Roman"/>
                <w:sz w:val="21"/>
              </w:rPr>
            </w:pPr>
            <w:r>
              <w:rPr>
                <w:rFonts w:hint="eastAsia" w:eastAsia="宋体" w:cs="Times New Roman"/>
                <w:sz w:val="21"/>
              </w:rPr>
              <w:t>30</w:t>
            </w:r>
          </w:p>
        </w:tc>
        <w:tc>
          <w:tcPr>
            <w:tcW w:w="1504" w:type="dxa"/>
            <w:shd w:val="clear" w:color="auto" w:fill="auto"/>
            <w:vAlign w:val="center"/>
          </w:tcPr>
          <w:p w14:paraId="71B3BC03">
            <w:pPr>
              <w:widowControl/>
              <w:spacing w:line="240" w:lineRule="auto"/>
              <w:ind w:firstLine="0" w:firstLineChars="0"/>
              <w:jc w:val="center"/>
              <w:rPr>
                <w:rFonts w:eastAsia="宋体" w:cs="Times New Roman"/>
                <w:sz w:val="21"/>
              </w:rPr>
            </w:pPr>
            <w:r>
              <w:rPr>
                <w:rFonts w:eastAsia="宋体" w:cs="Times New Roman"/>
                <w:sz w:val="21"/>
              </w:rPr>
              <w:t>有堤岸</w:t>
            </w:r>
          </w:p>
        </w:tc>
      </w:tr>
    </w:tbl>
    <w:p w14:paraId="12127B8A">
      <w:pPr>
        <w:spacing w:line="240" w:lineRule="auto"/>
        <w:ind w:firstLine="0" w:firstLineChars="0"/>
        <w:rPr>
          <w:rFonts w:eastAsia="宋体" w:cs="Times New Roman"/>
          <w:sz w:val="21"/>
        </w:rPr>
      </w:pPr>
    </w:p>
    <w:p w14:paraId="6F59B10B">
      <w:pPr>
        <w:ind w:firstLine="0" w:firstLineChars="0"/>
        <w:rPr>
          <w:rFonts w:eastAsia="宋体" w:cs="Times New Roman"/>
          <w:sz w:val="21"/>
        </w:rPr>
      </w:pPr>
      <w:r>
        <w:rPr>
          <w:rFonts w:eastAsia="宋体" w:cs="Times New Roman"/>
          <w:sz w:val="21"/>
        </w:rPr>
        <w:t xml:space="preserve">  </w:t>
      </w:r>
      <w:r>
        <w:rPr>
          <w:rFonts w:hint="eastAsia" w:eastAsia="宋体" w:cs="Times New Roman"/>
          <w:sz w:val="21"/>
        </w:rPr>
        <w:t xml:space="preserve">  </w:t>
      </w:r>
      <w:r>
        <w:rPr>
          <w:rFonts w:hint="eastAsia" w:eastAsia="宋体" w:cs="Times New Roman"/>
          <w:szCs w:val="24"/>
        </w:rPr>
        <w:t>西区</w:t>
      </w:r>
      <w:r>
        <w:rPr>
          <w:rFonts w:eastAsia="宋体" w:cs="Times New Roman"/>
          <w:szCs w:val="24"/>
        </w:rPr>
        <w:t>内规划有</w:t>
      </w:r>
      <w:r>
        <w:rPr>
          <w:rFonts w:hint="eastAsia" w:eastAsia="宋体" w:cs="Times New Roman"/>
          <w:szCs w:val="24"/>
        </w:rPr>
        <w:t>2</w:t>
      </w:r>
      <w:r>
        <w:rPr>
          <w:rFonts w:eastAsia="宋体" w:cs="Times New Roman"/>
          <w:szCs w:val="24"/>
        </w:rPr>
        <w:t>处湿地公园，湿地公园为</w:t>
      </w:r>
      <w:r>
        <w:rPr>
          <w:rFonts w:hint="eastAsia" w:eastAsia="宋体" w:cs="Times New Roman"/>
          <w:szCs w:val="24"/>
        </w:rPr>
        <w:t>滨河型和河涌型</w:t>
      </w:r>
      <w:r>
        <w:rPr>
          <w:rFonts w:eastAsia="宋体" w:cs="Times New Roman"/>
          <w:szCs w:val="24"/>
        </w:rPr>
        <w:t>湿地，蓝线控制范围与规划湿地范围一致</w:t>
      </w:r>
      <w:r>
        <w:rPr>
          <w:rFonts w:hint="eastAsia" w:eastAsia="宋体" w:cs="Times New Roman"/>
          <w:szCs w:val="24"/>
        </w:rPr>
        <w:t>（见表1-11）。</w:t>
      </w:r>
    </w:p>
    <w:p w14:paraId="55DB0362">
      <w:pPr>
        <w:spacing w:line="240" w:lineRule="auto"/>
        <w:ind w:firstLine="420"/>
        <w:jc w:val="center"/>
        <w:rPr>
          <w:rFonts w:ascii="宋体" w:hAnsi="宋体" w:cs="宋体"/>
          <w:bCs/>
          <w:sz w:val="21"/>
          <w:lang w:val="zh-CN"/>
        </w:rPr>
      </w:pPr>
      <w:r>
        <w:rPr>
          <w:rFonts w:cs="Times New Roman"/>
          <w:bCs/>
          <w:sz w:val="21"/>
        </w:rPr>
        <w:t>表1-1</w:t>
      </w:r>
      <w:r>
        <w:rPr>
          <w:rFonts w:hint="eastAsia" w:cs="Times New Roman"/>
          <w:bCs/>
          <w:sz w:val="21"/>
        </w:rPr>
        <w:t>1</w:t>
      </w:r>
      <w:r>
        <w:rPr>
          <w:rFonts w:hint="eastAsia" w:ascii="宋体" w:hAnsi="宋体" w:cs="宋体"/>
          <w:bCs/>
          <w:sz w:val="21"/>
        </w:rPr>
        <w:t xml:space="preserve"> </w:t>
      </w:r>
      <w:r>
        <w:rPr>
          <w:rFonts w:eastAsia="宋体" w:cs="Times New Roman"/>
          <w:sz w:val="21"/>
        </w:rPr>
        <w:t xml:space="preserve">湿地蓝线规划一览表 </w:t>
      </w:r>
    </w:p>
    <w:tbl>
      <w:tblPr>
        <w:tblStyle w:val="25"/>
        <w:tblW w:w="85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685"/>
        <w:gridCol w:w="2069"/>
        <w:gridCol w:w="1065"/>
        <w:gridCol w:w="1169"/>
        <w:gridCol w:w="1293"/>
        <w:gridCol w:w="1512"/>
      </w:tblGrid>
      <w:tr w14:paraId="598FE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3" w:type="dxa"/>
            <w:shd w:val="clear" w:color="auto" w:fill="auto"/>
            <w:vAlign w:val="center"/>
          </w:tcPr>
          <w:p w14:paraId="7ED1A97F">
            <w:pPr>
              <w:widowControl/>
              <w:spacing w:line="240" w:lineRule="auto"/>
              <w:ind w:firstLine="0" w:firstLineChars="0"/>
              <w:jc w:val="center"/>
              <w:rPr>
                <w:rFonts w:eastAsia="宋体" w:cs="Times New Roman"/>
                <w:kern w:val="0"/>
                <w:sz w:val="21"/>
              </w:rPr>
            </w:pPr>
            <w:r>
              <w:rPr>
                <w:rFonts w:eastAsia="宋体" w:cs="Times New Roman"/>
                <w:sz w:val="21"/>
              </w:rPr>
              <w:t>级别</w:t>
            </w:r>
          </w:p>
        </w:tc>
        <w:tc>
          <w:tcPr>
            <w:tcW w:w="685" w:type="dxa"/>
            <w:shd w:val="clear" w:color="auto" w:fill="auto"/>
            <w:vAlign w:val="center"/>
          </w:tcPr>
          <w:p w14:paraId="054EB118">
            <w:pPr>
              <w:widowControl/>
              <w:spacing w:line="240" w:lineRule="auto"/>
              <w:ind w:firstLine="0" w:firstLineChars="0"/>
              <w:jc w:val="center"/>
              <w:rPr>
                <w:rFonts w:eastAsia="宋体" w:cs="Times New Roman"/>
                <w:kern w:val="0"/>
                <w:sz w:val="21"/>
              </w:rPr>
            </w:pPr>
            <w:r>
              <w:rPr>
                <w:rFonts w:eastAsia="宋体" w:cs="Times New Roman"/>
                <w:kern w:val="0"/>
                <w:sz w:val="21"/>
              </w:rPr>
              <w:t>序号</w:t>
            </w:r>
          </w:p>
        </w:tc>
        <w:tc>
          <w:tcPr>
            <w:tcW w:w="2069" w:type="dxa"/>
            <w:shd w:val="clear" w:color="auto" w:fill="auto"/>
            <w:vAlign w:val="center"/>
          </w:tcPr>
          <w:p w14:paraId="53526FCA">
            <w:pPr>
              <w:widowControl/>
              <w:spacing w:line="240" w:lineRule="auto"/>
              <w:ind w:firstLine="0" w:firstLineChars="0"/>
              <w:jc w:val="center"/>
              <w:rPr>
                <w:rFonts w:eastAsia="宋体" w:cs="Times New Roman"/>
                <w:kern w:val="0"/>
                <w:sz w:val="21"/>
              </w:rPr>
            </w:pPr>
            <w:r>
              <w:rPr>
                <w:rFonts w:eastAsia="宋体" w:cs="Times New Roman"/>
                <w:sz w:val="21"/>
              </w:rPr>
              <w:t>名称</w:t>
            </w:r>
          </w:p>
        </w:tc>
        <w:tc>
          <w:tcPr>
            <w:tcW w:w="1065" w:type="dxa"/>
            <w:shd w:val="clear" w:color="auto" w:fill="auto"/>
            <w:vAlign w:val="center"/>
          </w:tcPr>
          <w:p w14:paraId="2D4CDBA7">
            <w:pPr>
              <w:widowControl/>
              <w:spacing w:line="240" w:lineRule="auto"/>
              <w:ind w:firstLine="0" w:firstLineChars="0"/>
              <w:jc w:val="center"/>
              <w:rPr>
                <w:rFonts w:eastAsia="宋体" w:cs="Times New Roman"/>
                <w:kern w:val="0"/>
                <w:sz w:val="21"/>
              </w:rPr>
            </w:pPr>
            <w:r>
              <w:rPr>
                <w:rFonts w:eastAsia="宋体" w:cs="Times New Roman"/>
                <w:sz w:val="21"/>
              </w:rPr>
              <w:t>建设主体</w:t>
            </w:r>
          </w:p>
        </w:tc>
        <w:tc>
          <w:tcPr>
            <w:tcW w:w="1169" w:type="dxa"/>
            <w:shd w:val="clear" w:color="auto" w:fill="auto"/>
            <w:vAlign w:val="center"/>
          </w:tcPr>
          <w:p w14:paraId="037AD5F4">
            <w:pPr>
              <w:widowControl/>
              <w:spacing w:line="240" w:lineRule="auto"/>
              <w:ind w:firstLine="0" w:firstLineChars="0"/>
              <w:jc w:val="center"/>
              <w:rPr>
                <w:rFonts w:eastAsia="宋体" w:cs="Times New Roman"/>
                <w:kern w:val="0"/>
                <w:sz w:val="21"/>
              </w:rPr>
            </w:pPr>
            <w:r>
              <w:rPr>
                <w:rFonts w:eastAsia="宋体" w:cs="Times New Roman"/>
                <w:sz w:val="21"/>
              </w:rPr>
              <w:t>湿地类型</w:t>
            </w:r>
          </w:p>
        </w:tc>
        <w:tc>
          <w:tcPr>
            <w:tcW w:w="1293" w:type="dxa"/>
            <w:shd w:val="clear" w:color="auto" w:fill="auto"/>
            <w:vAlign w:val="center"/>
          </w:tcPr>
          <w:p w14:paraId="4826A221">
            <w:pPr>
              <w:widowControl/>
              <w:spacing w:line="240" w:lineRule="auto"/>
              <w:ind w:firstLine="0" w:firstLineChars="0"/>
              <w:jc w:val="center"/>
              <w:rPr>
                <w:rFonts w:eastAsia="宋体" w:cs="Times New Roman"/>
                <w:kern w:val="0"/>
                <w:sz w:val="21"/>
              </w:rPr>
            </w:pPr>
            <w:r>
              <w:rPr>
                <w:rFonts w:eastAsia="宋体" w:cs="Times New Roman"/>
                <w:sz w:val="21"/>
              </w:rPr>
              <w:t>用地性质</w:t>
            </w:r>
          </w:p>
        </w:tc>
        <w:tc>
          <w:tcPr>
            <w:tcW w:w="1512" w:type="dxa"/>
            <w:shd w:val="clear" w:color="auto" w:fill="auto"/>
            <w:vAlign w:val="center"/>
          </w:tcPr>
          <w:p w14:paraId="07F164E3">
            <w:pPr>
              <w:spacing w:line="240" w:lineRule="auto"/>
              <w:ind w:firstLine="0" w:firstLineChars="0"/>
              <w:rPr>
                <w:rFonts w:eastAsia="宋体" w:cs="Times New Roman"/>
                <w:sz w:val="21"/>
              </w:rPr>
            </w:pPr>
            <w:r>
              <w:rPr>
                <w:rFonts w:eastAsia="宋体" w:cs="Times New Roman"/>
                <w:sz w:val="21"/>
              </w:rPr>
              <w:t>蓝线控制要求</w:t>
            </w:r>
          </w:p>
        </w:tc>
      </w:tr>
      <w:tr w14:paraId="4CFF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3" w:type="dxa"/>
            <w:shd w:val="clear" w:color="auto" w:fill="auto"/>
            <w:vAlign w:val="center"/>
          </w:tcPr>
          <w:p w14:paraId="27E6960F">
            <w:pPr>
              <w:widowControl/>
              <w:spacing w:line="240" w:lineRule="auto"/>
              <w:ind w:firstLine="0" w:firstLineChars="0"/>
              <w:jc w:val="center"/>
              <w:rPr>
                <w:rFonts w:eastAsia="宋体" w:cs="Times New Roman"/>
                <w:kern w:val="0"/>
                <w:sz w:val="21"/>
              </w:rPr>
            </w:pPr>
            <w:r>
              <w:rPr>
                <w:rFonts w:eastAsia="宋体" w:cs="Times New Roman"/>
                <w:sz w:val="21"/>
              </w:rPr>
              <w:t>市级</w:t>
            </w:r>
          </w:p>
        </w:tc>
        <w:tc>
          <w:tcPr>
            <w:tcW w:w="685" w:type="dxa"/>
            <w:shd w:val="clear" w:color="auto" w:fill="auto"/>
            <w:vAlign w:val="center"/>
          </w:tcPr>
          <w:p w14:paraId="087C1074">
            <w:pPr>
              <w:widowControl/>
              <w:spacing w:line="240" w:lineRule="auto"/>
              <w:ind w:firstLine="0" w:firstLineChars="0"/>
              <w:jc w:val="center"/>
              <w:rPr>
                <w:rFonts w:eastAsia="宋体" w:cs="Times New Roman"/>
                <w:kern w:val="0"/>
                <w:sz w:val="21"/>
              </w:rPr>
            </w:pPr>
            <w:r>
              <w:rPr>
                <w:rFonts w:eastAsia="宋体" w:cs="Times New Roman"/>
                <w:kern w:val="0"/>
                <w:sz w:val="21"/>
              </w:rPr>
              <w:t>1</w:t>
            </w:r>
          </w:p>
        </w:tc>
        <w:tc>
          <w:tcPr>
            <w:tcW w:w="2069" w:type="dxa"/>
            <w:shd w:val="clear" w:color="auto" w:fill="auto"/>
            <w:vAlign w:val="center"/>
          </w:tcPr>
          <w:p w14:paraId="2325B890">
            <w:pPr>
              <w:widowControl/>
              <w:spacing w:line="240" w:lineRule="auto"/>
              <w:ind w:firstLine="0" w:firstLineChars="0"/>
              <w:jc w:val="center"/>
              <w:rPr>
                <w:rFonts w:eastAsia="宋体" w:cs="Times New Roman"/>
                <w:kern w:val="0"/>
                <w:sz w:val="21"/>
              </w:rPr>
            </w:pPr>
            <w:r>
              <w:rPr>
                <w:rFonts w:hint="eastAsia" w:eastAsia="宋体" w:cs="Times New Roman"/>
                <w:kern w:val="0"/>
                <w:sz w:val="21"/>
              </w:rPr>
              <w:t>彩虹绿洲公园一期</w:t>
            </w:r>
          </w:p>
        </w:tc>
        <w:tc>
          <w:tcPr>
            <w:tcW w:w="1065" w:type="dxa"/>
            <w:shd w:val="clear" w:color="auto" w:fill="auto"/>
            <w:vAlign w:val="center"/>
          </w:tcPr>
          <w:p w14:paraId="3B9BA41A">
            <w:pPr>
              <w:widowControl/>
              <w:spacing w:line="240" w:lineRule="auto"/>
              <w:ind w:firstLine="0" w:firstLineChars="0"/>
              <w:jc w:val="center"/>
              <w:rPr>
                <w:rFonts w:eastAsia="宋体" w:cs="Times New Roman"/>
                <w:kern w:val="0"/>
                <w:sz w:val="21"/>
              </w:rPr>
            </w:pPr>
            <w:r>
              <w:rPr>
                <w:rFonts w:hint="eastAsia" w:eastAsia="宋体" w:cs="Times New Roman"/>
                <w:sz w:val="21"/>
              </w:rPr>
              <w:t>住建局</w:t>
            </w:r>
          </w:p>
        </w:tc>
        <w:tc>
          <w:tcPr>
            <w:tcW w:w="1169" w:type="dxa"/>
            <w:shd w:val="clear" w:color="auto" w:fill="auto"/>
            <w:vAlign w:val="center"/>
          </w:tcPr>
          <w:p w14:paraId="29F028DB">
            <w:pPr>
              <w:widowControl/>
              <w:spacing w:line="240" w:lineRule="auto"/>
              <w:ind w:firstLine="0" w:firstLineChars="0"/>
              <w:jc w:val="center"/>
              <w:rPr>
                <w:rFonts w:eastAsia="宋体" w:cs="Times New Roman"/>
                <w:kern w:val="0"/>
                <w:sz w:val="21"/>
              </w:rPr>
            </w:pPr>
            <w:r>
              <w:rPr>
                <w:rFonts w:hint="eastAsia" w:eastAsia="宋体" w:cs="Times New Roman"/>
                <w:sz w:val="21"/>
              </w:rPr>
              <w:t>滨河</w:t>
            </w:r>
            <w:r>
              <w:rPr>
                <w:rFonts w:eastAsia="宋体" w:cs="Times New Roman"/>
                <w:sz w:val="21"/>
              </w:rPr>
              <w:t>型</w:t>
            </w:r>
          </w:p>
        </w:tc>
        <w:tc>
          <w:tcPr>
            <w:tcW w:w="1293" w:type="dxa"/>
            <w:shd w:val="clear" w:color="auto" w:fill="auto"/>
            <w:vAlign w:val="center"/>
          </w:tcPr>
          <w:p w14:paraId="47A79906">
            <w:pPr>
              <w:widowControl/>
              <w:spacing w:line="240" w:lineRule="auto"/>
              <w:ind w:firstLine="0" w:firstLineChars="0"/>
              <w:jc w:val="center"/>
              <w:rPr>
                <w:rFonts w:eastAsia="宋体" w:cs="Times New Roman"/>
                <w:kern w:val="0"/>
                <w:sz w:val="21"/>
              </w:rPr>
            </w:pPr>
            <w:r>
              <w:rPr>
                <w:rFonts w:hint="eastAsia" w:eastAsia="宋体" w:cs="Times New Roman"/>
                <w:kern w:val="0"/>
                <w:sz w:val="21"/>
              </w:rPr>
              <w:t>——</w:t>
            </w:r>
          </w:p>
        </w:tc>
        <w:tc>
          <w:tcPr>
            <w:tcW w:w="1512" w:type="dxa"/>
            <w:shd w:val="clear" w:color="auto" w:fill="auto"/>
            <w:vAlign w:val="center"/>
          </w:tcPr>
          <w:p w14:paraId="17974789">
            <w:pPr>
              <w:widowControl/>
              <w:spacing w:line="240" w:lineRule="auto"/>
              <w:ind w:firstLine="0" w:firstLineChars="0"/>
              <w:jc w:val="center"/>
              <w:rPr>
                <w:rFonts w:eastAsia="宋体" w:cs="Times New Roman"/>
                <w:kern w:val="0"/>
                <w:sz w:val="21"/>
              </w:rPr>
            </w:pPr>
            <w:r>
              <w:rPr>
                <w:rFonts w:hint="eastAsia" w:eastAsia="宋体" w:cs="Times New Roman"/>
                <w:sz w:val="21"/>
              </w:rPr>
              <w:t>C</w:t>
            </w:r>
          </w:p>
        </w:tc>
      </w:tr>
      <w:tr w14:paraId="5ED7F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3" w:type="dxa"/>
            <w:shd w:val="clear" w:color="auto" w:fill="auto"/>
            <w:vAlign w:val="center"/>
          </w:tcPr>
          <w:p w14:paraId="13760088">
            <w:pPr>
              <w:widowControl/>
              <w:spacing w:line="240" w:lineRule="auto"/>
              <w:ind w:firstLine="0" w:firstLineChars="0"/>
              <w:jc w:val="center"/>
              <w:rPr>
                <w:rFonts w:eastAsia="宋体" w:cs="Times New Roman"/>
                <w:sz w:val="21"/>
              </w:rPr>
            </w:pPr>
            <w:r>
              <w:rPr>
                <w:rFonts w:hint="eastAsia" w:eastAsia="宋体" w:cs="Times New Roman"/>
                <w:sz w:val="21"/>
              </w:rPr>
              <w:t>市级</w:t>
            </w:r>
          </w:p>
        </w:tc>
        <w:tc>
          <w:tcPr>
            <w:tcW w:w="685" w:type="dxa"/>
            <w:shd w:val="clear" w:color="auto" w:fill="auto"/>
            <w:vAlign w:val="center"/>
          </w:tcPr>
          <w:p w14:paraId="09234CC6">
            <w:pPr>
              <w:widowControl/>
              <w:spacing w:line="240" w:lineRule="auto"/>
              <w:ind w:firstLine="0" w:firstLineChars="0"/>
              <w:jc w:val="center"/>
              <w:rPr>
                <w:rFonts w:eastAsia="宋体" w:cs="Times New Roman"/>
                <w:kern w:val="0"/>
                <w:sz w:val="21"/>
              </w:rPr>
            </w:pPr>
            <w:r>
              <w:rPr>
                <w:rFonts w:hint="eastAsia" w:eastAsia="宋体" w:cs="Times New Roman"/>
                <w:kern w:val="0"/>
                <w:sz w:val="21"/>
              </w:rPr>
              <w:t>2</w:t>
            </w:r>
          </w:p>
        </w:tc>
        <w:tc>
          <w:tcPr>
            <w:tcW w:w="2069" w:type="dxa"/>
            <w:shd w:val="clear" w:color="auto" w:fill="auto"/>
            <w:vAlign w:val="center"/>
          </w:tcPr>
          <w:p w14:paraId="2112C1B3">
            <w:pPr>
              <w:widowControl/>
              <w:spacing w:line="240" w:lineRule="auto"/>
              <w:ind w:firstLine="0" w:firstLineChars="0"/>
              <w:jc w:val="center"/>
              <w:rPr>
                <w:rFonts w:eastAsia="宋体" w:cs="Times New Roman"/>
                <w:kern w:val="0"/>
                <w:sz w:val="21"/>
              </w:rPr>
            </w:pPr>
            <w:r>
              <w:rPr>
                <w:rFonts w:hint="eastAsia" w:eastAsia="宋体" w:cs="Times New Roman"/>
                <w:kern w:val="0"/>
                <w:sz w:val="21"/>
              </w:rPr>
              <w:t>六涌休闲公园</w:t>
            </w:r>
          </w:p>
        </w:tc>
        <w:tc>
          <w:tcPr>
            <w:tcW w:w="1065" w:type="dxa"/>
            <w:shd w:val="clear" w:color="auto" w:fill="auto"/>
            <w:vAlign w:val="center"/>
          </w:tcPr>
          <w:p w14:paraId="2D2EF42C">
            <w:pPr>
              <w:widowControl/>
              <w:spacing w:line="240" w:lineRule="auto"/>
              <w:ind w:firstLine="0" w:firstLineChars="0"/>
              <w:jc w:val="center"/>
              <w:rPr>
                <w:rFonts w:eastAsia="宋体" w:cs="Times New Roman"/>
                <w:sz w:val="21"/>
              </w:rPr>
            </w:pPr>
            <w:r>
              <w:rPr>
                <w:rFonts w:hint="eastAsia" w:eastAsia="宋体" w:cs="Times New Roman"/>
                <w:sz w:val="21"/>
              </w:rPr>
              <w:t>西区</w:t>
            </w:r>
          </w:p>
        </w:tc>
        <w:tc>
          <w:tcPr>
            <w:tcW w:w="1169" w:type="dxa"/>
            <w:shd w:val="clear" w:color="auto" w:fill="auto"/>
            <w:vAlign w:val="center"/>
          </w:tcPr>
          <w:p w14:paraId="5AD53334">
            <w:pPr>
              <w:widowControl/>
              <w:spacing w:line="240" w:lineRule="auto"/>
              <w:ind w:firstLine="0" w:firstLineChars="0"/>
              <w:jc w:val="center"/>
              <w:rPr>
                <w:rFonts w:eastAsia="宋体" w:cs="Times New Roman"/>
                <w:sz w:val="21"/>
              </w:rPr>
            </w:pPr>
            <w:r>
              <w:rPr>
                <w:rFonts w:hint="eastAsia" w:eastAsia="宋体" w:cs="Times New Roman"/>
                <w:sz w:val="21"/>
              </w:rPr>
              <w:t>河涌型</w:t>
            </w:r>
          </w:p>
        </w:tc>
        <w:tc>
          <w:tcPr>
            <w:tcW w:w="1293" w:type="dxa"/>
            <w:shd w:val="clear" w:color="auto" w:fill="auto"/>
            <w:vAlign w:val="center"/>
          </w:tcPr>
          <w:p w14:paraId="1AC18CE1">
            <w:pPr>
              <w:widowControl/>
              <w:spacing w:line="240" w:lineRule="auto"/>
              <w:ind w:firstLine="0" w:firstLineChars="0"/>
              <w:jc w:val="center"/>
              <w:rPr>
                <w:rFonts w:eastAsia="宋体" w:cs="Times New Roman"/>
                <w:kern w:val="0"/>
                <w:sz w:val="21"/>
              </w:rPr>
            </w:pPr>
            <w:r>
              <w:rPr>
                <w:rFonts w:hint="eastAsia" w:eastAsia="宋体" w:cs="Times New Roman"/>
                <w:kern w:val="0"/>
                <w:sz w:val="21"/>
              </w:rPr>
              <w:t>河涌、绿地</w:t>
            </w:r>
          </w:p>
        </w:tc>
        <w:tc>
          <w:tcPr>
            <w:tcW w:w="1512" w:type="dxa"/>
            <w:shd w:val="clear" w:color="auto" w:fill="auto"/>
            <w:vAlign w:val="center"/>
          </w:tcPr>
          <w:p w14:paraId="34101DC1">
            <w:pPr>
              <w:widowControl/>
              <w:spacing w:line="240" w:lineRule="auto"/>
              <w:ind w:firstLine="0" w:firstLineChars="0"/>
              <w:jc w:val="center"/>
              <w:rPr>
                <w:rFonts w:eastAsia="宋体" w:cs="Times New Roman"/>
                <w:sz w:val="21"/>
              </w:rPr>
            </w:pPr>
            <w:r>
              <w:rPr>
                <w:rFonts w:hint="eastAsia" w:eastAsia="宋体" w:cs="Times New Roman"/>
                <w:sz w:val="21"/>
              </w:rPr>
              <w:t>C、F</w:t>
            </w:r>
          </w:p>
        </w:tc>
      </w:tr>
    </w:tbl>
    <w:p w14:paraId="51C1E89E">
      <w:pPr>
        <w:spacing w:line="240" w:lineRule="auto"/>
        <w:ind w:firstLine="482"/>
        <w:rPr>
          <w:rFonts w:ascii="宋体" w:hAnsi="宋体" w:eastAsia="宋体" w:cs="宋体"/>
          <w:b/>
          <w:bCs/>
          <w:color w:val="FF0000"/>
          <w:szCs w:val="24"/>
        </w:rPr>
      </w:pPr>
    </w:p>
    <w:p w14:paraId="258550C7">
      <w:pPr>
        <w:ind w:firstLine="482"/>
        <w:rPr>
          <w:rFonts w:ascii="宋体" w:hAnsi="宋体" w:eastAsia="宋体" w:cs="宋体"/>
          <w:szCs w:val="24"/>
        </w:rPr>
      </w:pPr>
      <w:r>
        <w:rPr>
          <w:rFonts w:hint="eastAsia" w:ascii="宋体" w:hAnsi="宋体" w:eastAsia="宋体" w:cs="宋体"/>
          <w:b/>
          <w:bCs/>
          <w:szCs w:val="24"/>
        </w:rPr>
        <w:t>“绿线”</w:t>
      </w:r>
      <w:r>
        <w:rPr>
          <w:rFonts w:hint="eastAsia" w:ascii="宋体" w:hAnsi="宋体" w:eastAsia="宋体" w:cs="宋体"/>
          <w:szCs w:val="24"/>
        </w:rPr>
        <w:t>：结合西区的</w:t>
      </w:r>
      <w:r>
        <w:rPr>
          <w:rFonts w:hint="eastAsia" w:eastAsia="宋体" w:cs="Times New Roman"/>
        </w:rPr>
        <w:t>沙朗片区的基本农田、一般农田</w:t>
      </w:r>
      <w:r>
        <w:rPr>
          <w:rFonts w:hint="eastAsia" w:cs="Times New Roman"/>
        </w:rPr>
        <w:t>和耕地</w:t>
      </w:r>
      <w:r>
        <w:rPr>
          <w:rFonts w:hint="eastAsia" w:ascii="宋体" w:hAnsi="宋体" w:eastAsia="宋体" w:cs="宋体"/>
          <w:szCs w:val="24"/>
        </w:rPr>
        <w:t>，及城市公共绿地等划定西区城市绿线。</w:t>
      </w:r>
    </w:p>
    <w:p w14:paraId="6C17A651">
      <w:pPr>
        <w:ind w:firstLine="480"/>
        <w:rPr>
          <w:rFonts w:ascii="宋体" w:hAnsi="宋体" w:eastAsia="宋体" w:cs="宋体"/>
          <w:szCs w:val="24"/>
        </w:rPr>
      </w:pPr>
      <w:r>
        <w:rPr>
          <w:rFonts w:hint="eastAsia" w:ascii="宋体" w:hAnsi="宋体" w:eastAsia="宋体" w:cs="宋体"/>
          <w:szCs w:val="24"/>
        </w:rPr>
        <w:t>具体划定对象、范围及主要管制措施如下：</w:t>
      </w:r>
    </w:p>
    <w:p w14:paraId="176D88AE">
      <w:pPr>
        <w:numPr>
          <w:ilvl w:val="0"/>
          <w:numId w:val="1"/>
        </w:numPr>
        <w:ind w:firstLine="480"/>
        <w:rPr>
          <w:rFonts w:ascii="宋体" w:hAnsi="宋体" w:eastAsia="宋体" w:cs="宋体"/>
          <w:szCs w:val="24"/>
        </w:rPr>
      </w:pPr>
      <w:r>
        <w:rPr>
          <w:rFonts w:hint="eastAsia" w:ascii="宋体" w:hAnsi="宋体" w:eastAsia="宋体" w:cs="宋体"/>
          <w:szCs w:val="24"/>
        </w:rPr>
        <w:t>区域生态绿地“绿线”：包括基本农田和区域山体、水库等两侧的绿地。该“绿线”范围内的所有的林木、绿地、植被、绿化设施等，任何单位和个人不得擅自移动、破坏、侵占和损坏；绿线范围内不符合规划要求的建筑物、构筑物及其他设施应当限期迁出；</w:t>
      </w:r>
    </w:p>
    <w:p w14:paraId="4FA2ADAB">
      <w:pPr>
        <w:ind w:firstLine="480"/>
        <w:rPr>
          <w:rFonts w:ascii="宋体" w:hAnsi="宋体" w:eastAsia="宋体" w:cs="宋体"/>
          <w:szCs w:val="24"/>
        </w:rPr>
      </w:pPr>
      <w:r>
        <w:rPr>
          <w:rFonts w:hint="eastAsia" w:ascii="宋体" w:hAnsi="宋体" w:eastAsia="宋体" w:cs="宋体"/>
          <w:szCs w:val="24"/>
        </w:rPr>
        <w:t>任何单位和个人不得在城市绿地范围内进行拦河截溪、取土采石、设置垃圾堆场、排放污水以及其他对生态环境构成破坏的活动。</w:t>
      </w:r>
    </w:p>
    <w:p w14:paraId="04B2BCCC">
      <w:pPr>
        <w:ind w:firstLine="480"/>
        <w:rPr>
          <w:rFonts w:ascii="宋体" w:hAnsi="宋体" w:eastAsia="宋体" w:cs="宋体"/>
          <w:szCs w:val="24"/>
        </w:rPr>
      </w:pPr>
      <w:r>
        <w:rPr>
          <w:rFonts w:hint="eastAsia" w:ascii="宋体" w:hAnsi="宋体" w:eastAsia="宋体" w:cs="宋体"/>
          <w:szCs w:val="24"/>
        </w:rPr>
        <w:t>（2）城市公共绿地“绿线”：包括城市公园、街头绿地、道路绿地和居住区绿地等。该“绿线”范围内的所有绿地必须按照《城市用地分类与规划建设用地标准》、《公园设计规范》等标准进行绿地建设；有关部门不得擅自批准在城市绿线范围内进行建设，因建设或者其他特殊情况需要临时占用“绿线”内用地的，必须依法办理相关审批手续。</w:t>
      </w:r>
    </w:p>
    <w:p w14:paraId="26369295">
      <w:pPr>
        <w:ind w:firstLine="480"/>
        <w:rPr>
          <w:rFonts w:ascii="宋体" w:hAnsi="宋体" w:eastAsia="宋体" w:cs="宋体"/>
          <w:szCs w:val="24"/>
        </w:rPr>
      </w:pPr>
      <w:r>
        <w:rPr>
          <w:rFonts w:hint="eastAsia" w:ascii="宋体" w:hAnsi="宋体" w:eastAsia="宋体" w:cs="宋体"/>
          <w:szCs w:val="24"/>
        </w:rPr>
        <w:t>（3）生产防护绿地“绿线”：高速公路沿线的防护绿带；城市干道沿线的防护绿带；高压走廊绿地控制宽度。任何单位和个人在该类“绿线”空间管制范围内使用土地进行建设，必须符合城市总体规划，服从土地管理部门、城市规划部门及相应职能部门的管理。</w:t>
      </w:r>
    </w:p>
    <w:p w14:paraId="448B06CA">
      <w:pPr>
        <w:ind w:firstLine="482"/>
        <w:rPr>
          <w:rFonts w:ascii="宋体" w:hAnsi="宋体" w:eastAsia="宋体" w:cs="宋体"/>
          <w:szCs w:val="24"/>
        </w:rPr>
      </w:pPr>
      <w:r>
        <w:rPr>
          <w:rFonts w:hint="eastAsia" w:ascii="宋体" w:hAnsi="宋体" w:eastAsia="宋体" w:cs="宋体"/>
          <w:b/>
          <w:bCs/>
          <w:szCs w:val="24"/>
        </w:rPr>
        <w:t>“黄线”</w:t>
      </w:r>
      <w:r>
        <w:rPr>
          <w:rFonts w:hint="eastAsia" w:ascii="宋体" w:hAnsi="宋体" w:eastAsia="宋体" w:cs="宋体"/>
          <w:szCs w:val="24"/>
        </w:rPr>
        <w:t>：根据西区基本市政设施划定 “黄线”，具体管制要点如下：</w:t>
      </w:r>
    </w:p>
    <w:p w14:paraId="5EA6DD4E">
      <w:pPr>
        <w:numPr>
          <w:ilvl w:val="0"/>
          <w:numId w:val="2"/>
        </w:numPr>
        <w:ind w:firstLine="480"/>
        <w:rPr>
          <w:rFonts w:ascii="宋体" w:hAnsi="宋体" w:eastAsia="宋体" w:cs="宋体"/>
          <w:szCs w:val="24"/>
        </w:rPr>
      </w:pPr>
      <w:r>
        <w:rPr>
          <w:rFonts w:hint="eastAsia" w:ascii="宋体" w:hAnsi="宋体" w:eastAsia="宋体" w:cs="宋体"/>
          <w:szCs w:val="24"/>
        </w:rPr>
        <w:t>“黄线”一经划定并批准，任何人不得擅自调整。因特殊情况需要临时占用黄线内的土地的，在不影响城市基础设施实施建设和安全正常运转情况下，应当依法办理相关审批手续。</w:t>
      </w:r>
    </w:p>
    <w:p w14:paraId="4FEB513C">
      <w:pPr>
        <w:numPr>
          <w:ilvl w:val="0"/>
          <w:numId w:val="2"/>
        </w:numPr>
        <w:ind w:firstLine="480"/>
        <w:rPr>
          <w:rFonts w:ascii="宋体" w:hAnsi="宋体" w:eastAsia="宋体" w:cs="宋体"/>
          <w:szCs w:val="24"/>
        </w:rPr>
      </w:pPr>
      <w:r>
        <w:rPr>
          <w:rFonts w:hint="eastAsia" w:ascii="宋体" w:hAnsi="宋体" w:eastAsia="宋体" w:cs="宋体"/>
          <w:szCs w:val="24"/>
        </w:rPr>
        <w:t>在“黄线”范围内禁止进行下列活动：违反城市规划要求，进行建筑物、构筑物及其他设施的建设；违反国家有关技术标准和规范进行建设；未经批</w:t>
      </w:r>
    </w:p>
    <w:p w14:paraId="284C3F9D">
      <w:pPr>
        <w:ind w:firstLine="0" w:firstLineChars="0"/>
        <w:rPr>
          <w:rFonts w:ascii="宋体" w:hAnsi="宋体" w:eastAsia="宋体" w:cs="宋体"/>
          <w:szCs w:val="24"/>
        </w:rPr>
      </w:pPr>
      <w:r>
        <w:rPr>
          <w:rFonts w:hint="eastAsia" w:ascii="宋体" w:hAnsi="宋体" w:eastAsia="宋体" w:cs="宋体"/>
          <w:szCs w:val="24"/>
        </w:rPr>
        <w:t>准，改装、迁移或拆毁原有基础设施；其他损坏基础设施或影响基础设施安全和正常运转的行为。</w:t>
      </w:r>
    </w:p>
    <w:p w14:paraId="45DAEA50">
      <w:pPr>
        <w:ind w:firstLine="482"/>
        <w:rPr>
          <w:rFonts w:ascii="宋体" w:hAnsi="宋体" w:eastAsia="宋体" w:cs="宋体"/>
          <w:szCs w:val="24"/>
        </w:rPr>
      </w:pPr>
      <w:r>
        <w:rPr>
          <w:rFonts w:hint="eastAsia" w:ascii="宋体" w:hAnsi="宋体" w:eastAsia="宋体" w:cs="宋体"/>
          <w:b/>
          <w:bCs/>
          <w:szCs w:val="24"/>
        </w:rPr>
        <w:t>“紫线”</w:t>
      </w:r>
      <w:r>
        <w:rPr>
          <w:rFonts w:hint="eastAsia" w:ascii="宋体" w:hAnsi="宋体" w:eastAsia="宋体" w:cs="宋体"/>
          <w:szCs w:val="24"/>
        </w:rPr>
        <w:t>：西区“紫线”保护范围主要是不可移动文物保护单位及有较大历史价值的建筑。根据中山市第三次文物普查，西区共有23处历史建筑和27处不可移动文物（含市级文物保护单位4处）。西区应尽快编制紫线专项规划，加强对上述历史文化资源的保护。管制措施包括：</w:t>
      </w:r>
    </w:p>
    <w:p w14:paraId="47B6EDD7">
      <w:pPr>
        <w:ind w:firstLine="480"/>
        <w:rPr>
          <w:color w:val="FF0000"/>
        </w:rPr>
        <w:sectPr>
          <w:footerReference r:id="rId13" w:type="default"/>
          <w:pgSz w:w="11906" w:h="16838"/>
          <w:pgMar w:top="1440" w:right="1797" w:bottom="1440" w:left="1797" w:header="851" w:footer="992" w:gutter="0"/>
          <w:cols w:space="425" w:num="1"/>
          <w:docGrid w:type="lines" w:linePitch="312" w:charSpace="0"/>
        </w:sectPr>
      </w:pPr>
      <w:r>
        <w:rPr>
          <w:rFonts w:hint="eastAsia" w:ascii="宋体" w:hAnsi="宋体" w:eastAsia="宋体" w:cs="宋体"/>
          <w:szCs w:val="24"/>
        </w:rPr>
        <w:t>（1）在紫线范围内禁止进行下列活动：违反保护规划的大面积拆除、开发；对紫线内传统格局和风貌构成影响的大面积改建；损坏或者拆毁保护规划确定保</w:t>
      </w:r>
    </w:p>
    <w:p w14:paraId="56F76FA2">
      <w:pPr>
        <w:ind w:firstLine="0" w:firstLineChars="0"/>
        <w:rPr>
          <w:rFonts w:ascii="宋体" w:hAnsi="宋体" w:eastAsia="宋体" w:cs="宋体"/>
          <w:szCs w:val="24"/>
        </w:rPr>
      </w:pPr>
      <w:r>
        <w:rPr>
          <w:rFonts w:hint="eastAsia" w:ascii="宋体" w:hAnsi="宋体" w:eastAsia="宋体" w:cs="宋体"/>
          <w:szCs w:val="24"/>
        </w:rPr>
        <w:t>护的建筑物、构筑物和其他设施；修建破坏传统风貌的建筑物、构筑物和其他设施；占用或者破坏保护规划确定保留的园林绿地、河湖水系、道路和古树名木等。</w:t>
      </w:r>
    </w:p>
    <w:p w14:paraId="3BBD9E83">
      <w:pPr>
        <w:ind w:firstLine="480"/>
        <w:rPr>
          <w:rFonts w:ascii="宋体" w:hAnsi="宋体" w:eastAsia="宋体" w:cs="宋体"/>
          <w:szCs w:val="24"/>
        </w:rPr>
      </w:pPr>
      <w:r>
        <w:rPr>
          <w:rFonts w:hint="eastAsia" w:ascii="宋体" w:hAnsi="宋体" w:eastAsia="宋体" w:cs="宋体"/>
          <w:szCs w:val="24"/>
        </w:rPr>
        <w:t>（2）在城市紫线范围内进行新建或者改建各类建筑物、构筑物和其他设施，对规划确定保护的建筑物、构筑物和其他设施进行修缮和维修以及改变建筑物、构筑物的使用性质，应当依照相关法律、法规的规定，办理相关手续后方可进行。</w:t>
      </w:r>
    </w:p>
    <w:p w14:paraId="54BD3F34">
      <w:pPr>
        <w:ind w:firstLine="480"/>
        <w:rPr>
          <w:rFonts w:ascii="宋体" w:hAnsi="宋体" w:eastAsia="宋体" w:cs="宋体"/>
          <w:szCs w:val="24"/>
        </w:rPr>
      </w:pPr>
      <w:r>
        <w:rPr>
          <w:rFonts w:hint="eastAsia" w:ascii="宋体" w:hAnsi="宋体" w:eastAsia="宋体" w:cs="宋体"/>
          <w:szCs w:val="24"/>
        </w:rPr>
        <w:t>（3）城市紫线范围内各类建设的规划审批，实行备案制度。</w:t>
      </w:r>
    </w:p>
    <w:p w14:paraId="5E4EE8AE">
      <w:pPr>
        <w:ind w:firstLine="480"/>
        <w:rPr>
          <w:rFonts w:ascii="宋体" w:hAnsi="宋体" w:eastAsia="宋体" w:cs="宋体"/>
          <w:szCs w:val="24"/>
        </w:rPr>
      </w:pPr>
      <w:r>
        <w:rPr>
          <w:rFonts w:hint="eastAsia" w:ascii="宋体" w:hAnsi="宋体" w:eastAsia="宋体" w:cs="宋体"/>
          <w:szCs w:val="24"/>
        </w:rPr>
        <w:t>（4）在城市紫线范围内进行建设活动，涉及文物保护单位的，应当符合国家有关文物保护的法律、法规的规定。</w:t>
      </w:r>
    </w:p>
    <w:p w14:paraId="123AA3A8">
      <w:pPr>
        <w:ind w:firstLine="480"/>
        <w:rPr>
          <w:rFonts w:cs="Times New Roman"/>
          <w:sz w:val="21"/>
        </w:rPr>
      </w:pPr>
      <w:r>
        <w:rPr>
          <w:rFonts w:hint="eastAsia" w:ascii="宋体" w:hAnsi="宋体" w:eastAsia="宋体" w:cs="宋体"/>
          <w:szCs w:val="24"/>
        </w:rPr>
        <w:t>（5）城市紫线规划管制，由城市规划行政主管部门、文化管理部门等共同实施。</w:t>
      </w:r>
    </w:p>
    <w:p w14:paraId="66ABEAC8">
      <w:pPr>
        <w:pStyle w:val="3"/>
        <w:spacing w:before="0" w:after="0"/>
      </w:pPr>
      <w:bookmarkStart w:id="155" w:name="_Toc20345"/>
      <w:bookmarkStart w:id="156" w:name="_Toc2441"/>
      <w:bookmarkStart w:id="157" w:name="_Toc13497"/>
      <w:bookmarkStart w:id="158" w:name="_Toc9666"/>
      <w:bookmarkStart w:id="159" w:name="_Toc9782"/>
      <w:bookmarkStart w:id="160" w:name="_Toc16675016"/>
      <w:bookmarkStart w:id="161" w:name="_Toc16064"/>
      <w:bookmarkStart w:id="162" w:name="_Toc528880269"/>
      <w:r>
        <w:t>1.</w:t>
      </w:r>
      <w:r>
        <w:rPr>
          <w:rFonts w:hint="eastAsia"/>
        </w:rPr>
        <w:t>4</w:t>
      </w:r>
      <w:r>
        <w:t>.</w:t>
      </w:r>
      <w:r>
        <w:rPr>
          <w:rFonts w:hint="eastAsia"/>
        </w:rPr>
        <w:t>3水功能区划</w:t>
      </w:r>
      <w:bookmarkEnd w:id="155"/>
      <w:bookmarkEnd w:id="156"/>
      <w:bookmarkEnd w:id="157"/>
      <w:bookmarkEnd w:id="158"/>
      <w:bookmarkEnd w:id="159"/>
      <w:bookmarkEnd w:id="160"/>
      <w:bookmarkEnd w:id="161"/>
      <w:bookmarkEnd w:id="162"/>
    </w:p>
    <w:p w14:paraId="5BB4D116">
      <w:pPr>
        <w:ind w:firstLine="0" w:firstLineChars="0"/>
        <w:outlineLvl w:val="3"/>
        <w:rPr>
          <w:rFonts w:eastAsia="黑体"/>
          <w:szCs w:val="24"/>
        </w:rPr>
      </w:pPr>
      <w:r>
        <w:rPr>
          <w:rFonts w:hint="eastAsia" w:eastAsia="黑体"/>
          <w:szCs w:val="24"/>
        </w:rPr>
        <w:t>1.4.3.1地表水功能区划</w:t>
      </w:r>
    </w:p>
    <w:p w14:paraId="5FAC6072">
      <w:pPr>
        <w:ind w:firstLine="480"/>
      </w:pPr>
      <w:r>
        <w:rPr>
          <w:rFonts w:hint="eastAsia"/>
        </w:rPr>
        <w:t>根据《关于印发&lt;广东省地表水功能区划&gt;的通知》（粤环【20</w:t>
      </w:r>
      <w:r>
        <w:t>11</w:t>
      </w:r>
      <w:r>
        <w:rPr>
          <w:rFonts w:hint="eastAsia"/>
        </w:rPr>
        <w:t>】14号）与《中山市水功能区管理办法》（中府【200</w:t>
      </w:r>
      <w:r>
        <w:t>8</w:t>
      </w:r>
      <w:r>
        <w:rPr>
          <w:rFonts w:hint="eastAsia"/>
        </w:rPr>
        <w:t>】96号），中山市共划分为47个一级水功能区，311个二级水功能区，其中：河流一级水功能区13个，湖库一级水功能区21个，内河涌一级水功能区13个；河流二级水功能区15个，湖库二级水功能区21个，内河涌二级水功能区275个。</w:t>
      </w:r>
    </w:p>
    <w:p w14:paraId="0653AAFC">
      <w:pPr>
        <w:ind w:firstLine="480" w:firstLineChars="0"/>
      </w:pPr>
      <w:r>
        <w:rPr>
          <w:rFonts w:hint="eastAsia"/>
        </w:rPr>
        <w:t>①河流水功能区划：中山市水功能区划分河流一级水功能区的总个数为13个，总长度245.75km。在13个一级开发利用区中共划分出15个二级区，其中饮用渔业用水区6个，总河长146.75km，占59.71%；工业用水区7个，总河长59km，占24.00%；渔业工业用水区1个，河长为28km，占11.39%；渔业用水区1个，河长为12km，占4.88%。</w:t>
      </w:r>
    </w:p>
    <w:p w14:paraId="41C1700C">
      <w:pPr>
        <w:ind w:firstLine="480"/>
      </w:pPr>
      <w:r>
        <w:rPr>
          <w:rFonts w:hint="eastAsia"/>
        </w:rPr>
        <w:t>②湖库水功能区划湖库一级水功能区的总个数为21个，全部为开发利用区，共划分出湖库二级水功能区划21个，除金钟水库、石榴坑水库（秀丽湖）、逸仙湖、岐江公园湖以景观用水为主导功能外，其余均以饮用水为主导功能。</w:t>
      </w:r>
    </w:p>
    <w:p w14:paraId="517C9EE2">
      <w:pPr>
        <w:ind w:firstLine="480"/>
      </w:pPr>
      <w:r>
        <w:rPr>
          <w:rFonts w:hint="eastAsia"/>
        </w:rPr>
        <w:t>③内河涌水功能区划以联围为单位，中山市内河涌的功能共划分出13个一级开发利用区，在此基础上划分出275个二级区，其中以工业用水为主导功能的水功能区15个，农业用水区210个，景观用水区7个，农业景观区43个。</w:t>
      </w:r>
    </w:p>
    <w:p w14:paraId="426767F5">
      <w:pPr>
        <w:ind w:firstLine="480"/>
        <w:rPr>
          <w:color w:val="FF0000"/>
        </w:rPr>
      </w:pPr>
      <w:r>
        <w:rPr>
          <w:rFonts w:hint="eastAsia"/>
        </w:rPr>
        <w:t>西区境内包括中顺大围内河涌开发利用区划分出狮滘河、十六顷排灌渠、悦生涌、石特涌、沙朗涌、南八涌、南六涌、岐江河8个二级区，为农业用水区。</w:t>
      </w:r>
    </w:p>
    <w:p w14:paraId="2BA4EC46">
      <w:pPr>
        <w:ind w:firstLine="0" w:firstLineChars="0"/>
        <w:outlineLvl w:val="3"/>
        <w:rPr>
          <w:rFonts w:eastAsia="黑体"/>
          <w:szCs w:val="24"/>
        </w:rPr>
      </w:pPr>
      <w:r>
        <w:rPr>
          <w:rFonts w:hint="eastAsia" w:eastAsia="黑体"/>
          <w:szCs w:val="24"/>
        </w:rPr>
        <w:t>1.4.3.2地下水功能区划</w:t>
      </w:r>
    </w:p>
    <w:p w14:paraId="7BB0E613">
      <w:pPr>
        <w:ind w:firstLine="480"/>
      </w:pPr>
      <w:r>
        <w:rPr>
          <w:rFonts w:hint="eastAsia"/>
        </w:rPr>
        <w:t>根据《广东省地下水功能区划》（粤水资源【2009】19号），中山市区划分2个一级地下水功能区，分别为保护区与保留区；在一级地下水功能区的基础上，划分2个二级地下水功能区，分别为“珠江三角洲中山地质灾害易发区”、“珠江三角洲中山不宜开采区”。珠江三角洲中山地质灾害易发区现状水质为I</w:t>
      </w:r>
      <w:r>
        <w:rPr>
          <w:rFonts w:cs="Times New Roman"/>
        </w:rPr>
        <w:t>-Ⅳ类，目标水质为Ⅲ类；珠江三角洲中山不宜开采区现状水质为Ⅴ类，目标水质为Ⅴ类</w:t>
      </w:r>
      <w:r>
        <w:rPr>
          <w:rFonts w:hint="eastAsia"/>
        </w:rPr>
        <w:t>。其中，西区处在珠江三角洲中山不宜开采区二级地下水功能区。</w:t>
      </w:r>
    </w:p>
    <w:p w14:paraId="7E4B429B">
      <w:pPr>
        <w:pStyle w:val="3"/>
        <w:spacing w:before="0" w:after="0"/>
      </w:pPr>
      <w:bookmarkStart w:id="163" w:name="_Toc21658"/>
      <w:bookmarkStart w:id="164" w:name="_Toc21536"/>
      <w:bookmarkStart w:id="165" w:name="_Toc527572468"/>
      <w:bookmarkStart w:id="166" w:name="_Toc528880270"/>
      <w:bookmarkStart w:id="167" w:name="_Toc18589"/>
      <w:bookmarkStart w:id="168" w:name="_Toc5575"/>
      <w:bookmarkStart w:id="169" w:name="_Toc672"/>
      <w:bookmarkStart w:id="170" w:name="_Toc24520"/>
      <w:bookmarkStart w:id="171" w:name="_Toc11545"/>
      <w:bookmarkStart w:id="172" w:name="_Toc24447"/>
      <w:bookmarkStart w:id="173" w:name="_Toc16675017"/>
      <w:r>
        <w:t>1.4.</w:t>
      </w:r>
      <w:r>
        <w:rPr>
          <w:rFonts w:hint="eastAsia"/>
        </w:rPr>
        <w:t>4</w:t>
      </w:r>
      <w:r>
        <w:t>水环境质量状况</w:t>
      </w:r>
      <w:bookmarkEnd w:id="163"/>
      <w:bookmarkEnd w:id="164"/>
      <w:bookmarkEnd w:id="165"/>
      <w:bookmarkEnd w:id="166"/>
      <w:bookmarkEnd w:id="167"/>
      <w:bookmarkEnd w:id="168"/>
      <w:bookmarkEnd w:id="169"/>
      <w:bookmarkEnd w:id="170"/>
      <w:bookmarkEnd w:id="171"/>
      <w:bookmarkEnd w:id="172"/>
      <w:bookmarkEnd w:id="173"/>
    </w:p>
    <w:p w14:paraId="5518CAF1">
      <w:pPr>
        <w:ind w:firstLine="480"/>
        <w:rPr>
          <w:szCs w:val="24"/>
        </w:rPr>
      </w:pPr>
      <w:r>
        <w:rPr>
          <w:szCs w:val="24"/>
        </w:rPr>
        <w:t>中山市位于珠江三角洲下游，河网发达，水资源丰富。但随着社会经济的发展、人口的不断增加，江河水质受到不同程度的污染。根据</w:t>
      </w:r>
      <w:r>
        <w:rPr>
          <w:rFonts w:hint="eastAsia"/>
          <w:szCs w:val="24"/>
        </w:rPr>
        <w:t>《</w:t>
      </w:r>
      <w:r>
        <w:rPr>
          <w:szCs w:val="24"/>
        </w:rPr>
        <w:t>201</w:t>
      </w:r>
      <w:r>
        <w:rPr>
          <w:rFonts w:hint="eastAsia"/>
          <w:szCs w:val="24"/>
        </w:rPr>
        <w:t>7</w:t>
      </w:r>
      <w:r>
        <w:rPr>
          <w:szCs w:val="24"/>
        </w:rPr>
        <w:t>年中山市水资源公报</w:t>
      </w:r>
      <w:r>
        <w:rPr>
          <w:rFonts w:hint="eastAsia"/>
          <w:szCs w:val="24"/>
        </w:rPr>
        <w:t>》</w:t>
      </w:r>
      <w:r>
        <w:rPr>
          <w:szCs w:val="24"/>
        </w:rPr>
        <w:t>，201</w:t>
      </w:r>
      <w:r>
        <w:rPr>
          <w:rFonts w:hint="eastAsia"/>
          <w:szCs w:val="24"/>
        </w:rPr>
        <w:t>7</w:t>
      </w:r>
      <w:r>
        <w:rPr>
          <w:szCs w:val="24"/>
        </w:rPr>
        <w:t>年中山市主要大江大河水质较好</w:t>
      </w:r>
      <w:r>
        <w:rPr>
          <w:rFonts w:hint="eastAsia"/>
          <w:szCs w:val="24"/>
        </w:rPr>
        <w:t>，两个水源地断面全禄水厂、大丰水厂水质年度均值达到II类水质，满足饮用水源地的水质要求。城市内河</w:t>
      </w:r>
      <w:r>
        <w:rPr>
          <w:szCs w:val="24"/>
        </w:rPr>
        <w:t>岐江河不达标，主要是溶解氧、氨氮超标</w:t>
      </w:r>
      <w:r>
        <w:rPr>
          <w:rFonts w:hint="eastAsia"/>
          <w:szCs w:val="24"/>
        </w:rPr>
        <w:t>，长江水库部分月总氮III类</w:t>
      </w:r>
      <w:r>
        <w:rPr>
          <w:szCs w:val="24"/>
        </w:rPr>
        <w:t>。（见表1-</w:t>
      </w:r>
      <w:r>
        <w:rPr>
          <w:rFonts w:hint="eastAsia"/>
          <w:szCs w:val="24"/>
        </w:rPr>
        <w:t>12</w:t>
      </w:r>
      <w:r>
        <w:rPr>
          <w:szCs w:val="24"/>
        </w:rPr>
        <w:t>）。</w:t>
      </w:r>
    </w:p>
    <w:p w14:paraId="3F67DCF5">
      <w:pPr>
        <w:spacing w:line="240" w:lineRule="auto"/>
        <w:ind w:firstLine="482" w:firstLineChars="0"/>
        <w:jc w:val="center"/>
        <w:rPr>
          <w:sz w:val="21"/>
        </w:rPr>
      </w:pPr>
      <w:r>
        <w:rPr>
          <w:sz w:val="21"/>
        </w:rPr>
        <w:t>表1-</w:t>
      </w:r>
      <w:r>
        <w:rPr>
          <w:rFonts w:hint="eastAsia"/>
          <w:sz w:val="21"/>
        </w:rPr>
        <w:t>12</w:t>
      </w:r>
      <w:r>
        <w:rPr>
          <w:sz w:val="21"/>
        </w:rPr>
        <w:t xml:space="preserve">  2017年中山市部分水功能区达标情况和超标项目</w:t>
      </w:r>
    </w:p>
    <w:tbl>
      <w:tblPr>
        <w:tblStyle w:val="25"/>
        <w:tblW w:w="9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1701"/>
        <w:gridCol w:w="1103"/>
        <w:gridCol w:w="820"/>
        <w:gridCol w:w="1057"/>
        <w:gridCol w:w="1057"/>
        <w:gridCol w:w="2382"/>
      </w:tblGrid>
      <w:tr w14:paraId="0FB1F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0" w:type="dxa"/>
            <w:tcBorders>
              <w:top w:val="single" w:color="auto" w:sz="4" w:space="0"/>
              <w:left w:val="single" w:color="auto" w:sz="4" w:space="0"/>
              <w:bottom w:val="single" w:color="auto" w:sz="4" w:space="0"/>
              <w:right w:val="single" w:color="auto" w:sz="4" w:space="0"/>
            </w:tcBorders>
            <w:vAlign w:val="center"/>
          </w:tcPr>
          <w:p w14:paraId="63F2E595">
            <w:pPr>
              <w:spacing w:line="240" w:lineRule="auto"/>
              <w:ind w:firstLine="0" w:firstLineChars="0"/>
              <w:jc w:val="center"/>
              <w:rPr>
                <w:rFonts w:eastAsia="Times New Roman"/>
                <w:sz w:val="21"/>
              </w:rPr>
            </w:pPr>
            <w:r>
              <w:rPr>
                <w:sz w:val="21"/>
              </w:rPr>
              <w:t>一级水功能区</w:t>
            </w:r>
          </w:p>
        </w:tc>
        <w:tc>
          <w:tcPr>
            <w:tcW w:w="1701" w:type="dxa"/>
            <w:tcBorders>
              <w:top w:val="single" w:color="auto" w:sz="4" w:space="0"/>
              <w:left w:val="nil"/>
              <w:bottom w:val="single" w:color="auto" w:sz="4" w:space="0"/>
              <w:right w:val="single" w:color="auto" w:sz="4" w:space="0"/>
            </w:tcBorders>
            <w:vAlign w:val="center"/>
          </w:tcPr>
          <w:p w14:paraId="5C5E2B1B">
            <w:pPr>
              <w:spacing w:line="240" w:lineRule="auto"/>
              <w:ind w:firstLine="0" w:firstLineChars="0"/>
              <w:jc w:val="center"/>
              <w:rPr>
                <w:rFonts w:eastAsia="Times New Roman"/>
                <w:sz w:val="21"/>
              </w:rPr>
            </w:pPr>
            <w:r>
              <w:rPr>
                <w:sz w:val="21"/>
              </w:rPr>
              <w:t>二级水功能区</w:t>
            </w:r>
          </w:p>
        </w:tc>
        <w:tc>
          <w:tcPr>
            <w:tcW w:w="1103" w:type="dxa"/>
            <w:tcBorders>
              <w:top w:val="single" w:color="auto" w:sz="4" w:space="0"/>
              <w:left w:val="nil"/>
              <w:bottom w:val="single" w:color="auto" w:sz="4" w:space="0"/>
              <w:right w:val="single" w:color="auto" w:sz="4" w:space="0"/>
            </w:tcBorders>
            <w:vAlign w:val="center"/>
          </w:tcPr>
          <w:p w14:paraId="161F388B">
            <w:pPr>
              <w:spacing w:line="240" w:lineRule="auto"/>
              <w:ind w:firstLine="0" w:firstLineChars="0"/>
              <w:jc w:val="center"/>
              <w:rPr>
                <w:rFonts w:eastAsia="Times New Roman"/>
                <w:sz w:val="21"/>
              </w:rPr>
            </w:pPr>
            <w:r>
              <w:rPr>
                <w:sz w:val="21"/>
              </w:rPr>
              <w:t>代表断面</w:t>
            </w:r>
          </w:p>
        </w:tc>
        <w:tc>
          <w:tcPr>
            <w:tcW w:w="820" w:type="dxa"/>
            <w:tcBorders>
              <w:top w:val="single" w:color="auto" w:sz="4" w:space="0"/>
              <w:left w:val="nil"/>
              <w:bottom w:val="single" w:color="auto" w:sz="4" w:space="0"/>
              <w:right w:val="single" w:color="auto" w:sz="4" w:space="0"/>
            </w:tcBorders>
            <w:vAlign w:val="center"/>
          </w:tcPr>
          <w:p w14:paraId="5E520669">
            <w:pPr>
              <w:spacing w:line="240" w:lineRule="auto"/>
              <w:ind w:firstLine="0" w:firstLineChars="0"/>
              <w:jc w:val="center"/>
              <w:rPr>
                <w:rFonts w:eastAsia="Times New Roman"/>
                <w:sz w:val="21"/>
              </w:rPr>
            </w:pPr>
            <w:r>
              <w:rPr>
                <w:sz w:val="21"/>
              </w:rPr>
              <w:t>水功能区类型</w:t>
            </w:r>
          </w:p>
        </w:tc>
        <w:tc>
          <w:tcPr>
            <w:tcW w:w="1057" w:type="dxa"/>
            <w:tcBorders>
              <w:top w:val="single" w:color="auto" w:sz="4" w:space="0"/>
              <w:left w:val="nil"/>
              <w:bottom w:val="single" w:color="auto" w:sz="4" w:space="0"/>
              <w:right w:val="single" w:color="auto" w:sz="4" w:space="0"/>
            </w:tcBorders>
            <w:vAlign w:val="center"/>
          </w:tcPr>
          <w:p w14:paraId="47710461">
            <w:pPr>
              <w:spacing w:line="240" w:lineRule="auto"/>
              <w:ind w:firstLine="0" w:firstLineChars="0"/>
              <w:jc w:val="center"/>
              <w:rPr>
                <w:rFonts w:eastAsia="Times New Roman"/>
                <w:sz w:val="21"/>
              </w:rPr>
            </w:pPr>
            <w:r>
              <w:rPr>
                <w:sz w:val="21"/>
              </w:rPr>
              <w:t>水功能区水质目标（</w:t>
            </w:r>
            <w:r>
              <w:rPr>
                <w:rFonts w:eastAsia="Times New Roman"/>
                <w:sz w:val="21"/>
              </w:rPr>
              <w:t>2020</w:t>
            </w:r>
            <w:r>
              <w:rPr>
                <w:sz w:val="21"/>
              </w:rPr>
              <w:t>）</w:t>
            </w:r>
          </w:p>
        </w:tc>
        <w:tc>
          <w:tcPr>
            <w:tcW w:w="1057" w:type="dxa"/>
            <w:tcBorders>
              <w:top w:val="single" w:color="auto" w:sz="4" w:space="0"/>
              <w:left w:val="nil"/>
              <w:bottom w:val="single" w:color="auto" w:sz="4" w:space="0"/>
              <w:right w:val="single" w:color="auto" w:sz="4" w:space="0"/>
            </w:tcBorders>
            <w:vAlign w:val="center"/>
          </w:tcPr>
          <w:p w14:paraId="0A9C1031">
            <w:pPr>
              <w:spacing w:line="240" w:lineRule="auto"/>
              <w:ind w:firstLine="0" w:firstLineChars="0"/>
              <w:jc w:val="center"/>
              <w:rPr>
                <w:rFonts w:eastAsia="Times New Roman"/>
                <w:sz w:val="21"/>
              </w:rPr>
            </w:pPr>
            <w:r>
              <w:rPr>
                <w:sz w:val="21"/>
              </w:rPr>
              <w:t>水质类别（</w:t>
            </w:r>
            <w:r>
              <w:rPr>
                <w:rFonts w:eastAsia="Times New Roman"/>
                <w:sz w:val="21"/>
              </w:rPr>
              <w:t>201</w:t>
            </w:r>
            <w:r>
              <w:rPr>
                <w:rFonts w:hint="eastAsia" w:eastAsia="宋体"/>
                <w:sz w:val="21"/>
              </w:rPr>
              <w:t>7</w:t>
            </w:r>
            <w:r>
              <w:rPr>
                <w:sz w:val="21"/>
              </w:rPr>
              <w:t>）</w:t>
            </w:r>
          </w:p>
        </w:tc>
        <w:tc>
          <w:tcPr>
            <w:tcW w:w="2382" w:type="dxa"/>
            <w:tcBorders>
              <w:top w:val="single" w:color="auto" w:sz="4" w:space="0"/>
              <w:left w:val="nil"/>
              <w:bottom w:val="single" w:color="auto" w:sz="4" w:space="0"/>
              <w:right w:val="single" w:color="auto" w:sz="4" w:space="0"/>
            </w:tcBorders>
            <w:vAlign w:val="center"/>
          </w:tcPr>
          <w:p w14:paraId="7DB4BD87">
            <w:pPr>
              <w:spacing w:line="240" w:lineRule="auto"/>
              <w:ind w:firstLine="0" w:firstLineChars="0"/>
              <w:jc w:val="center"/>
              <w:rPr>
                <w:rFonts w:eastAsia="Times New Roman"/>
                <w:sz w:val="21"/>
              </w:rPr>
            </w:pPr>
            <w:r>
              <w:rPr>
                <w:sz w:val="21"/>
              </w:rPr>
              <w:t>水功能区达标情况及超标项目</w:t>
            </w:r>
          </w:p>
        </w:tc>
      </w:tr>
      <w:tr w14:paraId="6AC2E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0" w:type="dxa"/>
            <w:tcBorders>
              <w:top w:val="single" w:color="auto" w:sz="4" w:space="0"/>
              <w:left w:val="single" w:color="auto" w:sz="4" w:space="0"/>
              <w:bottom w:val="single" w:color="auto" w:sz="4" w:space="0"/>
              <w:right w:val="single" w:color="auto" w:sz="4" w:space="0"/>
            </w:tcBorders>
            <w:vAlign w:val="center"/>
          </w:tcPr>
          <w:p w14:paraId="2CB23081">
            <w:pPr>
              <w:spacing w:line="240" w:lineRule="auto"/>
              <w:ind w:firstLine="0" w:firstLineChars="0"/>
              <w:jc w:val="center"/>
              <w:rPr>
                <w:rFonts w:eastAsia="Times New Roman"/>
                <w:sz w:val="21"/>
              </w:rPr>
            </w:pPr>
            <w:r>
              <w:rPr>
                <w:sz w:val="21"/>
              </w:rPr>
              <w:t>鸡鸦水道开发利用区</w:t>
            </w:r>
          </w:p>
        </w:tc>
        <w:tc>
          <w:tcPr>
            <w:tcW w:w="1701" w:type="dxa"/>
            <w:tcBorders>
              <w:top w:val="single" w:color="auto" w:sz="4" w:space="0"/>
              <w:left w:val="nil"/>
              <w:bottom w:val="single" w:color="auto" w:sz="4" w:space="0"/>
              <w:right w:val="single" w:color="auto" w:sz="4" w:space="0"/>
            </w:tcBorders>
            <w:vAlign w:val="center"/>
          </w:tcPr>
          <w:p w14:paraId="68161323">
            <w:pPr>
              <w:spacing w:line="240" w:lineRule="auto"/>
              <w:ind w:firstLine="0" w:firstLineChars="0"/>
              <w:jc w:val="center"/>
              <w:rPr>
                <w:rFonts w:eastAsia="Times New Roman"/>
                <w:sz w:val="21"/>
              </w:rPr>
            </w:pPr>
            <w:r>
              <w:rPr>
                <w:sz w:val="21"/>
              </w:rPr>
              <w:t>鸡鸦水道下南饮用渔业用水区</w:t>
            </w:r>
          </w:p>
        </w:tc>
        <w:tc>
          <w:tcPr>
            <w:tcW w:w="1103" w:type="dxa"/>
            <w:tcBorders>
              <w:top w:val="single" w:color="auto" w:sz="4" w:space="0"/>
              <w:left w:val="nil"/>
              <w:bottom w:val="single" w:color="auto" w:sz="4" w:space="0"/>
              <w:right w:val="single" w:color="auto" w:sz="4" w:space="0"/>
            </w:tcBorders>
            <w:vAlign w:val="center"/>
          </w:tcPr>
          <w:p w14:paraId="79882ED9">
            <w:pPr>
              <w:spacing w:line="240" w:lineRule="auto"/>
              <w:ind w:firstLine="0" w:firstLineChars="0"/>
              <w:jc w:val="center"/>
              <w:rPr>
                <w:rFonts w:eastAsia="Times New Roman"/>
                <w:sz w:val="21"/>
              </w:rPr>
            </w:pPr>
            <w:r>
              <w:rPr>
                <w:sz w:val="21"/>
              </w:rPr>
              <w:t>马鞍</w:t>
            </w:r>
          </w:p>
        </w:tc>
        <w:tc>
          <w:tcPr>
            <w:tcW w:w="820" w:type="dxa"/>
            <w:tcBorders>
              <w:top w:val="single" w:color="auto" w:sz="4" w:space="0"/>
              <w:left w:val="nil"/>
              <w:bottom w:val="single" w:color="auto" w:sz="4" w:space="0"/>
              <w:right w:val="single" w:color="auto" w:sz="4" w:space="0"/>
            </w:tcBorders>
            <w:vAlign w:val="center"/>
          </w:tcPr>
          <w:p w14:paraId="2606789A">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5C605457">
            <w:pPr>
              <w:spacing w:line="240" w:lineRule="auto"/>
              <w:ind w:firstLine="0" w:firstLineChars="0"/>
              <w:jc w:val="center"/>
              <w:rPr>
                <w:rFonts w:eastAsia="Times New Roman"/>
                <w:sz w:val="21"/>
              </w:rPr>
            </w:pPr>
            <w:r>
              <w:rPr>
                <w:rFonts w:eastAsia="Times New Roman"/>
                <w:sz w:val="21"/>
              </w:rPr>
              <w:t>Ⅱ</w:t>
            </w:r>
          </w:p>
        </w:tc>
        <w:tc>
          <w:tcPr>
            <w:tcW w:w="1057" w:type="dxa"/>
            <w:tcBorders>
              <w:top w:val="single" w:color="auto" w:sz="4" w:space="0"/>
              <w:left w:val="nil"/>
              <w:bottom w:val="single" w:color="auto" w:sz="4" w:space="0"/>
              <w:right w:val="single" w:color="auto" w:sz="4" w:space="0"/>
            </w:tcBorders>
            <w:vAlign w:val="center"/>
          </w:tcPr>
          <w:p w14:paraId="770803C7">
            <w:pPr>
              <w:spacing w:line="240" w:lineRule="auto"/>
              <w:ind w:firstLine="0" w:firstLineChars="0"/>
              <w:jc w:val="center"/>
              <w:rPr>
                <w:rFonts w:eastAsia="Times New Roman"/>
                <w:sz w:val="21"/>
              </w:rPr>
            </w:pPr>
            <w:r>
              <w:rPr>
                <w:rFonts w:eastAsia="Times New Roman"/>
                <w:sz w:val="21"/>
              </w:rPr>
              <w:t>Ⅱ</w:t>
            </w:r>
          </w:p>
        </w:tc>
        <w:tc>
          <w:tcPr>
            <w:tcW w:w="2382" w:type="dxa"/>
            <w:tcBorders>
              <w:top w:val="single" w:color="auto" w:sz="4" w:space="0"/>
              <w:left w:val="nil"/>
              <w:bottom w:val="single" w:color="auto" w:sz="4" w:space="0"/>
              <w:right w:val="single" w:color="auto" w:sz="4" w:space="0"/>
            </w:tcBorders>
            <w:vAlign w:val="center"/>
          </w:tcPr>
          <w:p w14:paraId="3EE2EC15">
            <w:pPr>
              <w:spacing w:line="240" w:lineRule="auto"/>
              <w:ind w:firstLine="0" w:firstLineChars="0"/>
              <w:jc w:val="center"/>
              <w:rPr>
                <w:rFonts w:eastAsia="Times New Roman"/>
                <w:sz w:val="21"/>
              </w:rPr>
            </w:pPr>
            <w:r>
              <w:rPr>
                <w:sz w:val="21"/>
              </w:rPr>
              <w:t>溶解氧</w:t>
            </w:r>
            <w:r>
              <w:rPr>
                <w:rFonts w:eastAsia="Times New Roman"/>
                <w:sz w:val="21"/>
              </w:rPr>
              <w:t>7</w:t>
            </w:r>
            <w:r>
              <w:rPr>
                <w:sz w:val="21"/>
              </w:rPr>
              <w:t>、</w:t>
            </w:r>
            <w:r>
              <w:rPr>
                <w:rFonts w:eastAsia="Times New Roman"/>
                <w:sz w:val="21"/>
              </w:rPr>
              <w:t>8</w:t>
            </w:r>
            <w:r>
              <w:rPr>
                <w:sz w:val="21"/>
              </w:rPr>
              <w:t>、</w:t>
            </w:r>
            <w:r>
              <w:rPr>
                <w:rFonts w:eastAsia="Times New Roman"/>
                <w:sz w:val="21"/>
              </w:rPr>
              <w:t>9</w:t>
            </w:r>
            <w:r>
              <w:rPr>
                <w:sz w:val="21"/>
              </w:rPr>
              <w:t>月份超标</w:t>
            </w:r>
          </w:p>
        </w:tc>
      </w:tr>
      <w:tr w14:paraId="5FAB1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510" w:type="dxa"/>
            <w:vMerge w:val="restart"/>
            <w:tcBorders>
              <w:top w:val="nil"/>
              <w:left w:val="single" w:color="auto" w:sz="4" w:space="0"/>
              <w:bottom w:val="single" w:color="auto" w:sz="4" w:space="0"/>
              <w:right w:val="single" w:color="auto" w:sz="4" w:space="0"/>
            </w:tcBorders>
            <w:vAlign w:val="center"/>
          </w:tcPr>
          <w:p w14:paraId="62B39DDD">
            <w:pPr>
              <w:spacing w:line="240" w:lineRule="auto"/>
              <w:ind w:firstLine="0" w:firstLineChars="0"/>
              <w:jc w:val="center"/>
              <w:rPr>
                <w:rFonts w:eastAsia="Times New Roman"/>
                <w:sz w:val="21"/>
              </w:rPr>
            </w:pPr>
            <w:r>
              <w:rPr>
                <w:sz w:val="21"/>
              </w:rPr>
              <w:t>小榄水道开发利用区</w:t>
            </w:r>
          </w:p>
        </w:tc>
        <w:tc>
          <w:tcPr>
            <w:tcW w:w="1701" w:type="dxa"/>
            <w:vMerge w:val="restart"/>
            <w:tcBorders>
              <w:top w:val="nil"/>
              <w:left w:val="nil"/>
              <w:bottom w:val="single" w:color="auto" w:sz="4" w:space="0"/>
              <w:right w:val="single" w:color="auto" w:sz="4" w:space="0"/>
            </w:tcBorders>
            <w:vAlign w:val="center"/>
          </w:tcPr>
          <w:p w14:paraId="3767AEA4">
            <w:pPr>
              <w:spacing w:line="240" w:lineRule="auto"/>
              <w:ind w:firstLine="0" w:firstLineChars="0"/>
              <w:jc w:val="center"/>
              <w:rPr>
                <w:rFonts w:eastAsia="Times New Roman"/>
                <w:sz w:val="21"/>
              </w:rPr>
            </w:pPr>
            <w:r>
              <w:rPr>
                <w:sz w:val="21"/>
              </w:rPr>
              <w:t>小榄水道福兴饮用渔业用水区</w:t>
            </w:r>
          </w:p>
        </w:tc>
        <w:tc>
          <w:tcPr>
            <w:tcW w:w="1103" w:type="dxa"/>
            <w:tcBorders>
              <w:top w:val="single" w:color="auto" w:sz="4" w:space="0"/>
              <w:left w:val="nil"/>
              <w:bottom w:val="single" w:color="auto" w:sz="4" w:space="0"/>
              <w:right w:val="single" w:color="auto" w:sz="4" w:space="0"/>
            </w:tcBorders>
            <w:vAlign w:val="center"/>
          </w:tcPr>
          <w:p w14:paraId="41275014">
            <w:pPr>
              <w:spacing w:line="240" w:lineRule="auto"/>
              <w:ind w:firstLine="0" w:firstLineChars="0"/>
              <w:jc w:val="center"/>
              <w:rPr>
                <w:rFonts w:eastAsia="Times New Roman"/>
                <w:sz w:val="21"/>
              </w:rPr>
            </w:pPr>
            <w:r>
              <w:rPr>
                <w:sz w:val="21"/>
              </w:rPr>
              <w:t>大丰水厂</w:t>
            </w:r>
          </w:p>
        </w:tc>
        <w:tc>
          <w:tcPr>
            <w:tcW w:w="820" w:type="dxa"/>
            <w:vMerge w:val="restart"/>
            <w:tcBorders>
              <w:top w:val="nil"/>
              <w:left w:val="nil"/>
              <w:bottom w:val="single" w:color="auto" w:sz="4" w:space="0"/>
              <w:right w:val="single" w:color="auto" w:sz="4" w:space="0"/>
            </w:tcBorders>
            <w:vAlign w:val="center"/>
          </w:tcPr>
          <w:p w14:paraId="02C9C2F7">
            <w:pPr>
              <w:spacing w:line="240" w:lineRule="auto"/>
              <w:ind w:firstLine="0" w:firstLineChars="0"/>
              <w:jc w:val="center"/>
              <w:rPr>
                <w:rFonts w:eastAsia="Times New Roman"/>
                <w:sz w:val="21"/>
              </w:rPr>
            </w:pPr>
            <w:r>
              <w:rPr>
                <w:sz w:val="21"/>
              </w:rPr>
              <w:t>河流</w:t>
            </w:r>
          </w:p>
        </w:tc>
        <w:tc>
          <w:tcPr>
            <w:tcW w:w="1057" w:type="dxa"/>
            <w:vMerge w:val="restart"/>
            <w:tcBorders>
              <w:top w:val="nil"/>
              <w:left w:val="nil"/>
              <w:bottom w:val="single" w:color="auto" w:sz="4" w:space="0"/>
              <w:right w:val="single" w:color="auto" w:sz="4" w:space="0"/>
            </w:tcBorders>
            <w:vAlign w:val="center"/>
          </w:tcPr>
          <w:p w14:paraId="2052824F">
            <w:pPr>
              <w:spacing w:line="240" w:lineRule="auto"/>
              <w:ind w:firstLine="0" w:firstLineChars="0"/>
              <w:jc w:val="center"/>
              <w:rPr>
                <w:rFonts w:eastAsia="Times New Roman"/>
                <w:sz w:val="21"/>
              </w:rPr>
            </w:pPr>
            <w:r>
              <w:rPr>
                <w:rFonts w:eastAsia="Times New Roman"/>
                <w:sz w:val="21"/>
              </w:rPr>
              <w:t>Ⅲ</w:t>
            </w:r>
          </w:p>
        </w:tc>
        <w:tc>
          <w:tcPr>
            <w:tcW w:w="1057" w:type="dxa"/>
            <w:vMerge w:val="restart"/>
            <w:tcBorders>
              <w:top w:val="nil"/>
              <w:left w:val="nil"/>
              <w:bottom w:val="single" w:color="auto" w:sz="4" w:space="0"/>
              <w:right w:val="single" w:color="auto" w:sz="4" w:space="0"/>
            </w:tcBorders>
            <w:vAlign w:val="center"/>
          </w:tcPr>
          <w:p w14:paraId="40DD9012">
            <w:pPr>
              <w:spacing w:line="240" w:lineRule="auto"/>
              <w:ind w:firstLine="0" w:firstLineChars="0"/>
              <w:jc w:val="center"/>
              <w:rPr>
                <w:rFonts w:eastAsia="Times New Roman"/>
                <w:sz w:val="21"/>
              </w:rPr>
            </w:pPr>
            <w:r>
              <w:rPr>
                <w:rFonts w:eastAsia="Times New Roman"/>
                <w:sz w:val="21"/>
              </w:rPr>
              <w:t>Ⅱ</w:t>
            </w:r>
          </w:p>
        </w:tc>
        <w:tc>
          <w:tcPr>
            <w:tcW w:w="2382" w:type="dxa"/>
            <w:vMerge w:val="restart"/>
            <w:tcBorders>
              <w:top w:val="nil"/>
              <w:left w:val="nil"/>
              <w:bottom w:val="single" w:color="auto" w:sz="4" w:space="0"/>
              <w:right w:val="single" w:color="auto" w:sz="4" w:space="0"/>
            </w:tcBorders>
            <w:vAlign w:val="center"/>
          </w:tcPr>
          <w:p w14:paraId="34C88A8A">
            <w:pPr>
              <w:spacing w:line="240" w:lineRule="auto"/>
              <w:ind w:firstLine="0" w:firstLineChars="0"/>
              <w:jc w:val="center"/>
              <w:rPr>
                <w:rFonts w:eastAsia="Times New Roman"/>
                <w:sz w:val="21"/>
              </w:rPr>
            </w:pPr>
            <w:r>
              <w:rPr>
                <w:sz w:val="21"/>
              </w:rPr>
              <w:t>达标</w:t>
            </w:r>
          </w:p>
        </w:tc>
      </w:tr>
      <w:tr w14:paraId="1D99D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1510" w:type="dxa"/>
            <w:vMerge w:val="continue"/>
            <w:tcBorders>
              <w:top w:val="nil"/>
              <w:left w:val="single" w:color="auto" w:sz="4" w:space="0"/>
              <w:bottom w:val="single" w:color="auto" w:sz="4" w:space="0"/>
              <w:right w:val="single" w:color="auto" w:sz="4" w:space="0"/>
            </w:tcBorders>
            <w:vAlign w:val="center"/>
          </w:tcPr>
          <w:p w14:paraId="023B5EBF">
            <w:pPr>
              <w:widowControl/>
              <w:spacing w:line="240" w:lineRule="auto"/>
              <w:ind w:firstLine="0" w:firstLineChars="0"/>
              <w:jc w:val="left"/>
              <w:rPr>
                <w:rFonts w:eastAsia="Times New Roman"/>
                <w:sz w:val="21"/>
              </w:rPr>
            </w:pPr>
          </w:p>
        </w:tc>
        <w:tc>
          <w:tcPr>
            <w:tcW w:w="1701" w:type="dxa"/>
            <w:vMerge w:val="continue"/>
            <w:tcBorders>
              <w:top w:val="nil"/>
              <w:left w:val="nil"/>
              <w:bottom w:val="single" w:color="auto" w:sz="4" w:space="0"/>
              <w:right w:val="single" w:color="auto" w:sz="4" w:space="0"/>
            </w:tcBorders>
            <w:vAlign w:val="center"/>
          </w:tcPr>
          <w:p w14:paraId="10867AF8">
            <w:pPr>
              <w:widowControl/>
              <w:spacing w:line="240" w:lineRule="auto"/>
              <w:ind w:firstLine="0" w:firstLineChars="0"/>
              <w:jc w:val="left"/>
              <w:rPr>
                <w:rFonts w:eastAsia="Times New Roman"/>
                <w:sz w:val="21"/>
              </w:rPr>
            </w:pPr>
          </w:p>
        </w:tc>
        <w:tc>
          <w:tcPr>
            <w:tcW w:w="1103" w:type="dxa"/>
            <w:tcBorders>
              <w:top w:val="single" w:color="auto" w:sz="4" w:space="0"/>
              <w:left w:val="nil"/>
              <w:bottom w:val="single" w:color="auto" w:sz="4" w:space="0"/>
              <w:right w:val="single" w:color="auto" w:sz="4" w:space="0"/>
            </w:tcBorders>
            <w:vAlign w:val="center"/>
          </w:tcPr>
          <w:p w14:paraId="4302427E">
            <w:pPr>
              <w:spacing w:line="240" w:lineRule="auto"/>
              <w:ind w:firstLine="0" w:firstLineChars="0"/>
              <w:jc w:val="center"/>
              <w:rPr>
                <w:rFonts w:eastAsia="Times New Roman"/>
                <w:sz w:val="21"/>
              </w:rPr>
            </w:pPr>
            <w:r>
              <w:rPr>
                <w:sz w:val="21"/>
              </w:rPr>
              <w:t>小榄</w:t>
            </w:r>
          </w:p>
        </w:tc>
        <w:tc>
          <w:tcPr>
            <w:tcW w:w="820" w:type="dxa"/>
            <w:vMerge w:val="continue"/>
            <w:tcBorders>
              <w:top w:val="nil"/>
              <w:left w:val="nil"/>
              <w:bottom w:val="single" w:color="auto" w:sz="4" w:space="0"/>
              <w:right w:val="single" w:color="auto" w:sz="4" w:space="0"/>
            </w:tcBorders>
            <w:vAlign w:val="center"/>
          </w:tcPr>
          <w:p w14:paraId="0D2A3C68">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19EDCE8B">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69B227C4">
            <w:pPr>
              <w:widowControl/>
              <w:spacing w:line="240" w:lineRule="auto"/>
              <w:ind w:firstLine="0" w:firstLineChars="0"/>
              <w:jc w:val="left"/>
              <w:rPr>
                <w:rFonts w:eastAsia="Times New Roman"/>
                <w:sz w:val="21"/>
              </w:rPr>
            </w:pPr>
          </w:p>
        </w:tc>
        <w:tc>
          <w:tcPr>
            <w:tcW w:w="2382" w:type="dxa"/>
            <w:vMerge w:val="continue"/>
            <w:tcBorders>
              <w:top w:val="nil"/>
              <w:left w:val="nil"/>
              <w:bottom w:val="single" w:color="auto" w:sz="4" w:space="0"/>
              <w:right w:val="single" w:color="auto" w:sz="4" w:space="0"/>
            </w:tcBorders>
            <w:vAlign w:val="center"/>
          </w:tcPr>
          <w:p w14:paraId="2E1F4FB7">
            <w:pPr>
              <w:widowControl/>
              <w:spacing w:line="240" w:lineRule="auto"/>
              <w:ind w:firstLine="0" w:firstLineChars="0"/>
              <w:jc w:val="left"/>
              <w:rPr>
                <w:rFonts w:eastAsia="Times New Roman"/>
                <w:sz w:val="21"/>
              </w:rPr>
            </w:pPr>
          </w:p>
        </w:tc>
      </w:tr>
      <w:tr w14:paraId="42E25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10" w:type="dxa"/>
            <w:vMerge w:val="restart"/>
            <w:tcBorders>
              <w:top w:val="nil"/>
              <w:left w:val="single" w:color="auto" w:sz="4" w:space="0"/>
              <w:bottom w:val="single" w:color="auto" w:sz="4" w:space="0"/>
              <w:right w:val="single" w:color="auto" w:sz="4" w:space="0"/>
            </w:tcBorders>
            <w:vAlign w:val="center"/>
          </w:tcPr>
          <w:p w14:paraId="28B12B51">
            <w:pPr>
              <w:spacing w:line="240" w:lineRule="auto"/>
              <w:ind w:firstLine="0" w:firstLineChars="0"/>
              <w:jc w:val="center"/>
              <w:rPr>
                <w:rFonts w:eastAsia="Times New Roman"/>
                <w:sz w:val="21"/>
              </w:rPr>
            </w:pPr>
            <w:r>
              <w:rPr>
                <w:sz w:val="21"/>
              </w:rPr>
              <w:t>磨刀门水道开发利用区</w:t>
            </w:r>
          </w:p>
        </w:tc>
        <w:tc>
          <w:tcPr>
            <w:tcW w:w="1701" w:type="dxa"/>
            <w:vMerge w:val="restart"/>
            <w:tcBorders>
              <w:top w:val="nil"/>
              <w:left w:val="nil"/>
              <w:bottom w:val="single" w:color="auto" w:sz="4" w:space="0"/>
              <w:right w:val="single" w:color="auto" w:sz="4" w:space="0"/>
            </w:tcBorders>
            <w:vAlign w:val="center"/>
          </w:tcPr>
          <w:p w14:paraId="3B87C05B">
            <w:pPr>
              <w:spacing w:line="240" w:lineRule="auto"/>
              <w:ind w:firstLine="0" w:firstLineChars="0"/>
              <w:jc w:val="center"/>
              <w:rPr>
                <w:rFonts w:eastAsia="Times New Roman"/>
                <w:sz w:val="21"/>
              </w:rPr>
            </w:pPr>
            <w:r>
              <w:rPr>
                <w:sz w:val="21"/>
              </w:rPr>
              <w:t>磨刀门水道珠海饮用渔业用水区</w:t>
            </w:r>
          </w:p>
        </w:tc>
        <w:tc>
          <w:tcPr>
            <w:tcW w:w="1103" w:type="dxa"/>
            <w:tcBorders>
              <w:top w:val="single" w:color="auto" w:sz="4" w:space="0"/>
              <w:left w:val="nil"/>
              <w:bottom w:val="single" w:color="auto" w:sz="4" w:space="0"/>
              <w:right w:val="single" w:color="auto" w:sz="4" w:space="0"/>
            </w:tcBorders>
            <w:vAlign w:val="center"/>
          </w:tcPr>
          <w:p w14:paraId="50B15AFF">
            <w:pPr>
              <w:spacing w:line="240" w:lineRule="auto"/>
              <w:ind w:firstLine="0" w:firstLineChars="0"/>
              <w:jc w:val="center"/>
              <w:rPr>
                <w:rFonts w:eastAsia="Times New Roman"/>
                <w:sz w:val="21"/>
              </w:rPr>
            </w:pPr>
            <w:r>
              <w:rPr>
                <w:sz w:val="21"/>
              </w:rPr>
              <w:t>全禄水厂</w:t>
            </w:r>
          </w:p>
        </w:tc>
        <w:tc>
          <w:tcPr>
            <w:tcW w:w="820" w:type="dxa"/>
            <w:vMerge w:val="restart"/>
            <w:tcBorders>
              <w:top w:val="nil"/>
              <w:left w:val="nil"/>
              <w:bottom w:val="single" w:color="auto" w:sz="4" w:space="0"/>
              <w:right w:val="single" w:color="auto" w:sz="4" w:space="0"/>
            </w:tcBorders>
            <w:vAlign w:val="center"/>
          </w:tcPr>
          <w:p w14:paraId="74A5FD4C">
            <w:pPr>
              <w:spacing w:line="240" w:lineRule="auto"/>
              <w:ind w:firstLine="0" w:firstLineChars="0"/>
              <w:jc w:val="center"/>
              <w:rPr>
                <w:rFonts w:eastAsia="Times New Roman"/>
                <w:sz w:val="21"/>
              </w:rPr>
            </w:pPr>
            <w:r>
              <w:rPr>
                <w:sz w:val="21"/>
              </w:rPr>
              <w:t>河流</w:t>
            </w:r>
          </w:p>
        </w:tc>
        <w:tc>
          <w:tcPr>
            <w:tcW w:w="1057" w:type="dxa"/>
            <w:vMerge w:val="restart"/>
            <w:tcBorders>
              <w:top w:val="nil"/>
              <w:left w:val="nil"/>
              <w:bottom w:val="single" w:color="auto" w:sz="4" w:space="0"/>
              <w:right w:val="single" w:color="auto" w:sz="4" w:space="0"/>
            </w:tcBorders>
            <w:vAlign w:val="center"/>
          </w:tcPr>
          <w:p w14:paraId="611C4333">
            <w:pPr>
              <w:spacing w:line="240" w:lineRule="auto"/>
              <w:ind w:firstLine="0" w:firstLineChars="0"/>
              <w:jc w:val="center"/>
              <w:rPr>
                <w:rFonts w:eastAsia="Times New Roman"/>
                <w:sz w:val="21"/>
              </w:rPr>
            </w:pPr>
            <w:r>
              <w:rPr>
                <w:rFonts w:eastAsia="Times New Roman"/>
                <w:sz w:val="21"/>
              </w:rPr>
              <w:t>Ⅱ</w:t>
            </w:r>
          </w:p>
        </w:tc>
        <w:tc>
          <w:tcPr>
            <w:tcW w:w="1057" w:type="dxa"/>
            <w:vMerge w:val="restart"/>
            <w:tcBorders>
              <w:top w:val="nil"/>
              <w:left w:val="nil"/>
              <w:bottom w:val="single" w:color="auto" w:sz="4" w:space="0"/>
              <w:right w:val="single" w:color="auto" w:sz="4" w:space="0"/>
            </w:tcBorders>
            <w:vAlign w:val="center"/>
          </w:tcPr>
          <w:p w14:paraId="348C8EC1">
            <w:pPr>
              <w:spacing w:line="240" w:lineRule="auto"/>
              <w:ind w:firstLine="0" w:firstLineChars="0"/>
              <w:jc w:val="center"/>
              <w:rPr>
                <w:rFonts w:eastAsia="Times New Roman"/>
                <w:sz w:val="21"/>
              </w:rPr>
            </w:pPr>
            <w:r>
              <w:rPr>
                <w:rFonts w:eastAsia="Times New Roman"/>
                <w:sz w:val="21"/>
              </w:rPr>
              <w:t>Ⅱ</w:t>
            </w:r>
          </w:p>
        </w:tc>
        <w:tc>
          <w:tcPr>
            <w:tcW w:w="2382" w:type="dxa"/>
            <w:vMerge w:val="restart"/>
            <w:tcBorders>
              <w:top w:val="nil"/>
              <w:left w:val="nil"/>
              <w:bottom w:val="single" w:color="auto" w:sz="4" w:space="0"/>
              <w:right w:val="single" w:color="auto" w:sz="4" w:space="0"/>
            </w:tcBorders>
            <w:vAlign w:val="center"/>
          </w:tcPr>
          <w:p w14:paraId="1AC738F9">
            <w:pPr>
              <w:spacing w:line="240" w:lineRule="auto"/>
              <w:ind w:firstLine="0" w:firstLineChars="0"/>
              <w:jc w:val="center"/>
              <w:rPr>
                <w:rFonts w:eastAsia="Times New Roman"/>
                <w:sz w:val="21"/>
              </w:rPr>
            </w:pPr>
            <w:r>
              <w:rPr>
                <w:sz w:val="21"/>
              </w:rPr>
              <w:t>达标</w:t>
            </w:r>
          </w:p>
        </w:tc>
      </w:tr>
      <w:tr w14:paraId="44D11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1510" w:type="dxa"/>
            <w:vMerge w:val="continue"/>
            <w:tcBorders>
              <w:top w:val="nil"/>
              <w:left w:val="single" w:color="auto" w:sz="4" w:space="0"/>
              <w:bottom w:val="single" w:color="auto" w:sz="4" w:space="0"/>
              <w:right w:val="single" w:color="auto" w:sz="4" w:space="0"/>
            </w:tcBorders>
            <w:vAlign w:val="center"/>
          </w:tcPr>
          <w:p w14:paraId="41A4DF20">
            <w:pPr>
              <w:widowControl/>
              <w:spacing w:line="240" w:lineRule="auto"/>
              <w:ind w:firstLine="0" w:firstLineChars="0"/>
              <w:jc w:val="left"/>
              <w:rPr>
                <w:rFonts w:eastAsia="Times New Roman"/>
                <w:sz w:val="21"/>
              </w:rPr>
            </w:pPr>
          </w:p>
        </w:tc>
        <w:tc>
          <w:tcPr>
            <w:tcW w:w="1701" w:type="dxa"/>
            <w:vMerge w:val="continue"/>
            <w:tcBorders>
              <w:top w:val="nil"/>
              <w:left w:val="nil"/>
              <w:bottom w:val="single" w:color="auto" w:sz="4" w:space="0"/>
              <w:right w:val="single" w:color="auto" w:sz="4" w:space="0"/>
            </w:tcBorders>
            <w:vAlign w:val="center"/>
          </w:tcPr>
          <w:p w14:paraId="498CD188">
            <w:pPr>
              <w:widowControl/>
              <w:spacing w:line="240" w:lineRule="auto"/>
              <w:ind w:firstLine="0" w:firstLineChars="0"/>
              <w:jc w:val="left"/>
              <w:rPr>
                <w:rFonts w:eastAsia="Times New Roman"/>
                <w:sz w:val="21"/>
              </w:rPr>
            </w:pPr>
          </w:p>
        </w:tc>
        <w:tc>
          <w:tcPr>
            <w:tcW w:w="1103" w:type="dxa"/>
            <w:tcBorders>
              <w:top w:val="single" w:color="auto" w:sz="4" w:space="0"/>
              <w:left w:val="nil"/>
              <w:bottom w:val="single" w:color="auto" w:sz="4" w:space="0"/>
              <w:right w:val="single" w:color="auto" w:sz="4" w:space="0"/>
            </w:tcBorders>
            <w:vAlign w:val="center"/>
          </w:tcPr>
          <w:p w14:paraId="78737AE2">
            <w:pPr>
              <w:spacing w:line="240" w:lineRule="auto"/>
              <w:ind w:firstLine="0" w:firstLineChars="0"/>
              <w:jc w:val="center"/>
              <w:rPr>
                <w:rFonts w:eastAsia="Times New Roman"/>
                <w:sz w:val="21"/>
              </w:rPr>
            </w:pPr>
            <w:r>
              <w:rPr>
                <w:sz w:val="21"/>
              </w:rPr>
              <w:t>平岗</w:t>
            </w:r>
          </w:p>
        </w:tc>
        <w:tc>
          <w:tcPr>
            <w:tcW w:w="820" w:type="dxa"/>
            <w:vMerge w:val="continue"/>
            <w:tcBorders>
              <w:top w:val="nil"/>
              <w:left w:val="nil"/>
              <w:bottom w:val="single" w:color="auto" w:sz="4" w:space="0"/>
              <w:right w:val="single" w:color="auto" w:sz="4" w:space="0"/>
            </w:tcBorders>
            <w:vAlign w:val="center"/>
          </w:tcPr>
          <w:p w14:paraId="55783F32">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79D45BD6">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0866CFB2">
            <w:pPr>
              <w:widowControl/>
              <w:spacing w:line="240" w:lineRule="auto"/>
              <w:ind w:firstLine="0" w:firstLineChars="0"/>
              <w:jc w:val="left"/>
              <w:rPr>
                <w:rFonts w:eastAsia="Times New Roman"/>
                <w:sz w:val="21"/>
              </w:rPr>
            </w:pPr>
          </w:p>
        </w:tc>
        <w:tc>
          <w:tcPr>
            <w:tcW w:w="2382" w:type="dxa"/>
            <w:vMerge w:val="continue"/>
            <w:tcBorders>
              <w:top w:val="nil"/>
              <w:left w:val="nil"/>
              <w:bottom w:val="single" w:color="auto" w:sz="4" w:space="0"/>
              <w:right w:val="single" w:color="auto" w:sz="4" w:space="0"/>
            </w:tcBorders>
            <w:vAlign w:val="center"/>
          </w:tcPr>
          <w:p w14:paraId="128411FC">
            <w:pPr>
              <w:widowControl/>
              <w:spacing w:line="240" w:lineRule="auto"/>
              <w:ind w:firstLine="0" w:firstLineChars="0"/>
              <w:jc w:val="left"/>
              <w:rPr>
                <w:rFonts w:eastAsia="Times New Roman"/>
                <w:sz w:val="21"/>
              </w:rPr>
            </w:pPr>
          </w:p>
        </w:tc>
      </w:tr>
      <w:tr w14:paraId="4B796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492DA546">
            <w:pPr>
              <w:spacing w:line="240" w:lineRule="auto"/>
              <w:ind w:firstLine="0" w:firstLineChars="0"/>
              <w:jc w:val="center"/>
              <w:rPr>
                <w:rFonts w:eastAsia="Times New Roman"/>
                <w:sz w:val="21"/>
              </w:rPr>
            </w:pPr>
            <w:r>
              <w:rPr>
                <w:sz w:val="21"/>
              </w:rPr>
              <w:t>横门水道开发利用区</w:t>
            </w:r>
          </w:p>
        </w:tc>
        <w:tc>
          <w:tcPr>
            <w:tcW w:w="1701" w:type="dxa"/>
            <w:tcBorders>
              <w:top w:val="single" w:color="auto" w:sz="4" w:space="0"/>
              <w:left w:val="nil"/>
              <w:bottom w:val="single" w:color="auto" w:sz="4" w:space="0"/>
              <w:right w:val="single" w:color="auto" w:sz="4" w:space="0"/>
            </w:tcBorders>
            <w:vAlign w:val="center"/>
          </w:tcPr>
          <w:p w14:paraId="4F5A10D1">
            <w:pPr>
              <w:spacing w:line="240" w:lineRule="auto"/>
              <w:ind w:firstLine="0" w:firstLineChars="0"/>
              <w:jc w:val="center"/>
              <w:rPr>
                <w:rFonts w:eastAsia="Times New Roman"/>
                <w:sz w:val="21"/>
              </w:rPr>
            </w:pPr>
            <w:r>
              <w:rPr>
                <w:sz w:val="21"/>
              </w:rPr>
              <w:t>横门水道横门渔业用水区</w:t>
            </w:r>
          </w:p>
        </w:tc>
        <w:tc>
          <w:tcPr>
            <w:tcW w:w="1103" w:type="dxa"/>
            <w:tcBorders>
              <w:top w:val="single" w:color="auto" w:sz="4" w:space="0"/>
              <w:left w:val="nil"/>
              <w:bottom w:val="single" w:color="auto" w:sz="4" w:space="0"/>
              <w:right w:val="single" w:color="auto" w:sz="4" w:space="0"/>
            </w:tcBorders>
            <w:vAlign w:val="center"/>
          </w:tcPr>
          <w:p w14:paraId="381C6E52">
            <w:pPr>
              <w:spacing w:line="240" w:lineRule="auto"/>
              <w:ind w:firstLine="0" w:firstLineChars="0"/>
              <w:jc w:val="center"/>
              <w:rPr>
                <w:rFonts w:eastAsia="Times New Roman"/>
                <w:sz w:val="21"/>
              </w:rPr>
            </w:pPr>
            <w:r>
              <w:rPr>
                <w:sz w:val="21"/>
              </w:rPr>
              <w:t>横门</w:t>
            </w:r>
          </w:p>
        </w:tc>
        <w:tc>
          <w:tcPr>
            <w:tcW w:w="820" w:type="dxa"/>
            <w:tcBorders>
              <w:top w:val="single" w:color="auto" w:sz="4" w:space="0"/>
              <w:left w:val="nil"/>
              <w:bottom w:val="single" w:color="auto" w:sz="4" w:space="0"/>
              <w:right w:val="single" w:color="auto" w:sz="4" w:space="0"/>
            </w:tcBorders>
            <w:vAlign w:val="center"/>
          </w:tcPr>
          <w:p w14:paraId="526DBF95">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556C0E88">
            <w:pPr>
              <w:spacing w:line="240" w:lineRule="auto"/>
              <w:ind w:firstLine="0" w:firstLineChars="0"/>
              <w:jc w:val="center"/>
              <w:rPr>
                <w:rFonts w:eastAsia="Times New Roman"/>
                <w:sz w:val="21"/>
              </w:rPr>
            </w:pPr>
            <w:r>
              <w:rPr>
                <w:rFonts w:eastAsia="Times New Roman"/>
                <w:sz w:val="21"/>
              </w:rPr>
              <w:t>Ⅲ</w:t>
            </w:r>
          </w:p>
        </w:tc>
        <w:tc>
          <w:tcPr>
            <w:tcW w:w="1057" w:type="dxa"/>
            <w:tcBorders>
              <w:top w:val="single" w:color="auto" w:sz="4" w:space="0"/>
              <w:left w:val="nil"/>
              <w:bottom w:val="single" w:color="auto" w:sz="4" w:space="0"/>
              <w:right w:val="single" w:color="auto" w:sz="4" w:space="0"/>
            </w:tcBorders>
            <w:vAlign w:val="center"/>
          </w:tcPr>
          <w:p w14:paraId="583B0871">
            <w:pPr>
              <w:spacing w:line="240" w:lineRule="auto"/>
              <w:ind w:firstLine="0" w:firstLineChars="0"/>
              <w:jc w:val="center"/>
              <w:rPr>
                <w:rFonts w:eastAsia="Times New Roman"/>
                <w:sz w:val="21"/>
              </w:rPr>
            </w:pPr>
            <w:r>
              <w:rPr>
                <w:rFonts w:eastAsia="Times New Roman"/>
                <w:sz w:val="21"/>
              </w:rPr>
              <w:t>Ⅱ</w:t>
            </w:r>
          </w:p>
        </w:tc>
        <w:tc>
          <w:tcPr>
            <w:tcW w:w="2382" w:type="dxa"/>
            <w:tcBorders>
              <w:top w:val="single" w:color="auto" w:sz="4" w:space="0"/>
              <w:left w:val="nil"/>
              <w:bottom w:val="single" w:color="auto" w:sz="4" w:space="0"/>
              <w:right w:val="single" w:color="auto" w:sz="4" w:space="0"/>
            </w:tcBorders>
            <w:vAlign w:val="center"/>
          </w:tcPr>
          <w:p w14:paraId="087F7201">
            <w:pPr>
              <w:spacing w:line="240" w:lineRule="auto"/>
              <w:ind w:firstLine="0" w:firstLineChars="0"/>
              <w:jc w:val="center"/>
              <w:rPr>
                <w:rFonts w:eastAsia="Times New Roman"/>
                <w:sz w:val="21"/>
              </w:rPr>
            </w:pPr>
            <w:r>
              <w:rPr>
                <w:sz w:val="21"/>
              </w:rPr>
              <w:t>达标</w:t>
            </w:r>
          </w:p>
        </w:tc>
      </w:tr>
      <w:tr w14:paraId="150A3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715053B1">
            <w:pPr>
              <w:spacing w:line="240" w:lineRule="auto"/>
              <w:ind w:firstLine="0" w:firstLineChars="0"/>
              <w:jc w:val="center"/>
              <w:rPr>
                <w:rFonts w:eastAsia="Times New Roman"/>
                <w:sz w:val="21"/>
              </w:rPr>
            </w:pPr>
            <w:r>
              <w:rPr>
                <w:sz w:val="21"/>
              </w:rPr>
              <w:t>黄沙沥中山开发利用区</w:t>
            </w:r>
          </w:p>
        </w:tc>
        <w:tc>
          <w:tcPr>
            <w:tcW w:w="1701" w:type="dxa"/>
            <w:tcBorders>
              <w:top w:val="single" w:color="auto" w:sz="4" w:space="0"/>
              <w:left w:val="nil"/>
              <w:bottom w:val="single" w:color="auto" w:sz="4" w:space="0"/>
              <w:right w:val="single" w:color="auto" w:sz="4" w:space="0"/>
            </w:tcBorders>
            <w:vAlign w:val="center"/>
          </w:tcPr>
          <w:p w14:paraId="01684E23">
            <w:pPr>
              <w:spacing w:line="240" w:lineRule="auto"/>
              <w:ind w:firstLine="0" w:firstLineChars="0"/>
              <w:jc w:val="center"/>
              <w:rPr>
                <w:rFonts w:eastAsia="Times New Roman"/>
                <w:sz w:val="21"/>
              </w:rPr>
            </w:pPr>
            <w:r>
              <w:rPr>
                <w:sz w:val="21"/>
              </w:rPr>
              <w:t>黄沙沥中山工业用水区</w:t>
            </w:r>
          </w:p>
        </w:tc>
        <w:tc>
          <w:tcPr>
            <w:tcW w:w="1103" w:type="dxa"/>
            <w:tcBorders>
              <w:top w:val="single" w:color="auto" w:sz="4" w:space="0"/>
              <w:left w:val="nil"/>
              <w:bottom w:val="single" w:color="auto" w:sz="4" w:space="0"/>
              <w:right w:val="single" w:color="auto" w:sz="4" w:space="0"/>
            </w:tcBorders>
            <w:vAlign w:val="center"/>
          </w:tcPr>
          <w:p w14:paraId="2FDCA948">
            <w:pPr>
              <w:spacing w:line="240" w:lineRule="auto"/>
              <w:ind w:firstLine="0" w:firstLineChars="0"/>
              <w:jc w:val="center"/>
              <w:rPr>
                <w:rFonts w:eastAsia="Times New Roman"/>
                <w:sz w:val="21"/>
              </w:rPr>
            </w:pPr>
            <w:r>
              <w:rPr>
                <w:sz w:val="21"/>
              </w:rPr>
              <w:t>黄沙沥大桥</w:t>
            </w:r>
          </w:p>
        </w:tc>
        <w:tc>
          <w:tcPr>
            <w:tcW w:w="820" w:type="dxa"/>
            <w:tcBorders>
              <w:top w:val="single" w:color="auto" w:sz="4" w:space="0"/>
              <w:left w:val="nil"/>
              <w:bottom w:val="single" w:color="auto" w:sz="4" w:space="0"/>
              <w:right w:val="single" w:color="auto" w:sz="4" w:space="0"/>
            </w:tcBorders>
            <w:vAlign w:val="center"/>
          </w:tcPr>
          <w:p w14:paraId="4A8EE010">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70FEA9EC">
            <w:pPr>
              <w:spacing w:line="240" w:lineRule="auto"/>
              <w:ind w:firstLine="0" w:firstLineChars="0"/>
              <w:jc w:val="center"/>
              <w:rPr>
                <w:rFonts w:eastAsia="Times New Roman"/>
                <w:sz w:val="21"/>
              </w:rPr>
            </w:pPr>
            <w:r>
              <w:rPr>
                <w:rFonts w:eastAsia="Times New Roman"/>
                <w:sz w:val="21"/>
              </w:rPr>
              <w:t>Ⅲ</w:t>
            </w:r>
          </w:p>
        </w:tc>
        <w:tc>
          <w:tcPr>
            <w:tcW w:w="1057" w:type="dxa"/>
            <w:tcBorders>
              <w:top w:val="single" w:color="auto" w:sz="4" w:space="0"/>
              <w:left w:val="nil"/>
              <w:bottom w:val="single" w:color="auto" w:sz="4" w:space="0"/>
              <w:right w:val="single" w:color="auto" w:sz="4" w:space="0"/>
            </w:tcBorders>
            <w:vAlign w:val="center"/>
          </w:tcPr>
          <w:p w14:paraId="7790788F">
            <w:pPr>
              <w:spacing w:line="240" w:lineRule="auto"/>
              <w:ind w:firstLine="0" w:firstLineChars="0"/>
              <w:jc w:val="center"/>
              <w:rPr>
                <w:rFonts w:eastAsia="Times New Roman"/>
                <w:sz w:val="21"/>
              </w:rPr>
            </w:pPr>
            <w:r>
              <w:rPr>
                <w:rFonts w:eastAsia="Times New Roman"/>
                <w:sz w:val="21"/>
              </w:rPr>
              <w:t>Ⅱ</w:t>
            </w:r>
          </w:p>
        </w:tc>
        <w:tc>
          <w:tcPr>
            <w:tcW w:w="2382" w:type="dxa"/>
            <w:tcBorders>
              <w:top w:val="single" w:color="auto" w:sz="4" w:space="0"/>
              <w:left w:val="nil"/>
              <w:bottom w:val="single" w:color="auto" w:sz="4" w:space="0"/>
              <w:right w:val="single" w:color="auto" w:sz="4" w:space="0"/>
            </w:tcBorders>
            <w:vAlign w:val="center"/>
          </w:tcPr>
          <w:p w14:paraId="4A99B60F">
            <w:pPr>
              <w:spacing w:line="240" w:lineRule="auto"/>
              <w:ind w:firstLine="0" w:firstLineChars="0"/>
              <w:jc w:val="center"/>
              <w:rPr>
                <w:rFonts w:eastAsia="Times New Roman"/>
                <w:sz w:val="21"/>
              </w:rPr>
            </w:pPr>
            <w:r>
              <w:rPr>
                <w:sz w:val="21"/>
              </w:rPr>
              <w:t>达标</w:t>
            </w:r>
          </w:p>
        </w:tc>
      </w:tr>
      <w:tr w14:paraId="7639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5ACF5DD7">
            <w:pPr>
              <w:spacing w:line="240" w:lineRule="auto"/>
              <w:ind w:firstLine="0" w:firstLineChars="0"/>
              <w:jc w:val="center"/>
              <w:rPr>
                <w:rFonts w:eastAsia="Times New Roman"/>
                <w:sz w:val="21"/>
              </w:rPr>
            </w:pPr>
            <w:r>
              <w:rPr>
                <w:sz w:val="21"/>
              </w:rPr>
              <w:t>岐江河中山开发利用区</w:t>
            </w:r>
          </w:p>
        </w:tc>
        <w:tc>
          <w:tcPr>
            <w:tcW w:w="1701" w:type="dxa"/>
            <w:tcBorders>
              <w:top w:val="single" w:color="auto" w:sz="4" w:space="0"/>
              <w:left w:val="nil"/>
              <w:bottom w:val="single" w:color="auto" w:sz="4" w:space="0"/>
              <w:right w:val="single" w:color="auto" w:sz="4" w:space="0"/>
            </w:tcBorders>
            <w:vAlign w:val="center"/>
          </w:tcPr>
          <w:p w14:paraId="2DDFD482">
            <w:pPr>
              <w:spacing w:line="240" w:lineRule="auto"/>
              <w:ind w:firstLine="0" w:firstLineChars="0"/>
              <w:jc w:val="center"/>
              <w:rPr>
                <w:rFonts w:eastAsia="Times New Roman"/>
                <w:sz w:val="21"/>
              </w:rPr>
            </w:pPr>
            <w:r>
              <w:rPr>
                <w:sz w:val="21"/>
              </w:rPr>
              <w:t>岐江河中山农业景观用水区</w:t>
            </w:r>
          </w:p>
        </w:tc>
        <w:tc>
          <w:tcPr>
            <w:tcW w:w="1103" w:type="dxa"/>
            <w:tcBorders>
              <w:top w:val="single" w:color="auto" w:sz="4" w:space="0"/>
              <w:left w:val="nil"/>
              <w:bottom w:val="single" w:color="auto" w:sz="4" w:space="0"/>
              <w:right w:val="single" w:color="auto" w:sz="4" w:space="0"/>
            </w:tcBorders>
            <w:vAlign w:val="center"/>
          </w:tcPr>
          <w:p w14:paraId="1549FDDC">
            <w:pPr>
              <w:spacing w:line="240" w:lineRule="auto"/>
              <w:ind w:firstLine="0" w:firstLineChars="0"/>
              <w:jc w:val="center"/>
              <w:rPr>
                <w:rFonts w:eastAsia="Times New Roman"/>
                <w:sz w:val="21"/>
              </w:rPr>
            </w:pPr>
            <w:r>
              <w:rPr>
                <w:sz w:val="21"/>
              </w:rPr>
              <w:t>员峰桥</w:t>
            </w:r>
          </w:p>
        </w:tc>
        <w:tc>
          <w:tcPr>
            <w:tcW w:w="820" w:type="dxa"/>
            <w:tcBorders>
              <w:top w:val="single" w:color="auto" w:sz="4" w:space="0"/>
              <w:left w:val="nil"/>
              <w:bottom w:val="single" w:color="auto" w:sz="4" w:space="0"/>
              <w:right w:val="single" w:color="auto" w:sz="4" w:space="0"/>
            </w:tcBorders>
            <w:vAlign w:val="center"/>
          </w:tcPr>
          <w:p w14:paraId="1B167CE4">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6205ABEF">
            <w:pPr>
              <w:spacing w:line="240" w:lineRule="auto"/>
              <w:ind w:firstLine="0" w:firstLineChars="0"/>
              <w:jc w:val="center"/>
              <w:rPr>
                <w:rFonts w:eastAsia="Times New Roman"/>
                <w:sz w:val="21"/>
              </w:rPr>
            </w:pPr>
            <w:r>
              <w:rPr>
                <w:rFonts w:eastAsia="Times New Roman"/>
                <w:sz w:val="21"/>
              </w:rPr>
              <w:t>Ⅲ</w:t>
            </w:r>
          </w:p>
        </w:tc>
        <w:tc>
          <w:tcPr>
            <w:tcW w:w="1057" w:type="dxa"/>
            <w:tcBorders>
              <w:top w:val="single" w:color="auto" w:sz="4" w:space="0"/>
              <w:left w:val="nil"/>
              <w:bottom w:val="single" w:color="auto" w:sz="4" w:space="0"/>
              <w:right w:val="single" w:color="auto" w:sz="4" w:space="0"/>
            </w:tcBorders>
            <w:vAlign w:val="center"/>
          </w:tcPr>
          <w:p w14:paraId="3CB25BD0">
            <w:pPr>
              <w:spacing w:line="240" w:lineRule="auto"/>
              <w:ind w:firstLine="0" w:firstLineChars="0"/>
              <w:jc w:val="center"/>
              <w:rPr>
                <w:rFonts w:eastAsia="Times New Roman"/>
                <w:sz w:val="21"/>
              </w:rPr>
            </w:pPr>
            <w:r>
              <w:rPr>
                <w:sz w:val="21"/>
              </w:rPr>
              <w:t>劣</w:t>
            </w:r>
            <w:r>
              <w:rPr>
                <w:rFonts w:eastAsia="Times New Roman"/>
                <w:sz w:val="21"/>
              </w:rPr>
              <w:t>Ⅴ</w:t>
            </w:r>
          </w:p>
        </w:tc>
        <w:tc>
          <w:tcPr>
            <w:tcW w:w="2382" w:type="dxa"/>
            <w:tcBorders>
              <w:top w:val="single" w:color="auto" w:sz="4" w:space="0"/>
              <w:left w:val="nil"/>
              <w:bottom w:val="single" w:color="auto" w:sz="4" w:space="0"/>
              <w:right w:val="single" w:color="auto" w:sz="4" w:space="0"/>
            </w:tcBorders>
            <w:vAlign w:val="center"/>
          </w:tcPr>
          <w:p w14:paraId="394F8A55">
            <w:pPr>
              <w:spacing w:line="240" w:lineRule="auto"/>
              <w:ind w:firstLine="0" w:firstLineChars="0"/>
              <w:jc w:val="left"/>
              <w:rPr>
                <w:rFonts w:eastAsia="Times New Roman"/>
                <w:sz w:val="21"/>
              </w:rPr>
            </w:pPr>
            <w:r>
              <w:rPr>
                <w:sz w:val="21"/>
              </w:rPr>
              <w:t>溶解氧、氨氮</w:t>
            </w:r>
            <w:r>
              <w:rPr>
                <w:rFonts w:hint="eastAsia"/>
                <w:sz w:val="21"/>
              </w:rPr>
              <w:t>全年不达标，</w:t>
            </w:r>
            <w:r>
              <w:rPr>
                <w:rFonts w:hint="eastAsia" w:eastAsia="宋体"/>
                <w:sz w:val="21"/>
              </w:rPr>
              <w:t>总磷三个</w:t>
            </w:r>
            <w:r>
              <w:rPr>
                <w:sz w:val="21"/>
              </w:rPr>
              <w:t>月</w:t>
            </w:r>
            <w:r>
              <w:rPr>
                <w:rFonts w:hint="eastAsia"/>
                <w:sz w:val="21"/>
              </w:rPr>
              <w:t>不达</w:t>
            </w:r>
            <w:r>
              <w:rPr>
                <w:sz w:val="21"/>
              </w:rPr>
              <w:t>标</w:t>
            </w:r>
          </w:p>
        </w:tc>
      </w:tr>
      <w:tr w14:paraId="32623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63F00149">
            <w:pPr>
              <w:spacing w:line="240" w:lineRule="auto"/>
              <w:ind w:firstLine="0" w:firstLineChars="0"/>
              <w:jc w:val="center"/>
              <w:rPr>
                <w:sz w:val="21"/>
              </w:rPr>
            </w:pPr>
            <w:r>
              <w:rPr>
                <w:rFonts w:hint="eastAsia"/>
                <w:sz w:val="21"/>
              </w:rPr>
              <w:t>长江水库</w:t>
            </w:r>
          </w:p>
        </w:tc>
        <w:tc>
          <w:tcPr>
            <w:tcW w:w="1701" w:type="dxa"/>
            <w:tcBorders>
              <w:top w:val="single" w:color="auto" w:sz="4" w:space="0"/>
              <w:left w:val="nil"/>
              <w:bottom w:val="single" w:color="auto" w:sz="4" w:space="0"/>
              <w:right w:val="single" w:color="auto" w:sz="4" w:space="0"/>
            </w:tcBorders>
            <w:vAlign w:val="center"/>
          </w:tcPr>
          <w:p w14:paraId="45AB903F">
            <w:pPr>
              <w:spacing w:line="240" w:lineRule="auto"/>
              <w:ind w:firstLine="0" w:firstLineChars="0"/>
              <w:jc w:val="center"/>
              <w:rPr>
                <w:sz w:val="21"/>
              </w:rPr>
            </w:pPr>
            <w:r>
              <w:rPr>
                <w:rFonts w:hint="eastAsia"/>
                <w:sz w:val="21"/>
              </w:rPr>
              <w:t>长江水库饮用</w:t>
            </w:r>
            <w:r>
              <w:rPr>
                <w:sz w:val="21"/>
              </w:rPr>
              <w:t>农业用水区</w:t>
            </w:r>
          </w:p>
        </w:tc>
        <w:tc>
          <w:tcPr>
            <w:tcW w:w="1103" w:type="dxa"/>
            <w:tcBorders>
              <w:top w:val="single" w:color="auto" w:sz="4" w:space="0"/>
              <w:left w:val="nil"/>
              <w:bottom w:val="single" w:color="auto" w:sz="4" w:space="0"/>
              <w:right w:val="single" w:color="auto" w:sz="4" w:space="0"/>
            </w:tcBorders>
            <w:vAlign w:val="center"/>
          </w:tcPr>
          <w:p w14:paraId="08C09062">
            <w:pPr>
              <w:spacing w:line="240" w:lineRule="auto"/>
              <w:ind w:firstLine="0" w:firstLineChars="0"/>
              <w:jc w:val="center"/>
              <w:rPr>
                <w:sz w:val="21"/>
              </w:rPr>
            </w:pPr>
            <w:r>
              <w:rPr>
                <w:rFonts w:hint="eastAsia"/>
                <w:sz w:val="21"/>
              </w:rPr>
              <w:t>长江水库</w:t>
            </w:r>
          </w:p>
        </w:tc>
        <w:tc>
          <w:tcPr>
            <w:tcW w:w="820" w:type="dxa"/>
            <w:tcBorders>
              <w:top w:val="single" w:color="auto" w:sz="4" w:space="0"/>
              <w:left w:val="nil"/>
              <w:bottom w:val="single" w:color="auto" w:sz="4" w:space="0"/>
              <w:right w:val="single" w:color="auto" w:sz="4" w:space="0"/>
            </w:tcBorders>
            <w:vAlign w:val="center"/>
          </w:tcPr>
          <w:p w14:paraId="506C910C">
            <w:pPr>
              <w:spacing w:line="240" w:lineRule="auto"/>
              <w:ind w:firstLine="0" w:firstLineChars="0"/>
              <w:jc w:val="center"/>
              <w:rPr>
                <w:sz w:val="21"/>
              </w:rPr>
            </w:pPr>
            <w:r>
              <w:rPr>
                <w:rFonts w:hint="eastAsia"/>
                <w:sz w:val="21"/>
              </w:rPr>
              <w:t>水库</w:t>
            </w:r>
          </w:p>
        </w:tc>
        <w:tc>
          <w:tcPr>
            <w:tcW w:w="1057" w:type="dxa"/>
            <w:tcBorders>
              <w:top w:val="single" w:color="auto" w:sz="4" w:space="0"/>
              <w:left w:val="nil"/>
              <w:bottom w:val="single" w:color="auto" w:sz="4" w:space="0"/>
              <w:right w:val="single" w:color="auto" w:sz="4" w:space="0"/>
            </w:tcBorders>
            <w:vAlign w:val="center"/>
          </w:tcPr>
          <w:p w14:paraId="3F145A94">
            <w:pPr>
              <w:spacing w:line="240" w:lineRule="auto"/>
              <w:ind w:firstLine="0" w:firstLineChars="0"/>
              <w:jc w:val="center"/>
              <w:rPr>
                <w:rFonts w:eastAsia="Times New Roman"/>
                <w:sz w:val="21"/>
              </w:rPr>
            </w:pPr>
            <w:r>
              <w:rPr>
                <w:rFonts w:eastAsia="Times New Roman"/>
                <w:sz w:val="21"/>
              </w:rPr>
              <w:t>Ⅱ</w:t>
            </w:r>
          </w:p>
        </w:tc>
        <w:tc>
          <w:tcPr>
            <w:tcW w:w="1057" w:type="dxa"/>
            <w:tcBorders>
              <w:top w:val="single" w:color="auto" w:sz="4" w:space="0"/>
              <w:left w:val="nil"/>
              <w:bottom w:val="single" w:color="auto" w:sz="4" w:space="0"/>
              <w:right w:val="single" w:color="auto" w:sz="4" w:space="0"/>
            </w:tcBorders>
            <w:vAlign w:val="center"/>
          </w:tcPr>
          <w:p w14:paraId="167B7B41">
            <w:pPr>
              <w:spacing w:line="240" w:lineRule="auto"/>
              <w:ind w:firstLine="0" w:firstLineChars="0"/>
              <w:jc w:val="center"/>
              <w:rPr>
                <w:sz w:val="21"/>
              </w:rPr>
            </w:pPr>
            <w:r>
              <w:rPr>
                <w:rFonts w:eastAsia="Times New Roman"/>
                <w:sz w:val="21"/>
              </w:rPr>
              <w:t>Ⅲ</w:t>
            </w:r>
          </w:p>
        </w:tc>
        <w:tc>
          <w:tcPr>
            <w:tcW w:w="2382" w:type="dxa"/>
            <w:tcBorders>
              <w:top w:val="single" w:color="auto" w:sz="4" w:space="0"/>
              <w:left w:val="nil"/>
              <w:bottom w:val="single" w:color="auto" w:sz="4" w:space="0"/>
              <w:right w:val="single" w:color="auto" w:sz="4" w:space="0"/>
            </w:tcBorders>
            <w:vAlign w:val="center"/>
          </w:tcPr>
          <w:p w14:paraId="2BED54EA">
            <w:pPr>
              <w:spacing w:line="240" w:lineRule="auto"/>
              <w:ind w:firstLine="0" w:firstLineChars="0"/>
              <w:jc w:val="left"/>
              <w:rPr>
                <w:sz w:val="21"/>
              </w:rPr>
            </w:pPr>
            <w:r>
              <w:rPr>
                <w:rFonts w:hint="eastAsia"/>
                <w:sz w:val="21"/>
              </w:rPr>
              <w:t>4、7、8、10、11、12总氮，2、9总磷不达标</w:t>
            </w:r>
          </w:p>
        </w:tc>
      </w:tr>
    </w:tbl>
    <w:p w14:paraId="42830B57">
      <w:pPr>
        <w:spacing w:line="240" w:lineRule="auto"/>
        <w:ind w:firstLine="480"/>
        <w:rPr>
          <w:rFonts w:eastAsia="宋体" w:cs="Times New Roman"/>
          <w:szCs w:val="24"/>
        </w:rPr>
      </w:pPr>
    </w:p>
    <w:p w14:paraId="342FC2B0">
      <w:pPr>
        <w:ind w:firstLine="480"/>
        <w:rPr>
          <w:rFonts w:eastAsia="宋体" w:cs="Times New Roman"/>
          <w:szCs w:val="24"/>
        </w:rPr>
      </w:pPr>
      <w:r>
        <w:rPr>
          <w:rFonts w:hint="eastAsia" w:eastAsia="宋体" w:cs="Times New Roman"/>
          <w:szCs w:val="24"/>
        </w:rPr>
        <w:t>西区沙朗片供水属泵售供水，区内供水没有自设的供水厂直接提供，供水源主要由大涌的全禄水厂及横栏的稔益水厂提供，辖区供水面积约17k</w:t>
      </w:r>
      <w:r>
        <w:rPr>
          <w:rFonts w:eastAsia="宋体" w:cs="Times New Roman"/>
          <w:szCs w:val="24"/>
        </w:rPr>
        <w:t>m</w:t>
      </w:r>
      <w:r>
        <w:rPr>
          <w:rFonts w:eastAsia="宋体" w:cs="Times New Roman"/>
          <w:szCs w:val="24"/>
          <w:vertAlign w:val="superscript"/>
        </w:rPr>
        <w:t>2</w:t>
      </w:r>
      <w:r>
        <w:rPr>
          <w:rFonts w:hint="eastAsia" w:eastAsia="宋体" w:cs="Times New Roman"/>
          <w:szCs w:val="24"/>
        </w:rPr>
        <w:t>，供水人口约5万余人，现用水户20589户，其中居民用水16752户，非居民用水3837户，日供水量约3万m</w:t>
      </w:r>
      <w:r>
        <w:rPr>
          <w:rFonts w:eastAsia="宋体" w:cs="Times New Roman"/>
          <w:szCs w:val="24"/>
          <w:vertAlign w:val="superscript"/>
        </w:rPr>
        <w:t>3</w:t>
      </w:r>
      <w:r>
        <w:rPr>
          <w:rFonts w:hint="eastAsia" w:eastAsia="宋体" w:cs="Times New Roman"/>
          <w:szCs w:val="24"/>
        </w:rPr>
        <w:t>。</w:t>
      </w:r>
    </w:p>
    <w:p w14:paraId="2794FB27">
      <w:pPr>
        <w:ind w:firstLine="480"/>
        <w:rPr>
          <w:rFonts w:eastAsia="宋体" w:cs="Times New Roman"/>
          <w:szCs w:val="24"/>
        </w:rPr>
      </w:pPr>
      <w:r>
        <w:rPr>
          <w:rFonts w:hint="eastAsia" w:eastAsia="宋体" w:cs="Times New Roman"/>
          <w:szCs w:val="24"/>
        </w:rPr>
        <w:t>全禄水厂已建成规模40万m</w:t>
      </w:r>
      <w:r>
        <w:rPr>
          <w:rFonts w:hint="eastAsia" w:eastAsia="宋体" w:cs="Times New Roman"/>
          <w:szCs w:val="24"/>
          <w:vertAlign w:val="superscript"/>
        </w:rPr>
        <w:t>3</w:t>
      </w:r>
      <w:r>
        <w:rPr>
          <w:rFonts w:hint="eastAsia" w:eastAsia="宋体" w:cs="Times New Roman"/>
          <w:szCs w:val="24"/>
        </w:rPr>
        <w:t>/d，取水自西江水道，水源水质良好，达到《地表水环境质量标准GB3038-2002》</w:t>
      </w:r>
      <w:r>
        <w:rPr>
          <w:rFonts w:eastAsia="宋体" w:cs="Times New Roman"/>
          <w:szCs w:val="24"/>
        </w:rPr>
        <w:t>Ⅱ</w:t>
      </w:r>
      <w:r>
        <w:rPr>
          <w:rFonts w:hint="eastAsia" w:eastAsia="宋体" w:cs="Times New Roman"/>
          <w:szCs w:val="24"/>
        </w:rPr>
        <w:t>类水质标准。水厂制水采用一泵站提升原水，加药混合、网格反应、平流沉底池沉淀、V型滤池过滤、加氯消毒处理工艺，出水水压0.40-0.45Mpa，出水水质符合《生活饮用水卫生标准》。全禄水厂蓄淡抗咸工程于2011年3月开始施工，同年11月竣工投入使用，总投资约1.4亿元，主要由岚田抗咸水库、长约2km的输水管和全禄水厂原水泵房三部分组成。在咸潮来袭时，可向中心城区以及周边沙溪、大涌、板芙等镇区按照提供20万m</w:t>
      </w:r>
      <w:r>
        <w:rPr>
          <w:rFonts w:hint="eastAsia" w:eastAsia="宋体" w:cs="Times New Roman"/>
          <w:szCs w:val="24"/>
          <w:vertAlign w:val="superscript"/>
        </w:rPr>
        <w:t>3</w:t>
      </w:r>
      <w:r>
        <w:rPr>
          <w:rFonts w:hint="eastAsia" w:eastAsia="宋体" w:cs="Times New Roman"/>
          <w:szCs w:val="24"/>
        </w:rPr>
        <w:t>/d的供水规模连续供水9天，大大缓解咸潮用水不足压力。平时主要供水范围为大涌、沙溪、板芙、西区、南区、五桂山，出厂水压控制在0.40~0.45MPa。</w:t>
      </w:r>
    </w:p>
    <w:p w14:paraId="0BB7E37E">
      <w:pPr>
        <w:ind w:firstLine="480"/>
        <w:rPr>
          <w:rFonts w:eastAsia="宋体" w:cs="Times New Roman"/>
          <w:szCs w:val="24"/>
        </w:rPr>
      </w:pPr>
      <w:r>
        <w:rPr>
          <w:rFonts w:hint="eastAsia" w:eastAsia="宋体" w:cs="Times New Roman"/>
          <w:szCs w:val="24"/>
        </w:rPr>
        <w:t>稔益水厂位于横栏镇六沙村稔益围，占地面积40亩，现状供水规模14万m</w:t>
      </w:r>
      <w:r>
        <w:rPr>
          <w:rFonts w:hint="eastAsia" w:eastAsia="宋体" w:cs="Times New Roman"/>
          <w:szCs w:val="24"/>
          <w:vertAlign w:val="superscript"/>
        </w:rPr>
        <w:t>3</w:t>
      </w:r>
      <w:r>
        <w:rPr>
          <w:rFonts w:hint="eastAsia" w:eastAsia="宋体" w:cs="Times New Roman"/>
          <w:szCs w:val="24"/>
        </w:rPr>
        <w:t>/d，规划2020年规模18万m</w:t>
      </w:r>
      <w:r>
        <w:rPr>
          <w:rFonts w:hint="eastAsia" w:eastAsia="宋体" w:cs="Times New Roman"/>
          <w:szCs w:val="24"/>
          <w:vertAlign w:val="superscript"/>
        </w:rPr>
        <w:t>3</w:t>
      </w:r>
      <w:r>
        <w:rPr>
          <w:rFonts w:hint="eastAsia" w:eastAsia="宋体" w:cs="Times New Roman"/>
          <w:szCs w:val="24"/>
        </w:rPr>
        <w:t>/d，取水至西江水道。水源水质良好，达到《地表水环境质量标准GB3038-2002》</w:t>
      </w:r>
      <w:r>
        <w:rPr>
          <w:rFonts w:eastAsia="宋体" w:cs="Times New Roman"/>
          <w:szCs w:val="24"/>
        </w:rPr>
        <w:t>Ⅱ</w:t>
      </w:r>
      <w:r>
        <w:rPr>
          <w:rFonts w:hint="eastAsia" w:eastAsia="宋体" w:cs="Times New Roman"/>
          <w:szCs w:val="24"/>
        </w:rPr>
        <w:t>类水质标准。水厂制水采用一泵站提升原水，加药混合、网格反应、平流沉底池沉淀、V型滤池过滤、加氯消毒处理工艺，出水水压0.48-0.53Mpa，出水水质符合《生活饮用水卫生标准》。平时主要供水范围为横栏镇、东升镇、沙溪镇。横栏镇目前有两根出厂干管，管径分别为DN1000与DN800，出厂水压0.48—0.53Mpa，给水管道基本已覆盖建成区，最远输送距离约13km，但多为枝状管网。横栏镇稔益水厂现状管网的安全性较低，出厂干管仅为一条DN800管道及条DN1000管道，给水管道的建设落后于市政道路的建设。稔益水厂与相邻水厂的联络管线较少，当出现突发性事件时，不能互为备用，其可靠性较低。</w:t>
      </w:r>
    </w:p>
    <w:p w14:paraId="66D12491">
      <w:pPr>
        <w:ind w:firstLine="480"/>
        <w:rPr>
          <w:rFonts w:eastAsia="宋体" w:cs="Times New Roman"/>
          <w:szCs w:val="24"/>
        </w:rPr>
      </w:pPr>
      <w:r>
        <w:rPr>
          <w:rFonts w:hint="eastAsia" w:eastAsia="宋体" w:cs="Times New Roman"/>
          <w:szCs w:val="24"/>
        </w:rPr>
        <w:t>西区境内河涌纵横交错，根据表1-13的西区各河流情况可知，根据《201</w:t>
      </w:r>
      <w:r>
        <w:rPr>
          <w:rFonts w:eastAsia="宋体" w:cs="Times New Roman"/>
          <w:szCs w:val="24"/>
        </w:rPr>
        <w:t>7</w:t>
      </w:r>
      <w:r>
        <w:rPr>
          <w:rFonts w:hint="eastAsia" w:eastAsia="宋体" w:cs="Times New Roman"/>
          <w:szCs w:val="24"/>
        </w:rPr>
        <w:t>年中山市境内各镇区河涌水质监测数据统计》，西区内15</w:t>
      </w:r>
      <w:r>
        <w:rPr>
          <w:rFonts w:eastAsia="宋体" w:cs="Times New Roman"/>
          <w:szCs w:val="24"/>
        </w:rPr>
        <w:t>条河涌</w:t>
      </w:r>
      <w:r>
        <w:rPr>
          <w:rFonts w:hint="eastAsia" w:eastAsia="宋体" w:cs="Times New Roman"/>
          <w:szCs w:val="24"/>
        </w:rPr>
        <w:t>，其中岐江河、悦生涌等14条河涌为</w:t>
      </w:r>
      <w:r>
        <w:rPr>
          <w:rFonts w:eastAsia="宋体" w:cs="Times New Roman"/>
          <w:szCs w:val="24"/>
        </w:rPr>
        <w:t>劣Ⅴ类河涌，</w:t>
      </w:r>
      <w:r>
        <w:rPr>
          <w:rFonts w:hint="eastAsia" w:eastAsia="宋体" w:cs="Times New Roman"/>
          <w:szCs w:val="24"/>
        </w:rPr>
        <w:t>十六倾排灌渠为</w:t>
      </w:r>
      <w:r>
        <w:rPr>
          <w:rFonts w:eastAsia="宋体" w:cs="Times New Roman"/>
          <w:szCs w:val="24"/>
        </w:rPr>
        <w:t>Ⅴ类，劣Ⅴ类</w:t>
      </w:r>
      <w:r>
        <w:rPr>
          <w:rFonts w:hint="eastAsia" w:eastAsia="宋体" w:cs="Times New Roman"/>
          <w:szCs w:val="24"/>
        </w:rPr>
        <w:t>率为93%。根据《中山市水（环境）功能区划修编（送审稿）（2</w:t>
      </w:r>
      <w:r>
        <w:rPr>
          <w:rFonts w:eastAsia="宋体" w:cs="Times New Roman"/>
          <w:szCs w:val="24"/>
        </w:rPr>
        <w:t>018</w:t>
      </w:r>
      <w:r>
        <w:rPr>
          <w:rFonts w:hint="eastAsia" w:eastAsia="宋体" w:cs="Times New Roman"/>
          <w:szCs w:val="24"/>
        </w:rPr>
        <w:t>年）》，西区河涌的目标水质为IV或V类，因此西区境内各河涌水质均不达标。其中石特涌和沙朗涌是中山市河涌监测点位。</w:t>
      </w:r>
    </w:p>
    <w:p w14:paraId="4BF12721">
      <w:pPr>
        <w:ind w:firstLine="480"/>
        <w:rPr>
          <w:rFonts w:eastAsia="宋体" w:cs="Times New Roman"/>
          <w:color w:val="FF0000"/>
          <w:szCs w:val="24"/>
        </w:rPr>
      </w:pPr>
    </w:p>
    <w:p w14:paraId="60050963">
      <w:pPr>
        <w:spacing w:line="240" w:lineRule="auto"/>
        <w:ind w:firstLine="420"/>
        <w:jc w:val="center"/>
        <w:rPr>
          <w:szCs w:val="24"/>
        </w:rPr>
      </w:pPr>
      <w:r>
        <w:rPr>
          <w:rFonts w:hint="eastAsia" w:eastAsia="宋体" w:cs="Times New Roman"/>
          <w:bCs/>
          <w:sz w:val="21"/>
          <w:szCs w:val="24"/>
        </w:rPr>
        <w:t>表1-13 西区各河涌水质情况</w:t>
      </w:r>
    </w:p>
    <w:tbl>
      <w:tblPr>
        <w:tblStyle w:val="7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287"/>
        <w:gridCol w:w="1647"/>
        <w:gridCol w:w="1634"/>
        <w:gridCol w:w="1304"/>
        <w:gridCol w:w="1107"/>
        <w:gridCol w:w="1119"/>
      </w:tblGrid>
      <w:tr w14:paraId="17C79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3A28DA">
            <w:pPr>
              <w:adjustRightInd w:val="0"/>
              <w:snapToGrid w:val="0"/>
              <w:spacing w:line="240" w:lineRule="auto"/>
              <w:ind w:firstLine="0" w:firstLineChars="0"/>
              <w:jc w:val="center"/>
              <w:rPr>
                <w:b/>
                <w:sz w:val="21"/>
              </w:rPr>
            </w:pPr>
            <w:r>
              <w:rPr>
                <w:rFonts w:hint="eastAsia" w:eastAsia="宋体" w:cs="宋体"/>
                <w:b/>
                <w:sz w:val="21"/>
                <w:lang w:bidi="ar"/>
              </w:rPr>
              <w:t>序号</w:t>
            </w:r>
          </w:p>
        </w:tc>
        <w:tc>
          <w:tcPr>
            <w:tcW w:w="1287" w:type="dxa"/>
            <w:vMerge w:val="restart"/>
            <w:tcBorders>
              <w:top w:val="single" w:color="000000" w:sz="4" w:space="0"/>
              <w:left w:val="nil"/>
              <w:bottom w:val="single" w:color="000000" w:sz="4" w:space="0"/>
              <w:right w:val="single" w:color="000000" w:sz="4" w:space="0"/>
            </w:tcBorders>
            <w:shd w:val="clear" w:color="auto" w:fill="auto"/>
            <w:vAlign w:val="center"/>
          </w:tcPr>
          <w:p w14:paraId="77FED358">
            <w:pPr>
              <w:adjustRightInd w:val="0"/>
              <w:snapToGrid w:val="0"/>
              <w:spacing w:line="240" w:lineRule="auto"/>
              <w:ind w:firstLine="0" w:firstLineChars="0"/>
              <w:jc w:val="center"/>
              <w:rPr>
                <w:b/>
                <w:sz w:val="21"/>
              </w:rPr>
            </w:pPr>
            <w:r>
              <w:rPr>
                <w:rFonts w:hint="eastAsia" w:eastAsia="宋体" w:cs="宋体"/>
                <w:b/>
                <w:sz w:val="21"/>
                <w:lang w:bidi="ar"/>
              </w:rPr>
              <w:t>河涌</w:t>
            </w:r>
            <w:r>
              <w:rPr>
                <w:rFonts w:eastAsia="宋体" w:cs="Times New Roman"/>
                <w:b/>
                <w:sz w:val="21"/>
                <w:lang w:bidi="ar"/>
              </w:rPr>
              <w:t>/</w:t>
            </w:r>
            <w:r>
              <w:rPr>
                <w:rFonts w:hint="eastAsia" w:eastAsia="宋体" w:cs="宋体"/>
                <w:b/>
                <w:sz w:val="21"/>
                <w:lang w:bidi="ar"/>
              </w:rPr>
              <w:t>河道名称</w:t>
            </w:r>
          </w:p>
        </w:tc>
        <w:tc>
          <w:tcPr>
            <w:tcW w:w="3281" w:type="dxa"/>
            <w:gridSpan w:val="2"/>
            <w:tcBorders>
              <w:top w:val="single" w:color="000000" w:sz="4" w:space="0"/>
              <w:left w:val="nil"/>
              <w:bottom w:val="single" w:color="000000" w:sz="4" w:space="0"/>
              <w:right w:val="single" w:color="000000" w:sz="4" w:space="0"/>
            </w:tcBorders>
            <w:shd w:val="clear" w:color="auto" w:fill="auto"/>
            <w:vAlign w:val="center"/>
          </w:tcPr>
          <w:p w14:paraId="0074E588">
            <w:pPr>
              <w:adjustRightInd w:val="0"/>
              <w:snapToGrid w:val="0"/>
              <w:spacing w:line="240" w:lineRule="auto"/>
              <w:ind w:firstLine="0" w:firstLineChars="0"/>
              <w:jc w:val="center"/>
              <w:rPr>
                <w:b/>
                <w:sz w:val="21"/>
              </w:rPr>
            </w:pPr>
            <w:r>
              <w:rPr>
                <w:rFonts w:hint="eastAsia" w:eastAsia="宋体" w:cs="宋体"/>
                <w:b/>
                <w:sz w:val="21"/>
                <w:lang w:bidi="ar"/>
              </w:rPr>
              <w:t>起止地点</w:t>
            </w:r>
          </w:p>
        </w:tc>
        <w:tc>
          <w:tcPr>
            <w:tcW w:w="1304" w:type="dxa"/>
            <w:vMerge w:val="restart"/>
            <w:tcBorders>
              <w:top w:val="single" w:color="000000" w:sz="4" w:space="0"/>
              <w:left w:val="nil"/>
              <w:bottom w:val="single" w:color="000000" w:sz="4" w:space="0"/>
              <w:right w:val="single" w:color="000000" w:sz="4" w:space="0"/>
            </w:tcBorders>
            <w:shd w:val="clear" w:color="auto" w:fill="auto"/>
            <w:vAlign w:val="center"/>
          </w:tcPr>
          <w:p w14:paraId="04FC03DB">
            <w:pPr>
              <w:adjustRightInd w:val="0"/>
              <w:snapToGrid w:val="0"/>
              <w:spacing w:line="240" w:lineRule="auto"/>
              <w:ind w:firstLine="0" w:firstLineChars="0"/>
              <w:jc w:val="center"/>
              <w:rPr>
                <w:b/>
                <w:sz w:val="21"/>
              </w:rPr>
            </w:pPr>
            <w:r>
              <w:rPr>
                <w:rFonts w:hint="eastAsia" w:eastAsia="宋体" w:cs="宋体"/>
                <w:b/>
                <w:sz w:val="21"/>
                <w:lang w:bidi="ar"/>
              </w:rPr>
              <w:t>功能</w:t>
            </w:r>
          </w:p>
        </w:tc>
        <w:tc>
          <w:tcPr>
            <w:tcW w:w="1107" w:type="dxa"/>
            <w:vMerge w:val="restart"/>
            <w:tcBorders>
              <w:top w:val="single" w:color="000000" w:sz="4" w:space="0"/>
              <w:left w:val="nil"/>
              <w:bottom w:val="single" w:color="000000" w:sz="4" w:space="0"/>
              <w:right w:val="single" w:color="000000" w:sz="4" w:space="0"/>
            </w:tcBorders>
            <w:shd w:val="clear" w:color="auto" w:fill="auto"/>
            <w:vAlign w:val="center"/>
          </w:tcPr>
          <w:p w14:paraId="05B5E971">
            <w:pPr>
              <w:adjustRightInd w:val="0"/>
              <w:snapToGrid w:val="0"/>
              <w:spacing w:line="320" w:lineRule="exact"/>
              <w:ind w:firstLine="0" w:firstLineChars="0"/>
              <w:jc w:val="center"/>
              <w:rPr>
                <w:rFonts w:eastAsia="宋体" w:cs="Times New Roman"/>
                <w:b/>
                <w:sz w:val="21"/>
              </w:rPr>
            </w:pPr>
            <w:r>
              <w:rPr>
                <w:rFonts w:eastAsia="宋体" w:cs="Times New Roman"/>
                <w:b/>
                <w:sz w:val="21"/>
                <w:lang w:bidi="ar"/>
              </w:rPr>
              <w:t>现状水质</w:t>
            </w:r>
          </w:p>
          <w:p w14:paraId="6B122A8E">
            <w:pPr>
              <w:adjustRightInd w:val="0"/>
              <w:snapToGrid w:val="0"/>
              <w:spacing w:line="240" w:lineRule="auto"/>
              <w:ind w:firstLine="0" w:firstLineChars="0"/>
              <w:jc w:val="center"/>
              <w:rPr>
                <w:b/>
                <w:sz w:val="21"/>
              </w:rPr>
            </w:pPr>
            <w:r>
              <w:rPr>
                <w:rFonts w:eastAsia="宋体" w:cs="Times New Roman"/>
                <w:b/>
                <w:sz w:val="21"/>
                <w:lang w:bidi="ar"/>
              </w:rPr>
              <w:t>（类）</w:t>
            </w:r>
          </w:p>
        </w:tc>
        <w:tc>
          <w:tcPr>
            <w:tcW w:w="1119" w:type="dxa"/>
            <w:vMerge w:val="restart"/>
            <w:tcBorders>
              <w:top w:val="single" w:color="000000" w:sz="4" w:space="0"/>
              <w:left w:val="nil"/>
              <w:bottom w:val="single" w:color="000000" w:sz="4" w:space="0"/>
              <w:right w:val="single" w:color="000000" w:sz="4" w:space="0"/>
            </w:tcBorders>
            <w:shd w:val="clear" w:color="auto" w:fill="auto"/>
            <w:vAlign w:val="center"/>
          </w:tcPr>
          <w:p w14:paraId="5BBA1E20">
            <w:pPr>
              <w:adjustRightInd w:val="0"/>
              <w:snapToGrid w:val="0"/>
              <w:spacing w:line="320" w:lineRule="exact"/>
              <w:ind w:firstLine="0" w:firstLineChars="0"/>
              <w:jc w:val="center"/>
              <w:rPr>
                <w:rFonts w:eastAsia="宋体" w:cs="Times New Roman"/>
                <w:b/>
                <w:sz w:val="21"/>
              </w:rPr>
            </w:pPr>
            <w:r>
              <w:rPr>
                <w:rFonts w:eastAsia="宋体" w:cs="Times New Roman"/>
                <w:b/>
                <w:sz w:val="21"/>
                <w:lang w:bidi="ar"/>
              </w:rPr>
              <w:t>目标水质</w:t>
            </w:r>
          </w:p>
          <w:p w14:paraId="374E2408">
            <w:pPr>
              <w:adjustRightInd w:val="0"/>
              <w:snapToGrid w:val="0"/>
              <w:spacing w:line="240" w:lineRule="auto"/>
              <w:ind w:firstLine="0" w:firstLineChars="0"/>
              <w:jc w:val="center"/>
              <w:rPr>
                <w:b/>
                <w:sz w:val="21"/>
              </w:rPr>
            </w:pPr>
            <w:r>
              <w:rPr>
                <w:rFonts w:eastAsia="宋体" w:cs="Times New Roman"/>
                <w:b/>
                <w:sz w:val="21"/>
                <w:lang w:bidi="ar"/>
              </w:rPr>
              <w:t>（类）</w:t>
            </w:r>
          </w:p>
        </w:tc>
      </w:tr>
      <w:tr w14:paraId="01936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4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49F283">
            <w:pPr>
              <w:spacing w:line="240" w:lineRule="auto"/>
              <w:ind w:firstLine="420"/>
              <w:rPr>
                <w:rFonts w:eastAsia="Times New Roman" w:cs="Times New Roman"/>
                <w:sz w:val="21"/>
              </w:rPr>
            </w:pPr>
          </w:p>
        </w:tc>
        <w:tc>
          <w:tcPr>
            <w:tcW w:w="1287" w:type="dxa"/>
            <w:vMerge w:val="continue"/>
            <w:tcBorders>
              <w:top w:val="single" w:color="000000" w:sz="4" w:space="0"/>
              <w:left w:val="nil"/>
              <w:bottom w:val="single" w:color="000000" w:sz="4" w:space="0"/>
              <w:right w:val="single" w:color="000000" w:sz="4" w:space="0"/>
            </w:tcBorders>
            <w:shd w:val="clear" w:color="auto" w:fill="auto"/>
            <w:vAlign w:val="center"/>
          </w:tcPr>
          <w:p w14:paraId="4EC5FA1B">
            <w:pPr>
              <w:spacing w:line="240" w:lineRule="auto"/>
              <w:ind w:firstLine="420"/>
              <w:rPr>
                <w:rFonts w:eastAsia="Times New Roman" w:cs="Times New Roman"/>
                <w:sz w:val="21"/>
              </w:rPr>
            </w:pPr>
          </w:p>
        </w:tc>
        <w:tc>
          <w:tcPr>
            <w:tcW w:w="1647" w:type="dxa"/>
            <w:tcBorders>
              <w:top w:val="single" w:color="000000" w:sz="4" w:space="0"/>
              <w:left w:val="nil"/>
              <w:bottom w:val="single" w:color="000000" w:sz="4" w:space="0"/>
              <w:right w:val="single" w:color="000000" w:sz="4" w:space="0"/>
            </w:tcBorders>
            <w:shd w:val="clear" w:color="auto" w:fill="auto"/>
            <w:vAlign w:val="center"/>
          </w:tcPr>
          <w:p w14:paraId="2EE9F3B1">
            <w:pPr>
              <w:adjustRightInd w:val="0"/>
              <w:snapToGrid w:val="0"/>
              <w:spacing w:line="240" w:lineRule="auto"/>
              <w:ind w:firstLine="0" w:firstLineChars="0"/>
              <w:jc w:val="center"/>
              <w:rPr>
                <w:b/>
                <w:sz w:val="21"/>
              </w:rPr>
            </w:pPr>
            <w:r>
              <w:rPr>
                <w:rFonts w:hint="eastAsia" w:eastAsia="宋体" w:cs="宋体"/>
                <w:b/>
                <w:sz w:val="21"/>
                <w:lang w:bidi="ar"/>
              </w:rPr>
              <w:t>起</w:t>
            </w:r>
          </w:p>
        </w:tc>
        <w:tc>
          <w:tcPr>
            <w:tcW w:w="1634" w:type="dxa"/>
            <w:tcBorders>
              <w:top w:val="single" w:color="000000" w:sz="4" w:space="0"/>
              <w:left w:val="nil"/>
              <w:bottom w:val="single" w:color="000000" w:sz="4" w:space="0"/>
              <w:right w:val="single" w:color="000000" w:sz="4" w:space="0"/>
            </w:tcBorders>
            <w:shd w:val="clear" w:color="auto" w:fill="auto"/>
            <w:vAlign w:val="center"/>
          </w:tcPr>
          <w:p w14:paraId="1C078ABD">
            <w:pPr>
              <w:adjustRightInd w:val="0"/>
              <w:snapToGrid w:val="0"/>
              <w:spacing w:line="240" w:lineRule="auto"/>
              <w:ind w:firstLine="0" w:firstLineChars="0"/>
              <w:jc w:val="center"/>
              <w:rPr>
                <w:b/>
                <w:sz w:val="21"/>
              </w:rPr>
            </w:pPr>
            <w:r>
              <w:rPr>
                <w:rFonts w:hint="eastAsia" w:eastAsia="宋体" w:cs="宋体"/>
                <w:b/>
                <w:sz w:val="21"/>
                <w:lang w:bidi="ar"/>
              </w:rPr>
              <w:t>止</w:t>
            </w:r>
          </w:p>
        </w:tc>
        <w:tc>
          <w:tcPr>
            <w:tcW w:w="1304" w:type="dxa"/>
            <w:vMerge w:val="continue"/>
            <w:tcBorders>
              <w:top w:val="single" w:color="000000" w:sz="4" w:space="0"/>
              <w:left w:val="nil"/>
              <w:bottom w:val="single" w:color="000000" w:sz="4" w:space="0"/>
              <w:right w:val="single" w:color="000000" w:sz="4" w:space="0"/>
            </w:tcBorders>
            <w:shd w:val="clear" w:color="auto" w:fill="auto"/>
            <w:vAlign w:val="center"/>
          </w:tcPr>
          <w:p w14:paraId="7ACD564E">
            <w:pPr>
              <w:spacing w:line="240" w:lineRule="auto"/>
              <w:ind w:firstLine="420"/>
              <w:rPr>
                <w:rFonts w:eastAsia="Times New Roman" w:cs="Times New Roman"/>
                <w:sz w:val="21"/>
              </w:rPr>
            </w:pPr>
          </w:p>
        </w:tc>
        <w:tc>
          <w:tcPr>
            <w:tcW w:w="1107" w:type="dxa"/>
            <w:vMerge w:val="continue"/>
            <w:tcBorders>
              <w:top w:val="single" w:color="000000" w:sz="4" w:space="0"/>
              <w:left w:val="nil"/>
              <w:bottom w:val="single" w:color="000000" w:sz="4" w:space="0"/>
              <w:right w:val="single" w:color="000000" w:sz="4" w:space="0"/>
            </w:tcBorders>
            <w:shd w:val="clear" w:color="auto" w:fill="auto"/>
            <w:vAlign w:val="center"/>
          </w:tcPr>
          <w:p w14:paraId="62ED1178">
            <w:pPr>
              <w:spacing w:line="240" w:lineRule="auto"/>
              <w:ind w:firstLine="420"/>
              <w:rPr>
                <w:rFonts w:eastAsia="Times New Roman" w:cs="Times New Roman"/>
                <w:sz w:val="21"/>
              </w:rPr>
            </w:pPr>
          </w:p>
        </w:tc>
        <w:tc>
          <w:tcPr>
            <w:tcW w:w="1119" w:type="dxa"/>
            <w:vMerge w:val="continue"/>
            <w:tcBorders>
              <w:top w:val="single" w:color="000000" w:sz="4" w:space="0"/>
              <w:left w:val="nil"/>
              <w:bottom w:val="single" w:color="000000" w:sz="4" w:space="0"/>
              <w:right w:val="single" w:color="000000" w:sz="4" w:space="0"/>
            </w:tcBorders>
            <w:shd w:val="clear" w:color="auto" w:fill="auto"/>
            <w:vAlign w:val="center"/>
          </w:tcPr>
          <w:p w14:paraId="0DF72632">
            <w:pPr>
              <w:spacing w:line="240" w:lineRule="auto"/>
              <w:ind w:firstLine="420"/>
              <w:rPr>
                <w:rFonts w:eastAsia="Times New Roman" w:cs="Times New Roman"/>
                <w:sz w:val="21"/>
              </w:rPr>
            </w:pPr>
          </w:p>
        </w:tc>
      </w:tr>
      <w:tr w14:paraId="72C20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1985F">
            <w:pPr>
              <w:adjustRightInd w:val="0"/>
              <w:snapToGrid w:val="0"/>
              <w:spacing w:line="240" w:lineRule="auto"/>
              <w:ind w:firstLine="0" w:firstLineChars="0"/>
              <w:jc w:val="center"/>
              <w:rPr>
                <w:sz w:val="21"/>
              </w:rPr>
            </w:pPr>
            <w:r>
              <w:rPr>
                <w:rFonts w:eastAsia="宋体" w:cs="Times New Roman"/>
                <w:sz w:val="21"/>
                <w:lang w:bidi="ar"/>
              </w:rPr>
              <w:t>1</w:t>
            </w:r>
          </w:p>
        </w:tc>
        <w:tc>
          <w:tcPr>
            <w:tcW w:w="1287" w:type="dxa"/>
            <w:tcBorders>
              <w:top w:val="single" w:color="auto" w:sz="4" w:space="0"/>
              <w:left w:val="single" w:color="auto" w:sz="4" w:space="0"/>
              <w:bottom w:val="single" w:color="auto" w:sz="4" w:space="0"/>
              <w:right w:val="single" w:color="auto" w:sz="4" w:space="0"/>
            </w:tcBorders>
            <w:shd w:val="clear" w:color="auto" w:fill="auto"/>
            <w:vAlign w:val="center"/>
          </w:tcPr>
          <w:p w14:paraId="66DB8FF7">
            <w:pPr>
              <w:adjustRightInd w:val="0"/>
              <w:snapToGrid w:val="0"/>
              <w:spacing w:line="240" w:lineRule="auto"/>
              <w:ind w:firstLine="0" w:firstLineChars="0"/>
              <w:jc w:val="center"/>
              <w:rPr>
                <w:sz w:val="21"/>
              </w:rPr>
            </w:pPr>
            <w:r>
              <w:rPr>
                <w:rFonts w:hint="eastAsia" w:eastAsia="宋体" w:cs="宋体"/>
                <w:sz w:val="21"/>
                <w:lang w:bidi="ar"/>
              </w:rPr>
              <w:t>岐江河</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D6130">
            <w:pPr>
              <w:adjustRightInd w:val="0"/>
              <w:snapToGrid w:val="0"/>
              <w:spacing w:line="240" w:lineRule="auto"/>
              <w:ind w:firstLine="0" w:firstLineChars="0"/>
              <w:jc w:val="center"/>
              <w:rPr>
                <w:sz w:val="21"/>
              </w:rPr>
            </w:pPr>
            <w:r>
              <w:rPr>
                <w:rFonts w:hint="eastAsia"/>
                <w:sz w:val="21"/>
              </w:rPr>
              <w:t>白石涌口</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70F76">
            <w:pPr>
              <w:adjustRightInd w:val="0"/>
              <w:snapToGrid w:val="0"/>
              <w:spacing w:line="240" w:lineRule="auto"/>
              <w:ind w:firstLine="0" w:firstLineChars="0"/>
              <w:jc w:val="center"/>
              <w:rPr>
                <w:sz w:val="21"/>
              </w:rPr>
            </w:pPr>
            <w:r>
              <w:rPr>
                <w:rFonts w:hint="eastAsia"/>
                <w:sz w:val="21"/>
              </w:rPr>
              <w:t>博达外滩侧</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0F06B279">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26B7B53E">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60B7304E">
            <w:pPr>
              <w:adjustRightInd w:val="0"/>
              <w:snapToGrid w:val="0"/>
              <w:spacing w:line="320" w:lineRule="exact"/>
              <w:ind w:firstLine="0" w:firstLineChars="0"/>
              <w:jc w:val="center"/>
              <w:rPr>
                <w:sz w:val="21"/>
              </w:rPr>
            </w:pPr>
            <w:r>
              <w:rPr>
                <w:rFonts w:eastAsia="宋体" w:cs="Times New Roman"/>
                <w:sz w:val="21"/>
                <w:lang w:bidi="ar"/>
              </w:rPr>
              <w:t>IV</w:t>
            </w:r>
          </w:p>
        </w:tc>
      </w:tr>
      <w:tr w14:paraId="3F7FA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5729C">
            <w:pPr>
              <w:adjustRightInd w:val="0"/>
              <w:snapToGrid w:val="0"/>
              <w:spacing w:line="240" w:lineRule="auto"/>
              <w:ind w:firstLine="0" w:firstLineChars="0"/>
              <w:jc w:val="center"/>
              <w:rPr>
                <w:sz w:val="21"/>
              </w:rPr>
            </w:pPr>
            <w:r>
              <w:rPr>
                <w:rFonts w:eastAsia="宋体" w:cs="Times New Roman"/>
                <w:sz w:val="21"/>
                <w:lang w:bidi="ar"/>
              </w:rPr>
              <w:t>2</w:t>
            </w:r>
          </w:p>
        </w:tc>
        <w:tc>
          <w:tcPr>
            <w:tcW w:w="1287" w:type="dxa"/>
            <w:tcBorders>
              <w:top w:val="single" w:color="auto" w:sz="4" w:space="0"/>
              <w:left w:val="single" w:color="auto" w:sz="4" w:space="0"/>
              <w:bottom w:val="single" w:color="auto" w:sz="4" w:space="0"/>
              <w:right w:val="single" w:color="auto" w:sz="4" w:space="0"/>
            </w:tcBorders>
            <w:shd w:val="clear" w:color="auto" w:fill="auto"/>
            <w:vAlign w:val="center"/>
          </w:tcPr>
          <w:p w14:paraId="0B485B53">
            <w:pPr>
              <w:adjustRightInd w:val="0"/>
              <w:snapToGrid w:val="0"/>
              <w:spacing w:line="240" w:lineRule="auto"/>
              <w:ind w:firstLine="0" w:firstLineChars="0"/>
              <w:jc w:val="center"/>
              <w:rPr>
                <w:sz w:val="21"/>
              </w:rPr>
            </w:pPr>
            <w:r>
              <w:rPr>
                <w:rFonts w:hint="eastAsia"/>
                <w:sz w:val="21"/>
              </w:rPr>
              <w:t>狮滘河</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6DAE4">
            <w:pPr>
              <w:adjustRightInd w:val="0"/>
              <w:snapToGrid w:val="0"/>
              <w:spacing w:line="240" w:lineRule="auto"/>
              <w:ind w:firstLine="0" w:firstLineChars="0"/>
              <w:jc w:val="center"/>
              <w:rPr>
                <w:sz w:val="21"/>
              </w:rPr>
            </w:pPr>
            <w:r>
              <w:rPr>
                <w:rFonts w:hint="eastAsia"/>
                <w:sz w:val="21"/>
              </w:rPr>
              <w:t>岐江河（滨江一号处）</w:t>
            </w:r>
          </w:p>
        </w:tc>
        <w:tc>
          <w:tcPr>
            <w:tcW w:w="1634" w:type="dxa"/>
            <w:tcBorders>
              <w:top w:val="single" w:color="auto" w:sz="4" w:space="0"/>
              <w:left w:val="single" w:color="000000" w:sz="4" w:space="0"/>
              <w:bottom w:val="single" w:color="000000" w:sz="4" w:space="0"/>
              <w:right w:val="single" w:color="000000" w:sz="4" w:space="0"/>
            </w:tcBorders>
            <w:shd w:val="clear" w:color="auto" w:fill="auto"/>
            <w:vAlign w:val="center"/>
          </w:tcPr>
          <w:p w14:paraId="7AC37F11">
            <w:pPr>
              <w:adjustRightInd w:val="0"/>
              <w:snapToGrid w:val="0"/>
              <w:spacing w:line="240" w:lineRule="auto"/>
              <w:ind w:firstLine="0" w:firstLineChars="0"/>
              <w:jc w:val="center"/>
              <w:rPr>
                <w:sz w:val="21"/>
              </w:rPr>
            </w:pPr>
            <w:r>
              <w:rPr>
                <w:rFonts w:hint="eastAsia"/>
                <w:sz w:val="21"/>
              </w:rPr>
              <w:t>狮滘桥（105国道）</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4A899C9F">
            <w:pPr>
              <w:adjustRightInd w:val="0"/>
              <w:snapToGrid w:val="0"/>
              <w:spacing w:line="320" w:lineRule="exact"/>
              <w:ind w:firstLine="0" w:firstLineChars="0"/>
              <w:jc w:val="center"/>
              <w:rPr>
                <w:sz w:val="21"/>
              </w:rPr>
            </w:pPr>
            <w:r>
              <w:rPr>
                <w:rFonts w:hint="eastAsia" w:eastAsia="宋体" w:cs="Times New Roman"/>
                <w:sz w:val="21"/>
                <w:lang w:bidi="ar"/>
              </w:rPr>
              <w:t>工业</w:t>
            </w: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09FCFE56">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2DFDA560">
            <w:pPr>
              <w:adjustRightInd w:val="0"/>
              <w:snapToGrid w:val="0"/>
              <w:spacing w:line="320" w:lineRule="exact"/>
              <w:ind w:firstLine="0" w:firstLineChars="0"/>
              <w:jc w:val="center"/>
              <w:rPr>
                <w:sz w:val="21"/>
              </w:rPr>
            </w:pPr>
            <w:r>
              <w:rPr>
                <w:rFonts w:eastAsia="宋体" w:cs="Times New Roman"/>
                <w:sz w:val="21"/>
                <w:lang w:bidi="ar"/>
              </w:rPr>
              <w:t>IV</w:t>
            </w:r>
          </w:p>
        </w:tc>
      </w:tr>
      <w:tr w14:paraId="6EB3A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vMerge w:val="restart"/>
            <w:tcBorders>
              <w:top w:val="single" w:color="000000" w:sz="4" w:space="0"/>
              <w:left w:val="single" w:color="000000" w:sz="4" w:space="0"/>
              <w:right w:val="single" w:color="000000" w:sz="4" w:space="0"/>
            </w:tcBorders>
            <w:shd w:val="clear" w:color="auto" w:fill="auto"/>
            <w:vAlign w:val="center"/>
          </w:tcPr>
          <w:p w14:paraId="264CB550">
            <w:pPr>
              <w:adjustRightInd w:val="0"/>
              <w:snapToGrid w:val="0"/>
              <w:spacing w:line="240" w:lineRule="auto"/>
              <w:ind w:firstLine="0" w:firstLineChars="0"/>
              <w:jc w:val="center"/>
              <w:rPr>
                <w:sz w:val="21"/>
              </w:rPr>
            </w:pPr>
            <w:r>
              <w:rPr>
                <w:rFonts w:hint="eastAsia" w:eastAsia="宋体" w:cs="Times New Roman"/>
                <w:sz w:val="21"/>
                <w:lang w:bidi="ar"/>
              </w:rPr>
              <w:t>3</w:t>
            </w:r>
          </w:p>
        </w:tc>
        <w:tc>
          <w:tcPr>
            <w:tcW w:w="1287" w:type="dxa"/>
            <w:vMerge w:val="restart"/>
            <w:tcBorders>
              <w:top w:val="single" w:color="auto" w:sz="4" w:space="0"/>
              <w:left w:val="single" w:color="auto" w:sz="4" w:space="0"/>
              <w:right w:val="single" w:color="auto" w:sz="4" w:space="0"/>
            </w:tcBorders>
            <w:shd w:val="clear" w:color="auto" w:fill="auto"/>
            <w:vAlign w:val="center"/>
          </w:tcPr>
          <w:p w14:paraId="2798BD52">
            <w:pPr>
              <w:adjustRightInd w:val="0"/>
              <w:snapToGrid w:val="0"/>
              <w:spacing w:line="240" w:lineRule="auto"/>
              <w:ind w:firstLine="0" w:firstLineChars="0"/>
              <w:jc w:val="center"/>
              <w:rPr>
                <w:sz w:val="21"/>
              </w:rPr>
            </w:pPr>
            <w:r>
              <w:rPr>
                <w:rFonts w:hint="eastAsia"/>
                <w:sz w:val="21"/>
              </w:rPr>
              <w:t>沙朗涌</w:t>
            </w:r>
          </w:p>
        </w:tc>
        <w:tc>
          <w:tcPr>
            <w:tcW w:w="1647" w:type="dxa"/>
            <w:tcBorders>
              <w:top w:val="single" w:color="auto" w:sz="4" w:space="0"/>
              <w:left w:val="single" w:color="000000" w:sz="4" w:space="0"/>
              <w:bottom w:val="single" w:color="000000" w:sz="4" w:space="0"/>
              <w:right w:val="single" w:color="000000" w:sz="4" w:space="0"/>
            </w:tcBorders>
            <w:shd w:val="clear" w:color="auto" w:fill="auto"/>
            <w:vAlign w:val="center"/>
          </w:tcPr>
          <w:p w14:paraId="682B4526">
            <w:pPr>
              <w:adjustRightInd w:val="0"/>
              <w:snapToGrid w:val="0"/>
              <w:spacing w:line="240" w:lineRule="auto"/>
              <w:ind w:firstLine="0" w:firstLineChars="0"/>
              <w:jc w:val="center"/>
              <w:rPr>
                <w:rFonts w:ascii="宋体" w:hAnsi="宋体" w:eastAsia="宋体" w:cs="宋体"/>
                <w:sz w:val="21"/>
              </w:rPr>
            </w:pPr>
            <w:r>
              <w:rPr>
                <w:rFonts w:hint="eastAsia"/>
                <w:sz w:val="21"/>
              </w:rPr>
              <w:t>南六涌</w:t>
            </w:r>
          </w:p>
        </w:tc>
        <w:tc>
          <w:tcPr>
            <w:tcW w:w="1634" w:type="dxa"/>
            <w:tcBorders>
              <w:top w:val="single" w:color="auto" w:sz="4" w:space="0"/>
              <w:left w:val="single" w:color="000000" w:sz="4" w:space="0"/>
              <w:bottom w:val="single" w:color="000000" w:sz="4" w:space="0"/>
              <w:right w:val="single" w:color="000000" w:sz="4" w:space="0"/>
            </w:tcBorders>
            <w:shd w:val="clear" w:color="auto" w:fill="auto"/>
            <w:vAlign w:val="center"/>
          </w:tcPr>
          <w:p w14:paraId="555A1FB7">
            <w:pPr>
              <w:adjustRightInd w:val="0"/>
              <w:snapToGrid w:val="0"/>
              <w:spacing w:line="240" w:lineRule="auto"/>
              <w:ind w:firstLine="0" w:firstLineChars="0"/>
              <w:jc w:val="center"/>
              <w:rPr>
                <w:rFonts w:ascii="宋体" w:hAnsi="宋体" w:eastAsia="宋体" w:cs="宋体"/>
                <w:sz w:val="21"/>
              </w:rPr>
            </w:pPr>
            <w:r>
              <w:rPr>
                <w:rFonts w:hint="eastAsia"/>
                <w:sz w:val="21"/>
              </w:rPr>
              <w:t>大兴泵站</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06D3BA3C">
            <w:pPr>
              <w:adjustRightInd w:val="0"/>
              <w:snapToGrid w:val="0"/>
              <w:spacing w:line="320" w:lineRule="exact"/>
              <w:ind w:firstLine="0" w:firstLineChars="0"/>
              <w:jc w:val="center"/>
              <w:rPr>
                <w:rFonts w:ascii="宋体" w:hAnsi="宋体" w:eastAsia="宋体" w:cs="宋体"/>
                <w:sz w:val="21"/>
              </w:rPr>
            </w:pP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0A3B0383">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57427BE3">
            <w:pPr>
              <w:adjustRightInd w:val="0"/>
              <w:snapToGrid w:val="0"/>
              <w:spacing w:line="320" w:lineRule="exact"/>
              <w:ind w:firstLine="0" w:firstLineChars="0"/>
              <w:jc w:val="center"/>
              <w:rPr>
                <w:sz w:val="21"/>
              </w:rPr>
            </w:pPr>
            <w:r>
              <w:rPr>
                <w:rFonts w:eastAsia="宋体" w:cs="Times New Roman"/>
                <w:sz w:val="21"/>
                <w:lang w:bidi="ar"/>
              </w:rPr>
              <w:t>IV</w:t>
            </w:r>
          </w:p>
        </w:tc>
      </w:tr>
      <w:tr w14:paraId="6A3F3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vMerge w:val="continue"/>
            <w:tcBorders>
              <w:left w:val="single" w:color="000000" w:sz="4" w:space="0"/>
              <w:bottom w:val="single" w:color="000000" w:sz="4" w:space="0"/>
              <w:right w:val="single" w:color="000000" w:sz="4" w:space="0"/>
            </w:tcBorders>
            <w:shd w:val="clear" w:color="auto" w:fill="auto"/>
            <w:vAlign w:val="center"/>
          </w:tcPr>
          <w:p w14:paraId="4BA8735E">
            <w:pPr>
              <w:adjustRightInd w:val="0"/>
              <w:snapToGrid w:val="0"/>
              <w:spacing w:line="240" w:lineRule="auto"/>
              <w:ind w:firstLine="0" w:firstLineChars="0"/>
              <w:jc w:val="center"/>
              <w:rPr>
                <w:rFonts w:eastAsia="宋体" w:cs="Times New Roman"/>
                <w:sz w:val="21"/>
                <w:lang w:bidi="ar"/>
              </w:rPr>
            </w:pPr>
          </w:p>
        </w:tc>
        <w:tc>
          <w:tcPr>
            <w:tcW w:w="1287" w:type="dxa"/>
            <w:vMerge w:val="continue"/>
            <w:tcBorders>
              <w:left w:val="single" w:color="auto" w:sz="4" w:space="0"/>
              <w:bottom w:val="single" w:color="auto" w:sz="4" w:space="0"/>
              <w:right w:val="single" w:color="auto" w:sz="4" w:space="0"/>
            </w:tcBorders>
            <w:shd w:val="clear" w:color="auto" w:fill="auto"/>
            <w:vAlign w:val="center"/>
          </w:tcPr>
          <w:p w14:paraId="2A20FDEE">
            <w:pPr>
              <w:adjustRightInd w:val="0"/>
              <w:snapToGrid w:val="0"/>
              <w:spacing w:line="240" w:lineRule="auto"/>
              <w:ind w:firstLine="0" w:firstLineChars="0"/>
              <w:jc w:val="center"/>
              <w:rPr>
                <w:sz w:val="21"/>
              </w:rPr>
            </w:pPr>
          </w:p>
        </w:tc>
        <w:tc>
          <w:tcPr>
            <w:tcW w:w="1647" w:type="dxa"/>
            <w:tcBorders>
              <w:top w:val="single" w:color="auto" w:sz="4" w:space="0"/>
              <w:left w:val="single" w:color="000000" w:sz="4" w:space="0"/>
              <w:bottom w:val="single" w:color="000000" w:sz="4" w:space="0"/>
              <w:right w:val="single" w:color="000000" w:sz="4" w:space="0"/>
            </w:tcBorders>
            <w:shd w:val="clear" w:color="auto" w:fill="auto"/>
            <w:vAlign w:val="center"/>
          </w:tcPr>
          <w:p w14:paraId="03DDA69C">
            <w:pPr>
              <w:adjustRightInd w:val="0"/>
              <w:snapToGrid w:val="0"/>
              <w:spacing w:line="240" w:lineRule="auto"/>
              <w:ind w:firstLine="0" w:firstLineChars="0"/>
              <w:jc w:val="center"/>
              <w:rPr>
                <w:sz w:val="21"/>
              </w:rPr>
            </w:pPr>
            <w:r>
              <w:rPr>
                <w:rFonts w:hint="eastAsia"/>
                <w:sz w:val="21"/>
              </w:rPr>
              <w:t>石特涌泵站</w:t>
            </w:r>
          </w:p>
        </w:tc>
        <w:tc>
          <w:tcPr>
            <w:tcW w:w="1634" w:type="dxa"/>
            <w:tcBorders>
              <w:top w:val="single" w:color="auto" w:sz="4" w:space="0"/>
              <w:left w:val="single" w:color="000000" w:sz="4" w:space="0"/>
              <w:bottom w:val="single" w:color="000000" w:sz="4" w:space="0"/>
              <w:right w:val="single" w:color="000000" w:sz="4" w:space="0"/>
            </w:tcBorders>
            <w:shd w:val="clear" w:color="auto" w:fill="auto"/>
            <w:vAlign w:val="center"/>
          </w:tcPr>
          <w:p w14:paraId="76FC6F1A">
            <w:pPr>
              <w:adjustRightInd w:val="0"/>
              <w:snapToGrid w:val="0"/>
              <w:spacing w:line="240" w:lineRule="auto"/>
              <w:ind w:firstLine="0" w:firstLineChars="0"/>
              <w:jc w:val="center"/>
              <w:rPr>
                <w:sz w:val="21"/>
              </w:rPr>
            </w:pPr>
            <w:r>
              <w:rPr>
                <w:rFonts w:hint="eastAsia"/>
                <w:sz w:val="21"/>
              </w:rPr>
              <w:t>四队人家尾</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3F6038D0">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3151391F">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210CF198">
            <w:pPr>
              <w:adjustRightInd w:val="0"/>
              <w:snapToGrid w:val="0"/>
              <w:spacing w:line="320" w:lineRule="exact"/>
              <w:ind w:firstLine="0" w:firstLineChars="0"/>
              <w:jc w:val="center"/>
              <w:rPr>
                <w:sz w:val="21"/>
              </w:rPr>
            </w:pPr>
            <w:r>
              <w:rPr>
                <w:rFonts w:eastAsia="宋体" w:cs="Times New Roman"/>
                <w:sz w:val="21"/>
                <w:lang w:bidi="ar"/>
              </w:rPr>
              <w:t>IV</w:t>
            </w:r>
          </w:p>
        </w:tc>
      </w:tr>
      <w:tr w14:paraId="27F0F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5DA68">
            <w:pPr>
              <w:adjustRightInd w:val="0"/>
              <w:snapToGrid w:val="0"/>
              <w:spacing w:line="240" w:lineRule="auto"/>
              <w:ind w:firstLine="0" w:firstLineChars="0"/>
              <w:jc w:val="center"/>
              <w:rPr>
                <w:sz w:val="21"/>
              </w:rPr>
            </w:pPr>
            <w:r>
              <w:rPr>
                <w:rFonts w:hint="eastAsia" w:eastAsia="宋体" w:cs="Times New Roman"/>
                <w:sz w:val="21"/>
                <w:lang w:bidi="ar"/>
              </w:rPr>
              <w:t>4</w:t>
            </w:r>
          </w:p>
        </w:tc>
        <w:tc>
          <w:tcPr>
            <w:tcW w:w="1287" w:type="dxa"/>
            <w:tcBorders>
              <w:top w:val="single" w:color="000000" w:sz="4" w:space="0"/>
              <w:left w:val="single" w:color="auto" w:sz="4" w:space="0"/>
              <w:bottom w:val="single" w:color="auto" w:sz="4" w:space="0"/>
              <w:right w:val="single" w:color="000000" w:sz="4" w:space="0"/>
            </w:tcBorders>
            <w:shd w:val="clear" w:color="auto" w:fill="auto"/>
            <w:vAlign w:val="center"/>
          </w:tcPr>
          <w:p w14:paraId="1AE12020">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朗滘涌</w:t>
            </w:r>
          </w:p>
        </w:tc>
        <w:tc>
          <w:tcPr>
            <w:tcW w:w="1647" w:type="dxa"/>
            <w:tcBorders>
              <w:top w:val="single" w:color="000000" w:sz="4" w:space="0"/>
              <w:left w:val="single" w:color="000000" w:sz="4" w:space="0"/>
              <w:bottom w:val="single" w:color="auto" w:sz="4" w:space="0"/>
              <w:right w:val="single" w:color="000000" w:sz="4" w:space="0"/>
            </w:tcBorders>
            <w:shd w:val="clear" w:color="auto" w:fill="auto"/>
            <w:vAlign w:val="center"/>
          </w:tcPr>
          <w:p w14:paraId="3C42F9AA">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十六顷涌</w:t>
            </w:r>
          </w:p>
        </w:tc>
        <w:tc>
          <w:tcPr>
            <w:tcW w:w="1634" w:type="dxa"/>
            <w:tcBorders>
              <w:top w:val="single" w:color="000000" w:sz="4" w:space="0"/>
              <w:left w:val="single" w:color="000000" w:sz="4" w:space="0"/>
              <w:bottom w:val="single" w:color="auto" w:sz="4" w:space="0"/>
              <w:right w:val="single" w:color="000000" w:sz="4" w:space="0"/>
            </w:tcBorders>
            <w:shd w:val="clear" w:color="auto" w:fill="auto"/>
            <w:vAlign w:val="center"/>
          </w:tcPr>
          <w:p w14:paraId="390307BA">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沙溪云汉及东升交界处</w:t>
            </w:r>
          </w:p>
        </w:tc>
        <w:tc>
          <w:tcPr>
            <w:tcW w:w="1304" w:type="dxa"/>
            <w:tcBorders>
              <w:top w:val="single" w:color="000000" w:sz="4" w:space="0"/>
              <w:left w:val="single" w:color="000000" w:sz="4" w:space="0"/>
              <w:bottom w:val="single" w:color="auto" w:sz="4" w:space="0"/>
              <w:right w:val="single" w:color="000000" w:sz="4" w:space="0"/>
            </w:tcBorders>
            <w:shd w:val="clear" w:color="auto" w:fill="auto"/>
            <w:vAlign w:val="center"/>
          </w:tcPr>
          <w:p w14:paraId="24F2AC4D">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auto" w:sz="4" w:space="0"/>
              <w:right w:val="single" w:color="000000" w:sz="4" w:space="0"/>
            </w:tcBorders>
            <w:shd w:val="clear" w:color="auto" w:fill="auto"/>
            <w:vAlign w:val="center"/>
          </w:tcPr>
          <w:p w14:paraId="0970D232">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auto" w:sz="4" w:space="0"/>
              <w:right w:val="single" w:color="000000" w:sz="4" w:space="0"/>
            </w:tcBorders>
            <w:shd w:val="clear" w:color="auto" w:fill="auto"/>
            <w:vAlign w:val="center"/>
          </w:tcPr>
          <w:p w14:paraId="0C10B63D">
            <w:pPr>
              <w:adjustRightInd w:val="0"/>
              <w:snapToGrid w:val="0"/>
              <w:spacing w:line="320" w:lineRule="exact"/>
              <w:ind w:firstLine="0" w:firstLineChars="0"/>
              <w:jc w:val="center"/>
              <w:rPr>
                <w:sz w:val="21"/>
              </w:rPr>
            </w:pPr>
            <w:r>
              <w:rPr>
                <w:rFonts w:eastAsia="宋体" w:cs="Times New Roman"/>
                <w:sz w:val="21"/>
                <w:lang w:bidi="ar"/>
              </w:rPr>
              <w:t>IV</w:t>
            </w:r>
          </w:p>
        </w:tc>
      </w:tr>
      <w:tr w14:paraId="4DB38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A10AF">
            <w:pPr>
              <w:adjustRightInd w:val="0"/>
              <w:snapToGrid w:val="0"/>
              <w:spacing w:line="240" w:lineRule="auto"/>
              <w:ind w:firstLine="0" w:firstLineChars="0"/>
              <w:jc w:val="center"/>
              <w:rPr>
                <w:sz w:val="21"/>
              </w:rPr>
            </w:pPr>
            <w:r>
              <w:rPr>
                <w:rFonts w:hint="eastAsia" w:eastAsia="宋体" w:cs="Times New Roman"/>
                <w:sz w:val="21"/>
                <w:lang w:bidi="ar"/>
              </w:rPr>
              <w:t>5</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2AF49">
            <w:pPr>
              <w:adjustRightInd w:val="0"/>
              <w:snapToGrid w:val="0"/>
              <w:spacing w:line="240" w:lineRule="auto"/>
              <w:ind w:firstLine="0" w:firstLineChars="0"/>
              <w:jc w:val="center"/>
              <w:rPr>
                <w:sz w:val="21"/>
              </w:rPr>
            </w:pPr>
            <w:r>
              <w:rPr>
                <w:rFonts w:hint="eastAsia"/>
                <w:sz w:val="21"/>
              </w:rPr>
              <w:t>十六顷涌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BD967">
            <w:pPr>
              <w:adjustRightInd w:val="0"/>
              <w:snapToGrid w:val="0"/>
              <w:spacing w:line="240" w:lineRule="auto"/>
              <w:ind w:firstLine="0" w:firstLineChars="0"/>
              <w:jc w:val="center"/>
              <w:rPr>
                <w:sz w:val="21"/>
              </w:rPr>
            </w:pPr>
            <w:r>
              <w:rPr>
                <w:rFonts w:hint="eastAsia" w:ascii="宋体" w:hAnsi="宋体" w:eastAsia="宋体" w:cs="宋体"/>
                <w:sz w:val="21"/>
              </w:rPr>
              <w:t>分流涌和东部排水渠交汇处</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48417">
            <w:pPr>
              <w:adjustRightInd w:val="0"/>
              <w:snapToGrid w:val="0"/>
              <w:spacing w:line="240" w:lineRule="auto"/>
              <w:ind w:firstLine="0" w:firstLineChars="0"/>
              <w:jc w:val="center"/>
              <w:rPr>
                <w:sz w:val="21"/>
              </w:rPr>
            </w:pPr>
            <w:r>
              <w:rPr>
                <w:rFonts w:hint="eastAsia" w:ascii="宋体" w:hAnsi="宋体" w:eastAsia="宋体" w:cs="宋体"/>
                <w:sz w:val="21"/>
              </w:rPr>
              <w:t>十六顷排灌渠</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451DB">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2378D">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F6071">
            <w:pPr>
              <w:adjustRightInd w:val="0"/>
              <w:snapToGrid w:val="0"/>
              <w:spacing w:line="320" w:lineRule="exact"/>
              <w:ind w:firstLine="0" w:firstLineChars="0"/>
              <w:jc w:val="center"/>
              <w:rPr>
                <w:sz w:val="21"/>
              </w:rPr>
            </w:pPr>
            <w:r>
              <w:rPr>
                <w:rFonts w:eastAsia="宋体" w:cs="Times New Roman"/>
                <w:sz w:val="21"/>
                <w:lang w:bidi="ar"/>
              </w:rPr>
              <w:t>V</w:t>
            </w:r>
          </w:p>
        </w:tc>
      </w:tr>
      <w:tr w14:paraId="11401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FF628">
            <w:pPr>
              <w:adjustRightInd w:val="0"/>
              <w:snapToGrid w:val="0"/>
              <w:spacing w:line="240" w:lineRule="auto"/>
              <w:ind w:firstLine="0" w:firstLineChars="0"/>
              <w:jc w:val="center"/>
              <w:rPr>
                <w:sz w:val="21"/>
              </w:rPr>
            </w:pPr>
            <w:r>
              <w:rPr>
                <w:rFonts w:hint="eastAsia" w:eastAsia="宋体" w:cs="Times New Roman"/>
                <w:sz w:val="21"/>
                <w:lang w:bidi="ar"/>
              </w:rPr>
              <w:t>6</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A13A1">
            <w:pPr>
              <w:adjustRightInd w:val="0"/>
              <w:snapToGrid w:val="0"/>
              <w:spacing w:line="240" w:lineRule="auto"/>
              <w:ind w:firstLine="0" w:firstLineChars="0"/>
              <w:jc w:val="center"/>
              <w:rPr>
                <w:sz w:val="21"/>
              </w:rPr>
            </w:pPr>
            <w:r>
              <w:rPr>
                <w:rFonts w:hint="eastAsia"/>
                <w:sz w:val="21"/>
              </w:rPr>
              <w:t>石特涌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E74FB">
            <w:pPr>
              <w:adjustRightInd w:val="0"/>
              <w:snapToGrid w:val="0"/>
              <w:spacing w:line="240" w:lineRule="auto"/>
              <w:ind w:firstLine="0" w:firstLineChars="0"/>
              <w:jc w:val="center"/>
              <w:rPr>
                <w:sz w:val="21"/>
              </w:rPr>
            </w:pPr>
            <w:r>
              <w:rPr>
                <w:rFonts w:hint="eastAsia"/>
                <w:sz w:val="21"/>
              </w:rPr>
              <w:t>深宝电器厂</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62D89">
            <w:pPr>
              <w:adjustRightInd w:val="0"/>
              <w:snapToGrid w:val="0"/>
              <w:spacing w:line="240" w:lineRule="auto"/>
              <w:ind w:firstLine="0" w:firstLineChars="0"/>
              <w:jc w:val="center"/>
              <w:rPr>
                <w:sz w:val="21"/>
              </w:rPr>
            </w:pPr>
            <w:r>
              <w:rPr>
                <w:rFonts w:hint="eastAsia"/>
                <w:sz w:val="21"/>
              </w:rPr>
              <w:t>沙朗涌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2BE1C">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90636">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0CBCD">
            <w:pPr>
              <w:adjustRightInd w:val="0"/>
              <w:snapToGrid w:val="0"/>
              <w:spacing w:line="320" w:lineRule="exact"/>
              <w:ind w:firstLine="0" w:firstLineChars="0"/>
              <w:jc w:val="center"/>
              <w:rPr>
                <w:sz w:val="21"/>
              </w:rPr>
            </w:pPr>
            <w:r>
              <w:rPr>
                <w:rFonts w:eastAsia="宋体" w:cs="Times New Roman"/>
                <w:sz w:val="21"/>
                <w:lang w:bidi="ar"/>
              </w:rPr>
              <w:t>IV</w:t>
            </w:r>
          </w:p>
        </w:tc>
      </w:tr>
      <w:tr w14:paraId="49A22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8EDF2">
            <w:pPr>
              <w:adjustRightInd w:val="0"/>
              <w:snapToGrid w:val="0"/>
              <w:spacing w:line="240" w:lineRule="auto"/>
              <w:ind w:firstLine="0" w:firstLineChars="0"/>
              <w:jc w:val="center"/>
              <w:rPr>
                <w:sz w:val="21"/>
              </w:rPr>
            </w:pPr>
            <w:r>
              <w:rPr>
                <w:rFonts w:hint="eastAsia" w:eastAsia="宋体" w:cs="Times New Roman"/>
                <w:sz w:val="21"/>
                <w:lang w:bidi="ar"/>
              </w:rPr>
              <w:t>7</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D10D4">
            <w:pPr>
              <w:adjustRightInd w:val="0"/>
              <w:snapToGrid w:val="0"/>
              <w:spacing w:line="240" w:lineRule="auto"/>
              <w:ind w:firstLine="0" w:firstLineChars="0"/>
              <w:jc w:val="center"/>
              <w:rPr>
                <w:sz w:val="21"/>
              </w:rPr>
            </w:pPr>
            <w:r>
              <w:rPr>
                <w:rFonts w:hint="eastAsia"/>
                <w:sz w:val="21"/>
              </w:rPr>
              <w:t>沙朗新开涌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3DB23">
            <w:pPr>
              <w:adjustRightInd w:val="0"/>
              <w:snapToGrid w:val="0"/>
              <w:spacing w:line="240" w:lineRule="auto"/>
              <w:ind w:firstLine="0" w:firstLineChars="0"/>
              <w:jc w:val="center"/>
              <w:rPr>
                <w:sz w:val="21"/>
              </w:rPr>
            </w:pPr>
            <w:r>
              <w:rPr>
                <w:rFonts w:hint="eastAsia"/>
                <w:sz w:val="21"/>
              </w:rPr>
              <w:t>沙朗涌</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E349A">
            <w:pPr>
              <w:adjustRightInd w:val="0"/>
              <w:snapToGrid w:val="0"/>
              <w:spacing w:line="240" w:lineRule="auto"/>
              <w:ind w:firstLine="0" w:firstLineChars="0"/>
              <w:jc w:val="center"/>
              <w:rPr>
                <w:sz w:val="21"/>
              </w:rPr>
            </w:pPr>
            <w:r>
              <w:rPr>
                <w:rFonts w:hint="eastAsia"/>
                <w:sz w:val="21"/>
              </w:rPr>
              <w:t>石特涌沙朗新开涌水闸处</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FF354">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967C9">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63E26">
            <w:pPr>
              <w:adjustRightInd w:val="0"/>
              <w:snapToGrid w:val="0"/>
              <w:spacing w:line="320" w:lineRule="exact"/>
              <w:ind w:firstLine="0" w:firstLineChars="0"/>
              <w:jc w:val="center"/>
              <w:rPr>
                <w:sz w:val="21"/>
              </w:rPr>
            </w:pPr>
            <w:r>
              <w:rPr>
                <w:rFonts w:eastAsia="宋体" w:cs="Times New Roman"/>
                <w:sz w:val="21"/>
                <w:lang w:bidi="ar"/>
              </w:rPr>
              <w:t>V</w:t>
            </w:r>
          </w:p>
        </w:tc>
      </w:tr>
      <w:tr w14:paraId="6E7BC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58BA9">
            <w:pPr>
              <w:adjustRightInd w:val="0"/>
              <w:snapToGrid w:val="0"/>
              <w:spacing w:line="240" w:lineRule="auto"/>
              <w:ind w:firstLine="0" w:firstLineChars="0"/>
              <w:jc w:val="center"/>
              <w:rPr>
                <w:sz w:val="21"/>
              </w:rPr>
            </w:pPr>
            <w:r>
              <w:rPr>
                <w:rFonts w:hint="eastAsia" w:eastAsia="宋体" w:cs="Times New Roman"/>
                <w:sz w:val="21"/>
                <w:lang w:bidi="ar"/>
              </w:rPr>
              <w:t>8</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C32E7">
            <w:pPr>
              <w:adjustRightInd w:val="0"/>
              <w:snapToGrid w:val="0"/>
              <w:spacing w:line="240" w:lineRule="auto"/>
              <w:ind w:firstLine="0" w:firstLineChars="0"/>
              <w:jc w:val="center"/>
              <w:rPr>
                <w:sz w:val="21"/>
              </w:rPr>
            </w:pPr>
            <w:r>
              <w:rPr>
                <w:rFonts w:hint="eastAsia"/>
                <w:sz w:val="21"/>
              </w:rPr>
              <w:t>西河涌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22D88">
            <w:pPr>
              <w:adjustRightInd w:val="0"/>
              <w:snapToGrid w:val="0"/>
              <w:spacing w:line="240" w:lineRule="auto"/>
              <w:ind w:firstLine="0" w:firstLineChars="0"/>
              <w:jc w:val="center"/>
              <w:rPr>
                <w:sz w:val="21"/>
              </w:rPr>
            </w:pPr>
            <w:r>
              <w:rPr>
                <w:rFonts w:hint="eastAsia"/>
                <w:sz w:val="21"/>
              </w:rPr>
              <w:t>柏景苑</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26547">
            <w:pPr>
              <w:adjustRightInd w:val="0"/>
              <w:snapToGrid w:val="0"/>
              <w:spacing w:line="240" w:lineRule="auto"/>
              <w:ind w:firstLine="0" w:firstLineChars="0"/>
              <w:jc w:val="center"/>
              <w:rPr>
                <w:sz w:val="21"/>
              </w:rPr>
            </w:pPr>
            <w:r>
              <w:rPr>
                <w:rFonts w:hint="eastAsia"/>
                <w:sz w:val="21"/>
              </w:rPr>
              <w:t>博爱一路</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01FE7">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6235B">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94B07">
            <w:pPr>
              <w:adjustRightInd w:val="0"/>
              <w:snapToGrid w:val="0"/>
              <w:spacing w:line="320" w:lineRule="exact"/>
              <w:ind w:firstLine="0" w:firstLineChars="0"/>
              <w:jc w:val="center"/>
              <w:rPr>
                <w:sz w:val="21"/>
              </w:rPr>
            </w:pPr>
            <w:r>
              <w:rPr>
                <w:rFonts w:eastAsia="宋体" w:cs="Times New Roman"/>
                <w:sz w:val="21"/>
                <w:lang w:bidi="ar"/>
              </w:rPr>
              <w:t>V</w:t>
            </w:r>
          </w:p>
        </w:tc>
      </w:tr>
      <w:tr w14:paraId="30FEC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B4556">
            <w:pPr>
              <w:adjustRightInd w:val="0"/>
              <w:snapToGrid w:val="0"/>
              <w:spacing w:line="240" w:lineRule="auto"/>
              <w:ind w:firstLine="0" w:firstLineChars="0"/>
              <w:jc w:val="center"/>
              <w:rPr>
                <w:sz w:val="21"/>
              </w:rPr>
            </w:pPr>
            <w:r>
              <w:rPr>
                <w:rFonts w:hint="eastAsia" w:eastAsia="宋体" w:cs="Times New Roman"/>
                <w:sz w:val="21"/>
                <w:lang w:bidi="ar"/>
              </w:rPr>
              <w:t>9</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C99B0">
            <w:pPr>
              <w:adjustRightInd w:val="0"/>
              <w:snapToGrid w:val="0"/>
              <w:spacing w:line="240" w:lineRule="auto"/>
              <w:ind w:firstLine="0" w:firstLineChars="0"/>
              <w:jc w:val="center"/>
              <w:rPr>
                <w:sz w:val="21"/>
              </w:rPr>
            </w:pPr>
            <w:r>
              <w:rPr>
                <w:rFonts w:hint="eastAsia"/>
                <w:sz w:val="21"/>
              </w:rPr>
              <w:t>十六顷排灌渠</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980FE">
            <w:pPr>
              <w:adjustRightInd w:val="0"/>
              <w:snapToGrid w:val="0"/>
              <w:spacing w:line="240" w:lineRule="auto"/>
              <w:ind w:firstLine="0" w:firstLineChars="0"/>
              <w:jc w:val="center"/>
              <w:rPr>
                <w:sz w:val="21"/>
              </w:rPr>
            </w:pPr>
            <w:r>
              <w:rPr>
                <w:rFonts w:hint="eastAsia"/>
                <w:sz w:val="21"/>
              </w:rPr>
              <w:t>悦生涌</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3C344">
            <w:pPr>
              <w:adjustRightInd w:val="0"/>
              <w:snapToGrid w:val="0"/>
              <w:spacing w:line="240" w:lineRule="auto"/>
              <w:ind w:firstLine="0" w:firstLineChars="0"/>
              <w:jc w:val="center"/>
              <w:rPr>
                <w:sz w:val="21"/>
              </w:rPr>
            </w:pPr>
            <w:r>
              <w:rPr>
                <w:rFonts w:hint="eastAsia"/>
                <w:sz w:val="21"/>
              </w:rPr>
              <w:t>十六顷涌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90227">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C3F93">
            <w:pPr>
              <w:adjustRightInd w:val="0"/>
              <w:snapToGrid w:val="0"/>
              <w:spacing w:line="320" w:lineRule="exact"/>
              <w:ind w:firstLine="0" w:firstLineChars="0"/>
              <w:jc w:val="center"/>
              <w:rPr>
                <w:sz w:val="21"/>
              </w:rPr>
            </w:pPr>
            <w:r>
              <w:rPr>
                <w:rFonts w:eastAsia="宋体" w:cs="Times New Roman"/>
                <w:sz w:val="21"/>
                <w:lang w:bidi="ar"/>
              </w:rPr>
              <w:t>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8356A">
            <w:pPr>
              <w:adjustRightInd w:val="0"/>
              <w:snapToGrid w:val="0"/>
              <w:spacing w:line="320" w:lineRule="exact"/>
              <w:ind w:firstLine="0" w:firstLineChars="0"/>
              <w:jc w:val="center"/>
              <w:rPr>
                <w:sz w:val="21"/>
              </w:rPr>
            </w:pPr>
            <w:r>
              <w:rPr>
                <w:rFonts w:eastAsia="宋体" w:cs="Times New Roman"/>
                <w:sz w:val="21"/>
                <w:lang w:bidi="ar"/>
              </w:rPr>
              <w:t>IV</w:t>
            </w:r>
          </w:p>
        </w:tc>
      </w:tr>
      <w:tr w14:paraId="3BCC2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68BC3">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0</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E4C94">
            <w:pPr>
              <w:adjustRightInd w:val="0"/>
              <w:snapToGrid w:val="0"/>
              <w:spacing w:line="240" w:lineRule="auto"/>
              <w:ind w:firstLine="0" w:firstLineChars="0"/>
              <w:jc w:val="center"/>
              <w:rPr>
                <w:sz w:val="21"/>
              </w:rPr>
            </w:pPr>
            <w:r>
              <w:rPr>
                <w:rFonts w:hint="eastAsia"/>
                <w:sz w:val="21"/>
              </w:rPr>
              <w:t>悦生涌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D67E4">
            <w:pPr>
              <w:adjustRightInd w:val="0"/>
              <w:snapToGrid w:val="0"/>
              <w:spacing w:line="240" w:lineRule="auto"/>
              <w:ind w:firstLine="0" w:firstLineChars="0"/>
              <w:jc w:val="center"/>
              <w:rPr>
                <w:sz w:val="21"/>
              </w:rPr>
            </w:pPr>
            <w:r>
              <w:rPr>
                <w:rFonts w:hint="eastAsia"/>
                <w:sz w:val="21"/>
              </w:rPr>
              <w:t>东部排水渠（坦背村）</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3C995">
            <w:pPr>
              <w:adjustRightInd w:val="0"/>
              <w:snapToGrid w:val="0"/>
              <w:spacing w:line="240" w:lineRule="auto"/>
              <w:ind w:firstLine="0" w:firstLineChars="0"/>
              <w:jc w:val="center"/>
              <w:rPr>
                <w:sz w:val="21"/>
              </w:rPr>
            </w:pPr>
            <w:r>
              <w:rPr>
                <w:rFonts w:hint="eastAsia"/>
                <w:sz w:val="21"/>
              </w:rPr>
              <w:t>十六顷排灌渠</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964F4">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AA039">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86877">
            <w:pPr>
              <w:adjustRightInd w:val="0"/>
              <w:snapToGrid w:val="0"/>
              <w:spacing w:line="320" w:lineRule="exact"/>
              <w:ind w:firstLine="0" w:firstLineChars="0"/>
              <w:jc w:val="center"/>
              <w:rPr>
                <w:sz w:val="21"/>
              </w:rPr>
            </w:pPr>
            <w:r>
              <w:rPr>
                <w:rFonts w:eastAsia="宋体" w:cs="Times New Roman"/>
                <w:sz w:val="21"/>
                <w:lang w:bidi="ar"/>
              </w:rPr>
              <w:t>IV</w:t>
            </w:r>
          </w:p>
        </w:tc>
      </w:tr>
      <w:tr w14:paraId="0F8CA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65BE7">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1</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1A902">
            <w:pPr>
              <w:adjustRightInd w:val="0"/>
              <w:snapToGrid w:val="0"/>
              <w:spacing w:line="240" w:lineRule="auto"/>
              <w:ind w:firstLine="0" w:firstLineChars="0"/>
              <w:jc w:val="center"/>
              <w:rPr>
                <w:sz w:val="21"/>
              </w:rPr>
            </w:pPr>
            <w:r>
              <w:rPr>
                <w:rFonts w:hint="eastAsia"/>
                <w:sz w:val="21"/>
              </w:rPr>
              <w:t>南六涌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24377">
            <w:pPr>
              <w:adjustRightInd w:val="0"/>
              <w:snapToGrid w:val="0"/>
              <w:spacing w:line="240" w:lineRule="auto"/>
              <w:ind w:firstLine="0" w:firstLineChars="0"/>
              <w:jc w:val="center"/>
              <w:rPr>
                <w:sz w:val="21"/>
              </w:rPr>
            </w:pPr>
            <w:r>
              <w:rPr>
                <w:rFonts w:hint="eastAsia"/>
                <w:sz w:val="21"/>
              </w:rPr>
              <w:t>星辰花园</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B4FB3">
            <w:pPr>
              <w:adjustRightInd w:val="0"/>
              <w:snapToGrid w:val="0"/>
              <w:spacing w:line="240" w:lineRule="auto"/>
              <w:ind w:firstLine="0" w:firstLineChars="0"/>
              <w:jc w:val="center"/>
              <w:rPr>
                <w:sz w:val="21"/>
              </w:rPr>
            </w:pPr>
            <w:r>
              <w:rPr>
                <w:rFonts w:hint="eastAsia"/>
                <w:sz w:val="21"/>
              </w:rPr>
              <w:t>沙朗涌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EA0D4">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169A8">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A759C">
            <w:pPr>
              <w:adjustRightInd w:val="0"/>
              <w:snapToGrid w:val="0"/>
              <w:spacing w:line="320" w:lineRule="exact"/>
              <w:ind w:firstLine="0" w:firstLineChars="0"/>
              <w:jc w:val="center"/>
              <w:rPr>
                <w:sz w:val="21"/>
              </w:rPr>
            </w:pPr>
            <w:r>
              <w:rPr>
                <w:rFonts w:eastAsia="宋体" w:cs="Times New Roman"/>
                <w:sz w:val="21"/>
                <w:lang w:bidi="ar"/>
              </w:rPr>
              <w:t>V</w:t>
            </w:r>
          </w:p>
        </w:tc>
      </w:tr>
      <w:tr w14:paraId="0B9CD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FC035">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2</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E67FA">
            <w:pPr>
              <w:adjustRightInd w:val="0"/>
              <w:snapToGrid w:val="0"/>
              <w:spacing w:line="240" w:lineRule="auto"/>
              <w:ind w:firstLine="0" w:firstLineChars="0"/>
              <w:jc w:val="center"/>
              <w:rPr>
                <w:sz w:val="21"/>
              </w:rPr>
            </w:pPr>
            <w:r>
              <w:rPr>
                <w:rFonts w:hint="eastAsia"/>
                <w:sz w:val="21"/>
              </w:rPr>
              <w:t>南八涌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674D8">
            <w:pPr>
              <w:adjustRightInd w:val="0"/>
              <w:snapToGrid w:val="0"/>
              <w:spacing w:line="240" w:lineRule="auto"/>
              <w:ind w:firstLine="0" w:firstLineChars="0"/>
              <w:jc w:val="center"/>
              <w:rPr>
                <w:sz w:val="21"/>
              </w:rPr>
            </w:pPr>
            <w:r>
              <w:rPr>
                <w:rFonts w:hint="eastAsia"/>
                <w:sz w:val="21"/>
              </w:rPr>
              <w:t>南八涌水闸</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FB8D0">
            <w:pPr>
              <w:adjustRightInd w:val="0"/>
              <w:snapToGrid w:val="0"/>
              <w:spacing w:line="240" w:lineRule="auto"/>
              <w:ind w:firstLine="0" w:firstLineChars="0"/>
              <w:jc w:val="center"/>
              <w:rPr>
                <w:sz w:val="21"/>
              </w:rPr>
            </w:pPr>
            <w:r>
              <w:rPr>
                <w:rFonts w:hint="eastAsia"/>
                <w:sz w:val="21"/>
              </w:rPr>
              <w:t>沙朗涌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71F6E">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60659">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3BBBB">
            <w:pPr>
              <w:adjustRightInd w:val="0"/>
              <w:snapToGrid w:val="0"/>
              <w:spacing w:line="320" w:lineRule="exact"/>
              <w:ind w:firstLine="0" w:firstLineChars="0"/>
              <w:jc w:val="center"/>
              <w:rPr>
                <w:sz w:val="21"/>
              </w:rPr>
            </w:pPr>
            <w:r>
              <w:rPr>
                <w:rFonts w:eastAsia="宋体" w:cs="Times New Roman"/>
                <w:sz w:val="21"/>
                <w:lang w:bidi="ar"/>
              </w:rPr>
              <w:t>V</w:t>
            </w:r>
          </w:p>
        </w:tc>
      </w:tr>
      <w:tr w14:paraId="39667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3C77F">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3</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8E2E4">
            <w:pPr>
              <w:adjustRightInd w:val="0"/>
              <w:snapToGrid w:val="0"/>
              <w:spacing w:line="240" w:lineRule="auto"/>
              <w:ind w:firstLine="0" w:firstLineChars="0"/>
              <w:jc w:val="center"/>
              <w:rPr>
                <w:sz w:val="21"/>
              </w:rPr>
            </w:pPr>
            <w:r>
              <w:rPr>
                <w:rFonts w:hint="eastAsia"/>
                <w:sz w:val="21"/>
              </w:rPr>
              <w:t>后山新开涌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A640C">
            <w:pPr>
              <w:adjustRightInd w:val="0"/>
              <w:snapToGrid w:val="0"/>
              <w:spacing w:line="240" w:lineRule="auto"/>
              <w:ind w:firstLine="0" w:firstLineChars="0"/>
              <w:jc w:val="center"/>
              <w:rPr>
                <w:sz w:val="21"/>
              </w:rPr>
            </w:pPr>
            <w:r>
              <w:rPr>
                <w:rFonts w:hint="eastAsia"/>
                <w:sz w:val="21"/>
              </w:rPr>
              <w:t>北外环</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803A7">
            <w:pPr>
              <w:adjustRightInd w:val="0"/>
              <w:snapToGrid w:val="0"/>
              <w:spacing w:line="240" w:lineRule="auto"/>
              <w:ind w:firstLine="0" w:firstLineChars="0"/>
              <w:jc w:val="center"/>
              <w:rPr>
                <w:sz w:val="21"/>
              </w:rPr>
            </w:pPr>
            <w:r>
              <w:rPr>
                <w:rFonts w:hint="eastAsia"/>
                <w:sz w:val="21"/>
              </w:rPr>
              <w:t>狮滘河</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3EE22">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5C30F">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ECEF1">
            <w:pPr>
              <w:adjustRightInd w:val="0"/>
              <w:snapToGrid w:val="0"/>
              <w:spacing w:line="320" w:lineRule="exact"/>
              <w:ind w:firstLine="0" w:firstLineChars="0"/>
              <w:jc w:val="center"/>
              <w:rPr>
                <w:sz w:val="21"/>
              </w:rPr>
            </w:pPr>
            <w:r>
              <w:rPr>
                <w:rFonts w:eastAsia="宋体" w:cs="Times New Roman"/>
                <w:sz w:val="21"/>
                <w:lang w:bidi="ar"/>
              </w:rPr>
              <w:t>V</w:t>
            </w:r>
          </w:p>
        </w:tc>
      </w:tr>
      <w:tr w14:paraId="7DA6A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20785">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4</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FB025">
            <w:pPr>
              <w:adjustRightInd w:val="0"/>
              <w:snapToGrid w:val="0"/>
              <w:spacing w:line="240" w:lineRule="auto"/>
              <w:ind w:firstLine="0" w:firstLineChars="0"/>
              <w:jc w:val="center"/>
              <w:rPr>
                <w:sz w:val="21"/>
              </w:rPr>
            </w:pPr>
            <w:r>
              <w:rPr>
                <w:rFonts w:hint="eastAsia"/>
                <w:sz w:val="21"/>
              </w:rPr>
              <w:t>朗心渠</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17329">
            <w:pPr>
              <w:adjustRightInd w:val="0"/>
              <w:snapToGrid w:val="0"/>
              <w:spacing w:line="240" w:lineRule="auto"/>
              <w:ind w:firstLine="0" w:firstLineChars="0"/>
              <w:jc w:val="center"/>
              <w:rPr>
                <w:sz w:val="21"/>
              </w:rPr>
            </w:pPr>
            <w:r>
              <w:rPr>
                <w:rFonts w:hint="eastAsia"/>
                <w:sz w:val="21"/>
              </w:rPr>
              <w:t>105国道</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A2C05">
            <w:pPr>
              <w:adjustRightInd w:val="0"/>
              <w:snapToGrid w:val="0"/>
              <w:spacing w:line="240" w:lineRule="auto"/>
              <w:ind w:firstLine="0" w:firstLineChars="0"/>
              <w:jc w:val="center"/>
              <w:rPr>
                <w:sz w:val="21"/>
              </w:rPr>
            </w:pPr>
            <w:r>
              <w:rPr>
                <w:rFonts w:hint="eastAsia"/>
                <w:sz w:val="21"/>
              </w:rPr>
              <w:t>西河涌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F6889">
            <w:pPr>
              <w:adjustRightInd w:val="0"/>
              <w:snapToGrid w:val="0"/>
              <w:spacing w:line="320" w:lineRule="exact"/>
              <w:ind w:firstLine="0" w:firstLineChars="0"/>
              <w:jc w:val="center"/>
              <w:rPr>
                <w:sz w:val="21"/>
              </w:rPr>
            </w:pPr>
            <w:r>
              <w:rPr>
                <w:rFonts w:eastAsia="宋体" w:cs="Times New Roman"/>
                <w:sz w:val="21"/>
                <w:lang w:bidi="ar"/>
              </w:rPr>
              <w:t>景观</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DE080">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992E3">
            <w:pPr>
              <w:adjustRightInd w:val="0"/>
              <w:snapToGrid w:val="0"/>
              <w:spacing w:line="320" w:lineRule="exact"/>
              <w:ind w:firstLine="0" w:firstLineChars="0"/>
              <w:jc w:val="center"/>
              <w:rPr>
                <w:sz w:val="21"/>
              </w:rPr>
            </w:pPr>
            <w:r>
              <w:rPr>
                <w:rFonts w:eastAsia="宋体" w:cs="Times New Roman"/>
                <w:sz w:val="21"/>
                <w:lang w:bidi="ar"/>
              </w:rPr>
              <w:t>V</w:t>
            </w:r>
          </w:p>
        </w:tc>
      </w:tr>
      <w:tr w14:paraId="315F9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47EB1">
            <w:pPr>
              <w:adjustRightInd w:val="0"/>
              <w:snapToGrid w:val="0"/>
              <w:spacing w:line="240" w:lineRule="auto"/>
              <w:ind w:firstLine="0" w:firstLineChars="0"/>
              <w:jc w:val="center"/>
              <w:rPr>
                <w:rFonts w:eastAsia="宋体" w:cs="Times New Roman"/>
                <w:sz w:val="21"/>
                <w:lang w:bidi="ar"/>
              </w:rPr>
            </w:pPr>
            <w:r>
              <w:rPr>
                <w:rFonts w:hint="eastAsia" w:eastAsia="宋体" w:cs="Times New Roman"/>
                <w:sz w:val="21"/>
                <w:lang w:bidi="ar"/>
              </w:rPr>
              <w:t>15</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E7EEF">
            <w:pPr>
              <w:adjustRightInd w:val="0"/>
              <w:snapToGrid w:val="0"/>
              <w:spacing w:line="240" w:lineRule="auto"/>
              <w:ind w:firstLine="0" w:firstLineChars="0"/>
              <w:jc w:val="center"/>
              <w:rPr>
                <w:sz w:val="21"/>
              </w:rPr>
            </w:pPr>
            <w:r>
              <w:rPr>
                <w:rFonts w:hint="eastAsia"/>
                <w:sz w:val="21"/>
              </w:rPr>
              <w:t>新涌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560D0">
            <w:pPr>
              <w:adjustRightInd w:val="0"/>
              <w:snapToGrid w:val="0"/>
              <w:spacing w:line="240" w:lineRule="auto"/>
              <w:ind w:firstLine="0" w:firstLineChars="0"/>
              <w:jc w:val="center"/>
              <w:rPr>
                <w:sz w:val="21"/>
              </w:rPr>
            </w:pPr>
            <w:r>
              <w:rPr>
                <w:rFonts w:hint="eastAsia"/>
                <w:sz w:val="21"/>
              </w:rPr>
              <w:t>花海湾小区</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825C4">
            <w:pPr>
              <w:adjustRightInd w:val="0"/>
              <w:snapToGrid w:val="0"/>
              <w:spacing w:line="240" w:lineRule="auto"/>
              <w:ind w:firstLine="0" w:firstLineChars="0"/>
              <w:jc w:val="center"/>
              <w:rPr>
                <w:sz w:val="21"/>
              </w:rPr>
            </w:pPr>
            <w:r>
              <w:rPr>
                <w:rFonts w:hint="eastAsia"/>
                <w:sz w:val="21"/>
              </w:rPr>
              <w:t>岐江河</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51173">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966B1">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F8508">
            <w:pPr>
              <w:adjustRightInd w:val="0"/>
              <w:snapToGrid w:val="0"/>
              <w:spacing w:line="320" w:lineRule="exact"/>
              <w:ind w:firstLine="0" w:firstLineChars="0"/>
              <w:jc w:val="center"/>
              <w:rPr>
                <w:sz w:val="21"/>
              </w:rPr>
            </w:pPr>
            <w:r>
              <w:rPr>
                <w:rFonts w:eastAsia="宋体" w:cs="Times New Roman"/>
                <w:sz w:val="21"/>
                <w:lang w:bidi="ar"/>
              </w:rPr>
              <w:t>IV</w:t>
            </w:r>
          </w:p>
        </w:tc>
      </w:tr>
    </w:tbl>
    <w:p w14:paraId="393F88E1">
      <w:pPr>
        <w:spacing w:line="240" w:lineRule="auto"/>
        <w:ind w:firstLine="480"/>
      </w:pPr>
      <w:bookmarkStart w:id="174" w:name="_Toc16595"/>
      <w:bookmarkStart w:id="175" w:name="_Toc9103"/>
      <w:bookmarkStart w:id="176" w:name="_Toc5219"/>
      <w:bookmarkStart w:id="177" w:name="_Toc528880271"/>
      <w:bookmarkStart w:id="178" w:name="_Toc3563"/>
      <w:bookmarkStart w:id="179" w:name="_Toc3485"/>
      <w:bookmarkStart w:id="180" w:name="_Toc527572469"/>
    </w:p>
    <w:p w14:paraId="5D5FBF9C">
      <w:pPr>
        <w:pStyle w:val="3"/>
        <w:spacing w:before="0" w:after="0"/>
      </w:pPr>
      <w:bookmarkStart w:id="181" w:name="_Toc16675018"/>
      <w:bookmarkStart w:id="182" w:name="_Toc30576"/>
      <w:bookmarkStart w:id="183" w:name="_Toc24045"/>
      <w:bookmarkStart w:id="184" w:name="_Toc18505"/>
      <w:r>
        <w:t>1.4.4水生态系统</w:t>
      </w:r>
      <w:bookmarkEnd w:id="174"/>
      <w:bookmarkEnd w:id="175"/>
      <w:bookmarkEnd w:id="176"/>
      <w:bookmarkEnd w:id="177"/>
      <w:bookmarkEnd w:id="181"/>
      <w:bookmarkEnd w:id="182"/>
      <w:bookmarkEnd w:id="183"/>
      <w:bookmarkEnd w:id="184"/>
    </w:p>
    <w:p w14:paraId="6C3B7575">
      <w:pPr>
        <w:ind w:firstLine="480"/>
        <w:rPr>
          <w:szCs w:val="24"/>
        </w:rPr>
      </w:pPr>
      <w:r>
        <w:rPr>
          <w:rFonts w:hint="eastAsia"/>
          <w:szCs w:val="24"/>
        </w:rPr>
        <w:t>根据《中山市海绵城市专项规划》和《中山市城市生态控制线划定规划》 （2015年10月），中山市以生态公益林、基本农田、外围海域为全市基本生态基质，以自然保护区、森林公园、水库为生态斑块，以重要河道和接点廊道为纽带，结合城市增长边界，确定生态控制线约占城市陆域面积</w:t>
      </w:r>
      <w:r>
        <w:rPr>
          <w:szCs w:val="24"/>
        </w:rPr>
        <w:t>50%的</w:t>
      </w:r>
      <w:r>
        <w:rPr>
          <w:rFonts w:hint="eastAsia"/>
          <w:szCs w:val="24"/>
        </w:rPr>
        <w:t>生态安全格局。基于中山市海绵基底分布现状，结合中山市发展布局及生态控制线划定，构建“一核、四区、五廊、多接点”的海绵空间格局，西区属于西部农林生态区和城市斑块，如</w:t>
      </w:r>
      <w:r>
        <w:rPr>
          <w:rFonts w:hint="eastAsia"/>
          <w:b/>
          <w:bCs/>
          <w:szCs w:val="24"/>
        </w:rPr>
        <w:t>附图11</w:t>
      </w:r>
      <w:r>
        <w:rPr>
          <w:rFonts w:hint="eastAsia"/>
          <w:szCs w:val="24"/>
        </w:rPr>
        <w:t>。</w:t>
      </w:r>
    </w:p>
    <w:p w14:paraId="5D593D90">
      <w:pPr>
        <w:ind w:firstLine="480"/>
        <w:rPr>
          <w:szCs w:val="24"/>
        </w:rPr>
      </w:pPr>
      <w:r>
        <w:rPr>
          <w:szCs w:val="24"/>
        </w:rPr>
        <w:t>根据《广东省湿地保护与建设报告（2014）》的结果，中山市湿地总面积57732.41hm</w:t>
      </w:r>
      <w:r>
        <w:rPr>
          <w:szCs w:val="24"/>
          <w:vertAlign w:val="superscript"/>
        </w:rPr>
        <w:t>2</w:t>
      </w:r>
      <w:r>
        <w:rPr>
          <w:szCs w:val="24"/>
        </w:rPr>
        <w:t>，其中自然湿地25397.37 hm</w:t>
      </w:r>
      <w:r>
        <w:rPr>
          <w:szCs w:val="24"/>
          <w:vertAlign w:val="superscript"/>
        </w:rPr>
        <w:t>2</w:t>
      </w:r>
      <w:r>
        <w:rPr>
          <w:szCs w:val="24"/>
        </w:rPr>
        <w:t>、人工湿地32335.04 hm</w:t>
      </w:r>
      <w:r>
        <w:rPr>
          <w:szCs w:val="24"/>
          <w:vertAlign w:val="superscript"/>
        </w:rPr>
        <w:t>2</w:t>
      </w:r>
      <w:r>
        <w:rPr>
          <w:szCs w:val="24"/>
        </w:rPr>
        <w:t>。自然湿地中，以海与海岸湿地面积较大，面积达16153.11hm</w:t>
      </w:r>
      <w:r>
        <w:rPr>
          <w:szCs w:val="24"/>
          <w:vertAlign w:val="superscript"/>
        </w:rPr>
        <w:t>2</w:t>
      </w:r>
      <w:r>
        <w:rPr>
          <w:szCs w:val="24"/>
        </w:rPr>
        <w:t>，河流湿地面积为9244.26hm</w:t>
      </w:r>
      <w:r>
        <w:rPr>
          <w:szCs w:val="24"/>
          <w:vertAlign w:val="superscript"/>
        </w:rPr>
        <w:t>2</w:t>
      </w:r>
      <w:r>
        <w:rPr>
          <w:szCs w:val="24"/>
        </w:rPr>
        <w:t>。</w:t>
      </w:r>
    </w:p>
    <w:p w14:paraId="1C34C2E6">
      <w:pPr>
        <w:ind w:firstLine="480"/>
        <w:rPr>
          <w:szCs w:val="24"/>
        </w:rPr>
      </w:pPr>
      <w:r>
        <w:rPr>
          <w:rFonts w:hint="eastAsia"/>
          <w:szCs w:val="24"/>
        </w:rPr>
        <w:t>西区</w:t>
      </w:r>
      <w:r>
        <w:rPr>
          <w:szCs w:val="24"/>
        </w:rPr>
        <w:t>地处热带北缘，所发育的地带性植被代表类型为热带季雨林型的常绿季雨林。区域湿地资源主要涵盖了河口水域、三角洲低积平原湿地、水产养殖湿地、永久性河流、鱼塘、城市性景观与娱乐水面等湿地类型。</w:t>
      </w:r>
    </w:p>
    <w:p w14:paraId="36CF4E66">
      <w:pPr>
        <w:ind w:firstLine="480"/>
        <w:rPr>
          <w:szCs w:val="24"/>
        </w:rPr>
      </w:pPr>
      <w:r>
        <w:rPr>
          <w:rFonts w:hint="eastAsia"/>
          <w:szCs w:val="24"/>
        </w:rPr>
        <w:t>西区目前没有浮游植物、鱼类、浮游动物、底栖动物等具体数据，因此参考中山市的相关资料。</w:t>
      </w:r>
    </w:p>
    <w:p w14:paraId="07DB29AA">
      <w:pPr>
        <w:ind w:firstLine="480"/>
        <w:rPr>
          <w:szCs w:val="24"/>
        </w:rPr>
      </w:pPr>
      <w:r>
        <w:rPr>
          <w:szCs w:val="24"/>
        </w:rPr>
        <w:t>根据《中山市河湖健康评估专题</w:t>
      </w:r>
      <w:r>
        <w:rPr>
          <w:rFonts w:hint="eastAsia"/>
          <w:szCs w:val="24"/>
        </w:rPr>
        <w:t>（2</w:t>
      </w:r>
      <w:r>
        <w:rPr>
          <w:szCs w:val="24"/>
        </w:rPr>
        <w:t>018</w:t>
      </w:r>
      <w:r>
        <w:rPr>
          <w:rFonts w:hint="eastAsia"/>
          <w:szCs w:val="24"/>
        </w:rPr>
        <w:t>年）</w:t>
      </w:r>
      <w:r>
        <w:rPr>
          <w:szCs w:val="24"/>
        </w:rPr>
        <w:t>》成果，中山市内河涌共有浮游植物8门88属154种，其中绿藻门40属71种，硅藻门24属37种，蓝藻门10属15种，裸藻门6属22种，甲藻门3属3种，隐藻门2属2种，黄藻门2属3种，金藻门1属1种。</w:t>
      </w:r>
    </w:p>
    <w:p w14:paraId="226B51C6">
      <w:pPr>
        <w:ind w:firstLine="480"/>
        <w:rPr>
          <w:szCs w:val="24"/>
        </w:rPr>
      </w:pPr>
      <w:r>
        <w:rPr>
          <w:szCs w:val="24"/>
        </w:rPr>
        <w:t>根据中科院水生生物研究所的研究人员2012年对磨刀门、横门、洪奇沥等河流不同河段采集样品进行鱼类区系资源调查结果表明，中山市水域共有鱼类 37 种，隶属 12 目 22 科 32 属。鱼类组成上与我国其他内陆水体一样，鲤形目构成该区鱼类区系的主体，共 12 种，占该区鱼类总数的 32.43%；其次是鲈形目共 7 种，占该区鱼类总数的 18.91%；除了鲱形目 3 种，鲇形目和鲽形目均 2 种外，其他目的鱼类都只有一种各占该区总数的 2.7%。鲤科鱼类最为丰富，有 11 种，占该区鱼类总数的 29.72%；其他科的鱼类都只是少量的物种数目。鲤科在属、种数量方面是淡水鱼类种最大的一科。</w:t>
      </w:r>
    </w:p>
    <w:p w14:paraId="5620181F">
      <w:pPr>
        <w:ind w:firstLine="480"/>
        <w:rPr>
          <w:szCs w:val="24"/>
        </w:rPr>
      </w:pPr>
      <w:r>
        <w:rPr>
          <w:szCs w:val="24"/>
        </w:rPr>
        <w:t>根据中科院水生生物研究所的研究人员2012年对中山市各主要水体（包括江河湖塘等各种类型水体）浮游动物资源状况进行了调查，共设立 32个采样点，采集定性样品44个。共采集到浮游动物238种，隶属136属，包括5种未定种，1种裸藻，2种囊裸藻，1种吸管虫，1种缘毛类。25原生动物113属204种，占种类总数的86%；轮虫24属19属29种，占种类总数的12%；枝角类3属4种，占种类总数的1.6%；桡足类1属一种，占种类总数的0.4%。主要优势种为微小瓣胞藻、跳侧滴虫、聚滴虫、小滴虫、平截杯隐藻、梨波豆虫、小波豆虫、角甲藻等。</w:t>
      </w:r>
    </w:p>
    <w:p w14:paraId="62E9D43C">
      <w:pPr>
        <w:ind w:firstLine="480"/>
        <w:rPr>
          <w:szCs w:val="24"/>
        </w:rPr>
      </w:pPr>
      <w:r>
        <w:rPr>
          <w:szCs w:val="24"/>
        </w:rPr>
        <w:t>根据中科院水生生物研究所的研究人员2012年对中山市各主要水体的底栖动物调查成果，中山市共有底栖动物141种，隶属69科114属，其中水栖寡毛类4科15属31种（包括一个国内新纪录种扇形管盘虫），占种类总股数的22%；软体动物14科24属31种，占种类总数的22%；水生昆虫9目40科62种，占种类总数的44%，因底栖水生昆虫多为幼虫，鉴定难度较大，因此仅鉴定到科属水平；多毛纲、蛭纲及其他底栖动物合计 17种，约占种类总数的 12%。</w:t>
      </w:r>
    </w:p>
    <w:p w14:paraId="79CCFC14">
      <w:pPr>
        <w:ind w:firstLine="0" w:firstLineChars="0"/>
        <w:rPr>
          <w:rFonts w:cs="Times New Roman"/>
          <w:szCs w:val="28"/>
        </w:rPr>
        <w:sectPr>
          <w:pgSz w:w="11906" w:h="16838"/>
          <w:pgMar w:top="1440" w:right="1797" w:bottom="1440" w:left="1797" w:header="851" w:footer="992" w:gutter="0"/>
          <w:cols w:space="425" w:num="1"/>
          <w:docGrid w:type="lines" w:linePitch="312" w:charSpace="0"/>
        </w:sectPr>
      </w:pPr>
    </w:p>
    <w:bookmarkEnd w:id="178"/>
    <w:bookmarkEnd w:id="179"/>
    <w:bookmarkEnd w:id="180"/>
    <w:p w14:paraId="4A6232CA">
      <w:pPr>
        <w:pStyle w:val="2"/>
        <w:spacing w:before="0" w:after="0" w:line="360" w:lineRule="auto"/>
      </w:pPr>
      <w:bookmarkStart w:id="185" w:name="_Toc16675019"/>
      <w:r>
        <w:rPr>
          <w:rFonts w:hint="eastAsia"/>
        </w:rPr>
        <w:t>2</w:t>
      </w:r>
      <w:r>
        <w:t xml:space="preserve"> </w:t>
      </w:r>
      <w:r>
        <w:rPr>
          <w:rFonts w:hint="eastAsia"/>
        </w:rPr>
        <w:t>西区水生态文明建设现状和存在的主要问题</w:t>
      </w:r>
      <w:bookmarkEnd w:id="185"/>
    </w:p>
    <w:p w14:paraId="01476FA1">
      <w:pPr>
        <w:pStyle w:val="4"/>
        <w:spacing w:before="0" w:after="0" w:line="360" w:lineRule="auto"/>
      </w:pPr>
      <w:bookmarkStart w:id="186" w:name="_Toc16675020"/>
      <w:r>
        <w:rPr>
          <w:rFonts w:hint="eastAsia"/>
        </w:rPr>
        <w:t>2</w:t>
      </w:r>
      <w:r>
        <w:t>.1</w:t>
      </w:r>
      <w:r>
        <w:rPr>
          <w:rFonts w:hint="eastAsia"/>
        </w:rPr>
        <w:t>西区水生态文明建设现状</w:t>
      </w:r>
      <w:bookmarkEnd w:id="186"/>
    </w:p>
    <w:p w14:paraId="55D1C080">
      <w:pPr>
        <w:pStyle w:val="3"/>
        <w:spacing w:before="0" w:after="0" w:line="360" w:lineRule="auto"/>
      </w:pPr>
      <w:bookmarkStart w:id="187" w:name="_Toc523407645"/>
      <w:bookmarkStart w:id="188" w:name="_Toc503214027"/>
      <w:bookmarkStart w:id="189" w:name="_Toc498877651"/>
      <w:bookmarkStart w:id="190" w:name="_Toc498447320"/>
      <w:bookmarkStart w:id="191" w:name="_Toc473"/>
      <w:bookmarkStart w:id="192" w:name="_Toc16675021"/>
      <w:bookmarkStart w:id="193" w:name="_Toc1970"/>
      <w:bookmarkStart w:id="194" w:name="_Toc25161"/>
      <w:bookmarkStart w:id="195" w:name="_Toc14350"/>
      <w:bookmarkStart w:id="196" w:name="_Toc17217"/>
      <w:bookmarkStart w:id="197" w:name="_Toc528880274"/>
      <w:bookmarkStart w:id="198" w:name="_Toc16717"/>
      <w:bookmarkStart w:id="199" w:name="_Toc498877649"/>
      <w:bookmarkStart w:id="200" w:name="_Toc523407643"/>
      <w:bookmarkStart w:id="201" w:name="_Toc503214025"/>
      <w:bookmarkStart w:id="202" w:name="_Toc498447318"/>
      <w:r>
        <w:rPr>
          <w:rFonts w:hint="eastAsia"/>
        </w:rPr>
        <w:t>2</w:t>
      </w:r>
      <w:r>
        <w:t>.1.</w:t>
      </w:r>
      <w:r>
        <w:rPr>
          <w:rFonts w:hint="eastAsia"/>
        </w:rPr>
        <w:t>1水安全体系建设</w:t>
      </w:r>
      <w:bookmarkEnd w:id="187"/>
      <w:bookmarkEnd w:id="188"/>
      <w:bookmarkEnd w:id="189"/>
      <w:bookmarkEnd w:id="190"/>
      <w:r>
        <w:rPr>
          <w:rFonts w:hint="eastAsia"/>
        </w:rPr>
        <w:t>现状</w:t>
      </w:r>
      <w:bookmarkEnd w:id="191"/>
      <w:bookmarkEnd w:id="192"/>
      <w:bookmarkEnd w:id="193"/>
      <w:bookmarkEnd w:id="194"/>
      <w:bookmarkEnd w:id="195"/>
      <w:bookmarkEnd w:id="196"/>
      <w:bookmarkEnd w:id="197"/>
      <w:bookmarkEnd w:id="198"/>
    </w:p>
    <w:p w14:paraId="0B8CB527">
      <w:pPr>
        <w:pStyle w:val="5"/>
      </w:pPr>
      <w:r>
        <w:t>2.1.1.1</w:t>
      </w:r>
      <w:r>
        <w:rPr>
          <w:rFonts w:hint="eastAsia"/>
        </w:rPr>
        <w:t>防洪</w:t>
      </w:r>
      <w:r>
        <w:t>排涝能力不断增强</w:t>
      </w:r>
    </w:p>
    <w:p w14:paraId="7005C221">
      <w:pPr>
        <w:ind w:firstLine="480"/>
        <w:rPr>
          <w:rFonts w:eastAsia="宋体" w:cs="Times New Roman"/>
          <w:szCs w:val="24"/>
          <w:lang w:bidi="ar"/>
        </w:rPr>
      </w:pPr>
      <w:r>
        <w:rPr>
          <w:rFonts w:hint="eastAsia" w:eastAsia="宋体" w:cs="Times New Roman"/>
          <w:szCs w:val="24"/>
          <w:lang w:bidi="ar"/>
        </w:rPr>
        <w:t>西区境内河涌的堤防工程具体的工程设计参数如表2-</w:t>
      </w:r>
      <w:r>
        <w:rPr>
          <w:rFonts w:eastAsia="宋体" w:cs="Times New Roman"/>
          <w:szCs w:val="24"/>
          <w:lang w:bidi="ar"/>
        </w:rPr>
        <w:t>1</w:t>
      </w:r>
      <w:r>
        <w:rPr>
          <w:rFonts w:hint="eastAsia" w:eastAsia="宋体" w:cs="Times New Roman"/>
          <w:szCs w:val="24"/>
          <w:lang w:bidi="ar"/>
        </w:rPr>
        <w:t>，设计防洪标准均为20年一遇，达到内河涌的防洪要求。目前整个镇区的排涝体系布置大致为先将涝水抽至内河涌，然后通过内河涌经由西部排水渠流入岐江河。西区的主要排涝区为西区排涝区，排涝面积为25.04km</w:t>
      </w:r>
      <w:r>
        <w:rPr>
          <w:rFonts w:hint="eastAsia" w:eastAsia="宋体" w:cs="Times New Roman"/>
          <w:szCs w:val="24"/>
          <w:vertAlign w:val="superscript"/>
          <w:lang w:bidi="ar"/>
        </w:rPr>
        <w:t>2</w:t>
      </w:r>
      <w:r>
        <w:rPr>
          <w:rFonts w:hint="eastAsia" w:eastAsia="宋体" w:cs="Times New Roman"/>
          <w:szCs w:val="24"/>
          <w:lang w:bidi="ar"/>
        </w:rPr>
        <w:t>，如</w:t>
      </w:r>
      <w:r>
        <w:rPr>
          <w:rFonts w:hint="eastAsia" w:eastAsia="宋体" w:cs="Times New Roman"/>
          <w:b/>
          <w:bCs/>
          <w:szCs w:val="24"/>
          <w:lang w:bidi="ar"/>
        </w:rPr>
        <w:t>附图1</w:t>
      </w:r>
      <w:r>
        <w:rPr>
          <w:rFonts w:eastAsia="宋体" w:cs="Times New Roman"/>
          <w:b/>
          <w:bCs/>
          <w:szCs w:val="24"/>
          <w:lang w:bidi="ar"/>
        </w:rPr>
        <w:t>2</w:t>
      </w:r>
      <w:r>
        <w:rPr>
          <w:rFonts w:hint="eastAsia" w:eastAsia="宋体" w:cs="Times New Roman"/>
          <w:szCs w:val="24"/>
          <w:lang w:bidi="ar"/>
        </w:rPr>
        <w:t>。</w:t>
      </w:r>
    </w:p>
    <w:p w14:paraId="337C8857">
      <w:pPr>
        <w:ind w:firstLine="480"/>
        <w:rPr>
          <w:rFonts w:eastAsia="宋体" w:cs="Times New Roman"/>
          <w:szCs w:val="24"/>
          <w:lang w:bidi="ar"/>
        </w:rPr>
      </w:pPr>
      <w:r>
        <w:rPr>
          <w:rFonts w:hint="eastAsia" w:eastAsia="宋体" w:cs="Times New Roman"/>
          <w:szCs w:val="24"/>
          <w:lang w:bidi="ar"/>
        </w:rPr>
        <w:t>中心城区雨水主要依靠内河涌、雨水泵站、水闸和雨水管渠排除。当外江水位较低时，区域雨水通过开启水闸重力自排，可满足一般正常排涝需要；汛期时，区域雨水受外江洪潮水位顶托，需通过雨水泵站提升排除。中心城区范围的雨水均由区域内河涌排入岐江河，再经岐江河从东、西河口分别通过横门水道、磨刀门水道排出，如</w:t>
      </w:r>
      <w:r>
        <w:rPr>
          <w:rFonts w:hint="eastAsia" w:eastAsia="宋体" w:cs="Times New Roman"/>
          <w:b/>
          <w:bCs/>
          <w:szCs w:val="24"/>
          <w:lang w:bidi="ar"/>
        </w:rPr>
        <w:t>附图1</w:t>
      </w:r>
      <w:r>
        <w:rPr>
          <w:rFonts w:eastAsia="宋体" w:cs="Times New Roman"/>
          <w:b/>
          <w:bCs/>
          <w:szCs w:val="24"/>
          <w:lang w:bidi="ar"/>
        </w:rPr>
        <w:t>3</w:t>
      </w:r>
      <w:r>
        <w:rPr>
          <w:rFonts w:hint="eastAsia" w:eastAsia="宋体" w:cs="Times New Roman"/>
          <w:szCs w:val="24"/>
          <w:lang w:bidi="ar"/>
        </w:rPr>
        <w:t>。</w:t>
      </w:r>
      <w:r>
        <w:rPr>
          <w:rFonts w:hint="eastAsia" w:eastAsia="宋体" w:cs="宋体"/>
          <w:szCs w:val="24"/>
          <w:lang w:bidi="ar"/>
        </w:rPr>
        <w:t>中心城区现状排涝标准：</w:t>
      </w:r>
      <w:r>
        <w:rPr>
          <w:rFonts w:eastAsia="宋体" w:cs="Times New Roman"/>
          <w:szCs w:val="24"/>
          <w:lang w:bidi="ar"/>
        </w:rPr>
        <w:t>10</w:t>
      </w:r>
      <w:r>
        <w:rPr>
          <w:rFonts w:hint="eastAsia" w:eastAsia="宋体" w:cs="宋体"/>
          <w:szCs w:val="24"/>
          <w:lang w:bidi="ar"/>
        </w:rPr>
        <w:t>年一遇</w:t>
      </w:r>
      <w:r>
        <w:rPr>
          <w:rFonts w:eastAsia="仿宋_GB2312" w:cs="Times New Roman"/>
          <w:szCs w:val="24"/>
          <w:lang w:bidi="ar"/>
        </w:rPr>
        <w:t>24</w:t>
      </w:r>
      <w:r>
        <w:rPr>
          <w:rFonts w:hint="eastAsia" w:eastAsia="宋体" w:cs="宋体"/>
          <w:szCs w:val="24"/>
          <w:lang w:bidi="ar"/>
        </w:rPr>
        <w:t>小时暴雨</w:t>
      </w:r>
      <w:r>
        <w:rPr>
          <w:rFonts w:eastAsia="仿宋_GB2312" w:cs="Times New Roman"/>
          <w:szCs w:val="24"/>
          <w:lang w:bidi="ar"/>
        </w:rPr>
        <w:t>2</w:t>
      </w:r>
      <w:r>
        <w:rPr>
          <w:rFonts w:hint="eastAsia" w:eastAsia="宋体" w:cs="宋体"/>
          <w:szCs w:val="24"/>
          <w:lang w:bidi="ar"/>
        </w:rPr>
        <w:t>天排干。</w:t>
      </w:r>
    </w:p>
    <w:p w14:paraId="01BA02D3">
      <w:pPr>
        <w:adjustRightInd w:val="0"/>
        <w:snapToGrid w:val="0"/>
        <w:ind w:firstLine="480"/>
      </w:pPr>
      <w:r>
        <w:rPr>
          <w:rFonts w:hint="eastAsia" w:eastAsia="宋体" w:cs="Times New Roman"/>
          <w:szCs w:val="24"/>
          <w:lang w:bidi="ar"/>
        </w:rPr>
        <w:t>西区属于中心城区，</w:t>
      </w:r>
      <w:r>
        <w:rPr>
          <w:rFonts w:eastAsia="宋体" w:cs="Times New Roman"/>
          <w:szCs w:val="24"/>
          <w:lang w:bidi="ar"/>
        </w:rPr>
        <w:t>2017</w:t>
      </w:r>
      <w:r>
        <w:rPr>
          <w:rFonts w:hint="eastAsia" w:eastAsia="宋体" w:cs="Times New Roman"/>
          <w:szCs w:val="24"/>
          <w:lang w:bidi="ar"/>
        </w:rPr>
        <w:t>年有8个易涝点，包括中山一路白朗峰至国际酒店路段、北外环奥园路口、翠沙路、长洲大街、升华路、富华道通安车站路段、彩虹大道匝道转入北外环、翠洲路（景新路至翠景大道之间路段），如</w:t>
      </w:r>
      <w:r>
        <w:rPr>
          <w:rFonts w:hint="eastAsia" w:eastAsia="宋体" w:cs="Times New Roman"/>
          <w:b/>
          <w:bCs/>
          <w:szCs w:val="24"/>
          <w:lang w:bidi="ar"/>
        </w:rPr>
        <w:t>附图1</w:t>
      </w:r>
      <w:r>
        <w:rPr>
          <w:rFonts w:eastAsia="宋体" w:cs="Times New Roman"/>
          <w:b/>
          <w:bCs/>
          <w:szCs w:val="24"/>
          <w:lang w:bidi="ar"/>
        </w:rPr>
        <w:t>4</w:t>
      </w:r>
      <w:r>
        <w:rPr>
          <w:rFonts w:hint="eastAsia" w:eastAsia="宋体" w:cs="Times New Roman"/>
          <w:szCs w:val="24"/>
          <w:lang w:bidi="ar"/>
        </w:rPr>
        <w:t>。</w:t>
      </w:r>
    </w:p>
    <w:p w14:paraId="18BF1872">
      <w:pPr>
        <w:ind w:firstLine="480"/>
        <w:rPr>
          <w:rFonts w:cs="Times New Roman"/>
          <w:szCs w:val="28"/>
        </w:rPr>
      </w:pPr>
      <w:r>
        <w:rPr>
          <w:rFonts w:hint="eastAsia" w:cs="Times New Roman"/>
          <w:szCs w:val="28"/>
        </w:rPr>
        <w:t>西区境内水闸类型设计过闸流量总量为113.67m</w:t>
      </w:r>
      <w:r>
        <w:rPr>
          <w:rFonts w:hint="eastAsia" w:cs="Times New Roman"/>
          <w:szCs w:val="28"/>
          <w:vertAlign w:val="superscript"/>
        </w:rPr>
        <w:t>3</w:t>
      </w:r>
      <w:r>
        <w:rPr>
          <w:rFonts w:hint="eastAsia" w:cs="Times New Roman"/>
          <w:szCs w:val="28"/>
        </w:rPr>
        <w:t>/s，水闸总长度/宽度为35.76m（如表2-</w:t>
      </w:r>
      <w:r>
        <w:rPr>
          <w:rFonts w:cs="Times New Roman"/>
          <w:szCs w:val="28"/>
        </w:rPr>
        <w:t>2</w:t>
      </w:r>
      <w:r>
        <w:rPr>
          <w:rFonts w:hint="eastAsia" w:cs="Times New Roman"/>
          <w:szCs w:val="28"/>
        </w:rPr>
        <w:t>），其中沙朗新开涌水闸为V级设计标准，水闸孔数为2，升卧式平面钢闸门/固定卷扬启闭机；翠朗水闸的设计标准均为30年一遇，水闸孔数为2，闸门型式/启闭机型号为手动、电动；其他水闸4座设计标准均为20年一遇，闸门型式/启闭机型号均为手动、电动。西区现有的内排泵站共29宗，总设计灌溉、排涝面积为18858亩，总流量为62.206m</w:t>
      </w:r>
      <w:r>
        <w:rPr>
          <w:rFonts w:hint="eastAsia" w:cs="Times New Roman"/>
          <w:szCs w:val="28"/>
          <w:vertAlign w:val="superscript"/>
        </w:rPr>
        <w:t>3</w:t>
      </w:r>
      <w:r>
        <w:rPr>
          <w:rFonts w:hint="eastAsia" w:cs="Times New Roman"/>
          <w:szCs w:val="28"/>
        </w:rPr>
        <w:t>/s，总装机量为3941kw（如表2-</w:t>
      </w:r>
      <w:r>
        <w:rPr>
          <w:rFonts w:cs="Times New Roman"/>
          <w:szCs w:val="28"/>
        </w:rPr>
        <w:t>3</w:t>
      </w:r>
      <w:r>
        <w:rPr>
          <w:rFonts w:hint="eastAsia" w:cs="Times New Roman"/>
          <w:szCs w:val="28"/>
        </w:rPr>
        <w:t>）。其中石特涌泵站（如图2-1）、西河涌排水泵站（如图2-2），均在2011建成，内排，装机流量分别为12.78m</w:t>
      </w:r>
      <w:r>
        <w:rPr>
          <w:rFonts w:hint="eastAsia" w:cs="Times New Roman"/>
          <w:szCs w:val="28"/>
          <w:vertAlign w:val="superscript"/>
        </w:rPr>
        <w:t>3</w:t>
      </w:r>
      <w:r>
        <w:rPr>
          <w:rFonts w:hint="eastAsia" w:cs="Times New Roman"/>
          <w:szCs w:val="28"/>
        </w:rPr>
        <w:t>/s、7.65m</w:t>
      </w:r>
      <w:r>
        <w:rPr>
          <w:rFonts w:hint="eastAsia" w:cs="Times New Roman"/>
          <w:szCs w:val="28"/>
          <w:vertAlign w:val="superscript"/>
        </w:rPr>
        <w:t>3</w:t>
      </w:r>
      <w:r>
        <w:rPr>
          <w:rFonts w:hint="eastAsia" w:cs="Times New Roman"/>
          <w:szCs w:val="28"/>
        </w:rPr>
        <w:t>/s，装机功率分别为465kw、640kw，水泵数量分别为3台、1台。</w:t>
      </w:r>
    </w:p>
    <w:p w14:paraId="1580730E">
      <w:pPr>
        <w:ind w:firstLine="480"/>
        <w:rPr>
          <w:rFonts w:cs="Times New Roman"/>
          <w:szCs w:val="28"/>
        </w:rPr>
        <w:sectPr>
          <w:footerReference r:id="rId14" w:type="default"/>
          <w:pgSz w:w="11906" w:h="16838"/>
          <w:pgMar w:top="1440" w:right="1797" w:bottom="1440" w:left="1797" w:header="851" w:footer="992" w:gutter="0"/>
          <w:cols w:space="425" w:num="1"/>
          <w:docGrid w:type="linesAndChars" w:linePitch="326" w:charSpace="0"/>
        </w:sectPr>
      </w:pPr>
    </w:p>
    <w:p w14:paraId="614D464C">
      <w:pPr>
        <w:spacing w:line="240" w:lineRule="auto"/>
        <w:ind w:firstLine="420"/>
        <w:jc w:val="center"/>
        <w:rPr>
          <w:rFonts w:eastAsia="宋体" w:cs="Times New Roman"/>
          <w:sz w:val="21"/>
        </w:rPr>
      </w:pPr>
      <w:r>
        <w:rPr>
          <w:rFonts w:eastAsia="宋体" w:cs="Times New Roman"/>
          <w:sz w:val="21"/>
        </w:rPr>
        <w:t xml:space="preserve">表2-1 </w:t>
      </w:r>
      <w:r>
        <w:rPr>
          <w:rFonts w:hint="eastAsia" w:eastAsia="宋体" w:cs="Times New Roman"/>
          <w:sz w:val="21"/>
        </w:rPr>
        <w:t xml:space="preserve"> 西区境内河涌的堤防工程</w:t>
      </w:r>
    </w:p>
    <w:tbl>
      <w:tblPr>
        <w:tblStyle w:val="25"/>
        <w:tblW w:w="144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861"/>
        <w:gridCol w:w="2161"/>
        <w:gridCol w:w="9061"/>
      </w:tblGrid>
      <w:tr w14:paraId="24CA5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369" w:type="dxa"/>
            <w:vMerge w:val="restart"/>
          </w:tcPr>
          <w:p w14:paraId="0B3A0B2C">
            <w:pPr>
              <w:spacing w:line="480" w:lineRule="auto"/>
              <w:ind w:firstLine="0" w:firstLineChars="0"/>
              <w:jc w:val="center"/>
              <w:rPr>
                <w:rFonts w:cs="Times New Roman"/>
                <w:b/>
                <w:bCs/>
                <w:sz w:val="18"/>
                <w:szCs w:val="18"/>
              </w:rPr>
            </w:pPr>
            <w:r>
              <w:rPr>
                <w:rFonts w:hint="eastAsia" w:cs="Times New Roman"/>
                <w:b/>
                <w:bCs/>
                <w:sz w:val="18"/>
                <w:szCs w:val="18"/>
              </w:rPr>
              <w:t>工程名称</w:t>
            </w:r>
          </w:p>
        </w:tc>
        <w:tc>
          <w:tcPr>
            <w:tcW w:w="4022" w:type="dxa"/>
            <w:gridSpan w:val="2"/>
          </w:tcPr>
          <w:p w14:paraId="6A11E1C8">
            <w:pPr>
              <w:spacing w:line="240" w:lineRule="auto"/>
              <w:ind w:firstLine="0" w:firstLineChars="0"/>
              <w:jc w:val="center"/>
              <w:rPr>
                <w:rFonts w:cs="Times New Roman"/>
                <w:b/>
                <w:bCs/>
                <w:sz w:val="18"/>
                <w:szCs w:val="18"/>
              </w:rPr>
            </w:pPr>
            <w:r>
              <w:rPr>
                <w:rFonts w:hint="eastAsia" w:cs="Times New Roman"/>
                <w:b/>
                <w:bCs/>
                <w:sz w:val="18"/>
                <w:szCs w:val="18"/>
              </w:rPr>
              <w:t>工程位置</w:t>
            </w:r>
          </w:p>
        </w:tc>
        <w:tc>
          <w:tcPr>
            <w:tcW w:w="9061" w:type="dxa"/>
            <w:vMerge w:val="restart"/>
          </w:tcPr>
          <w:p w14:paraId="621C9613">
            <w:pPr>
              <w:spacing w:line="480" w:lineRule="auto"/>
              <w:ind w:firstLine="0" w:firstLineChars="0"/>
              <w:jc w:val="center"/>
              <w:rPr>
                <w:rFonts w:cs="Times New Roman"/>
                <w:sz w:val="18"/>
                <w:szCs w:val="18"/>
              </w:rPr>
            </w:pPr>
            <w:r>
              <w:rPr>
                <w:rFonts w:hint="eastAsia" w:cs="Times New Roman"/>
                <w:b/>
                <w:bCs/>
                <w:sz w:val="18"/>
                <w:szCs w:val="18"/>
              </w:rPr>
              <w:t>工程设计参数</w:t>
            </w:r>
          </w:p>
        </w:tc>
      </w:tr>
      <w:tr w14:paraId="3FA11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vMerge w:val="continue"/>
          </w:tcPr>
          <w:p w14:paraId="5DE01ACC">
            <w:pPr>
              <w:spacing w:line="240" w:lineRule="exact"/>
              <w:ind w:firstLine="0" w:firstLineChars="0"/>
              <w:jc w:val="left"/>
              <w:rPr>
                <w:rFonts w:cs="Times New Roman"/>
                <w:b/>
                <w:bCs/>
                <w:sz w:val="18"/>
                <w:szCs w:val="18"/>
              </w:rPr>
            </w:pPr>
          </w:p>
        </w:tc>
        <w:tc>
          <w:tcPr>
            <w:tcW w:w="1861" w:type="dxa"/>
          </w:tcPr>
          <w:p w14:paraId="4894CEBC">
            <w:pPr>
              <w:spacing w:line="240" w:lineRule="auto"/>
              <w:ind w:firstLine="0" w:firstLineChars="0"/>
              <w:jc w:val="center"/>
              <w:rPr>
                <w:rFonts w:cs="Times New Roman"/>
                <w:b/>
                <w:bCs/>
                <w:sz w:val="18"/>
                <w:szCs w:val="18"/>
              </w:rPr>
            </w:pPr>
            <w:r>
              <w:rPr>
                <w:rFonts w:hint="eastAsia" w:cs="Times New Roman"/>
                <w:b/>
                <w:bCs/>
                <w:sz w:val="18"/>
                <w:szCs w:val="18"/>
              </w:rPr>
              <w:t>起点</w:t>
            </w:r>
          </w:p>
        </w:tc>
        <w:tc>
          <w:tcPr>
            <w:tcW w:w="2161" w:type="dxa"/>
          </w:tcPr>
          <w:p w14:paraId="0D8D4F00">
            <w:pPr>
              <w:spacing w:line="240" w:lineRule="auto"/>
              <w:ind w:firstLine="0" w:firstLineChars="0"/>
              <w:jc w:val="center"/>
              <w:rPr>
                <w:rFonts w:cs="Times New Roman"/>
                <w:b/>
                <w:bCs/>
                <w:sz w:val="18"/>
                <w:szCs w:val="18"/>
              </w:rPr>
            </w:pPr>
            <w:r>
              <w:rPr>
                <w:rFonts w:hint="eastAsia" w:cs="Times New Roman"/>
                <w:b/>
                <w:bCs/>
                <w:sz w:val="18"/>
                <w:szCs w:val="18"/>
              </w:rPr>
              <w:t>终点</w:t>
            </w:r>
          </w:p>
        </w:tc>
        <w:tc>
          <w:tcPr>
            <w:tcW w:w="9061" w:type="dxa"/>
            <w:vMerge w:val="continue"/>
          </w:tcPr>
          <w:p w14:paraId="3AD52B16">
            <w:pPr>
              <w:spacing w:line="240" w:lineRule="exact"/>
              <w:ind w:firstLine="0" w:firstLineChars="0"/>
              <w:jc w:val="left"/>
              <w:rPr>
                <w:rFonts w:cs="Times New Roman"/>
                <w:sz w:val="18"/>
                <w:szCs w:val="18"/>
              </w:rPr>
            </w:pPr>
          </w:p>
        </w:tc>
      </w:tr>
      <w:tr w14:paraId="5BF77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147EE3FE">
            <w:pPr>
              <w:spacing w:line="280" w:lineRule="exact"/>
              <w:ind w:firstLine="0" w:firstLineChars="0"/>
              <w:jc w:val="center"/>
              <w:rPr>
                <w:rFonts w:cs="Times New Roman"/>
                <w:sz w:val="18"/>
                <w:szCs w:val="18"/>
              </w:rPr>
            </w:pPr>
            <w:r>
              <w:rPr>
                <w:rFonts w:hint="eastAsia" w:cs="Times New Roman"/>
                <w:sz w:val="18"/>
                <w:szCs w:val="18"/>
              </w:rPr>
              <w:t>狮滘河</w:t>
            </w:r>
          </w:p>
        </w:tc>
        <w:tc>
          <w:tcPr>
            <w:tcW w:w="1861" w:type="dxa"/>
            <w:vAlign w:val="center"/>
          </w:tcPr>
          <w:p w14:paraId="1C86B4F3">
            <w:pPr>
              <w:spacing w:line="280" w:lineRule="exact"/>
              <w:ind w:firstLine="0" w:firstLineChars="0"/>
              <w:jc w:val="center"/>
              <w:rPr>
                <w:rFonts w:cs="Times New Roman"/>
                <w:sz w:val="18"/>
                <w:szCs w:val="18"/>
              </w:rPr>
            </w:pPr>
            <w:r>
              <w:rPr>
                <w:rFonts w:hint="eastAsia" w:cs="Times New Roman"/>
                <w:sz w:val="18"/>
                <w:szCs w:val="18"/>
              </w:rPr>
              <w:t>岐江河（滨江一号处）</w:t>
            </w:r>
          </w:p>
        </w:tc>
        <w:tc>
          <w:tcPr>
            <w:tcW w:w="2161" w:type="dxa"/>
            <w:vAlign w:val="center"/>
          </w:tcPr>
          <w:p w14:paraId="0E96425C">
            <w:pPr>
              <w:spacing w:line="280" w:lineRule="exact"/>
              <w:ind w:firstLine="0" w:firstLineChars="0"/>
              <w:jc w:val="center"/>
              <w:rPr>
                <w:rFonts w:cs="Times New Roman"/>
                <w:sz w:val="18"/>
                <w:szCs w:val="18"/>
              </w:rPr>
            </w:pPr>
            <w:r>
              <w:rPr>
                <w:rFonts w:hint="eastAsia" w:cs="Times New Roman"/>
                <w:sz w:val="18"/>
                <w:szCs w:val="18"/>
              </w:rPr>
              <w:t>狮滘桥（105国道）</w:t>
            </w:r>
          </w:p>
        </w:tc>
        <w:tc>
          <w:tcPr>
            <w:tcW w:w="9061" w:type="dxa"/>
          </w:tcPr>
          <w:p w14:paraId="13722A6A">
            <w:pPr>
              <w:spacing w:line="280" w:lineRule="exact"/>
              <w:ind w:firstLine="0" w:firstLineChars="0"/>
              <w:jc w:val="left"/>
              <w:rPr>
                <w:rFonts w:cs="Times New Roman"/>
                <w:sz w:val="18"/>
                <w:szCs w:val="18"/>
              </w:rPr>
            </w:pPr>
            <w:r>
              <w:rPr>
                <w:rFonts w:hint="eastAsia" w:cs="Times New Roman"/>
                <w:sz w:val="18"/>
                <w:szCs w:val="18"/>
              </w:rPr>
              <w:t>河道长：2.1Km，工程级别：IV，堤防：斜坡式堤2.1</w:t>
            </w:r>
            <w:r>
              <w:rPr>
                <w:rFonts w:cs="Times New Roman"/>
                <w:sz w:val="18"/>
                <w:szCs w:val="18"/>
              </w:rPr>
              <w:t>⁎</w:t>
            </w:r>
            <w:r>
              <w:rPr>
                <w:rFonts w:hint="eastAsia" w:cs="Times New Roman"/>
                <w:sz w:val="18"/>
                <w:szCs w:val="18"/>
              </w:rPr>
              <w:t>2Km，护岸：坡式护2.1</w:t>
            </w:r>
            <w:r>
              <w:rPr>
                <w:rFonts w:cs="Times New Roman"/>
                <w:sz w:val="18"/>
                <w:szCs w:val="18"/>
              </w:rPr>
              <w:t>⁎</w:t>
            </w:r>
            <w:r>
              <w:rPr>
                <w:rFonts w:hint="eastAsia" w:cs="Times New Roman"/>
                <w:sz w:val="18"/>
                <w:szCs w:val="18"/>
              </w:rPr>
              <w:t>2Km，设计防洪标准：20年一遇，保护人口：2350人，堤顶宽度：3</w:t>
            </w:r>
            <w:r>
              <w:rPr>
                <w:rFonts w:cs="Times New Roman"/>
                <w:sz w:val="18"/>
                <w:szCs w:val="18"/>
              </w:rPr>
              <w:t>~</w:t>
            </w:r>
            <w:r>
              <w:rPr>
                <w:rFonts w:hint="eastAsia" w:cs="Times New Roman"/>
                <w:sz w:val="18"/>
                <w:szCs w:val="18"/>
              </w:rPr>
              <w:t>5m，交叉建筑物数量：3宗，穿堤建筑物数量：0宗</w:t>
            </w:r>
          </w:p>
        </w:tc>
      </w:tr>
      <w:tr w14:paraId="5C5A4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Merge w:val="restart"/>
            <w:vAlign w:val="center"/>
          </w:tcPr>
          <w:p w14:paraId="6C0086D1">
            <w:pPr>
              <w:spacing w:line="280" w:lineRule="exact"/>
              <w:ind w:firstLine="0" w:firstLineChars="0"/>
              <w:jc w:val="center"/>
              <w:rPr>
                <w:rFonts w:cs="Times New Roman"/>
                <w:sz w:val="18"/>
                <w:szCs w:val="18"/>
              </w:rPr>
            </w:pPr>
            <w:r>
              <w:rPr>
                <w:rFonts w:hint="eastAsia" w:cs="Times New Roman"/>
                <w:sz w:val="18"/>
                <w:szCs w:val="18"/>
              </w:rPr>
              <w:t>沙朗涌</w:t>
            </w:r>
          </w:p>
        </w:tc>
        <w:tc>
          <w:tcPr>
            <w:tcW w:w="1861" w:type="dxa"/>
            <w:vAlign w:val="center"/>
          </w:tcPr>
          <w:p w14:paraId="01BC5208">
            <w:pPr>
              <w:spacing w:line="280" w:lineRule="exact"/>
              <w:ind w:firstLine="0" w:firstLineChars="0"/>
              <w:jc w:val="center"/>
              <w:rPr>
                <w:rFonts w:cs="Times New Roman"/>
                <w:sz w:val="18"/>
                <w:szCs w:val="18"/>
              </w:rPr>
            </w:pPr>
            <w:r>
              <w:rPr>
                <w:rFonts w:hint="eastAsia" w:cs="Times New Roman"/>
                <w:sz w:val="18"/>
                <w:szCs w:val="18"/>
              </w:rPr>
              <w:t>南六涌</w:t>
            </w:r>
          </w:p>
        </w:tc>
        <w:tc>
          <w:tcPr>
            <w:tcW w:w="2161" w:type="dxa"/>
            <w:vAlign w:val="center"/>
          </w:tcPr>
          <w:p w14:paraId="094368CD">
            <w:pPr>
              <w:spacing w:line="280" w:lineRule="exact"/>
              <w:ind w:firstLine="0" w:firstLineChars="0"/>
              <w:jc w:val="center"/>
              <w:rPr>
                <w:rFonts w:cs="Times New Roman"/>
                <w:sz w:val="18"/>
                <w:szCs w:val="18"/>
              </w:rPr>
            </w:pPr>
            <w:r>
              <w:rPr>
                <w:rFonts w:hint="eastAsia" w:cs="Times New Roman"/>
                <w:sz w:val="18"/>
                <w:szCs w:val="18"/>
              </w:rPr>
              <w:t>大兴泵站</w:t>
            </w:r>
          </w:p>
        </w:tc>
        <w:tc>
          <w:tcPr>
            <w:tcW w:w="9061" w:type="dxa"/>
            <w:vMerge w:val="restart"/>
          </w:tcPr>
          <w:p w14:paraId="43B5987B">
            <w:pPr>
              <w:spacing w:line="280" w:lineRule="exact"/>
              <w:ind w:firstLine="0" w:firstLineChars="0"/>
              <w:jc w:val="left"/>
              <w:rPr>
                <w:rFonts w:cs="Times New Roman"/>
                <w:color w:val="FF0000"/>
                <w:sz w:val="18"/>
                <w:szCs w:val="18"/>
              </w:rPr>
            </w:pPr>
            <w:r>
              <w:rPr>
                <w:rFonts w:hint="eastAsia" w:cs="Times New Roman"/>
                <w:sz w:val="18"/>
                <w:szCs w:val="18"/>
              </w:rPr>
              <w:t>河道长：3.88Km，工程级别：IV，堤防：斜坡式堤沙朗段左岸2.33/右岸2.12，隆平段左岸1.47/右岸1.11Km，护岸：坡式护沙朗段左岸2.33/右岸2.12，隆平段左岸1.47/右岸1.11Km，设计防洪标准：20年一遇，保护人口：5630人，堤顶宽度：3</w:t>
            </w:r>
            <w:r>
              <w:rPr>
                <w:rFonts w:cs="Times New Roman"/>
                <w:sz w:val="18"/>
                <w:szCs w:val="18"/>
              </w:rPr>
              <w:t>~</w:t>
            </w:r>
            <w:r>
              <w:rPr>
                <w:rFonts w:hint="eastAsia" w:cs="Times New Roman"/>
                <w:sz w:val="18"/>
                <w:szCs w:val="18"/>
              </w:rPr>
              <w:t>5m，交叉建筑物数量：4宗，穿堤建筑物数量：0宗</w:t>
            </w:r>
          </w:p>
        </w:tc>
      </w:tr>
      <w:tr w14:paraId="662CE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Merge w:val="continue"/>
            <w:vAlign w:val="center"/>
          </w:tcPr>
          <w:p w14:paraId="628DB8F6">
            <w:pPr>
              <w:spacing w:line="280" w:lineRule="exact"/>
              <w:ind w:firstLine="0" w:firstLineChars="0"/>
              <w:jc w:val="center"/>
              <w:rPr>
                <w:rFonts w:cs="Times New Roman"/>
                <w:sz w:val="18"/>
                <w:szCs w:val="18"/>
              </w:rPr>
            </w:pPr>
          </w:p>
        </w:tc>
        <w:tc>
          <w:tcPr>
            <w:tcW w:w="1861" w:type="dxa"/>
            <w:vAlign w:val="center"/>
          </w:tcPr>
          <w:p w14:paraId="1A19B414">
            <w:pPr>
              <w:spacing w:line="280" w:lineRule="exact"/>
              <w:ind w:firstLine="0" w:firstLineChars="0"/>
              <w:jc w:val="center"/>
              <w:rPr>
                <w:rFonts w:cs="Times New Roman"/>
                <w:sz w:val="18"/>
                <w:szCs w:val="18"/>
              </w:rPr>
            </w:pPr>
            <w:r>
              <w:rPr>
                <w:rFonts w:hint="eastAsia" w:cs="Times New Roman"/>
                <w:sz w:val="18"/>
                <w:szCs w:val="18"/>
              </w:rPr>
              <w:t>石特涌泵站</w:t>
            </w:r>
          </w:p>
        </w:tc>
        <w:tc>
          <w:tcPr>
            <w:tcW w:w="2161" w:type="dxa"/>
            <w:vAlign w:val="center"/>
          </w:tcPr>
          <w:p w14:paraId="185911F2">
            <w:pPr>
              <w:spacing w:line="280" w:lineRule="exact"/>
              <w:ind w:firstLine="0" w:firstLineChars="0"/>
              <w:jc w:val="center"/>
              <w:rPr>
                <w:rFonts w:cs="Times New Roman"/>
                <w:sz w:val="18"/>
                <w:szCs w:val="18"/>
              </w:rPr>
            </w:pPr>
            <w:r>
              <w:rPr>
                <w:rFonts w:hint="eastAsia" w:cs="Times New Roman"/>
                <w:sz w:val="18"/>
                <w:szCs w:val="18"/>
              </w:rPr>
              <w:t>四队人家尾</w:t>
            </w:r>
          </w:p>
        </w:tc>
        <w:tc>
          <w:tcPr>
            <w:tcW w:w="9061" w:type="dxa"/>
            <w:vMerge w:val="continue"/>
          </w:tcPr>
          <w:p w14:paraId="6461B1D4">
            <w:pPr>
              <w:spacing w:line="280" w:lineRule="exact"/>
              <w:ind w:firstLine="0" w:firstLineChars="0"/>
              <w:jc w:val="left"/>
              <w:rPr>
                <w:rFonts w:cs="Times New Roman"/>
                <w:color w:val="FF0000"/>
                <w:sz w:val="18"/>
                <w:szCs w:val="18"/>
              </w:rPr>
            </w:pPr>
          </w:p>
        </w:tc>
      </w:tr>
      <w:tr w14:paraId="524A2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5EE133B8">
            <w:pPr>
              <w:spacing w:line="280" w:lineRule="exact"/>
              <w:ind w:firstLine="0" w:firstLineChars="0"/>
              <w:jc w:val="center"/>
              <w:rPr>
                <w:rFonts w:cs="Times New Roman"/>
                <w:sz w:val="18"/>
                <w:szCs w:val="18"/>
              </w:rPr>
            </w:pPr>
            <w:r>
              <w:rPr>
                <w:rFonts w:hint="eastAsia" w:cs="Times New Roman"/>
                <w:sz w:val="18"/>
                <w:szCs w:val="18"/>
              </w:rPr>
              <w:t>朗滘涌</w:t>
            </w:r>
          </w:p>
        </w:tc>
        <w:tc>
          <w:tcPr>
            <w:tcW w:w="1861" w:type="dxa"/>
            <w:vAlign w:val="center"/>
          </w:tcPr>
          <w:p w14:paraId="4663923A">
            <w:pPr>
              <w:spacing w:line="280" w:lineRule="exact"/>
              <w:ind w:firstLine="0" w:firstLineChars="0"/>
              <w:jc w:val="center"/>
              <w:rPr>
                <w:rFonts w:cs="Times New Roman"/>
                <w:sz w:val="18"/>
                <w:szCs w:val="18"/>
              </w:rPr>
            </w:pPr>
            <w:r>
              <w:rPr>
                <w:rFonts w:hint="eastAsia" w:cs="Times New Roman"/>
                <w:sz w:val="18"/>
                <w:szCs w:val="18"/>
              </w:rPr>
              <w:t>十六顷涌</w:t>
            </w:r>
          </w:p>
        </w:tc>
        <w:tc>
          <w:tcPr>
            <w:tcW w:w="2161" w:type="dxa"/>
            <w:vAlign w:val="center"/>
          </w:tcPr>
          <w:p w14:paraId="006FA011">
            <w:pPr>
              <w:spacing w:line="280" w:lineRule="exact"/>
              <w:ind w:firstLine="0" w:firstLineChars="0"/>
              <w:jc w:val="center"/>
              <w:rPr>
                <w:rFonts w:cs="Times New Roman"/>
                <w:sz w:val="18"/>
                <w:szCs w:val="18"/>
              </w:rPr>
            </w:pPr>
            <w:r>
              <w:rPr>
                <w:rFonts w:hint="eastAsia" w:cs="Times New Roman"/>
                <w:sz w:val="18"/>
                <w:szCs w:val="18"/>
              </w:rPr>
              <w:t>沙溪云汉及东升交界处</w:t>
            </w:r>
          </w:p>
        </w:tc>
        <w:tc>
          <w:tcPr>
            <w:tcW w:w="9061" w:type="dxa"/>
          </w:tcPr>
          <w:p w14:paraId="21D57118">
            <w:pPr>
              <w:spacing w:line="280" w:lineRule="exact"/>
              <w:ind w:firstLine="0" w:firstLineChars="0"/>
              <w:jc w:val="left"/>
              <w:rPr>
                <w:rFonts w:cs="Times New Roman"/>
                <w:sz w:val="18"/>
                <w:szCs w:val="18"/>
              </w:rPr>
            </w:pPr>
            <w:r>
              <w:rPr>
                <w:rFonts w:hint="eastAsia" w:cs="Times New Roman"/>
                <w:sz w:val="18"/>
                <w:szCs w:val="18"/>
              </w:rPr>
              <w:t>河道长：1.3Km，工程级别：IV，堤防：斜坡式堤1.3Km，护岸：坡式护1.3Km，设计防洪标准：20年一遇，保护人口：3485人，堤顶宽度：3</w:t>
            </w:r>
            <w:r>
              <w:rPr>
                <w:rFonts w:cs="Times New Roman"/>
                <w:sz w:val="18"/>
                <w:szCs w:val="18"/>
              </w:rPr>
              <w:t>~</w:t>
            </w:r>
            <w:r>
              <w:rPr>
                <w:rFonts w:hint="eastAsia" w:cs="Times New Roman"/>
                <w:sz w:val="18"/>
                <w:szCs w:val="18"/>
              </w:rPr>
              <w:t>5m，交叉建筑物数量：2宗，穿堤建筑物数量：0宗</w:t>
            </w:r>
          </w:p>
        </w:tc>
      </w:tr>
      <w:tr w14:paraId="0025C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48617DE0">
            <w:pPr>
              <w:spacing w:line="280" w:lineRule="exact"/>
              <w:ind w:firstLine="0" w:firstLineChars="0"/>
              <w:jc w:val="center"/>
              <w:rPr>
                <w:rFonts w:cs="Times New Roman"/>
                <w:sz w:val="18"/>
                <w:szCs w:val="18"/>
              </w:rPr>
            </w:pPr>
            <w:r>
              <w:rPr>
                <w:rFonts w:hint="eastAsia" w:cs="Times New Roman"/>
                <w:sz w:val="18"/>
                <w:szCs w:val="18"/>
              </w:rPr>
              <w:t>十六顷涌</w:t>
            </w:r>
          </w:p>
        </w:tc>
        <w:tc>
          <w:tcPr>
            <w:tcW w:w="1861" w:type="dxa"/>
            <w:vAlign w:val="center"/>
          </w:tcPr>
          <w:p w14:paraId="2D73B9E8">
            <w:pPr>
              <w:spacing w:line="280" w:lineRule="exact"/>
              <w:ind w:firstLine="0" w:firstLineChars="0"/>
              <w:jc w:val="center"/>
              <w:rPr>
                <w:rFonts w:cs="Times New Roman"/>
                <w:sz w:val="18"/>
                <w:szCs w:val="18"/>
              </w:rPr>
            </w:pPr>
            <w:r>
              <w:rPr>
                <w:rFonts w:hint="eastAsia" w:cs="Times New Roman"/>
                <w:sz w:val="18"/>
                <w:szCs w:val="18"/>
              </w:rPr>
              <w:t>分流涌和东部排水渠交汇处</w:t>
            </w:r>
          </w:p>
        </w:tc>
        <w:tc>
          <w:tcPr>
            <w:tcW w:w="2161" w:type="dxa"/>
            <w:vAlign w:val="center"/>
          </w:tcPr>
          <w:p w14:paraId="623DC637">
            <w:pPr>
              <w:spacing w:line="280" w:lineRule="exact"/>
              <w:ind w:firstLine="0" w:firstLineChars="0"/>
              <w:jc w:val="center"/>
              <w:rPr>
                <w:rFonts w:cs="Times New Roman"/>
                <w:sz w:val="18"/>
                <w:szCs w:val="18"/>
              </w:rPr>
            </w:pPr>
            <w:r>
              <w:rPr>
                <w:rFonts w:hint="eastAsia" w:cs="Times New Roman"/>
                <w:sz w:val="18"/>
                <w:szCs w:val="18"/>
              </w:rPr>
              <w:t>十六顷排灌渠</w:t>
            </w:r>
          </w:p>
        </w:tc>
        <w:tc>
          <w:tcPr>
            <w:tcW w:w="9061" w:type="dxa"/>
          </w:tcPr>
          <w:p w14:paraId="385A6761">
            <w:pPr>
              <w:spacing w:line="280" w:lineRule="exact"/>
              <w:ind w:firstLine="0" w:firstLineChars="0"/>
              <w:jc w:val="left"/>
              <w:rPr>
                <w:rFonts w:cs="Times New Roman"/>
                <w:color w:val="FF0000"/>
                <w:sz w:val="18"/>
                <w:szCs w:val="18"/>
              </w:rPr>
            </w:pPr>
            <w:r>
              <w:rPr>
                <w:rFonts w:hint="eastAsia" w:cs="Times New Roman"/>
                <w:sz w:val="18"/>
                <w:szCs w:val="18"/>
              </w:rPr>
              <w:t>河道长：4.6Km，工程级别：IV，堤防：斜坡式堤4.6</w:t>
            </w:r>
            <w:r>
              <w:rPr>
                <w:rFonts w:cs="Times New Roman"/>
                <w:sz w:val="18"/>
                <w:szCs w:val="18"/>
              </w:rPr>
              <w:t>⁎</w:t>
            </w:r>
            <w:r>
              <w:rPr>
                <w:rFonts w:hint="eastAsia" w:cs="Times New Roman"/>
                <w:sz w:val="18"/>
                <w:szCs w:val="18"/>
              </w:rPr>
              <w:t>2.4Km，护岸：坡式护4.6</w:t>
            </w:r>
            <w:r>
              <w:rPr>
                <w:rFonts w:cs="Times New Roman"/>
                <w:sz w:val="18"/>
                <w:szCs w:val="18"/>
              </w:rPr>
              <w:t>⁎</w:t>
            </w:r>
            <w:r>
              <w:rPr>
                <w:rFonts w:hint="eastAsia" w:cs="Times New Roman"/>
                <w:sz w:val="18"/>
                <w:szCs w:val="18"/>
              </w:rPr>
              <w:t>2.4Km，设计防洪标准：20年一遇，保护人口：10723人，堤顶宽度：3</w:t>
            </w:r>
            <w:r>
              <w:rPr>
                <w:rFonts w:cs="Times New Roman"/>
                <w:sz w:val="18"/>
                <w:szCs w:val="18"/>
              </w:rPr>
              <w:t>~</w:t>
            </w:r>
            <w:r>
              <w:rPr>
                <w:rFonts w:hint="eastAsia" w:cs="Times New Roman"/>
                <w:sz w:val="18"/>
                <w:szCs w:val="18"/>
              </w:rPr>
              <w:t>5m，交叉建筑物数量：4宗，穿堤建筑物数量：0宗</w:t>
            </w:r>
          </w:p>
        </w:tc>
      </w:tr>
      <w:tr w14:paraId="33660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3903BE4C">
            <w:pPr>
              <w:spacing w:line="280" w:lineRule="exact"/>
              <w:ind w:firstLine="0" w:firstLineChars="0"/>
              <w:jc w:val="center"/>
              <w:rPr>
                <w:rFonts w:cs="Times New Roman"/>
                <w:sz w:val="18"/>
                <w:szCs w:val="18"/>
              </w:rPr>
            </w:pPr>
            <w:r>
              <w:rPr>
                <w:rFonts w:hint="eastAsia" w:cs="Times New Roman"/>
                <w:sz w:val="18"/>
                <w:szCs w:val="18"/>
              </w:rPr>
              <w:t>石特涌</w:t>
            </w:r>
          </w:p>
        </w:tc>
        <w:tc>
          <w:tcPr>
            <w:tcW w:w="1861" w:type="dxa"/>
            <w:vAlign w:val="center"/>
          </w:tcPr>
          <w:p w14:paraId="1D46E284">
            <w:pPr>
              <w:spacing w:line="280" w:lineRule="exact"/>
              <w:ind w:firstLine="0" w:firstLineChars="0"/>
              <w:jc w:val="center"/>
              <w:rPr>
                <w:rFonts w:cs="Times New Roman"/>
                <w:sz w:val="18"/>
                <w:szCs w:val="18"/>
              </w:rPr>
            </w:pPr>
            <w:r>
              <w:rPr>
                <w:rFonts w:hint="eastAsia" w:cs="Times New Roman"/>
                <w:sz w:val="18"/>
                <w:szCs w:val="18"/>
              </w:rPr>
              <w:t>深宝电器厂</w:t>
            </w:r>
          </w:p>
        </w:tc>
        <w:tc>
          <w:tcPr>
            <w:tcW w:w="2161" w:type="dxa"/>
            <w:vAlign w:val="center"/>
          </w:tcPr>
          <w:p w14:paraId="33EB86D0">
            <w:pPr>
              <w:spacing w:line="280" w:lineRule="exact"/>
              <w:ind w:firstLine="0" w:firstLineChars="0"/>
              <w:jc w:val="center"/>
              <w:rPr>
                <w:rFonts w:cs="Times New Roman"/>
                <w:sz w:val="18"/>
                <w:szCs w:val="18"/>
              </w:rPr>
            </w:pPr>
            <w:r>
              <w:rPr>
                <w:rFonts w:hint="eastAsia" w:cs="Times New Roman"/>
                <w:sz w:val="18"/>
                <w:szCs w:val="18"/>
              </w:rPr>
              <w:t>沙朗涌</w:t>
            </w:r>
          </w:p>
        </w:tc>
        <w:tc>
          <w:tcPr>
            <w:tcW w:w="9061" w:type="dxa"/>
          </w:tcPr>
          <w:p w14:paraId="367F130C">
            <w:pPr>
              <w:spacing w:line="280" w:lineRule="exact"/>
              <w:ind w:firstLine="0" w:firstLineChars="0"/>
              <w:jc w:val="left"/>
              <w:rPr>
                <w:rFonts w:cs="Times New Roman"/>
                <w:color w:val="FF0000"/>
                <w:sz w:val="18"/>
                <w:szCs w:val="18"/>
              </w:rPr>
            </w:pPr>
            <w:r>
              <w:rPr>
                <w:rFonts w:hint="eastAsia" w:cs="Times New Roman"/>
                <w:sz w:val="18"/>
                <w:szCs w:val="18"/>
              </w:rPr>
              <w:t>河道长：5.1Km，工程级别：IV，堤防：斜坡式堤3.03</w:t>
            </w:r>
            <w:r>
              <w:rPr>
                <w:rFonts w:cs="Times New Roman"/>
                <w:sz w:val="18"/>
                <w:szCs w:val="18"/>
              </w:rPr>
              <w:t>⁎</w:t>
            </w:r>
            <w:r>
              <w:rPr>
                <w:rFonts w:hint="eastAsia" w:cs="Times New Roman"/>
                <w:sz w:val="18"/>
                <w:szCs w:val="18"/>
              </w:rPr>
              <w:t>5.1Km，护岸：坡式护3.03</w:t>
            </w:r>
            <w:r>
              <w:rPr>
                <w:rFonts w:cs="Times New Roman"/>
                <w:sz w:val="18"/>
                <w:szCs w:val="18"/>
              </w:rPr>
              <w:t>⁎</w:t>
            </w:r>
            <w:r>
              <w:rPr>
                <w:rFonts w:hint="eastAsia" w:cs="Times New Roman"/>
                <w:sz w:val="18"/>
                <w:szCs w:val="18"/>
              </w:rPr>
              <w:t>5.1Km，设计防洪标准：20年一遇，保护人口：13672人，堤顶宽度：3</w:t>
            </w:r>
            <w:r>
              <w:rPr>
                <w:rFonts w:cs="Times New Roman"/>
                <w:sz w:val="18"/>
                <w:szCs w:val="18"/>
              </w:rPr>
              <w:t>~</w:t>
            </w:r>
            <w:r>
              <w:rPr>
                <w:rFonts w:hint="eastAsia" w:cs="Times New Roman"/>
                <w:sz w:val="18"/>
                <w:szCs w:val="18"/>
              </w:rPr>
              <w:t>5m，交叉建筑物数量：5宗，穿堤建筑物数量：0宗</w:t>
            </w:r>
          </w:p>
        </w:tc>
      </w:tr>
      <w:tr w14:paraId="2659E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006A73D7">
            <w:pPr>
              <w:spacing w:line="280" w:lineRule="exact"/>
              <w:ind w:firstLine="0" w:firstLineChars="0"/>
              <w:jc w:val="center"/>
              <w:rPr>
                <w:rFonts w:cs="Times New Roman"/>
                <w:sz w:val="18"/>
                <w:szCs w:val="18"/>
              </w:rPr>
            </w:pPr>
            <w:r>
              <w:rPr>
                <w:rFonts w:hint="eastAsia" w:cs="Times New Roman"/>
                <w:sz w:val="18"/>
                <w:szCs w:val="18"/>
              </w:rPr>
              <w:t>沙朗新开涌</w:t>
            </w:r>
          </w:p>
        </w:tc>
        <w:tc>
          <w:tcPr>
            <w:tcW w:w="1861" w:type="dxa"/>
            <w:vAlign w:val="center"/>
          </w:tcPr>
          <w:p w14:paraId="18981ECB">
            <w:pPr>
              <w:spacing w:line="280" w:lineRule="exact"/>
              <w:ind w:firstLine="0" w:firstLineChars="0"/>
              <w:jc w:val="center"/>
              <w:rPr>
                <w:rFonts w:cs="Times New Roman"/>
                <w:sz w:val="18"/>
                <w:szCs w:val="18"/>
              </w:rPr>
            </w:pPr>
            <w:r>
              <w:rPr>
                <w:rFonts w:hint="eastAsia" w:cs="Times New Roman"/>
                <w:sz w:val="18"/>
                <w:szCs w:val="18"/>
              </w:rPr>
              <w:t>沙朗涌</w:t>
            </w:r>
          </w:p>
        </w:tc>
        <w:tc>
          <w:tcPr>
            <w:tcW w:w="2161" w:type="dxa"/>
            <w:vAlign w:val="center"/>
          </w:tcPr>
          <w:p w14:paraId="4AB2CEE2">
            <w:pPr>
              <w:spacing w:line="280" w:lineRule="exact"/>
              <w:ind w:firstLine="0" w:firstLineChars="0"/>
              <w:jc w:val="center"/>
              <w:rPr>
                <w:rFonts w:cs="Times New Roman"/>
                <w:sz w:val="18"/>
                <w:szCs w:val="18"/>
              </w:rPr>
            </w:pPr>
            <w:r>
              <w:rPr>
                <w:rFonts w:hint="eastAsia" w:cs="Times New Roman"/>
                <w:sz w:val="18"/>
                <w:szCs w:val="18"/>
              </w:rPr>
              <w:t>石特涌沙朗新开涌水闸处</w:t>
            </w:r>
          </w:p>
        </w:tc>
        <w:tc>
          <w:tcPr>
            <w:tcW w:w="9061" w:type="dxa"/>
          </w:tcPr>
          <w:p w14:paraId="4D0F5AB5">
            <w:pPr>
              <w:spacing w:line="280" w:lineRule="exact"/>
              <w:ind w:firstLine="0" w:firstLineChars="0"/>
              <w:jc w:val="left"/>
              <w:rPr>
                <w:rFonts w:cs="Times New Roman"/>
                <w:color w:val="FF0000"/>
                <w:sz w:val="18"/>
                <w:szCs w:val="18"/>
              </w:rPr>
            </w:pPr>
            <w:r>
              <w:rPr>
                <w:rFonts w:hint="eastAsia" w:cs="Times New Roman"/>
                <w:sz w:val="18"/>
                <w:szCs w:val="18"/>
              </w:rPr>
              <w:t>河道长：1Km，工程级别：IV，堤防：斜坡式堤1Km，护岸：坡式护1Km，设计防洪标准：20年一遇，保护人口：2680人，堤顶宽度：3</w:t>
            </w:r>
            <w:r>
              <w:rPr>
                <w:rFonts w:cs="Times New Roman"/>
                <w:sz w:val="18"/>
                <w:szCs w:val="18"/>
              </w:rPr>
              <w:t>~</w:t>
            </w:r>
            <w:r>
              <w:rPr>
                <w:rFonts w:hint="eastAsia" w:cs="Times New Roman"/>
                <w:sz w:val="18"/>
                <w:szCs w:val="18"/>
              </w:rPr>
              <w:t>5m，交叉建筑物数量：1宗，穿堤建筑物数量：0宗</w:t>
            </w:r>
          </w:p>
        </w:tc>
      </w:tr>
      <w:tr w14:paraId="23F4D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75545A3B">
            <w:pPr>
              <w:spacing w:line="280" w:lineRule="exact"/>
              <w:ind w:firstLine="0" w:firstLineChars="0"/>
              <w:jc w:val="center"/>
              <w:rPr>
                <w:rFonts w:cs="Times New Roman"/>
                <w:sz w:val="18"/>
                <w:szCs w:val="18"/>
              </w:rPr>
            </w:pPr>
            <w:r>
              <w:rPr>
                <w:rFonts w:hint="eastAsia" w:cs="Times New Roman"/>
                <w:sz w:val="18"/>
                <w:szCs w:val="18"/>
              </w:rPr>
              <w:t>西河涌</w:t>
            </w:r>
          </w:p>
        </w:tc>
        <w:tc>
          <w:tcPr>
            <w:tcW w:w="1861" w:type="dxa"/>
            <w:vAlign w:val="center"/>
          </w:tcPr>
          <w:p w14:paraId="7351FFF0">
            <w:pPr>
              <w:spacing w:line="280" w:lineRule="exact"/>
              <w:ind w:firstLine="0" w:firstLineChars="0"/>
              <w:jc w:val="center"/>
              <w:rPr>
                <w:rFonts w:cs="Times New Roman"/>
                <w:sz w:val="18"/>
                <w:szCs w:val="18"/>
              </w:rPr>
            </w:pPr>
            <w:r>
              <w:rPr>
                <w:rFonts w:hint="eastAsia" w:cs="Times New Roman"/>
                <w:sz w:val="18"/>
                <w:szCs w:val="18"/>
              </w:rPr>
              <w:t>柏景苑</w:t>
            </w:r>
          </w:p>
        </w:tc>
        <w:tc>
          <w:tcPr>
            <w:tcW w:w="2161" w:type="dxa"/>
            <w:vAlign w:val="center"/>
          </w:tcPr>
          <w:p w14:paraId="78DE9AB3">
            <w:pPr>
              <w:spacing w:line="280" w:lineRule="exact"/>
              <w:ind w:firstLine="0" w:firstLineChars="0"/>
              <w:jc w:val="center"/>
              <w:rPr>
                <w:rFonts w:cs="Times New Roman"/>
                <w:sz w:val="18"/>
                <w:szCs w:val="18"/>
              </w:rPr>
            </w:pPr>
            <w:r>
              <w:rPr>
                <w:rFonts w:hint="eastAsia" w:cs="Times New Roman"/>
                <w:sz w:val="18"/>
                <w:szCs w:val="18"/>
              </w:rPr>
              <w:t>博爱一路</w:t>
            </w:r>
          </w:p>
        </w:tc>
        <w:tc>
          <w:tcPr>
            <w:tcW w:w="9061" w:type="dxa"/>
          </w:tcPr>
          <w:p w14:paraId="65910A92">
            <w:pPr>
              <w:spacing w:line="280" w:lineRule="exact"/>
              <w:ind w:firstLine="0" w:firstLineChars="0"/>
              <w:jc w:val="left"/>
              <w:rPr>
                <w:rFonts w:cs="Times New Roman"/>
                <w:color w:val="FF0000"/>
                <w:sz w:val="18"/>
                <w:szCs w:val="18"/>
              </w:rPr>
            </w:pPr>
            <w:r>
              <w:rPr>
                <w:rFonts w:hint="eastAsia" w:cs="Times New Roman"/>
                <w:sz w:val="18"/>
                <w:szCs w:val="18"/>
              </w:rPr>
              <w:t>河道长：1Km，工程级别：IV，堤防：斜坡式堤1</w:t>
            </w:r>
            <w:r>
              <w:rPr>
                <w:rFonts w:cs="Times New Roman"/>
                <w:sz w:val="18"/>
                <w:szCs w:val="18"/>
              </w:rPr>
              <w:t>⁎</w:t>
            </w:r>
            <w:r>
              <w:rPr>
                <w:rFonts w:hint="eastAsia" w:cs="Times New Roman"/>
                <w:sz w:val="18"/>
                <w:szCs w:val="18"/>
              </w:rPr>
              <w:t>2Km，护岸：坡式护1</w:t>
            </w:r>
            <w:r>
              <w:rPr>
                <w:rFonts w:cs="Times New Roman"/>
                <w:sz w:val="18"/>
                <w:szCs w:val="18"/>
              </w:rPr>
              <w:t>⁎</w:t>
            </w:r>
            <w:r>
              <w:rPr>
                <w:rFonts w:hint="eastAsia" w:cs="Times New Roman"/>
                <w:sz w:val="18"/>
                <w:szCs w:val="18"/>
              </w:rPr>
              <w:t>2Km，设计防洪标准：20年一遇，保护人口：8042人，堤顶宽度：3</w:t>
            </w:r>
            <w:r>
              <w:rPr>
                <w:rFonts w:cs="Times New Roman"/>
                <w:sz w:val="18"/>
                <w:szCs w:val="18"/>
              </w:rPr>
              <w:t>~</w:t>
            </w:r>
            <w:r>
              <w:rPr>
                <w:rFonts w:hint="eastAsia" w:cs="Times New Roman"/>
                <w:sz w:val="18"/>
                <w:szCs w:val="18"/>
              </w:rPr>
              <w:t>5m，交叉建筑物数量：2宗，穿堤建筑物数量：0宗</w:t>
            </w:r>
          </w:p>
        </w:tc>
      </w:tr>
      <w:tr w14:paraId="013C0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vAlign w:val="center"/>
          </w:tcPr>
          <w:p w14:paraId="6CC8FF21">
            <w:pPr>
              <w:spacing w:line="280" w:lineRule="exact"/>
              <w:ind w:firstLine="0" w:firstLineChars="0"/>
              <w:jc w:val="center"/>
              <w:rPr>
                <w:rFonts w:cs="Times New Roman"/>
                <w:sz w:val="18"/>
                <w:szCs w:val="18"/>
              </w:rPr>
            </w:pPr>
            <w:r>
              <w:rPr>
                <w:rFonts w:hint="eastAsia" w:cs="Times New Roman"/>
                <w:sz w:val="18"/>
                <w:szCs w:val="18"/>
              </w:rPr>
              <w:t>悦生涌</w:t>
            </w:r>
          </w:p>
        </w:tc>
        <w:tc>
          <w:tcPr>
            <w:tcW w:w="1861" w:type="dxa"/>
            <w:vAlign w:val="center"/>
          </w:tcPr>
          <w:p w14:paraId="1F3EC1ED">
            <w:pPr>
              <w:spacing w:line="280" w:lineRule="exact"/>
              <w:ind w:firstLine="0" w:firstLineChars="0"/>
              <w:jc w:val="center"/>
              <w:rPr>
                <w:rFonts w:cs="Times New Roman"/>
                <w:sz w:val="18"/>
                <w:szCs w:val="18"/>
              </w:rPr>
            </w:pPr>
            <w:r>
              <w:rPr>
                <w:rFonts w:hint="eastAsia" w:cs="Times New Roman"/>
                <w:sz w:val="18"/>
                <w:szCs w:val="18"/>
              </w:rPr>
              <w:t>东部排水渠（坦背村）</w:t>
            </w:r>
          </w:p>
        </w:tc>
        <w:tc>
          <w:tcPr>
            <w:tcW w:w="2161" w:type="dxa"/>
            <w:vAlign w:val="center"/>
          </w:tcPr>
          <w:p w14:paraId="2C319982">
            <w:pPr>
              <w:spacing w:line="280" w:lineRule="exact"/>
              <w:ind w:firstLine="0" w:firstLineChars="0"/>
              <w:jc w:val="center"/>
              <w:rPr>
                <w:rFonts w:cs="Times New Roman"/>
                <w:sz w:val="18"/>
                <w:szCs w:val="18"/>
              </w:rPr>
            </w:pPr>
            <w:r>
              <w:rPr>
                <w:rFonts w:hint="eastAsia" w:cs="Times New Roman"/>
                <w:sz w:val="18"/>
                <w:szCs w:val="18"/>
              </w:rPr>
              <w:t>十六顷排灌渠</w:t>
            </w:r>
          </w:p>
        </w:tc>
        <w:tc>
          <w:tcPr>
            <w:tcW w:w="9061" w:type="dxa"/>
          </w:tcPr>
          <w:p w14:paraId="19788396">
            <w:pPr>
              <w:spacing w:line="280" w:lineRule="exact"/>
              <w:ind w:firstLine="0" w:firstLineChars="0"/>
              <w:jc w:val="left"/>
              <w:rPr>
                <w:rFonts w:cs="Times New Roman"/>
                <w:color w:val="FF0000"/>
                <w:sz w:val="18"/>
                <w:szCs w:val="18"/>
              </w:rPr>
            </w:pPr>
            <w:r>
              <w:rPr>
                <w:rFonts w:hint="eastAsia" w:cs="Times New Roman"/>
                <w:sz w:val="18"/>
                <w:szCs w:val="18"/>
              </w:rPr>
              <w:t>河道长：4.3Km，工程级别：IV，堤防：斜坡式堤4.3Km，护岸：坡式护4.3Km，设计防洪标准：20年一遇，保护人口：720人，堤顶宽度：3</w:t>
            </w:r>
            <w:r>
              <w:rPr>
                <w:rFonts w:cs="Times New Roman"/>
                <w:sz w:val="18"/>
                <w:szCs w:val="18"/>
              </w:rPr>
              <w:t>~</w:t>
            </w:r>
            <w:r>
              <w:rPr>
                <w:rFonts w:hint="eastAsia" w:cs="Times New Roman"/>
                <w:sz w:val="18"/>
                <w:szCs w:val="18"/>
              </w:rPr>
              <w:t>5m，交叉建筑物数量：4宗，穿堤建筑物数量：1宗</w:t>
            </w:r>
          </w:p>
        </w:tc>
      </w:tr>
      <w:tr w14:paraId="53F9D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vAlign w:val="center"/>
          </w:tcPr>
          <w:p w14:paraId="5AFC09C6">
            <w:pPr>
              <w:spacing w:line="280" w:lineRule="exact"/>
              <w:ind w:firstLine="0" w:firstLineChars="0"/>
              <w:jc w:val="center"/>
              <w:rPr>
                <w:rFonts w:cs="Times New Roman"/>
                <w:sz w:val="18"/>
                <w:szCs w:val="18"/>
              </w:rPr>
            </w:pPr>
            <w:r>
              <w:rPr>
                <w:rFonts w:hint="eastAsia" w:cs="Times New Roman"/>
                <w:sz w:val="18"/>
                <w:szCs w:val="18"/>
              </w:rPr>
              <w:t>南六涌</w:t>
            </w:r>
          </w:p>
        </w:tc>
        <w:tc>
          <w:tcPr>
            <w:tcW w:w="1861" w:type="dxa"/>
            <w:vAlign w:val="center"/>
          </w:tcPr>
          <w:p w14:paraId="78AC2383">
            <w:pPr>
              <w:spacing w:line="280" w:lineRule="exact"/>
              <w:ind w:firstLine="0" w:firstLineChars="0"/>
              <w:jc w:val="center"/>
              <w:rPr>
                <w:rFonts w:cs="Times New Roman"/>
                <w:sz w:val="18"/>
                <w:szCs w:val="18"/>
              </w:rPr>
            </w:pPr>
            <w:r>
              <w:rPr>
                <w:rFonts w:hint="eastAsia" w:cs="Times New Roman"/>
                <w:sz w:val="18"/>
                <w:szCs w:val="18"/>
              </w:rPr>
              <w:t>星辰花园</w:t>
            </w:r>
          </w:p>
        </w:tc>
        <w:tc>
          <w:tcPr>
            <w:tcW w:w="2161" w:type="dxa"/>
            <w:vAlign w:val="center"/>
          </w:tcPr>
          <w:p w14:paraId="0C9899B2">
            <w:pPr>
              <w:spacing w:line="280" w:lineRule="exact"/>
              <w:ind w:firstLine="0" w:firstLineChars="0"/>
              <w:jc w:val="center"/>
              <w:rPr>
                <w:rFonts w:cs="Times New Roman"/>
                <w:sz w:val="18"/>
                <w:szCs w:val="18"/>
              </w:rPr>
            </w:pPr>
            <w:r>
              <w:rPr>
                <w:rFonts w:hint="eastAsia" w:cs="Times New Roman"/>
                <w:sz w:val="18"/>
                <w:szCs w:val="18"/>
              </w:rPr>
              <w:t>沙朗涌</w:t>
            </w:r>
          </w:p>
        </w:tc>
        <w:tc>
          <w:tcPr>
            <w:tcW w:w="9061" w:type="dxa"/>
          </w:tcPr>
          <w:p w14:paraId="77C7C98A">
            <w:pPr>
              <w:spacing w:line="280" w:lineRule="exact"/>
              <w:ind w:firstLine="0" w:firstLineChars="0"/>
              <w:jc w:val="left"/>
              <w:rPr>
                <w:rFonts w:cs="Times New Roman"/>
                <w:color w:val="FF0000"/>
                <w:sz w:val="18"/>
                <w:szCs w:val="18"/>
              </w:rPr>
            </w:pPr>
            <w:r>
              <w:rPr>
                <w:rFonts w:hint="eastAsia" w:cs="Times New Roman"/>
                <w:sz w:val="18"/>
                <w:szCs w:val="18"/>
              </w:rPr>
              <w:t>河道长：1.32Km，工程级别：IV，堤防：斜坡式堤1.32</w:t>
            </w:r>
            <w:r>
              <w:rPr>
                <w:rFonts w:cs="Times New Roman"/>
                <w:sz w:val="18"/>
                <w:szCs w:val="18"/>
              </w:rPr>
              <w:t>⁎</w:t>
            </w:r>
            <w:r>
              <w:rPr>
                <w:rFonts w:hint="eastAsia" w:cs="Times New Roman"/>
                <w:sz w:val="18"/>
                <w:szCs w:val="18"/>
              </w:rPr>
              <w:t>1.12Km，护岸：坡式护1.32</w:t>
            </w:r>
            <w:r>
              <w:rPr>
                <w:rFonts w:cs="Times New Roman"/>
                <w:sz w:val="18"/>
                <w:szCs w:val="18"/>
              </w:rPr>
              <w:t>⁎</w:t>
            </w:r>
            <w:r>
              <w:rPr>
                <w:rFonts w:hint="eastAsia" w:cs="Times New Roman"/>
                <w:sz w:val="18"/>
                <w:szCs w:val="18"/>
              </w:rPr>
              <w:t>1.12Km，设计防洪标准：20年一遇，保护人口：3538人，堤顶宽度：3</w:t>
            </w:r>
            <w:r>
              <w:rPr>
                <w:rFonts w:cs="Times New Roman"/>
                <w:sz w:val="18"/>
                <w:szCs w:val="18"/>
              </w:rPr>
              <w:t>~</w:t>
            </w:r>
            <w:r>
              <w:rPr>
                <w:rFonts w:hint="eastAsia" w:cs="Times New Roman"/>
                <w:sz w:val="18"/>
                <w:szCs w:val="18"/>
              </w:rPr>
              <w:t>5m，交叉建筑物数量：2宗，穿堤建筑物数量：0宗</w:t>
            </w:r>
          </w:p>
        </w:tc>
      </w:tr>
      <w:tr w14:paraId="5B9C3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369" w:type="dxa"/>
            <w:vAlign w:val="center"/>
          </w:tcPr>
          <w:p w14:paraId="3F18590B">
            <w:pPr>
              <w:spacing w:line="280" w:lineRule="exact"/>
              <w:ind w:firstLine="0" w:firstLineChars="0"/>
              <w:jc w:val="center"/>
              <w:rPr>
                <w:rFonts w:cs="Times New Roman"/>
                <w:sz w:val="18"/>
                <w:szCs w:val="18"/>
              </w:rPr>
            </w:pPr>
            <w:r>
              <w:rPr>
                <w:rFonts w:hint="eastAsia" w:cs="Times New Roman"/>
                <w:sz w:val="18"/>
                <w:szCs w:val="18"/>
              </w:rPr>
              <w:t>南八涌</w:t>
            </w:r>
          </w:p>
        </w:tc>
        <w:tc>
          <w:tcPr>
            <w:tcW w:w="1861" w:type="dxa"/>
            <w:vAlign w:val="center"/>
          </w:tcPr>
          <w:p w14:paraId="350781BB">
            <w:pPr>
              <w:spacing w:line="280" w:lineRule="exact"/>
              <w:ind w:firstLine="0" w:firstLineChars="0"/>
              <w:jc w:val="center"/>
              <w:rPr>
                <w:rFonts w:cs="Times New Roman"/>
                <w:sz w:val="18"/>
                <w:szCs w:val="18"/>
              </w:rPr>
            </w:pPr>
            <w:r>
              <w:rPr>
                <w:rFonts w:hint="eastAsia" w:cs="Times New Roman"/>
                <w:sz w:val="18"/>
                <w:szCs w:val="18"/>
              </w:rPr>
              <w:t>南八涌水闸</w:t>
            </w:r>
          </w:p>
        </w:tc>
        <w:tc>
          <w:tcPr>
            <w:tcW w:w="2161" w:type="dxa"/>
            <w:vAlign w:val="center"/>
          </w:tcPr>
          <w:p w14:paraId="75619466">
            <w:pPr>
              <w:spacing w:line="280" w:lineRule="exact"/>
              <w:ind w:firstLine="0" w:firstLineChars="0"/>
              <w:jc w:val="center"/>
              <w:rPr>
                <w:rFonts w:cs="Times New Roman"/>
                <w:sz w:val="18"/>
                <w:szCs w:val="18"/>
              </w:rPr>
            </w:pPr>
            <w:r>
              <w:rPr>
                <w:rFonts w:hint="eastAsia" w:cs="Times New Roman"/>
                <w:sz w:val="18"/>
                <w:szCs w:val="18"/>
              </w:rPr>
              <w:t>沙朗涌</w:t>
            </w:r>
          </w:p>
        </w:tc>
        <w:tc>
          <w:tcPr>
            <w:tcW w:w="9061" w:type="dxa"/>
          </w:tcPr>
          <w:p w14:paraId="0C5F4B0B">
            <w:pPr>
              <w:spacing w:line="280" w:lineRule="exact"/>
              <w:ind w:firstLine="0" w:firstLineChars="0"/>
              <w:jc w:val="left"/>
              <w:rPr>
                <w:rFonts w:cs="Times New Roman"/>
                <w:color w:val="FF0000"/>
                <w:sz w:val="18"/>
                <w:szCs w:val="18"/>
              </w:rPr>
            </w:pPr>
            <w:r>
              <w:rPr>
                <w:rFonts w:hint="eastAsia" w:cs="Times New Roman"/>
                <w:sz w:val="18"/>
                <w:szCs w:val="18"/>
              </w:rPr>
              <w:t>河道长：1.1Km，工程级别：IV，堤防：斜坡式堤1.1</w:t>
            </w:r>
            <w:r>
              <w:rPr>
                <w:rFonts w:cs="Times New Roman"/>
                <w:sz w:val="18"/>
                <w:szCs w:val="18"/>
              </w:rPr>
              <w:t>⁎</w:t>
            </w:r>
            <w:r>
              <w:rPr>
                <w:rFonts w:hint="eastAsia" w:cs="Times New Roman"/>
                <w:sz w:val="18"/>
                <w:szCs w:val="18"/>
              </w:rPr>
              <w:t>2Km，护岸：坡式护1.1</w:t>
            </w:r>
            <w:r>
              <w:rPr>
                <w:rFonts w:cs="Times New Roman"/>
                <w:sz w:val="18"/>
                <w:szCs w:val="18"/>
              </w:rPr>
              <w:t>⁎</w:t>
            </w:r>
            <w:r>
              <w:rPr>
                <w:rFonts w:hint="eastAsia" w:cs="Times New Roman"/>
                <w:sz w:val="18"/>
                <w:szCs w:val="18"/>
              </w:rPr>
              <w:t>2Km，设计防洪标准：20年一遇，保护人口：2949人，堤顶宽度：3</w:t>
            </w:r>
            <w:r>
              <w:rPr>
                <w:rFonts w:cs="Times New Roman"/>
                <w:sz w:val="18"/>
                <w:szCs w:val="18"/>
              </w:rPr>
              <w:t>~</w:t>
            </w:r>
            <w:r>
              <w:rPr>
                <w:rFonts w:hint="eastAsia" w:cs="Times New Roman"/>
                <w:sz w:val="18"/>
                <w:szCs w:val="18"/>
              </w:rPr>
              <w:t>5m，交叉建筑物数量：2宗，穿堤建筑物数量：0宗</w:t>
            </w:r>
          </w:p>
        </w:tc>
      </w:tr>
      <w:tr w14:paraId="7F30D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369" w:type="dxa"/>
            <w:vAlign w:val="center"/>
          </w:tcPr>
          <w:p w14:paraId="4F1F65B7">
            <w:pPr>
              <w:spacing w:line="280" w:lineRule="exact"/>
              <w:ind w:firstLine="0" w:firstLineChars="0"/>
              <w:jc w:val="center"/>
              <w:rPr>
                <w:rFonts w:cs="Times New Roman"/>
                <w:sz w:val="18"/>
                <w:szCs w:val="18"/>
              </w:rPr>
            </w:pPr>
            <w:r>
              <w:rPr>
                <w:rFonts w:hint="eastAsia" w:cs="Times New Roman"/>
                <w:sz w:val="18"/>
                <w:szCs w:val="18"/>
              </w:rPr>
              <w:t>后山沙朗新开涌</w:t>
            </w:r>
          </w:p>
        </w:tc>
        <w:tc>
          <w:tcPr>
            <w:tcW w:w="1861" w:type="dxa"/>
            <w:vAlign w:val="center"/>
          </w:tcPr>
          <w:p w14:paraId="5F6E609B">
            <w:pPr>
              <w:spacing w:line="280" w:lineRule="exact"/>
              <w:ind w:firstLine="0" w:firstLineChars="0"/>
              <w:jc w:val="center"/>
              <w:rPr>
                <w:rFonts w:cs="Times New Roman"/>
                <w:sz w:val="18"/>
                <w:szCs w:val="18"/>
              </w:rPr>
            </w:pPr>
            <w:r>
              <w:rPr>
                <w:rFonts w:hint="eastAsia" w:cs="Times New Roman"/>
                <w:sz w:val="18"/>
                <w:szCs w:val="18"/>
              </w:rPr>
              <w:t>北外环</w:t>
            </w:r>
          </w:p>
        </w:tc>
        <w:tc>
          <w:tcPr>
            <w:tcW w:w="2161" w:type="dxa"/>
            <w:vAlign w:val="center"/>
          </w:tcPr>
          <w:p w14:paraId="08BC22D6">
            <w:pPr>
              <w:spacing w:line="280" w:lineRule="exact"/>
              <w:ind w:firstLine="0" w:firstLineChars="0"/>
              <w:jc w:val="center"/>
              <w:rPr>
                <w:rFonts w:cs="Times New Roman"/>
                <w:sz w:val="18"/>
                <w:szCs w:val="18"/>
              </w:rPr>
            </w:pPr>
            <w:r>
              <w:rPr>
                <w:rFonts w:hint="eastAsia" w:cs="Times New Roman"/>
                <w:sz w:val="18"/>
                <w:szCs w:val="18"/>
              </w:rPr>
              <w:t>狮滘河</w:t>
            </w:r>
          </w:p>
        </w:tc>
        <w:tc>
          <w:tcPr>
            <w:tcW w:w="9061" w:type="dxa"/>
          </w:tcPr>
          <w:p w14:paraId="0500BCA2">
            <w:pPr>
              <w:spacing w:line="280" w:lineRule="exact"/>
              <w:ind w:firstLine="0" w:firstLineChars="0"/>
              <w:jc w:val="left"/>
              <w:rPr>
                <w:rFonts w:cs="Times New Roman"/>
                <w:sz w:val="18"/>
                <w:szCs w:val="18"/>
              </w:rPr>
            </w:pPr>
            <w:r>
              <w:rPr>
                <w:rFonts w:hint="eastAsia" w:cs="Times New Roman"/>
                <w:sz w:val="18"/>
                <w:szCs w:val="18"/>
              </w:rPr>
              <w:t>河道长：2Km，工程级别：IV，堤防：2</w:t>
            </w:r>
            <w:r>
              <w:rPr>
                <w:rFonts w:cs="Times New Roman"/>
                <w:sz w:val="18"/>
                <w:szCs w:val="18"/>
              </w:rPr>
              <w:t>⁎</w:t>
            </w:r>
            <w:r>
              <w:rPr>
                <w:rFonts w:hint="eastAsia" w:cs="Times New Roman"/>
                <w:sz w:val="18"/>
                <w:szCs w:val="18"/>
              </w:rPr>
              <w:t>2Km，护岸：坡式护2</w:t>
            </w:r>
            <w:r>
              <w:rPr>
                <w:rFonts w:cs="Times New Roman"/>
                <w:sz w:val="18"/>
                <w:szCs w:val="18"/>
              </w:rPr>
              <w:t>⁎</w:t>
            </w:r>
            <w:r>
              <w:rPr>
                <w:rFonts w:hint="eastAsia" w:cs="Times New Roman"/>
                <w:sz w:val="18"/>
                <w:szCs w:val="18"/>
              </w:rPr>
              <w:t>2Km，设计防洪标准：20年一遇，保护人口：5361人，堤顶宽度：3</w:t>
            </w:r>
            <w:r>
              <w:rPr>
                <w:rFonts w:cs="Times New Roman"/>
                <w:sz w:val="18"/>
                <w:szCs w:val="18"/>
              </w:rPr>
              <w:t>~</w:t>
            </w:r>
            <w:r>
              <w:rPr>
                <w:rFonts w:hint="eastAsia" w:cs="Times New Roman"/>
                <w:sz w:val="18"/>
                <w:szCs w:val="18"/>
              </w:rPr>
              <w:t>5m，交叉建筑物数量：2宗，穿堤建筑物数量：0宗</w:t>
            </w:r>
          </w:p>
        </w:tc>
      </w:tr>
      <w:tr w14:paraId="50D70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369" w:type="dxa"/>
            <w:vAlign w:val="center"/>
          </w:tcPr>
          <w:p w14:paraId="1A66E6C7">
            <w:pPr>
              <w:spacing w:line="280" w:lineRule="exact"/>
              <w:ind w:firstLine="0" w:firstLineChars="0"/>
              <w:jc w:val="center"/>
              <w:rPr>
                <w:rFonts w:cs="Times New Roman"/>
                <w:sz w:val="18"/>
                <w:szCs w:val="18"/>
              </w:rPr>
            </w:pPr>
            <w:r>
              <w:rPr>
                <w:rFonts w:hint="eastAsia" w:cs="Times New Roman"/>
                <w:sz w:val="18"/>
                <w:szCs w:val="18"/>
              </w:rPr>
              <w:t>新涌</w:t>
            </w:r>
          </w:p>
        </w:tc>
        <w:tc>
          <w:tcPr>
            <w:tcW w:w="1861" w:type="dxa"/>
            <w:vAlign w:val="center"/>
          </w:tcPr>
          <w:p w14:paraId="7081168B">
            <w:pPr>
              <w:spacing w:line="280" w:lineRule="exact"/>
              <w:ind w:firstLine="0" w:firstLineChars="0"/>
              <w:jc w:val="center"/>
              <w:rPr>
                <w:rFonts w:cs="Times New Roman"/>
                <w:sz w:val="18"/>
                <w:szCs w:val="18"/>
              </w:rPr>
            </w:pPr>
            <w:r>
              <w:rPr>
                <w:rFonts w:hint="eastAsia" w:cs="Times New Roman"/>
                <w:sz w:val="18"/>
                <w:szCs w:val="18"/>
              </w:rPr>
              <w:t>花海湾小区</w:t>
            </w:r>
          </w:p>
        </w:tc>
        <w:tc>
          <w:tcPr>
            <w:tcW w:w="2161" w:type="dxa"/>
            <w:vAlign w:val="center"/>
          </w:tcPr>
          <w:p w14:paraId="37B33D12">
            <w:pPr>
              <w:spacing w:line="280" w:lineRule="exact"/>
              <w:ind w:firstLine="0" w:firstLineChars="0"/>
              <w:jc w:val="center"/>
              <w:rPr>
                <w:rFonts w:cs="Times New Roman"/>
                <w:sz w:val="18"/>
                <w:szCs w:val="18"/>
              </w:rPr>
            </w:pPr>
            <w:r>
              <w:rPr>
                <w:rFonts w:hint="eastAsia" w:cs="Times New Roman"/>
                <w:sz w:val="18"/>
                <w:szCs w:val="18"/>
              </w:rPr>
              <w:t>岐江河</w:t>
            </w:r>
          </w:p>
        </w:tc>
        <w:tc>
          <w:tcPr>
            <w:tcW w:w="9061" w:type="dxa"/>
          </w:tcPr>
          <w:p w14:paraId="1F1CF1F6">
            <w:pPr>
              <w:spacing w:line="280" w:lineRule="exact"/>
              <w:ind w:firstLine="0" w:firstLineChars="0"/>
              <w:jc w:val="left"/>
              <w:rPr>
                <w:rFonts w:cs="Times New Roman"/>
                <w:sz w:val="18"/>
                <w:szCs w:val="18"/>
              </w:rPr>
            </w:pPr>
            <w:r>
              <w:rPr>
                <w:rFonts w:hint="eastAsia" w:cs="Times New Roman"/>
                <w:sz w:val="18"/>
                <w:szCs w:val="18"/>
              </w:rPr>
              <w:t>河道长：0.217Km，工程级别：IV，堤防：斜坡式堤0.217</w:t>
            </w:r>
            <w:r>
              <w:rPr>
                <w:rFonts w:cs="Times New Roman"/>
                <w:sz w:val="18"/>
                <w:szCs w:val="18"/>
              </w:rPr>
              <w:t>⁎</w:t>
            </w:r>
            <w:r>
              <w:rPr>
                <w:rFonts w:hint="eastAsia" w:cs="Times New Roman"/>
                <w:sz w:val="18"/>
                <w:szCs w:val="18"/>
              </w:rPr>
              <w:t>2Km，护岸：坡式护0.217</w:t>
            </w:r>
            <w:r>
              <w:rPr>
                <w:rFonts w:cs="Times New Roman"/>
                <w:sz w:val="18"/>
                <w:szCs w:val="18"/>
              </w:rPr>
              <w:t>⁎</w:t>
            </w:r>
            <w:r>
              <w:rPr>
                <w:rFonts w:hint="eastAsia" w:cs="Times New Roman"/>
                <w:sz w:val="18"/>
                <w:szCs w:val="18"/>
              </w:rPr>
              <w:t>2Km，设计防洪标准：20年一遇，保护人口：8042人，堤顶宽度：3</w:t>
            </w:r>
            <w:r>
              <w:rPr>
                <w:rFonts w:cs="Times New Roman"/>
                <w:sz w:val="18"/>
                <w:szCs w:val="18"/>
              </w:rPr>
              <w:t>~</w:t>
            </w:r>
            <w:r>
              <w:rPr>
                <w:rFonts w:hint="eastAsia" w:cs="Times New Roman"/>
                <w:sz w:val="18"/>
                <w:szCs w:val="18"/>
              </w:rPr>
              <w:t>5m，交叉建筑物数量：1宗，穿堤建筑物数量：0宗</w:t>
            </w:r>
          </w:p>
        </w:tc>
      </w:tr>
    </w:tbl>
    <w:p w14:paraId="027A4ADF">
      <w:pPr>
        <w:ind w:firstLine="480"/>
        <w:rPr>
          <w:rFonts w:cs="Times New Roman"/>
          <w:szCs w:val="28"/>
        </w:rPr>
        <w:sectPr>
          <w:pgSz w:w="16838" w:h="11906" w:orient="landscape"/>
          <w:pgMar w:top="1797" w:right="1440" w:bottom="1797" w:left="1440" w:header="851" w:footer="992" w:gutter="0"/>
          <w:cols w:space="425" w:num="1"/>
          <w:docGrid w:type="linesAndChars" w:linePitch="326" w:charSpace="0"/>
        </w:sectPr>
      </w:pPr>
    </w:p>
    <w:p w14:paraId="54DCB7F6">
      <w:pPr>
        <w:pStyle w:val="85"/>
        <w:ind w:firstLine="480"/>
        <w:jc w:val="center"/>
        <w:rPr>
          <w:rFonts w:hint="default" w:ascii="Times New Roman" w:hAnsi="Times New Roman"/>
        </w:rPr>
      </w:pPr>
      <w:r>
        <w:rPr>
          <w:rFonts w:hint="default" w:ascii="Times New Roman" w:hAnsi="Times New Roman"/>
        </w:rPr>
        <w:t xml:space="preserve">表2-2 </w:t>
      </w:r>
      <w:r>
        <w:t xml:space="preserve"> 水闸情况</w:t>
      </w:r>
    </w:p>
    <w:tbl>
      <w:tblPr>
        <w:tblStyle w:val="25"/>
        <w:tblW w:w="103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5"/>
        <w:gridCol w:w="1125"/>
        <w:gridCol w:w="1030"/>
        <w:gridCol w:w="990"/>
        <w:gridCol w:w="1142"/>
        <w:gridCol w:w="774"/>
        <w:gridCol w:w="1301"/>
        <w:gridCol w:w="1964"/>
      </w:tblGrid>
      <w:tr w14:paraId="1024A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2005" w:type="dxa"/>
          </w:tcPr>
          <w:p w14:paraId="3D244AC7">
            <w:pPr>
              <w:spacing w:line="240" w:lineRule="auto"/>
              <w:ind w:firstLine="0" w:firstLineChars="0"/>
              <w:jc w:val="center"/>
              <w:rPr>
                <w:rFonts w:cs="Times New Roman"/>
                <w:sz w:val="21"/>
              </w:rPr>
            </w:pPr>
            <w:r>
              <w:rPr>
                <w:rFonts w:hint="eastAsia" w:cs="Times New Roman"/>
                <w:sz w:val="21"/>
              </w:rPr>
              <w:t>水闸名称</w:t>
            </w:r>
          </w:p>
        </w:tc>
        <w:tc>
          <w:tcPr>
            <w:tcW w:w="1125" w:type="dxa"/>
          </w:tcPr>
          <w:p w14:paraId="6920549E">
            <w:pPr>
              <w:spacing w:line="240" w:lineRule="auto"/>
              <w:ind w:firstLine="0" w:firstLineChars="0"/>
              <w:jc w:val="center"/>
              <w:rPr>
                <w:rFonts w:cs="Times New Roman"/>
                <w:sz w:val="21"/>
              </w:rPr>
            </w:pPr>
            <w:r>
              <w:rPr>
                <w:rFonts w:hint="eastAsia" w:cs="Times New Roman"/>
                <w:sz w:val="21"/>
              </w:rPr>
              <w:t>所在位置</w:t>
            </w:r>
          </w:p>
        </w:tc>
        <w:tc>
          <w:tcPr>
            <w:tcW w:w="1030" w:type="dxa"/>
          </w:tcPr>
          <w:p w14:paraId="768E0C52">
            <w:pPr>
              <w:spacing w:line="240" w:lineRule="auto"/>
              <w:ind w:firstLine="0" w:firstLineChars="0"/>
              <w:jc w:val="center"/>
              <w:rPr>
                <w:rFonts w:cs="Times New Roman"/>
                <w:sz w:val="21"/>
              </w:rPr>
            </w:pPr>
            <w:r>
              <w:rPr>
                <w:rFonts w:hint="eastAsia" w:cs="Times New Roman"/>
                <w:sz w:val="21"/>
              </w:rPr>
              <w:t>所在河流</w:t>
            </w:r>
          </w:p>
        </w:tc>
        <w:tc>
          <w:tcPr>
            <w:tcW w:w="990" w:type="dxa"/>
          </w:tcPr>
          <w:p w14:paraId="6ABC9470">
            <w:pPr>
              <w:spacing w:line="240" w:lineRule="auto"/>
              <w:ind w:firstLine="0" w:firstLineChars="0"/>
              <w:jc w:val="center"/>
              <w:rPr>
                <w:rFonts w:cs="Times New Roman"/>
                <w:sz w:val="21"/>
              </w:rPr>
            </w:pPr>
            <w:r>
              <w:rPr>
                <w:rFonts w:cs="Times New Roman"/>
                <w:sz w:val="21"/>
              </w:rPr>
              <w:t>设计过闸流量（m</w:t>
            </w:r>
            <w:r>
              <w:rPr>
                <w:rFonts w:cs="Times New Roman"/>
                <w:sz w:val="21"/>
                <w:vertAlign w:val="superscript"/>
              </w:rPr>
              <w:t>3</w:t>
            </w:r>
            <w:r>
              <w:rPr>
                <w:rFonts w:cs="Times New Roman"/>
                <w:sz w:val="21"/>
              </w:rPr>
              <w:t>/s）</w:t>
            </w:r>
          </w:p>
        </w:tc>
        <w:tc>
          <w:tcPr>
            <w:tcW w:w="1142" w:type="dxa"/>
          </w:tcPr>
          <w:p w14:paraId="1E944B18">
            <w:pPr>
              <w:spacing w:line="240" w:lineRule="auto"/>
              <w:ind w:firstLine="0" w:firstLineChars="0"/>
              <w:jc w:val="center"/>
              <w:rPr>
                <w:rFonts w:cs="Times New Roman"/>
                <w:sz w:val="21"/>
              </w:rPr>
            </w:pPr>
            <w:r>
              <w:rPr>
                <w:rFonts w:cs="Times New Roman"/>
                <w:sz w:val="21"/>
              </w:rPr>
              <w:t>水闸长度/宽度（m/m）</w:t>
            </w:r>
          </w:p>
        </w:tc>
        <w:tc>
          <w:tcPr>
            <w:tcW w:w="774" w:type="dxa"/>
          </w:tcPr>
          <w:p w14:paraId="54584EC3">
            <w:pPr>
              <w:spacing w:line="240" w:lineRule="auto"/>
              <w:ind w:firstLine="0" w:firstLineChars="0"/>
              <w:jc w:val="center"/>
              <w:rPr>
                <w:rFonts w:cs="Times New Roman"/>
                <w:sz w:val="21"/>
              </w:rPr>
            </w:pPr>
            <w:r>
              <w:rPr>
                <w:rFonts w:cs="Times New Roman"/>
                <w:sz w:val="21"/>
              </w:rPr>
              <w:t>水闸孔数</w:t>
            </w:r>
          </w:p>
        </w:tc>
        <w:tc>
          <w:tcPr>
            <w:tcW w:w="1301" w:type="dxa"/>
          </w:tcPr>
          <w:p w14:paraId="2E6D9FE6">
            <w:pPr>
              <w:spacing w:line="240" w:lineRule="auto"/>
              <w:ind w:firstLine="0" w:firstLineChars="0"/>
              <w:jc w:val="center"/>
              <w:rPr>
                <w:rFonts w:cs="Times New Roman"/>
                <w:sz w:val="21"/>
              </w:rPr>
            </w:pPr>
            <w:r>
              <w:rPr>
                <w:rFonts w:cs="Times New Roman"/>
                <w:sz w:val="21"/>
              </w:rPr>
              <w:t>水闸设计标准</w:t>
            </w:r>
          </w:p>
        </w:tc>
        <w:tc>
          <w:tcPr>
            <w:tcW w:w="1964" w:type="dxa"/>
          </w:tcPr>
          <w:p w14:paraId="74B215E7">
            <w:pPr>
              <w:spacing w:line="240" w:lineRule="auto"/>
              <w:ind w:firstLine="0" w:firstLineChars="0"/>
              <w:jc w:val="center"/>
              <w:rPr>
                <w:rFonts w:cs="Times New Roman"/>
                <w:sz w:val="21"/>
              </w:rPr>
            </w:pPr>
            <w:r>
              <w:rPr>
                <w:rFonts w:cs="Times New Roman"/>
                <w:sz w:val="21"/>
              </w:rPr>
              <w:t>闸门型式/启闭机型号</w:t>
            </w:r>
          </w:p>
        </w:tc>
      </w:tr>
      <w:tr w14:paraId="0E362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2005" w:type="dxa"/>
            <w:vAlign w:val="center"/>
          </w:tcPr>
          <w:p w14:paraId="3758E5C8">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沙朗新开涌水闸</w:t>
            </w:r>
          </w:p>
        </w:tc>
        <w:tc>
          <w:tcPr>
            <w:tcW w:w="1125" w:type="dxa"/>
            <w:vAlign w:val="center"/>
          </w:tcPr>
          <w:p w14:paraId="2F554F46">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沙朗社区四组</w:t>
            </w:r>
          </w:p>
        </w:tc>
        <w:tc>
          <w:tcPr>
            <w:tcW w:w="1030" w:type="dxa"/>
            <w:vAlign w:val="center"/>
          </w:tcPr>
          <w:p w14:paraId="7202F88D">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沙朗新开涌</w:t>
            </w:r>
          </w:p>
        </w:tc>
        <w:tc>
          <w:tcPr>
            <w:tcW w:w="990" w:type="dxa"/>
            <w:vAlign w:val="center"/>
          </w:tcPr>
          <w:p w14:paraId="132A4F0F">
            <w:pPr>
              <w:widowControl/>
              <w:spacing w:line="240" w:lineRule="auto"/>
              <w:ind w:firstLine="0" w:firstLineChars="0"/>
              <w:jc w:val="center"/>
              <w:textAlignment w:val="center"/>
              <w:rPr>
                <w:rFonts w:cs="Times New Roman"/>
                <w:sz w:val="21"/>
              </w:rPr>
            </w:pPr>
            <w:r>
              <w:rPr>
                <w:rFonts w:eastAsia="宋体" w:cs="Times New Roman"/>
                <w:kern w:val="0"/>
                <w:sz w:val="21"/>
                <w:lang w:bidi="ar"/>
              </w:rPr>
              <w:t>50.07</w:t>
            </w:r>
          </w:p>
        </w:tc>
        <w:tc>
          <w:tcPr>
            <w:tcW w:w="1142" w:type="dxa"/>
            <w:vAlign w:val="center"/>
          </w:tcPr>
          <w:p w14:paraId="68A3B687">
            <w:pPr>
              <w:widowControl/>
              <w:spacing w:line="240" w:lineRule="auto"/>
              <w:ind w:firstLine="0" w:firstLineChars="0"/>
              <w:jc w:val="center"/>
              <w:textAlignment w:val="center"/>
              <w:rPr>
                <w:rFonts w:cs="Times New Roman"/>
                <w:sz w:val="21"/>
              </w:rPr>
            </w:pPr>
            <w:r>
              <w:rPr>
                <w:rFonts w:eastAsia="宋体" w:cs="Times New Roman"/>
                <w:kern w:val="0"/>
                <w:sz w:val="21"/>
                <w:lang w:bidi="ar"/>
              </w:rPr>
              <w:t>16</w:t>
            </w:r>
          </w:p>
        </w:tc>
        <w:tc>
          <w:tcPr>
            <w:tcW w:w="774" w:type="dxa"/>
            <w:vAlign w:val="center"/>
          </w:tcPr>
          <w:p w14:paraId="01BE7FDA">
            <w:pPr>
              <w:widowControl/>
              <w:spacing w:line="240" w:lineRule="auto"/>
              <w:ind w:firstLine="0" w:firstLineChars="0"/>
              <w:jc w:val="center"/>
              <w:textAlignment w:val="center"/>
              <w:rPr>
                <w:rFonts w:cs="Times New Roman"/>
                <w:sz w:val="21"/>
              </w:rPr>
            </w:pPr>
            <w:r>
              <w:rPr>
                <w:rFonts w:eastAsia="宋体" w:cs="Times New Roman"/>
                <w:kern w:val="0"/>
                <w:sz w:val="21"/>
                <w:lang w:bidi="ar"/>
              </w:rPr>
              <w:t>2</w:t>
            </w:r>
          </w:p>
        </w:tc>
        <w:tc>
          <w:tcPr>
            <w:tcW w:w="1301" w:type="dxa"/>
            <w:vAlign w:val="center"/>
          </w:tcPr>
          <w:p w14:paraId="50C5DD0C">
            <w:pPr>
              <w:widowControl/>
              <w:spacing w:line="240" w:lineRule="auto"/>
              <w:ind w:firstLine="0" w:firstLineChars="0"/>
              <w:jc w:val="center"/>
              <w:textAlignment w:val="center"/>
              <w:rPr>
                <w:rFonts w:cs="Times New Roman"/>
                <w:sz w:val="21"/>
              </w:rPr>
            </w:pPr>
            <w:r>
              <w:rPr>
                <w:rFonts w:eastAsia="宋体" w:cs="Times New Roman"/>
                <w:kern w:val="0"/>
                <w:sz w:val="21"/>
                <w:lang w:bidi="ar"/>
              </w:rPr>
              <w:t>Ⅴ</w:t>
            </w:r>
          </w:p>
        </w:tc>
        <w:tc>
          <w:tcPr>
            <w:tcW w:w="1964" w:type="dxa"/>
            <w:vAlign w:val="center"/>
          </w:tcPr>
          <w:p w14:paraId="580C2735">
            <w:pPr>
              <w:widowControl/>
              <w:spacing w:line="240" w:lineRule="auto"/>
              <w:ind w:firstLine="0" w:firstLineChars="0"/>
              <w:jc w:val="center"/>
              <w:textAlignment w:val="center"/>
              <w:rPr>
                <w:rFonts w:cs="Times New Roman"/>
                <w:sz w:val="21"/>
              </w:rPr>
            </w:pPr>
            <w:r>
              <w:rPr>
                <w:rFonts w:eastAsia="宋体" w:cs="Times New Roman"/>
                <w:kern w:val="0"/>
                <w:sz w:val="21"/>
                <w:lang w:bidi="ar"/>
              </w:rPr>
              <w:t>升卧式平面钢闸门/固定卷扬启闭机</w:t>
            </w:r>
          </w:p>
        </w:tc>
      </w:tr>
      <w:tr w14:paraId="43092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005" w:type="dxa"/>
            <w:vAlign w:val="center"/>
          </w:tcPr>
          <w:p w14:paraId="15C36AA9">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西堤路1＃闸门</w:t>
            </w:r>
          </w:p>
        </w:tc>
        <w:tc>
          <w:tcPr>
            <w:tcW w:w="1125" w:type="dxa"/>
            <w:vAlign w:val="center"/>
          </w:tcPr>
          <w:p w14:paraId="65D91433">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0881E442">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347B2B68">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34648095">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0AF85944">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6993110B">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41A547CA">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5F95B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005" w:type="dxa"/>
            <w:vAlign w:val="center"/>
          </w:tcPr>
          <w:p w14:paraId="0F7618ED">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西堤路2＃闸门</w:t>
            </w:r>
          </w:p>
        </w:tc>
        <w:tc>
          <w:tcPr>
            <w:tcW w:w="1125" w:type="dxa"/>
            <w:vAlign w:val="center"/>
          </w:tcPr>
          <w:p w14:paraId="325223C6">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1B3BC33E">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6A722731">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578DCA10">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458306DA">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6E625D56">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541F2BA8">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7CD10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005" w:type="dxa"/>
            <w:vAlign w:val="center"/>
          </w:tcPr>
          <w:p w14:paraId="1FB82DF5">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西堤路3＃闸门</w:t>
            </w:r>
          </w:p>
        </w:tc>
        <w:tc>
          <w:tcPr>
            <w:tcW w:w="1125" w:type="dxa"/>
            <w:vAlign w:val="center"/>
          </w:tcPr>
          <w:p w14:paraId="21F23EBB">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22A2FB4B">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1AF7A882">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3EC9D84C">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3CD881C1">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2B7DF29F">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48334895">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4AE8A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005" w:type="dxa"/>
            <w:vAlign w:val="center"/>
          </w:tcPr>
          <w:p w14:paraId="500E048B">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西堤路4＃闸门</w:t>
            </w:r>
          </w:p>
        </w:tc>
        <w:tc>
          <w:tcPr>
            <w:tcW w:w="1125" w:type="dxa"/>
            <w:vAlign w:val="center"/>
          </w:tcPr>
          <w:p w14:paraId="6C60B6A4">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7A7BEA3F">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218BB3D8">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53D34DFB">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573CF8DA">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4B446402">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0C5567BB">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1B7ED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2005" w:type="dxa"/>
            <w:vAlign w:val="center"/>
          </w:tcPr>
          <w:p w14:paraId="77AF10EA">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翠朗水闸</w:t>
            </w:r>
          </w:p>
        </w:tc>
        <w:tc>
          <w:tcPr>
            <w:tcW w:w="1125" w:type="dxa"/>
            <w:vAlign w:val="center"/>
          </w:tcPr>
          <w:p w14:paraId="722BE422">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西区</w:t>
            </w:r>
          </w:p>
        </w:tc>
        <w:tc>
          <w:tcPr>
            <w:tcW w:w="1030" w:type="dxa"/>
            <w:vAlign w:val="center"/>
          </w:tcPr>
          <w:p w14:paraId="531C29C9">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石特涌</w:t>
            </w:r>
          </w:p>
        </w:tc>
        <w:tc>
          <w:tcPr>
            <w:tcW w:w="990" w:type="dxa"/>
            <w:vAlign w:val="center"/>
          </w:tcPr>
          <w:p w14:paraId="32717CA3">
            <w:pPr>
              <w:widowControl/>
              <w:spacing w:line="240" w:lineRule="auto"/>
              <w:ind w:firstLine="0" w:firstLineChars="0"/>
              <w:jc w:val="center"/>
              <w:textAlignment w:val="center"/>
              <w:rPr>
                <w:rFonts w:cs="Times New Roman"/>
                <w:sz w:val="21"/>
              </w:rPr>
            </w:pPr>
            <w:r>
              <w:rPr>
                <w:rFonts w:eastAsia="宋体" w:cs="Times New Roman"/>
                <w:kern w:val="0"/>
                <w:sz w:val="21"/>
                <w:lang w:bidi="ar"/>
              </w:rPr>
              <w:t>61.6</w:t>
            </w:r>
          </w:p>
        </w:tc>
        <w:tc>
          <w:tcPr>
            <w:tcW w:w="1142" w:type="dxa"/>
            <w:vAlign w:val="center"/>
          </w:tcPr>
          <w:p w14:paraId="05B3C870">
            <w:pPr>
              <w:widowControl/>
              <w:spacing w:line="240" w:lineRule="auto"/>
              <w:ind w:firstLine="0" w:firstLineChars="0"/>
              <w:jc w:val="center"/>
              <w:textAlignment w:val="center"/>
              <w:rPr>
                <w:rFonts w:cs="Times New Roman"/>
                <w:sz w:val="21"/>
              </w:rPr>
            </w:pPr>
            <w:r>
              <w:rPr>
                <w:rFonts w:eastAsia="宋体" w:cs="Times New Roman"/>
                <w:kern w:val="0"/>
                <w:sz w:val="21"/>
                <w:lang w:bidi="ar"/>
              </w:rPr>
              <w:t>14</w:t>
            </w:r>
          </w:p>
        </w:tc>
        <w:tc>
          <w:tcPr>
            <w:tcW w:w="774" w:type="dxa"/>
            <w:vAlign w:val="center"/>
          </w:tcPr>
          <w:p w14:paraId="2A2132C8">
            <w:pPr>
              <w:widowControl/>
              <w:spacing w:line="240" w:lineRule="auto"/>
              <w:ind w:firstLine="0" w:firstLineChars="0"/>
              <w:jc w:val="center"/>
              <w:textAlignment w:val="center"/>
              <w:rPr>
                <w:rFonts w:cs="Times New Roman"/>
                <w:sz w:val="21"/>
              </w:rPr>
            </w:pPr>
            <w:r>
              <w:rPr>
                <w:rFonts w:eastAsia="宋体" w:cs="Times New Roman"/>
                <w:kern w:val="0"/>
                <w:sz w:val="21"/>
                <w:lang w:bidi="ar"/>
              </w:rPr>
              <w:t>2</w:t>
            </w:r>
          </w:p>
        </w:tc>
        <w:tc>
          <w:tcPr>
            <w:tcW w:w="1301" w:type="dxa"/>
            <w:vAlign w:val="center"/>
          </w:tcPr>
          <w:p w14:paraId="043C2D78">
            <w:pPr>
              <w:widowControl/>
              <w:spacing w:line="240" w:lineRule="auto"/>
              <w:ind w:firstLine="0" w:firstLineChars="0"/>
              <w:jc w:val="center"/>
              <w:textAlignment w:val="center"/>
              <w:rPr>
                <w:rFonts w:cs="Times New Roman"/>
                <w:sz w:val="21"/>
              </w:rPr>
            </w:pPr>
            <w:r>
              <w:rPr>
                <w:rFonts w:eastAsia="宋体" w:cs="Times New Roman"/>
                <w:kern w:val="0"/>
                <w:sz w:val="21"/>
                <w:lang w:bidi="ar"/>
              </w:rPr>
              <w:t>30年一遇</w:t>
            </w:r>
          </w:p>
        </w:tc>
        <w:tc>
          <w:tcPr>
            <w:tcW w:w="1964" w:type="dxa"/>
            <w:vAlign w:val="center"/>
          </w:tcPr>
          <w:p w14:paraId="374F9690">
            <w:pPr>
              <w:widowControl/>
              <w:spacing w:line="240" w:lineRule="auto"/>
              <w:ind w:firstLine="0" w:firstLineChars="0"/>
              <w:jc w:val="center"/>
              <w:textAlignment w:val="center"/>
              <w:rPr>
                <w:rFonts w:cs="Times New Roman"/>
                <w:sz w:val="21"/>
              </w:rPr>
            </w:pPr>
            <w:r>
              <w:rPr>
                <w:rFonts w:hint="eastAsia" w:cs="Times New Roman"/>
                <w:sz w:val="21"/>
              </w:rPr>
              <w:t>——</w:t>
            </w:r>
          </w:p>
        </w:tc>
      </w:tr>
      <w:tr w14:paraId="55EBF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4160" w:type="dxa"/>
            <w:gridSpan w:val="3"/>
          </w:tcPr>
          <w:p w14:paraId="7B6F44E3">
            <w:pPr>
              <w:spacing w:line="240" w:lineRule="auto"/>
              <w:ind w:firstLine="0" w:firstLineChars="0"/>
              <w:jc w:val="center"/>
              <w:rPr>
                <w:rFonts w:cs="Times New Roman"/>
                <w:sz w:val="21"/>
              </w:rPr>
            </w:pPr>
            <w:r>
              <w:rPr>
                <w:rFonts w:hint="eastAsia" w:cs="Times New Roman"/>
                <w:sz w:val="21"/>
              </w:rPr>
              <w:t>合计</w:t>
            </w:r>
          </w:p>
        </w:tc>
        <w:tc>
          <w:tcPr>
            <w:tcW w:w="990" w:type="dxa"/>
          </w:tcPr>
          <w:p w14:paraId="0A0AE892">
            <w:pPr>
              <w:spacing w:line="240" w:lineRule="auto"/>
              <w:ind w:firstLine="0" w:firstLineChars="0"/>
              <w:jc w:val="center"/>
              <w:rPr>
                <w:rFonts w:cs="Times New Roman"/>
                <w:sz w:val="21"/>
              </w:rPr>
            </w:pPr>
            <w:r>
              <w:rPr>
                <w:rFonts w:hint="eastAsia" w:cs="Times New Roman"/>
                <w:sz w:val="21"/>
              </w:rPr>
              <w:t>113.67</w:t>
            </w:r>
          </w:p>
        </w:tc>
        <w:tc>
          <w:tcPr>
            <w:tcW w:w="1142" w:type="dxa"/>
          </w:tcPr>
          <w:p w14:paraId="3FE4E7FB">
            <w:pPr>
              <w:spacing w:line="240" w:lineRule="auto"/>
              <w:ind w:firstLine="0" w:firstLineChars="0"/>
              <w:jc w:val="center"/>
              <w:rPr>
                <w:rFonts w:cs="Times New Roman"/>
                <w:sz w:val="21"/>
              </w:rPr>
            </w:pPr>
            <w:r>
              <w:rPr>
                <w:rFonts w:hint="eastAsia" w:cs="Times New Roman"/>
                <w:sz w:val="21"/>
              </w:rPr>
              <w:t>35.76</w:t>
            </w:r>
          </w:p>
        </w:tc>
        <w:tc>
          <w:tcPr>
            <w:tcW w:w="774" w:type="dxa"/>
          </w:tcPr>
          <w:p w14:paraId="6D647360">
            <w:pPr>
              <w:spacing w:line="240" w:lineRule="auto"/>
              <w:ind w:firstLine="0" w:firstLineChars="0"/>
              <w:jc w:val="center"/>
              <w:rPr>
                <w:rFonts w:cs="Times New Roman"/>
                <w:sz w:val="21"/>
              </w:rPr>
            </w:pPr>
            <w:r>
              <w:rPr>
                <w:rFonts w:hint="eastAsia" w:cs="Times New Roman"/>
                <w:sz w:val="21"/>
              </w:rPr>
              <w:t>——</w:t>
            </w:r>
          </w:p>
        </w:tc>
        <w:tc>
          <w:tcPr>
            <w:tcW w:w="1301" w:type="dxa"/>
          </w:tcPr>
          <w:p w14:paraId="7DC03C00">
            <w:pPr>
              <w:spacing w:line="240" w:lineRule="auto"/>
              <w:ind w:firstLine="0" w:firstLineChars="0"/>
              <w:jc w:val="center"/>
              <w:rPr>
                <w:rFonts w:cs="Times New Roman"/>
                <w:sz w:val="21"/>
              </w:rPr>
            </w:pPr>
            <w:r>
              <w:rPr>
                <w:rFonts w:hint="eastAsia" w:cs="Times New Roman"/>
                <w:sz w:val="21"/>
              </w:rPr>
              <w:t>——</w:t>
            </w:r>
          </w:p>
        </w:tc>
        <w:tc>
          <w:tcPr>
            <w:tcW w:w="1964" w:type="dxa"/>
          </w:tcPr>
          <w:p w14:paraId="1662E04E">
            <w:pPr>
              <w:spacing w:line="240" w:lineRule="auto"/>
              <w:ind w:firstLine="0" w:firstLineChars="0"/>
              <w:jc w:val="center"/>
              <w:rPr>
                <w:rFonts w:cs="Times New Roman"/>
                <w:sz w:val="21"/>
              </w:rPr>
            </w:pPr>
            <w:r>
              <w:rPr>
                <w:rFonts w:hint="eastAsia" w:cs="Times New Roman"/>
                <w:sz w:val="21"/>
              </w:rPr>
              <w:t>——</w:t>
            </w:r>
          </w:p>
        </w:tc>
      </w:tr>
    </w:tbl>
    <w:p w14:paraId="4D67516B">
      <w:pPr>
        <w:pStyle w:val="85"/>
        <w:ind w:firstLine="480"/>
        <w:jc w:val="center"/>
        <w:rPr>
          <w:rFonts w:hint="default" w:ascii="Times New Roman" w:hAnsi="Times New Roman"/>
        </w:rPr>
      </w:pPr>
    </w:p>
    <w:p w14:paraId="16504FB4">
      <w:pPr>
        <w:pStyle w:val="85"/>
        <w:ind w:firstLine="480"/>
        <w:jc w:val="center"/>
        <w:rPr>
          <w:rFonts w:hint="default" w:ascii="Times New Roman" w:hAnsi="Times New Roman"/>
        </w:rPr>
      </w:pPr>
      <w:r>
        <w:rPr>
          <w:rFonts w:hint="default" w:ascii="Times New Roman" w:hAnsi="Times New Roman"/>
        </w:rPr>
        <w:t xml:space="preserve">表2-3 </w:t>
      </w:r>
      <w:r>
        <w:t xml:space="preserve"> 西区泵站情况</w:t>
      </w:r>
    </w:p>
    <w:tbl>
      <w:tblPr>
        <w:tblStyle w:val="2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9"/>
        <w:gridCol w:w="1590"/>
        <w:gridCol w:w="2070"/>
        <w:gridCol w:w="1425"/>
        <w:gridCol w:w="1414"/>
      </w:tblGrid>
      <w:tr w14:paraId="40A6B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2029" w:type="dxa"/>
          </w:tcPr>
          <w:p w14:paraId="13081179">
            <w:pPr>
              <w:spacing w:line="240" w:lineRule="auto"/>
              <w:ind w:firstLine="0" w:firstLineChars="0"/>
              <w:jc w:val="center"/>
              <w:rPr>
                <w:rFonts w:cs="Times New Roman"/>
                <w:sz w:val="21"/>
              </w:rPr>
            </w:pPr>
            <w:r>
              <w:rPr>
                <w:rFonts w:hint="eastAsia" w:cs="Times New Roman"/>
                <w:sz w:val="21"/>
              </w:rPr>
              <w:t>泵站名称</w:t>
            </w:r>
          </w:p>
        </w:tc>
        <w:tc>
          <w:tcPr>
            <w:tcW w:w="1590" w:type="dxa"/>
          </w:tcPr>
          <w:p w14:paraId="522E9D26">
            <w:pPr>
              <w:spacing w:line="240" w:lineRule="auto"/>
              <w:ind w:firstLine="0" w:firstLineChars="0"/>
              <w:jc w:val="center"/>
              <w:rPr>
                <w:rFonts w:cs="Times New Roman"/>
                <w:sz w:val="21"/>
              </w:rPr>
            </w:pPr>
            <w:r>
              <w:rPr>
                <w:rFonts w:hint="eastAsia" w:cs="Times New Roman"/>
                <w:sz w:val="21"/>
              </w:rPr>
              <w:t>所在位置</w:t>
            </w:r>
          </w:p>
        </w:tc>
        <w:tc>
          <w:tcPr>
            <w:tcW w:w="2070" w:type="dxa"/>
          </w:tcPr>
          <w:p w14:paraId="04720B8D">
            <w:pPr>
              <w:spacing w:line="240" w:lineRule="auto"/>
              <w:ind w:firstLine="0" w:firstLineChars="0"/>
              <w:jc w:val="center"/>
              <w:rPr>
                <w:rFonts w:cs="Times New Roman"/>
                <w:sz w:val="21"/>
              </w:rPr>
            </w:pPr>
            <w:r>
              <w:rPr>
                <w:rFonts w:hint="eastAsia" w:cs="Times New Roman"/>
                <w:sz w:val="21"/>
              </w:rPr>
              <w:t>设计灌溉、排涝面积（亩）</w:t>
            </w:r>
          </w:p>
        </w:tc>
        <w:tc>
          <w:tcPr>
            <w:tcW w:w="1425" w:type="dxa"/>
          </w:tcPr>
          <w:p w14:paraId="433FC169">
            <w:pPr>
              <w:spacing w:line="240" w:lineRule="auto"/>
              <w:ind w:firstLine="0" w:firstLineChars="0"/>
              <w:jc w:val="center"/>
              <w:rPr>
                <w:rFonts w:cs="Times New Roman"/>
                <w:sz w:val="21"/>
              </w:rPr>
            </w:pPr>
            <w:r>
              <w:rPr>
                <w:rFonts w:hint="eastAsia" w:cs="Times New Roman"/>
                <w:sz w:val="21"/>
              </w:rPr>
              <w:t>电机功率</w:t>
            </w:r>
          </w:p>
          <w:p w14:paraId="1A35CB07">
            <w:pPr>
              <w:spacing w:line="240" w:lineRule="auto"/>
              <w:ind w:firstLine="0" w:firstLineChars="0"/>
              <w:jc w:val="center"/>
              <w:rPr>
                <w:rFonts w:cs="Times New Roman"/>
                <w:sz w:val="21"/>
              </w:rPr>
            </w:pPr>
            <w:r>
              <w:rPr>
                <w:rFonts w:hint="eastAsia" w:cs="Times New Roman"/>
                <w:sz w:val="21"/>
              </w:rPr>
              <w:t>(kw)</w:t>
            </w:r>
          </w:p>
        </w:tc>
        <w:tc>
          <w:tcPr>
            <w:tcW w:w="1414" w:type="dxa"/>
          </w:tcPr>
          <w:p w14:paraId="29BF2156">
            <w:pPr>
              <w:spacing w:line="240" w:lineRule="auto"/>
              <w:ind w:firstLine="0" w:firstLineChars="0"/>
              <w:jc w:val="center"/>
              <w:rPr>
                <w:rFonts w:cs="Times New Roman"/>
                <w:sz w:val="21"/>
              </w:rPr>
            </w:pPr>
            <w:r>
              <w:rPr>
                <w:rFonts w:hint="eastAsia" w:cs="Times New Roman"/>
                <w:sz w:val="21"/>
              </w:rPr>
              <w:t>出水流量</w:t>
            </w:r>
          </w:p>
          <w:p w14:paraId="2408A204">
            <w:pPr>
              <w:spacing w:line="240" w:lineRule="auto"/>
              <w:ind w:firstLine="0" w:firstLineChars="0"/>
              <w:jc w:val="center"/>
              <w:rPr>
                <w:rFonts w:cs="Times New Roman"/>
                <w:sz w:val="21"/>
              </w:rPr>
            </w:pPr>
            <w:r>
              <w:rPr>
                <w:rFonts w:hint="eastAsia" w:cs="Times New Roman"/>
                <w:sz w:val="21"/>
              </w:rPr>
              <w:t>（m</w:t>
            </w:r>
            <w:r>
              <w:rPr>
                <w:rFonts w:cs="Times New Roman"/>
                <w:sz w:val="21"/>
              </w:rPr>
              <w:t>³/</w:t>
            </w:r>
            <w:r>
              <w:rPr>
                <w:rFonts w:hint="eastAsia" w:cs="Times New Roman"/>
                <w:sz w:val="21"/>
              </w:rPr>
              <w:t>s）</w:t>
            </w:r>
          </w:p>
        </w:tc>
      </w:tr>
      <w:tr w14:paraId="489E9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328986D9">
            <w:pPr>
              <w:widowControl/>
              <w:spacing w:line="240" w:lineRule="auto"/>
              <w:ind w:firstLine="0" w:firstLineChars="0"/>
              <w:jc w:val="center"/>
              <w:textAlignment w:val="center"/>
              <w:rPr>
                <w:rFonts w:cs="Times New Roman"/>
                <w:sz w:val="21"/>
              </w:rPr>
            </w:pPr>
            <w:r>
              <w:rPr>
                <w:rFonts w:eastAsia="宋体" w:cs="Times New Roman"/>
                <w:kern w:val="0"/>
                <w:sz w:val="21"/>
                <w:lang w:bidi="ar"/>
              </w:rPr>
              <w:t>悦生电排站</w:t>
            </w:r>
          </w:p>
        </w:tc>
        <w:tc>
          <w:tcPr>
            <w:tcW w:w="1590" w:type="dxa"/>
            <w:vAlign w:val="center"/>
          </w:tcPr>
          <w:p w14:paraId="78CA4A54">
            <w:pPr>
              <w:widowControl/>
              <w:spacing w:line="240" w:lineRule="auto"/>
              <w:ind w:firstLine="0" w:firstLineChars="0"/>
              <w:jc w:val="center"/>
              <w:textAlignment w:val="center"/>
              <w:rPr>
                <w:rFonts w:cs="Times New Roman"/>
                <w:sz w:val="21"/>
              </w:rPr>
            </w:pPr>
            <w:r>
              <w:rPr>
                <w:rFonts w:eastAsia="宋体" w:cs="Times New Roman"/>
                <w:kern w:val="0"/>
                <w:sz w:val="21"/>
                <w:lang w:bidi="ar"/>
              </w:rPr>
              <w:t>隆昌社区一组</w:t>
            </w:r>
          </w:p>
        </w:tc>
        <w:tc>
          <w:tcPr>
            <w:tcW w:w="2070" w:type="dxa"/>
            <w:vAlign w:val="center"/>
          </w:tcPr>
          <w:p w14:paraId="357B802F">
            <w:pPr>
              <w:widowControl/>
              <w:spacing w:line="240" w:lineRule="auto"/>
              <w:ind w:firstLine="0" w:firstLineChars="0"/>
              <w:jc w:val="center"/>
              <w:textAlignment w:val="center"/>
              <w:rPr>
                <w:rFonts w:cs="Times New Roman"/>
                <w:sz w:val="21"/>
              </w:rPr>
            </w:pPr>
            <w:r>
              <w:rPr>
                <w:rFonts w:eastAsia="宋体" w:cs="Times New Roman"/>
                <w:kern w:val="0"/>
                <w:sz w:val="21"/>
                <w:lang w:bidi="ar"/>
              </w:rPr>
              <w:t>700</w:t>
            </w:r>
          </w:p>
        </w:tc>
        <w:tc>
          <w:tcPr>
            <w:tcW w:w="1425" w:type="dxa"/>
            <w:vAlign w:val="center"/>
          </w:tcPr>
          <w:p w14:paraId="5ACBC546">
            <w:pPr>
              <w:widowControl/>
              <w:spacing w:line="240" w:lineRule="auto"/>
              <w:ind w:firstLine="0" w:firstLineChars="0"/>
              <w:jc w:val="center"/>
              <w:textAlignment w:val="center"/>
              <w:rPr>
                <w:rFonts w:cs="Times New Roman"/>
                <w:sz w:val="21"/>
              </w:rPr>
            </w:pPr>
            <w:r>
              <w:rPr>
                <w:rFonts w:eastAsia="宋体" w:cs="Times New Roman"/>
                <w:kern w:val="0"/>
                <w:sz w:val="21"/>
                <w:lang w:bidi="ar"/>
              </w:rPr>
              <w:t>80</w:t>
            </w:r>
          </w:p>
        </w:tc>
        <w:tc>
          <w:tcPr>
            <w:tcW w:w="1414" w:type="dxa"/>
            <w:vAlign w:val="center"/>
          </w:tcPr>
          <w:p w14:paraId="4C773B65">
            <w:pPr>
              <w:widowControl/>
              <w:spacing w:line="240" w:lineRule="auto"/>
              <w:ind w:firstLine="0" w:firstLineChars="0"/>
              <w:jc w:val="center"/>
              <w:textAlignment w:val="center"/>
              <w:rPr>
                <w:rFonts w:cs="Times New Roman"/>
                <w:sz w:val="21"/>
              </w:rPr>
            </w:pPr>
            <w:r>
              <w:rPr>
                <w:rFonts w:eastAsia="宋体" w:cs="Times New Roman"/>
                <w:kern w:val="0"/>
                <w:sz w:val="21"/>
                <w:lang w:bidi="ar"/>
              </w:rPr>
              <w:t>1.36</w:t>
            </w:r>
          </w:p>
        </w:tc>
      </w:tr>
      <w:tr w14:paraId="68BF6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5BE3263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秀丰电排站</w:t>
            </w:r>
          </w:p>
        </w:tc>
        <w:tc>
          <w:tcPr>
            <w:tcW w:w="1590" w:type="dxa"/>
            <w:vAlign w:val="center"/>
          </w:tcPr>
          <w:p w14:paraId="7652AA4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隆昌社区六组</w:t>
            </w:r>
          </w:p>
        </w:tc>
        <w:tc>
          <w:tcPr>
            <w:tcW w:w="2070" w:type="dxa"/>
            <w:vAlign w:val="center"/>
          </w:tcPr>
          <w:p w14:paraId="4B9483C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1250</w:t>
            </w:r>
          </w:p>
        </w:tc>
        <w:tc>
          <w:tcPr>
            <w:tcW w:w="1425" w:type="dxa"/>
            <w:vAlign w:val="center"/>
          </w:tcPr>
          <w:p w14:paraId="1A4975F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155</w:t>
            </w:r>
          </w:p>
        </w:tc>
        <w:tc>
          <w:tcPr>
            <w:tcW w:w="1414" w:type="dxa"/>
            <w:vAlign w:val="center"/>
          </w:tcPr>
          <w:p w14:paraId="656C0B3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3.3</w:t>
            </w:r>
          </w:p>
        </w:tc>
      </w:tr>
      <w:tr w14:paraId="31E38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257F94E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下闸排水泵站</w:t>
            </w:r>
          </w:p>
        </w:tc>
        <w:tc>
          <w:tcPr>
            <w:tcW w:w="1590" w:type="dxa"/>
            <w:vAlign w:val="center"/>
          </w:tcPr>
          <w:p w14:paraId="326E98C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蓝波路</w:t>
            </w:r>
          </w:p>
        </w:tc>
        <w:tc>
          <w:tcPr>
            <w:tcW w:w="2070" w:type="dxa"/>
            <w:vAlign w:val="center"/>
          </w:tcPr>
          <w:p w14:paraId="0E1CF70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1200</w:t>
            </w:r>
          </w:p>
        </w:tc>
        <w:tc>
          <w:tcPr>
            <w:tcW w:w="1425" w:type="dxa"/>
            <w:vAlign w:val="center"/>
          </w:tcPr>
          <w:p w14:paraId="625FE6E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735</w:t>
            </w:r>
          </w:p>
        </w:tc>
        <w:tc>
          <w:tcPr>
            <w:tcW w:w="1414" w:type="dxa"/>
            <w:vAlign w:val="center"/>
          </w:tcPr>
          <w:p w14:paraId="357D4E16">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7.65</w:t>
            </w:r>
          </w:p>
        </w:tc>
      </w:tr>
      <w:tr w14:paraId="78DEF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7D00C52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西河涌排水泵站</w:t>
            </w:r>
          </w:p>
        </w:tc>
        <w:tc>
          <w:tcPr>
            <w:tcW w:w="1590" w:type="dxa"/>
            <w:vAlign w:val="center"/>
          </w:tcPr>
          <w:p w14:paraId="7F5E03D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翠景南路</w:t>
            </w:r>
          </w:p>
        </w:tc>
        <w:tc>
          <w:tcPr>
            <w:tcW w:w="2070" w:type="dxa"/>
            <w:vAlign w:val="center"/>
          </w:tcPr>
          <w:p w14:paraId="0F1EF56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950</w:t>
            </w:r>
          </w:p>
        </w:tc>
        <w:tc>
          <w:tcPr>
            <w:tcW w:w="1425" w:type="dxa"/>
            <w:vAlign w:val="center"/>
          </w:tcPr>
          <w:p w14:paraId="7624954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640</w:t>
            </w:r>
          </w:p>
        </w:tc>
        <w:tc>
          <w:tcPr>
            <w:tcW w:w="1414" w:type="dxa"/>
            <w:vAlign w:val="center"/>
          </w:tcPr>
          <w:p w14:paraId="2A5C93B6">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7.65</w:t>
            </w:r>
          </w:p>
        </w:tc>
      </w:tr>
      <w:tr w14:paraId="4FAAA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5A0EF34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穂兴电排站</w:t>
            </w:r>
          </w:p>
        </w:tc>
        <w:tc>
          <w:tcPr>
            <w:tcW w:w="1590" w:type="dxa"/>
            <w:vAlign w:val="center"/>
          </w:tcPr>
          <w:p w14:paraId="38B436D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沙朗社区三组</w:t>
            </w:r>
          </w:p>
        </w:tc>
        <w:tc>
          <w:tcPr>
            <w:tcW w:w="2070" w:type="dxa"/>
            <w:vAlign w:val="center"/>
          </w:tcPr>
          <w:p w14:paraId="50B4D60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500</w:t>
            </w:r>
          </w:p>
        </w:tc>
        <w:tc>
          <w:tcPr>
            <w:tcW w:w="1425" w:type="dxa"/>
            <w:vAlign w:val="center"/>
          </w:tcPr>
          <w:p w14:paraId="3680EB0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65</w:t>
            </w:r>
          </w:p>
        </w:tc>
        <w:tc>
          <w:tcPr>
            <w:tcW w:w="1414" w:type="dxa"/>
            <w:vAlign w:val="center"/>
          </w:tcPr>
          <w:p w14:paraId="1FD313D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w:t>
            </w:r>
          </w:p>
        </w:tc>
      </w:tr>
      <w:tr w14:paraId="15639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3A5FDBB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石特涌泵站</w:t>
            </w:r>
          </w:p>
        </w:tc>
        <w:tc>
          <w:tcPr>
            <w:tcW w:w="1590" w:type="dxa"/>
            <w:vAlign w:val="center"/>
          </w:tcPr>
          <w:p w14:paraId="789D6B8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隆平社区三组</w:t>
            </w:r>
          </w:p>
        </w:tc>
        <w:tc>
          <w:tcPr>
            <w:tcW w:w="2070" w:type="dxa"/>
            <w:vAlign w:val="center"/>
          </w:tcPr>
          <w:p w14:paraId="6889297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w:t>
            </w:r>
          </w:p>
        </w:tc>
        <w:tc>
          <w:tcPr>
            <w:tcW w:w="1425" w:type="dxa"/>
            <w:vAlign w:val="center"/>
          </w:tcPr>
          <w:p w14:paraId="3763CF0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155×3</w:t>
            </w:r>
          </w:p>
        </w:tc>
        <w:tc>
          <w:tcPr>
            <w:tcW w:w="1414" w:type="dxa"/>
            <w:vAlign w:val="center"/>
          </w:tcPr>
          <w:p w14:paraId="2D6C383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12.78</w:t>
            </w:r>
          </w:p>
        </w:tc>
      </w:tr>
      <w:tr w14:paraId="7DBFC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1346E55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狮滘口排水泵站</w:t>
            </w:r>
          </w:p>
        </w:tc>
        <w:tc>
          <w:tcPr>
            <w:tcW w:w="1590" w:type="dxa"/>
            <w:vAlign w:val="center"/>
          </w:tcPr>
          <w:p w14:paraId="0D0F753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105国道狮滘河边</w:t>
            </w:r>
          </w:p>
        </w:tc>
        <w:tc>
          <w:tcPr>
            <w:tcW w:w="2070" w:type="dxa"/>
            <w:vAlign w:val="center"/>
          </w:tcPr>
          <w:p w14:paraId="046FCF3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水循环</w:t>
            </w:r>
          </w:p>
        </w:tc>
        <w:tc>
          <w:tcPr>
            <w:tcW w:w="1425" w:type="dxa"/>
            <w:vAlign w:val="center"/>
          </w:tcPr>
          <w:p w14:paraId="0E337966">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560</w:t>
            </w:r>
          </w:p>
        </w:tc>
        <w:tc>
          <w:tcPr>
            <w:tcW w:w="1414" w:type="dxa"/>
            <w:vAlign w:val="center"/>
          </w:tcPr>
          <w:p w14:paraId="247E7AD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2.65</w:t>
            </w:r>
          </w:p>
        </w:tc>
      </w:tr>
      <w:tr w14:paraId="206F9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479F227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沙朗一组电排站</w:t>
            </w:r>
          </w:p>
        </w:tc>
        <w:tc>
          <w:tcPr>
            <w:tcW w:w="1590" w:type="dxa"/>
            <w:vAlign w:val="center"/>
          </w:tcPr>
          <w:p w14:paraId="49B21CC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沙朗社区一组</w:t>
            </w:r>
          </w:p>
        </w:tc>
        <w:tc>
          <w:tcPr>
            <w:tcW w:w="2070" w:type="dxa"/>
            <w:vAlign w:val="center"/>
          </w:tcPr>
          <w:p w14:paraId="5D4187A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600</w:t>
            </w:r>
          </w:p>
        </w:tc>
        <w:tc>
          <w:tcPr>
            <w:tcW w:w="1425" w:type="dxa"/>
            <w:vAlign w:val="center"/>
          </w:tcPr>
          <w:p w14:paraId="2766E87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4CD75F8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w:t>
            </w:r>
          </w:p>
        </w:tc>
      </w:tr>
      <w:tr w14:paraId="3A538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6DB24F2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沙朗二组电排站</w:t>
            </w:r>
          </w:p>
        </w:tc>
        <w:tc>
          <w:tcPr>
            <w:tcW w:w="1590" w:type="dxa"/>
            <w:vAlign w:val="center"/>
          </w:tcPr>
          <w:p w14:paraId="3E31857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沙朗社区二组</w:t>
            </w:r>
          </w:p>
        </w:tc>
        <w:tc>
          <w:tcPr>
            <w:tcW w:w="2070" w:type="dxa"/>
            <w:vAlign w:val="center"/>
          </w:tcPr>
          <w:p w14:paraId="75DA0F7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900</w:t>
            </w:r>
          </w:p>
        </w:tc>
        <w:tc>
          <w:tcPr>
            <w:tcW w:w="1425" w:type="dxa"/>
            <w:vAlign w:val="center"/>
          </w:tcPr>
          <w:p w14:paraId="3DFD26B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55</w:t>
            </w:r>
          </w:p>
        </w:tc>
        <w:tc>
          <w:tcPr>
            <w:tcW w:w="1414" w:type="dxa"/>
            <w:vAlign w:val="center"/>
          </w:tcPr>
          <w:p w14:paraId="2DC43A2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1.14</w:t>
            </w:r>
          </w:p>
        </w:tc>
      </w:tr>
      <w:tr w14:paraId="191D8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6401F06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沙朗二组（新）站</w:t>
            </w:r>
          </w:p>
        </w:tc>
        <w:tc>
          <w:tcPr>
            <w:tcW w:w="1590" w:type="dxa"/>
            <w:vAlign w:val="center"/>
          </w:tcPr>
          <w:p w14:paraId="5F4B18E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沙朗社区二组</w:t>
            </w:r>
          </w:p>
        </w:tc>
        <w:tc>
          <w:tcPr>
            <w:tcW w:w="2070" w:type="dxa"/>
            <w:vAlign w:val="center"/>
          </w:tcPr>
          <w:p w14:paraId="215308A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350</w:t>
            </w:r>
          </w:p>
        </w:tc>
        <w:tc>
          <w:tcPr>
            <w:tcW w:w="1425" w:type="dxa"/>
            <w:vAlign w:val="center"/>
          </w:tcPr>
          <w:p w14:paraId="296510C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2E9C1B9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0.7</w:t>
            </w:r>
          </w:p>
        </w:tc>
      </w:tr>
      <w:tr w14:paraId="3964C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4A35E61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沙朗六组电排站</w:t>
            </w:r>
          </w:p>
        </w:tc>
        <w:tc>
          <w:tcPr>
            <w:tcW w:w="1590" w:type="dxa"/>
            <w:vAlign w:val="center"/>
          </w:tcPr>
          <w:p w14:paraId="11829B8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沙朗社区六组</w:t>
            </w:r>
          </w:p>
        </w:tc>
        <w:tc>
          <w:tcPr>
            <w:tcW w:w="2070" w:type="dxa"/>
            <w:vAlign w:val="center"/>
          </w:tcPr>
          <w:p w14:paraId="5CA33E6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850</w:t>
            </w:r>
          </w:p>
        </w:tc>
        <w:tc>
          <w:tcPr>
            <w:tcW w:w="1425" w:type="dxa"/>
            <w:vAlign w:val="center"/>
          </w:tcPr>
          <w:p w14:paraId="0A0B5F5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80</w:t>
            </w:r>
          </w:p>
        </w:tc>
        <w:tc>
          <w:tcPr>
            <w:tcW w:w="1414" w:type="dxa"/>
            <w:vAlign w:val="center"/>
          </w:tcPr>
          <w:p w14:paraId="0254D4E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1.36</w:t>
            </w:r>
          </w:p>
        </w:tc>
      </w:tr>
      <w:tr w14:paraId="78C97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00CA840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沙朗七组电排站</w:t>
            </w:r>
          </w:p>
        </w:tc>
        <w:tc>
          <w:tcPr>
            <w:tcW w:w="1590" w:type="dxa"/>
            <w:vAlign w:val="center"/>
          </w:tcPr>
          <w:p w14:paraId="6C43CA8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沙朗社区七组</w:t>
            </w:r>
          </w:p>
        </w:tc>
        <w:tc>
          <w:tcPr>
            <w:tcW w:w="2070" w:type="dxa"/>
            <w:vAlign w:val="center"/>
          </w:tcPr>
          <w:p w14:paraId="2B70558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400</w:t>
            </w:r>
          </w:p>
        </w:tc>
        <w:tc>
          <w:tcPr>
            <w:tcW w:w="1425" w:type="dxa"/>
            <w:vAlign w:val="center"/>
          </w:tcPr>
          <w:p w14:paraId="332DB5E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5D7F505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0.7</w:t>
            </w:r>
          </w:p>
        </w:tc>
      </w:tr>
      <w:tr w14:paraId="0814F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029" w:type="dxa"/>
            <w:vAlign w:val="center"/>
          </w:tcPr>
          <w:p w14:paraId="6A9A483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沙朗八组电排站</w:t>
            </w:r>
          </w:p>
        </w:tc>
        <w:tc>
          <w:tcPr>
            <w:tcW w:w="1590" w:type="dxa"/>
            <w:vAlign w:val="center"/>
          </w:tcPr>
          <w:p w14:paraId="380847E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沙朗社区八组</w:t>
            </w:r>
          </w:p>
        </w:tc>
        <w:tc>
          <w:tcPr>
            <w:tcW w:w="2070" w:type="dxa"/>
            <w:vAlign w:val="center"/>
          </w:tcPr>
          <w:p w14:paraId="6D9CE7F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700</w:t>
            </w:r>
          </w:p>
        </w:tc>
        <w:tc>
          <w:tcPr>
            <w:tcW w:w="1425" w:type="dxa"/>
            <w:vAlign w:val="center"/>
          </w:tcPr>
          <w:p w14:paraId="108DAD7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80</w:t>
            </w:r>
          </w:p>
        </w:tc>
        <w:tc>
          <w:tcPr>
            <w:tcW w:w="1414" w:type="dxa"/>
            <w:vAlign w:val="center"/>
          </w:tcPr>
          <w:p w14:paraId="257E7FF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1.36</w:t>
            </w:r>
          </w:p>
        </w:tc>
      </w:tr>
      <w:tr w14:paraId="7DFCD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2FD0145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南八电排站</w:t>
            </w:r>
          </w:p>
        </w:tc>
        <w:tc>
          <w:tcPr>
            <w:tcW w:w="1590" w:type="dxa"/>
            <w:vAlign w:val="center"/>
          </w:tcPr>
          <w:p w14:paraId="7B7E3A9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广丰社区桥头</w:t>
            </w:r>
          </w:p>
        </w:tc>
        <w:tc>
          <w:tcPr>
            <w:tcW w:w="2070" w:type="dxa"/>
            <w:vAlign w:val="center"/>
          </w:tcPr>
          <w:p w14:paraId="6945900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900</w:t>
            </w:r>
          </w:p>
        </w:tc>
        <w:tc>
          <w:tcPr>
            <w:tcW w:w="1425" w:type="dxa"/>
            <w:vAlign w:val="center"/>
          </w:tcPr>
          <w:p w14:paraId="11054F9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22</w:t>
            </w:r>
          </w:p>
        </w:tc>
        <w:tc>
          <w:tcPr>
            <w:tcW w:w="1414" w:type="dxa"/>
            <w:vAlign w:val="center"/>
          </w:tcPr>
          <w:p w14:paraId="761DF86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1.23</w:t>
            </w:r>
          </w:p>
        </w:tc>
      </w:tr>
      <w:tr w14:paraId="2755F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54720A5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隆平一组电排站</w:t>
            </w:r>
          </w:p>
        </w:tc>
        <w:tc>
          <w:tcPr>
            <w:tcW w:w="1590" w:type="dxa"/>
            <w:vAlign w:val="center"/>
          </w:tcPr>
          <w:p w14:paraId="3083DD7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隆平社区一组</w:t>
            </w:r>
          </w:p>
        </w:tc>
        <w:tc>
          <w:tcPr>
            <w:tcW w:w="2070" w:type="dxa"/>
            <w:vAlign w:val="center"/>
          </w:tcPr>
          <w:p w14:paraId="0AA8EFD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670</w:t>
            </w:r>
          </w:p>
        </w:tc>
        <w:tc>
          <w:tcPr>
            <w:tcW w:w="1425" w:type="dxa"/>
            <w:vAlign w:val="center"/>
          </w:tcPr>
          <w:p w14:paraId="58D8494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65+80</w:t>
            </w:r>
          </w:p>
        </w:tc>
        <w:tc>
          <w:tcPr>
            <w:tcW w:w="1414" w:type="dxa"/>
            <w:vAlign w:val="center"/>
          </w:tcPr>
          <w:p w14:paraId="36536BC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2.4</w:t>
            </w:r>
          </w:p>
        </w:tc>
      </w:tr>
      <w:tr w14:paraId="2BEC1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65A5107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隆平二组电排站</w:t>
            </w:r>
          </w:p>
        </w:tc>
        <w:tc>
          <w:tcPr>
            <w:tcW w:w="1590" w:type="dxa"/>
            <w:vAlign w:val="center"/>
          </w:tcPr>
          <w:p w14:paraId="2B5CFA9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隆平社区二组</w:t>
            </w:r>
          </w:p>
        </w:tc>
        <w:tc>
          <w:tcPr>
            <w:tcW w:w="2070" w:type="dxa"/>
            <w:vAlign w:val="center"/>
          </w:tcPr>
          <w:p w14:paraId="7281E99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750</w:t>
            </w:r>
          </w:p>
        </w:tc>
        <w:tc>
          <w:tcPr>
            <w:tcW w:w="1425" w:type="dxa"/>
            <w:vAlign w:val="center"/>
          </w:tcPr>
          <w:p w14:paraId="64DBD96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65</w:t>
            </w:r>
          </w:p>
        </w:tc>
        <w:tc>
          <w:tcPr>
            <w:tcW w:w="1414" w:type="dxa"/>
            <w:vAlign w:val="center"/>
          </w:tcPr>
          <w:p w14:paraId="6693B57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w:t>
            </w:r>
          </w:p>
        </w:tc>
      </w:tr>
      <w:tr w14:paraId="32380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7FC5719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隆平三组电排站</w:t>
            </w:r>
          </w:p>
        </w:tc>
        <w:tc>
          <w:tcPr>
            <w:tcW w:w="1590" w:type="dxa"/>
            <w:vAlign w:val="center"/>
          </w:tcPr>
          <w:p w14:paraId="7835825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隆平社区三组</w:t>
            </w:r>
          </w:p>
        </w:tc>
        <w:tc>
          <w:tcPr>
            <w:tcW w:w="2070" w:type="dxa"/>
            <w:vAlign w:val="center"/>
          </w:tcPr>
          <w:p w14:paraId="44EF27F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778</w:t>
            </w:r>
          </w:p>
        </w:tc>
        <w:tc>
          <w:tcPr>
            <w:tcW w:w="1425" w:type="dxa"/>
            <w:vAlign w:val="center"/>
          </w:tcPr>
          <w:p w14:paraId="70B7C67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80</w:t>
            </w:r>
          </w:p>
        </w:tc>
        <w:tc>
          <w:tcPr>
            <w:tcW w:w="1414" w:type="dxa"/>
            <w:vAlign w:val="center"/>
          </w:tcPr>
          <w:p w14:paraId="7AD5E15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1.36</w:t>
            </w:r>
          </w:p>
        </w:tc>
      </w:tr>
      <w:tr w14:paraId="3B30D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0063BBE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隆平四组电排站</w:t>
            </w:r>
          </w:p>
        </w:tc>
        <w:tc>
          <w:tcPr>
            <w:tcW w:w="1590" w:type="dxa"/>
            <w:vAlign w:val="center"/>
          </w:tcPr>
          <w:p w14:paraId="0997E37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隆平社区四组</w:t>
            </w:r>
          </w:p>
        </w:tc>
        <w:tc>
          <w:tcPr>
            <w:tcW w:w="2070" w:type="dxa"/>
            <w:vAlign w:val="center"/>
          </w:tcPr>
          <w:p w14:paraId="0EDF9C6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500</w:t>
            </w:r>
          </w:p>
        </w:tc>
        <w:tc>
          <w:tcPr>
            <w:tcW w:w="1425" w:type="dxa"/>
            <w:vAlign w:val="center"/>
          </w:tcPr>
          <w:p w14:paraId="3CFBCBE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6EF4B05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0.7</w:t>
            </w:r>
          </w:p>
        </w:tc>
      </w:tr>
      <w:tr w14:paraId="0B60F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2029" w:type="dxa"/>
            <w:vAlign w:val="center"/>
          </w:tcPr>
          <w:p w14:paraId="721A4AD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隆昌二队电排站</w:t>
            </w:r>
          </w:p>
        </w:tc>
        <w:tc>
          <w:tcPr>
            <w:tcW w:w="1590" w:type="dxa"/>
            <w:vAlign w:val="center"/>
          </w:tcPr>
          <w:p w14:paraId="58EBDBD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隆昌社区二组</w:t>
            </w:r>
          </w:p>
        </w:tc>
        <w:tc>
          <w:tcPr>
            <w:tcW w:w="2070" w:type="dxa"/>
            <w:vAlign w:val="center"/>
          </w:tcPr>
          <w:p w14:paraId="7BF1261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450</w:t>
            </w:r>
          </w:p>
        </w:tc>
        <w:tc>
          <w:tcPr>
            <w:tcW w:w="1425" w:type="dxa"/>
            <w:vAlign w:val="center"/>
          </w:tcPr>
          <w:p w14:paraId="31C0D6A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37×2</w:t>
            </w:r>
          </w:p>
        </w:tc>
        <w:tc>
          <w:tcPr>
            <w:tcW w:w="1414" w:type="dxa"/>
            <w:vAlign w:val="center"/>
          </w:tcPr>
          <w:p w14:paraId="16E9541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0.64</w:t>
            </w:r>
          </w:p>
        </w:tc>
      </w:tr>
      <w:tr w14:paraId="46F45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3AA71FE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隆昌四组电排站</w:t>
            </w:r>
          </w:p>
        </w:tc>
        <w:tc>
          <w:tcPr>
            <w:tcW w:w="1590" w:type="dxa"/>
            <w:vAlign w:val="center"/>
          </w:tcPr>
          <w:p w14:paraId="697BEB6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隆昌社区四组</w:t>
            </w:r>
          </w:p>
        </w:tc>
        <w:tc>
          <w:tcPr>
            <w:tcW w:w="2070" w:type="dxa"/>
            <w:vAlign w:val="center"/>
          </w:tcPr>
          <w:p w14:paraId="0B40193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350</w:t>
            </w:r>
          </w:p>
        </w:tc>
        <w:tc>
          <w:tcPr>
            <w:tcW w:w="1425" w:type="dxa"/>
            <w:vAlign w:val="center"/>
          </w:tcPr>
          <w:p w14:paraId="56D7C39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28</w:t>
            </w:r>
          </w:p>
        </w:tc>
        <w:tc>
          <w:tcPr>
            <w:tcW w:w="1414" w:type="dxa"/>
            <w:vAlign w:val="center"/>
          </w:tcPr>
          <w:p w14:paraId="137AB46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w:t>
            </w:r>
          </w:p>
        </w:tc>
      </w:tr>
      <w:tr w14:paraId="61F87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9" w:type="dxa"/>
            <w:gridSpan w:val="2"/>
          </w:tcPr>
          <w:p w14:paraId="7BD82683">
            <w:pPr>
              <w:spacing w:line="240" w:lineRule="auto"/>
              <w:ind w:firstLine="0" w:firstLineChars="0"/>
              <w:jc w:val="center"/>
              <w:rPr>
                <w:rFonts w:cs="Times New Roman"/>
                <w:b/>
                <w:bCs/>
                <w:sz w:val="21"/>
              </w:rPr>
            </w:pPr>
            <w:r>
              <w:rPr>
                <w:rFonts w:hint="eastAsia" w:cs="Times New Roman"/>
                <w:b/>
                <w:bCs/>
                <w:sz w:val="21"/>
              </w:rPr>
              <w:t>合计</w:t>
            </w:r>
          </w:p>
        </w:tc>
        <w:tc>
          <w:tcPr>
            <w:tcW w:w="2070" w:type="dxa"/>
          </w:tcPr>
          <w:p w14:paraId="0CFD5930">
            <w:pPr>
              <w:spacing w:line="240" w:lineRule="auto"/>
              <w:ind w:firstLine="0" w:firstLineChars="0"/>
              <w:jc w:val="center"/>
              <w:rPr>
                <w:rFonts w:cs="Times New Roman"/>
                <w:b/>
                <w:bCs/>
                <w:sz w:val="21"/>
              </w:rPr>
            </w:pPr>
            <w:r>
              <w:rPr>
                <w:rFonts w:hint="eastAsia" w:cs="Times New Roman"/>
                <w:b/>
                <w:bCs/>
                <w:sz w:val="21"/>
              </w:rPr>
              <w:t>18858</w:t>
            </w:r>
          </w:p>
        </w:tc>
        <w:tc>
          <w:tcPr>
            <w:tcW w:w="1425" w:type="dxa"/>
          </w:tcPr>
          <w:p w14:paraId="05A72A6A">
            <w:pPr>
              <w:spacing w:line="240" w:lineRule="auto"/>
              <w:ind w:firstLine="0" w:firstLineChars="0"/>
              <w:jc w:val="center"/>
              <w:rPr>
                <w:rFonts w:cs="Times New Roman"/>
                <w:b/>
                <w:bCs/>
                <w:sz w:val="21"/>
              </w:rPr>
            </w:pPr>
            <w:r>
              <w:rPr>
                <w:rFonts w:hint="eastAsia" w:cs="Times New Roman"/>
                <w:b/>
                <w:bCs/>
                <w:sz w:val="21"/>
              </w:rPr>
              <w:t>3941</w:t>
            </w:r>
          </w:p>
        </w:tc>
        <w:tc>
          <w:tcPr>
            <w:tcW w:w="1414" w:type="dxa"/>
          </w:tcPr>
          <w:p w14:paraId="414D39B4">
            <w:pPr>
              <w:spacing w:line="240" w:lineRule="auto"/>
              <w:ind w:firstLine="0" w:firstLineChars="0"/>
              <w:jc w:val="center"/>
              <w:rPr>
                <w:rFonts w:cs="Times New Roman"/>
                <w:b/>
                <w:bCs/>
                <w:sz w:val="21"/>
              </w:rPr>
            </w:pPr>
            <w:r>
              <w:rPr>
                <w:rFonts w:hint="eastAsia" w:cs="Times New Roman"/>
                <w:b/>
                <w:bCs/>
                <w:sz w:val="21"/>
              </w:rPr>
              <w:t>62.206</w:t>
            </w:r>
          </w:p>
        </w:tc>
      </w:tr>
    </w:tbl>
    <w:p w14:paraId="202B727D">
      <w:pPr>
        <w:ind w:firstLine="480"/>
        <w:rPr>
          <w:rFonts w:cs="Times New Roman"/>
          <w:szCs w:val="28"/>
        </w:rPr>
      </w:pPr>
    </w:p>
    <w:p w14:paraId="66061233">
      <w:pPr>
        <w:ind w:firstLine="0" w:firstLineChars="0"/>
        <w:jc w:val="center"/>
      </w:pPr>
      <w:r>
        <w:drawing>
          <wp:inline distT="0" distB="0" distL="114300" distR="114300">
            <wp:extent cx="5266055" cy="3502025"/>
            <wp:effectExtent l="0" t="0" r="10795" b="3175"/>
            <wp:docPr id="9" name="内容占位符 27649" descr="IMG_067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内容占位符 27649" descr="IMG_0675"/>
                    <pic:cNvPicPr>
                      <a:picLocks noGrp="1" noChangeAspect="1"/>
                    </pic:cNvPicPr>
                  </pic:nvPicPr>
                  <pic:blipFill>
                    <a:blip r:embed="rId18"/>
                    <a:stretch>
                      <a:fillRect/>
                    </a:stretch>
                  </pic:blipFill>
                  <pic:spPr>
                    <a:xfrm>
                      <a:off x="0" y="0"/>
                      <a:ext cx="5266055" cy="3502025"/>
                    </a:xfrm>
                    <a:prstGeom prst="rect">
                      <a:avLst/>
                    </a:prstGeom>
                    <a:noFill/>
                    <a:ln w="9525">
                      <a:noFill/>
                    </a:ln>
                  </pic:spPr>
                </pic:pic>
              </a:graphicData>
            </a:graphic>
          </wp:inline>
        </w:drawing>
      </w:r>
    </w:p>
    <w:p w14:paraId="5EDFB75F">
      <w:pPr>
        <w:ind w:firstLine="0" w:firstLineChars="0"/>
        <w:jc w:val="center"/>
      </w:pPr>
      <w:r>
        <w:rPr>
          <w:rFonts w:eastAsia="宋体" w:cs="Times New Roman"/>
          <w:sz w:val="21"/>
        </w:rPr>
        <w:t xml:space="preserve">图2-1 </w:t>
      </w:r>
      <w:r>
        <w:rPr>
          <w:rFonts w:hint="eastAsia" w:eastAsia="宋体" w:cs="Times New Roman"/>
          <w:sz w:val="21"/>
        </w:rPr>
        <w:t>石特涌泵站</w:t>
      </w:r>
    </w:p>
    <w:p w14:paraId="52C130EA">
      <w:pPr>
        <w:ind w:firstLine="0" w:firstLineChars="0"/>
        <w:jc w:val="center"/>
        <w:rPr>
          <w:rFonts w:cs="Times New Roman"/>
          <w:szCs w:val="28"/>
        </w:rPr>
      </w:pPr>
      <w:r>
        <w:drawing>
          <wp:inline distT="0" distB="0" distL="114300" distR="114300">
            <wp:extent cx="5238750" cy="3399790"/>
            <wp:effectExtent l="0" t="0" r="0" b="10160"/>
            <wp:docPr id="19" name="图片 13319" descr="B9717DA530F5D8E7F0D4052B85674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319" descr="B9717DA530F5D8E7F0D4052B85674AD3"/>
                    <pic:cNvPicPr>
                      <a:picLocks noChangeAspect="1"/>
                    </pic:cNvPicPr>
                  </pic:nvPicPr>
                  <pic:blipFill>
                    <a:blip r:embed="rId19"/>
                    <a:stretch>
                      <a:fillRect/>
                    </a:stretch>
                  </pic:blipFill>
                  <pic:spPr>
                    <a:xfrm>
                      <a:off x="0" y="0"/>
                      <a:ext cx="5238750" cy="3399790"/>
                    </a:xfrm>
                    <a:prstGeom prst="rect">
                      <a:avLst/>
                    </a:prstGeom>
                    <a:noFill/>
                    <a:ln w="9525">
                      <a:noFill/>
                    </a:ln>
                  </pic:spPr>
                </pic:pic>
              </a:graphicData>
            </a:graphic>
          </wp:inline>
        </w:drawing>
      </w:r>
    </w:p>
    <w:p w14:paraId="744C430A">
      <w:pPr>
        <w:spacing w:line="240" w:lineRule="auto"/>
        <w:ind w:firstLine="0" w:firstLineChars="0"/>
        <w:jc w:val="center"/>
        <w:rPr>
          <w:rFonts w:eastAsia="宋体" w:cs="Times New Roman"/>
          <w:sz w:val="21"/>
        </w:rPr>
      </w:pPr>
      <w:r>
        <w:rPr>
          <w:rFonts w:eastAsia="宋体" w:cs="Times New Roman"/>
          <w:sz w:val="21"/>
        </w:rPr>
        <w:t>图2-</w:t>
      </w:r>
      <w:r>
        <w:rPr>
          <w:rFonts w:hint="eastAsia" w:eastAsia="宋体" w:cs="Times New Roman"/>
          <w:sz w:val="21"/>
        </w:rPr>
        <w:t>2</w:t>
      </w:r>
      <w:r>
        <w:rPr>
          <w:rFonts w:eastAsia="宋体" w:cs="Times New Roman"/>
          <w:sz w:val="21"/>
        </w:rPr>
        <w:t xml:space="preserve"> </w:t>
      </w:r>
      <w:r>
        <w:rPr>
          <w:rFonts w:hint="eastAsia" w:eastAsia="宋体" w:cs="Times New Roman"/>
          <w:sz w:val="21"/>
        </w:rPr>
        <w:t>西河涌排水泵站</w:t>
      </w:r>
    </w:p>
    <w:p w14:paraId="43CF622D">
      <w:pPr>
        <w:ind w:firstLine="480"/>
        <w:rPr>
          <w:rFonts w:cs="Times New Roman"/>
          <w:color w:val="FF0000"/>
          <w:szCs w:val="28"/>
        </w:rPr>
        <w:sectPr>
          <w:pgSz w:w="11906" w:h="16838"/>
          <w:pgMar w:top="1440" w:right="1797" w:bottom="1440" w:left="1797" w:header="851" w:footer="992" w:gutter="0"/>
          <w:cols w:space="425" w:num="1"/>
          <w:docGrid w:type="linesAndChars" w:linePitch="326" w:charSpace="0"/>
        </w:sectPr>
      </w:pPr>
    </w:p>
    <w:p w14:paraId="5FA5621A">
      <w:pPr>
        <w:pStyle w:val="5"/>
      </w:pPr>
      <w:r>
        <w:t>2.1.1.2海绵城市理念运用初见效果</w:t>
      </w:r>
    </w:p>
    <w:p w14:paraId="02AAF274">
      <w:pPr>
        <w:ind w:firstLine="480"/>
        <w:rPr>
          <w:rFonts w:cs="Times New Roman"/>
          <w:szCs w:val="28"/>
        </w:rPr>
      </w:pPr>
      <w:r>
        <w:rPr>
          <w:rFonts w:cs="Times New Roman"/>
          <w:szCs w:val="28"/>
        </w:rPr>
        <w:t>近年来，中山市大力开展海绵城市建设，2014年编制完成了《中山市中心城区低冲击（低影响）开发规划》，《中山市海绵城市专项规划》也已于2016年12月通过专家评审。</w:t>
      </w:r>
    </w:p>
    <w:p w14:paraId="7C9EF454">
      <w:pPr>
        <w:ind w:firstLine="480"/>
        <w:rPr>
          <w:rFonts w:cs="Times New Roman"/>
          <w:szCs w:val="28"/>
        </w:rPr>
      </w:pPr>
      <w:r>
        <w:rPr>
          <w:rFonts w:hint="eastAsia" w:cs="Times New Roman"/>
          <w:szCs w:val="28"/>
        </w:rPr>
        <w:t>2018年7月，中山市城乡规划局出台了《中山市建设项目海绵城市审查指南（试行）》，总体要求全市行政区域内的所有新建、改建、扩建的政府公建项目和占地面积超过1hm</w:t>
      </w:r>
      <w:r>
        <w:rPr>
          <w:rFonts w:hint="eastAsia" w:cs="Times New Roman"/>
          <w:szCs w:val="28"/>
          <w:vertAlign w:val="superscript"/>
        </w:rPr>
        <w:t>2</w:t>
      </w:r>
      <w:r>
        <w:rPr>
          <w:rFonts w:hint="eastAsia" w:cs="Times New Roman"/>
          <w:szCs w:val="28"/>
        </w:rPr>
        <w:t>的商业、建筑与小区等项目，均要落实海绵城市建设要求。项目建设单位须提供海绵城市平面图进行电子报批审核。</w:t>
      </w:r>
    </w:p>
    <w:p w14:paraId="0D78C0F4">
      <w:pPr>
        <w:ind w:firstLine="480"/>
        <w:rPr>
          <w:rFonts w:cs="Times New Roman"/>
          <w:szCs w:val="28"/>
        </w:rPr>
      </w:pPr>
      <w:r>
        <w:rPr>
          <w:rFonts w:cs="Times New Roman"/>
          <w:szCs w:val="28"/>
        </w:rPr>
        <w:t>中山市在海绵城市建设方面综合</w:t>
      </w:r>
      <w:r>
        <w:rPr>
          <w:rFonts w:cs="Times New Roman" w:asciiTheme="minorEastAsia" w:hAnsiTheme="minorEastAsia"/>
          <w:szCs w:val="28"/>
        </w:rPr>
        <w:t>采取“渗、滞、蓄、净、用、排”等措施，最</w:t>
      </w:r>
      <w:r>
        <w:rPr>
          <w:rFonts w:cs="Times New Roman"/>
          <w:szCs w:val="28"/>
        </w:rPr>
        <w:t>大限度地减少城市开发建设对生态环境的影响，优先推进湿地公园建设，同时通过场地、基础设施以及建筑的多方面结合，构建海绵城市雨水管理系统。目前</w:t>
      </w:r>
      <w:r>
        <w:rPr>
          <w:rFonts w:hint="eastAsia" w:cs="Times New Roman"/>
          <w:szCs w:val="28"/>
        </w:rPr>
        <w:t>西区</w:t>
      </w:r>
      <w:r>
        <w:rPr>
          <w:rFonts w:cs="Times New Roman"/>
          <w:szCs w:val="28"/>
        </w:rPr>
        <w:t>已建成</w:t>
      </w:r>
      <w:r>
        <w:rPr>
          <w:rFonts w:hint="eastAsia" w:cs="Times New Roman"/>
          <w:szCs w:val="28"/>
        </w:rPr>
        <w:t>彩虹绿洲公园、六涌休闲公园，</w:t>
      </w:r>
      <w:r>
        <w:rPr>
          <w:rFonts w:cs="Times New Roman"/>
          <w:szCs w:val="28"/>
        </w:rPr>
        <w:t>充分展现了海绵城市理念如何在城市建设的实践中应用，让更多市民在亲身的参观中，以互动的方式，了解海绵城市的运作原理和雨水管理的概念。</w:t>
      </w:r>
    </w:p>
    <w:p w14:paraId="36F076DB">
      <w:pPr>
        <w:pStyle w:val="5"/>
      </w:pPr>
      <w:r>
        <w:t>2.1.1.</w:t>
      </w:r>
      <w:r>
        <w:rPr>
          <w:rFonts w:hint="eastAsia"/>
        </w:rPr>
        <w:t>3</w:t>
      </w:r>
      <w:r>
        <w:t>自来水普及率落实到位</w:t>
      </w:r>
    </w:p>
    <w:p w14:paraId="7D5C7C5F">
      <w:pPr>
        <w:ind w:firstLine="480"/>
        <w:rPr>
          <w:rFonts w:eastAsia="宋体" w:cs="Times New Roman"/>
          <w:szCs w:val="24"/>
        </w:rPr>
      </w:pPr>
      <w:r>
        <w:rPr>
          <w:rFonts w:cs="Times New Roman"/>
          <w:szCs w:val="28"/>
        </w:rPr>
        <w:t>目前，</w:t>
      </w:r>
      <w:r>
        <w:rPr>
          <w:rFonts w:hint="eastAsia" w:cs="Times New Roman"/>
          <w:szCs w:val="28"/>
        </w:rPr>
        <w:t>西区</w:t>
      </w:r>
      <w:r>
        <w:rPr>
          <w:rFonts w:cs="Times New Roman"/>
          <w:szCs w:val="28"/>
        </w:rPr>
        <w:t>已实现全区公共管网集中供水，自来水普及率100%。</w:t>
      </w:r>
      <w:r>
        <w:rPr>
          <w:rFonts w:hint="eastAsia" w:cs="Times New Roman"/>
          <w:szCs w:val="28"/>
        </w:rPr>
        <w:t>西区</w:t>
      </w:r>
      <w:r>
        <w:rPr>
          <w:rFonts w:cs="Times New Roman"/>
          <w:szCs w:val="28"/>
        </w:rPr>
        <w:t>有</w:t>
      </w:r>
      <w:r>
        <w:rPr>
          <w:rFonts w:hint="eastAsia" w:cs="Times New Roman"/>
          <w:szCs w:val="28"/>
        </w:rPr>
        <w:t>沙朗供水有限公司和中山市中山公用水务有限公司</w:t>
      </w:r>
      <w:r>
        <w:rPr>
          <w:rFonts w:cs="Times New Roman"/>
          <w:szCs w:val="28"/>
        </w:rPr>
        <w:t>，</w:t>
      </w:r>
      <w:r>
        <w:rPr>
          <w:rFonts w:hint="eastAsia" w:cs="Times New Roman"/>
          <w:szCs w:val="28"/>
        </w:rPr>
        <w:t>沙朗片供水是沙朗供水公司，城区片由中山市中山公用水务有限公司供水。沙朗片供水属泵售供水，区内供水没有自设的供水厂直接提供，供水源主要由大涌的全禄水厂及横栏的稔益水厂提供，</w:t>
      </w:r>
      <w:r>
        <w:rPr>
          <w:rFonts w:eastAsia="宋体" w:cs="Times New Roman"/>
          <w:szCs w:val="24"/>
        </w:rPr>
        <w:t>集中式饮用水供水水源有</w:t>
      </w:r>
      <w:r>
        <w:rPr>
          <w:rFonts w:hint="eastAsia" w:eastAsia="宋体" w:cs="Times New Roman"/>
          <w:szCs w:val="24"/>
        </w:rPr>
        <w:t>西江水道</w:t>
      </w:r>
      <w:r>
        <w:rPr>
          <w:rFonts w:eastAsia="宋体" w:cs="Times New Roman"/>
          <w:szCs w:val="24"/>
        </w:rPr>
        <w:t>，</w:t>
      </w:r>
      <w:r>
        <w:rPr>
          <w:rFonts w:hint="eastAsia" w:eastAsia="宋体" w:cs="Times New Roman"/>
          <w:szCs w:val="24"/>
        </w:rPr>
        <w:t>西区</w:t>
      </w:r>
      <w:r>
        <w:rPr>
          <w:rFonts w:eastAsia="宋体" w:cs="Times New Roman"/>
          <w:szCs w:val="24"/>
        </w:rPr>
        <w:t>城镇生活用水、工业用水和部分生态用水</w:t>
      </w:r>
      <w:r>
        <w:rPr>
          <w:rFonts w:hint="eastAsia" w:eastAsia="宋体" w:cs="Times New Roman"/>
          <w:szCs w:val="24"/>
        </w:rPr>
        <w:t>水源</w:t>
      </w:r>
      <w:r>
        <w:rPr>
          <w:rFonts w:eastAsia="宋体" w:cs="Times New Roman"/>
          <w:szCs w:val="24"/>
        </w:rPr>
        <w:t>由</w:t>
      </w:r>
      <w:r>
        <w:rPr>
          <w:rFonts w:hint="eastAsia" w:eastAsia="宋体" w:cs="Times New Roman"/>
          <w:szCs w:val="24"/>
        </w:rPr>
        <w:t>全禄</w:t>
      </w:r>
      <w:r>
        <w:rPr>
          <w:rFonts w:eastAsia="宋体" w:cs="Times New Roman"/>
          <w:szCs w:val="24"/>
        </w:rPr>
        <w:t>水厂</w:t>
      </w:r>
      <w:r>
        <w:rPr>
          <w:rFonts w:hint="eastAsia" w:eastAsia="宋体" w:cs="Times New Roman"/>
          <w:szCs w:val="24"/>
        </w:rPr>
        <w:t>和</w:t>
      </w:r>
      <w:r>
        <w:rPr>
          <w:rFonts w:hint="eastAsia" w:cs="Times New Roman"/>
          <w:szCs w:val="28"/>
        </w:rPr>
        <w:t>稔益水厂</w:t>
      </w:r>
      <w:r>
        <w:rPr>
          <w:rFonts w:eastAsia="宋体" w:cs="Times New Roman"/>
          <w:szCs w:val="24"/>
        </w:rPr>
        <w:t>供给，根据相关规划成果显示，</w:t>
      </w:r>
      <w:r>
        <w:rPr>
          <w:rFonts w:hint="eastAsia" w:eastAsia="宋体" w:cs="Times New Roman"/>
          <w:szCs w:val="24"/>
        </w:rPr>
        <w:t>全禄</w:t>
      </w:r>
      <w:r>
        <w:rPr>
          <w:rFonts w:eastAsia="宋体" w:cs="Times New Roman"/>
          <w:szCs w:val="24"/>
        </w:rPr>
        <w:t>水厂</w:t>
      </w:r>
      <w:r>
        <w:rPr>
          <w:rFonts w:hint="eastAsia" w:eastAsia="宋体" w:cs="Times New Roman"/>
          <w:szCs w:val="24"/>
        </w:rPr>
        <w:t>和</w:t>
      </w:r>
      <w:r>
        <w:rPr>
          <w:rFonts w:hint="eastAsia" w:cs="Times New Roman"/>
          <w:szCs w:val="28"/>
        </w:rPr>
        <w:t>稔益水厂</w:t>
      </w:r>
      <w:r>
        <w:rPr>
          <w:rFonts w:hint="eastAsia" w:eastAsia="宋体" w:cs="Times New Roman"/>
          <w:szCs w:val="24"/>
        </w:rPr>
        <w:t>设计供水保证率为97%</w:t>
      </w:r>
      <w:r>
        <w:rPr>
          <w:rFonts w:eastAsia="宋体" w:cs="Times New Roman"/>
          <w:szCs w:val="24"/>
        </w:rPr>
        <w:t>，且</w:t>
      </w:r>
      <w:r>
        <w:rPr>
          <w:rFonts w:hint="eastAsia" w:eastAsia="宋体" w:cs="Times New Roman"/>
          <w:szCs w:val="24"/>
        </w:rPr>
        <w:t>西区</w:t>
      </w:r>
      <w:r>
        <w:rPr>
          <w:rFonts w:eastAsia="宋体" w:cs="Times New Roman"/>
          <w:szCs w:val="24"/>
        </w:rPr>
        <w:t>处于降雨充沛的三角洲地区，区域枯水概率较小，供水保证率较高。若考虑雨水资源化、再生水回用等，可供水量还会有所增加。</w:t>
      </w:r>
      <w:r>
        <w:rPr>
          <w:rFonts w:hint="eastAsia" w:eastAsia="宋体" w:cs="Times New Roman"/>
          <w:szCs w:val="24"/>
        </w:rPr>
        <w:t>全禄</w:t>
      </w:r>
      <w:r>
        <w:rPr>
          <w:rFonts w:eastAsia="宋体" w:cs="Times New Roman"/>
          <w:szCs w:val="24"/>
        </w:rPr>
        <w:t>水厂最大供水规模为</w:t>
      </w:r>
      <w:r>
        <w:rPr>
          <w:rFonts w:hint="eastAsia" w:eastAsia="宋体" w:cs="Times New Roman"/>
          <w:szCs w:val="24"/>
        </w:rPr>
        <w:t>40</w:t>
      </w:r>
      <w:r>
        <w:rPr>
          <w:rFonts w:eastAsia="宋体" w:cs="Times New Roman"/>
          <w:szCs w:val="24"/>
        </w:rPr>
        <w:t>万m³/d，</w:t>
      </w:r>
      <w:r>
        <w:rPr>
          <w:rFonts w:hint="eastAsia" w:eastAsia="宋体" w:cs="Times New Roman"/>
          <w:szCs w:val="24"/>
        </w:rPr>
        <w:t>稔益水厂最大供水规模为14万m³/d。</w:t>
      </w:r>
      <w:r>
        <w:rPr>
          <w:rFonts w:eastAsia="宋体" w:cs="Times New Roman"/>
          <w:szCs w:val="24"/>
        </w:rPr>
        <w:t>2017年服务</w:t>
      </w:r>
      <w:r>
        <w:rPr>
          <w:rFonts w:hint="eastAsia" w:eastAsia="宋体" w:cs="Times New Roman"/>
          <w:szCs w:val="24"/>
        </w:rPr>
        <w:t>西区的</w:t>
      </w:r>
      <w:r>
        <w:rPr>
          <w:rFonts w:eastAsia="宋体" w:cs="Times New Roman"/>
          <w:szCs w:val="24"/>
        </w:rPr>
        <w:t>人口为</w:t>
      </w:r>
      <w:r>
        <w:rPr>
          <w:rFonts w:hint="eastAsia" w:eastAsia="宋体" w:cs="Times New Roman"/>
          <w:szCs w:val="24"/>
        </w:rPr>
        <w:t>107539</w:t>
      </w:r>
      <w:r>
        <w:rPr>
          <w:rFonts w:eastAsia="宋体" w:cs="Times New Roman"/>
          <w:szCs w:val="24"/>
        </w:rPr>
        <w:t>人，占</w:t>
      </w:r>
      <w:r>
        <w:rPr>
          <w:rFonts w:hint="eastAsia" w:eastAsia="宋体" w:cs="Times New Roman"/>
          <w:szCs w:val="24"/>
        </w:rPr>
        <w:t>镇区</w:t>
      </w:r>
      <w:r>
        <w:rPr>
          <w:rFonts w:eastAsia="宋体" w:cs="Times New Roman"/>
          <w:szCs w:val="24"/>
        </w:rPr>
        <w:t>常住总人口的100%。</w:t>
      </w:r>
    </w:p>
    <w:p w14:paraId="52A9789D">
      <w:pPr>
        <w:spacing w:line="240" w:lineRule="auto"/>
        <w:ind w:firstLine="480"/>
        <w:rPr>
          <w:rFonts w:eastAsia="宋体" w:cs="Times New Roman"/>
          <w:szCs w:val="24"/>
        </w:rPr>
      </w:pPr>
    </w:p>
    <w:p w14:paraId="002F173E">
      <w:pPr>
        <w:pStyle w:val="3"/>
        <w:spacing w:before="0" w:after="0" w:line="360" w:lineRule="auto"/>
        <w:rPr>
          <w:rFonts w:cs="Times New Roman"/>
        </w:rPr>
      </w:pPr>
      <w:bookmarkStart w:id="203" w:name="_Toc523306786"/>
      <w:bookmarkStart w:id="204" w:name="_Toc16675022"/>
      <w:bookmarkStart w:id="205" w:name="_Toc28452"/>
      <w:bookmarkStart w:id="206" w:name="_Toc527881069"/>
      <w:bookmarkStart w:id="207" w:name="_Toc12198"/>
      <w:bookmarkStart w:id="208" w:name="_Toc528880275"/>
      <w:bookmarkStart w:id="209" w:name="_Toc526004914"/>
      <w:bookmarkStart w:id="210" w:name="_Toc30466"/>
      <w:bookmarkStart w:id="211" w:name="_Toc30084"/>
      <w:bookmarkStart w:id="212" w:name="_Toc28791"/>
      <w:bookmarkStart w:id="213" w:name="_Toc29139"/>
      <w:r>
        <w:rPr>
          <w:rFonts w:cs="Times New Roman"/>
        </w:rPr>
        <w:t>2.1.2水环境</w:t>
      </w:r>
      <w:bookmarkEnd w:id="203"/>
      <w:r>
        <w:rPr>
          <w:rFonts w:cs="Times New Roman"/>
        </w:rPr>
        <w:t>体系建设现状</w:t>
      </w:r>
      <w:bookmarkEnd w:id="204"/>
      <w:bookmarkEnd w:id="205"/>
      <w:bookmarkEnd w:id="206"/>
      <w:bookmarkEnd w:id="207"/>
      <w:bookmarkEnd w:id="208"/>
      <w:bookmarkEnd w:id="209"/>
      <w:bookmarkEnd w:id="210"/>
      <w:bookmarkEnd w:id="211"/>
      <w:bookmarkEnd w:id="212"/>
      <w:bookmarkEnd w:id="213"/>
    </w:p>
    <w:p w14:paraId="3399F2A4">
      <w:pPr>
        <w:pStyle w:val="5"/>
      </w:pPr>
      <w:r>
        <w:t>2.1.2.1</w:t>
      </w:r>
      <w:r>
        <w:rPr>
          <w:rFonts w:hint="eastAsia"/>
        </w:rPr>
        <w:t>内河涌水环境综合整治有序落实</w:t>
      </w:r>
    </w:p>
    <w:p w14:paraId="1BC10A19">
      <w:pPr>
        <w:ind w:firstLine="480"/>
        <w:rPr>
          <w:szCs w:val="24"/>
        </w:rPr>
      </w:pPr>
      <w:r>
        <w:rPr>
          <w:rFonts w:hint="eastAsia" w:eastAsia="宋体" w:cs="Times New Roman"/>
          <w:szCs w:val="24"/>
        </w:rPr>
        <w:t>西区</w:t>
      </w:r>
      <w:r>
        <w:rPr>
          <w:rFonts w:eastAsia="宋体" w:cs="Times New Roman"/>
          <w:szCs w:val="24"/>
        </w:rPr>
        <w:t>镇区以建城区为主，经济较发达，居住人口较多，生活污水和工业废水</w:t>
      </w:r>
      <w:r>
        <w:rPr>
          <w:rFonts w:hint="eastAsia" w:eastAsia="宋体" w:cs="Times New Roman"/>
          <w:szCs w:val="24"/>
        </w:rPr>
        <w:t>偷</w:t>
      </w:r>
      <w:r>
        <w:rPr>
          <w:rFonts w:eastAsia="宋体" w:cs="Times New Roman"/>
          <w:szCs w:val="24"/>
        </w:rPr>
        <w:t>排入内河涌，导致部分河涌段存在</w:t>
      </w:r>
      <w:r>
        <w:rPr>
          <w:rFonts w:hint="eastAsia" w:eastAsia="宋体" w:cs="Times New Roman"/>
          <w:szCs w:val="24"/>
        </w:rPr>
        <w:t>黑臭</w:t>
      </w:r>
      <w:r>
        <w:rPr>
          <w:rFonts w:eastAsia="宋体" w:cs="Times New Roman"/>
          <w:szCs w:val="24"/>
        </w:rPr>
        <w:t>现象。</w:t>
      </w:r>
      <w:r>
        <w:rPr>
          <w:rFonts w:hint="eastAsia"/>
          <w:szCs w:val="24"/>
        </w:rPr>
        <w:t>201</w:t>
      </w:r>
      <w:r>
        <w:rPr>
          <w:szCs w:val="24"/>
        </w:rPr>
        <w:t>7</w:t>
      </w:r>
      <w:r>
        <w:rPr>
          <w:rFonts w:hint="eastAsia"/>
          <w:szCs w:val="24"/>
        </w:rPr>
        <w:t>年以来西区开展了部分河涌整治工程，具体内容见表2-4，截止201</w:t>
      </w:r>
      <w:r>
        <w:rPr>
          <w:szCs w:val="24"/>
        </w:rPr>
        <w:t>7</w:t>
      </w:r>
      <w:r>
        <w:rPr>
          <w:rFonts w:hint="eastAsia"/>
          <w:szCs w:val="24"/>
        </w:rPr>
        <w:t>年，西区完成了岐江河整治工程、狮滘河整治工程、西河涌整治工程、清淤后山新开涌工程和石特涌清淤等。根据《中山市西区国民经济和社会发展第十三个五年规划纲要》，西区将推动镇内河涌整治工作，逐步消除全镇劣V类水体、“黑臭”现象和垃圾漂浮问题。加强河涌两岸环境建设，避免硬化河底、河岸的做法，采用生态护岸措施。加强工业污染监管，严格依照环境保护法律法规及地方法规的要求，强化环境执法力度，增强法律震慑影响力。</w:t>
      </w:r>
    </w:p>
    <w:p w14:paraId="464F21FD">
      <w:pPr>
        <w:pStyle w:val="78"/>
        <w:spacing w:before="163" w:beforeLines="50" w:line="240" w:lineRule="auto"/>
        <w:ind w:firstLine="420"/>
        <w:jc w:val="center"/>
        <w:rPr>
          <w:sz w:val="21"/>
          <w:szCs w:val="21"/>
        </w:rPr>
      </w:pPr>
      <w:r>
        <w:rPr>
          <w:sz w:val="21"/>
          <w:szCs w:val="21"/>
        </w:rPr>
        <w:t>表2-</w:t>
      </w:r>
      <w:r>
        <w:rPr>
          <w:rFonts w:hint="eastAsia"/>
          <w:sz w:val="21"/>
          <w:szCs w:val="21"/>
        </w:rPr>
        <w:t>4</w:t>
      </w:r>
      <w:r>
        <w:rPr>
          <w:sz w:val="21"/>
          <w:szCs w:val="21"/>
        </w:rPr>
        <w:t xml:space="preserve">  2017年</w:t>
      </w:r>
      <w:r>
        <w:rPr>
          <w:rFonts w:hint="eastAsia"/>
          <w:sz w:val="21"/>
          <w:szCs w:val="21"/>
        </w:rPr>
        <w:t>以来西区</w:t>
      </w:r>
      <w:r>
        <w:rPr>
          <w:sz w:val="21"/>
          <w:szCs w:val="21"/>
        </w:rPr>
        <w:t>河涌整治工程情况表</w:t>
      </w:r>
    </w:p>
    <w:tbl>
      <w:tblPr>
        <w:tblStyle w:val="25"/>
        <w:tblW w:w="8342" w:type="dxa"/>
        <w:jc w:val="center"/>
        <w:tblLayout w:type="fixed"/>
        <w:tblCellMar>
          <w:top w:w="15" w:type="dxa"/>
          <w:left w:w="15" w:type="dxa"/>
          <w:bottom w:w="15" w:type="dxa"/>
          <w:right w:w="15" w:type="dxa"/>
        </w:tblCellMar>
      </w:tblPr>
      <w:tblGrid>
        <w:gridCol w:w="545"/>
        <w:gridCol w:w="3205"/>
        <w:gridCol w:w="4592"/>
      </w:tblGrid>
      <w:tr w14:paraId="3B31BE6A">
        <w:tblPrEx>
          <w:tblCellMar>
            <w:top w:w="15" w:type="dxa"/>
            <w:left w:w="15" w:type="dxa"/>
            <w:bottom w:w="15" w:type="dxa"/>
            <w:right w:w="15" w:type="dxa"/>
          </w:tblCellMar>
        </w:tblPrEx>
        <w:trPr>
          <w:trHeight w:val="246"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27EBC">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序号</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3E3D0">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项目名称</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05885">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工程内容</w:t>
            </w:r>
          </w:p>
        </w:tc>
      </w:tr>
      <w:tr w14:paraId="67DF5EFA">
        <w:tblPrEx>
          <w:tblCellMar>
            <w:top w:w="15" w:type="dxa"/>
            <w:left w:w="15" w:type="dxa"/>
            <w:bottom w:w="15" w:type="dxa"/>
            <w:right w:w="15" w:type="dxa"/>
          </w:tblCellMar>
        </w:tblPrEx>
        <w:trPr>
          <w:trHeight w:val="538"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5F3B2">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1</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385CA">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岐江河</w:t>
            </w:r>
            <w:r>
              <w:rPr>
                <w:rFonts w:eastAsia="宋体" w:cs="Times New Roman"/>
                <w:kern w:val="0"/>
                <w:sz w:val="21"/>
                <w:lang w:bidi="ar"/>
              </w:rPr>
              <w:t>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D8DE6">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清淤</w:t>
            </w:r>
            <w:r>
              <w:rPr>
                <w:rFonts w:hint="eastAsia" w:eastAsia="宋体" w:cs="Times New Roman"/>
                <w:kern w:val="0"/>
                <w:sz w:val="21"/>
                <w:lang w:bidi="ar"/>
              </w:rPr>
              <w:t>、</w:t>
            </w:r>
            <w:r>
              <w:rPr>
                <w:rFonts w:eastAsia="宋体" w:cs="Times New Roman"/>
                <w:color w:val="000000"/>
                <w:kern w:val="0"/>
                <w:sz w:val="21"/>
                <w:lang w:bidi="ar"/>
              </w:rPr>
              <w:t>清理水浮莲</w:t>
            </w:r>
            <w:r>
              <w:rPr>
                <w:rFonts w:hint="eastAsia" w:eastAsia="宋体" w:cs="Times New Roman"/>
                <w:color w:val="000000"/>
                <w:kern w:val="0"/>
                <w:sz w:val="21"/>
                <w:lang w:bidi="ar"/>
              </w:rPr>
              <w:t>和</w:t>
            </w:r>
            <w:r>
              <w:rPr>
                <w:rFonts w:eastAsia="宋体" w:cs="Times New Roman"/>
                <w:color w:val="000000"/>
                <w:kern w:val="0"/>
                <w:sz w:val="21"/>
                <w:lang w:bidi="ar"/>
              </w:rPr>
              <w:t>水上垃圾</w:t>
            </w:r>
            <w:r>
              <w:rPr>
                <w:rFonts w:hint="eastAsia" w:eastAsia="宋体" w:cs="Times New Roman"/>
                <w:color w:val="000000"/>
                <w:kern w:val="0"/>
                <w:sz w:val="21"/>
                <w:lang w:bidi="ar"/>
              </w:rPr>
              <w:t>，</w:t>
            </w:r>
            <w:r>
              <w:rPr>
                <w:rFonts w:eastAsia="宋体" w:cs="Times New Roman"/>
                <w:kern w:val="0"/>
                <w:sz w:val="21"/>
                <w:lang w:bidi="ar"/>
              </w:rPr>
              <w:t>以恢复和提高河道灌溉蓄水能力</w:t>
            </w:r>
          </w:p>
        </w:tc>
      </w:tr>
      <w:tr w14:paraId="475D0C9C">
        <w:tblPrEx>
          <w:tblCellMar>
            <w:top w:w="15" w:type="dxa"/>
            <w:left w:w="15" w:type="dxa"/>
            <w:bottom w:w="15" w:type="dxa"/>
            <w:right w:w="15" w:type="dxa"/>
          </w:tblCellMar>
        </w:tblPrEx>
        <w:trPr>
          <w:trHeight w:val="331"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AB20D">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2</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93A4A">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狮滘河</w:t>
            </w:r>
            <w:r>
              <w:rPr>
                <w:rFonts w:eastAsia="宋体" w:cs="Times New Roman"/>
                <w:kern w:val="0"/>
                <w:sz w:val="21"/>
                <w:lang w:bidi="ar"/>
              </w:rPr>
              <w:t>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62B4D">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清理水浮莲、水上垃圾</w:t>
            </w:r>
          </w:p>
        </w:tc>
      </w:tr>
      <w:tr w14:paraId="44931CB6">
        <w:tblPrEx>
          <w:tblCellMar>
            <w:top w:w="15" w:type="dxa"/>
            <w:left w:w="15" w:type="dxa"/>
            <w:bottom w:w="15" w:type="dxa"/>
            <w:right w:w="15" w:type="dxa"/>
          </w:tblCellMar>
        </w:tblPrEx>
        <w:trPr>
          <w:trHeight w:val="269"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EA962">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3</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9DE31">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西河涌</w:t>
            </w:r>
            <w:r>
              <w:rPr>
                <w:rFonts w:eastAsia="宋体" w:cs="Times New Roman"/>
                <w:kern w:val="0"/>
                <w:sz w:val="21"/>
                <w:lang w:bidi="ar"/>
              </w:rPr>
              <w:t>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FF67A">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调水冲污</w:t>
            </w:r>
            <w:r>
              <w:rPr>
                <w:rFonts w:hint="eastAsia" w:eastAsia="宋体" w:cs="Times New Roman"/>
                <w:kern w:val="0"/>
                <w:sz w:val="21"/>
                <w:lang w:bidi="ar"/>
              </w:rPr>
              <w:t>、</w:t>
            </w:r>
            <w:r>
              <w:rPr>
                <w:rFonts w:eastAsia="宋体" w:cs="Times New Roman"/>
                <w:kern w:val="0"/>
                <w:sz w:val="21"/>
                <w:lang w:bidi="ar"/>
              </w:rPr>
              <w:t>清理水浮莲、水上垃圾</w:t>
            </w:r>
          </w:p>
        </w:tc>
      </w:tr>
      <w:tr w14:paraId="5947B584">
        <w:tblPrEx>
          <w:tblCellMar>
            <w:top w:w="15" w:type="dxa"/>
            <w:left w:w="15" w:type="dxa"/>
            <w:bottom w:w="15" w:type="dxa"/>
            <w:right w:w="15" w:type="dxa"/>
          </w:tblCellMar>
        </w:tblPrEx>
        <w:trPr>
          <w:trHeight w:val="144"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7B810">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4</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1BC31">
            <w:pPr>
              <w:widowControl/>
              <w:spacing w:line="240" w:lineRule="auto"/>
              <w:ind w:firstLine="0" w:firstLineChars="0"/>
              <w:jc w:val="center"/>
              <w:textAlignment w:val="center"/>
              <w:rPr>
                <w:rFonts w:eastAsia="宋体" w:cs="Times New Roman"/>
                <w:color w:val="FF0000"/>
                <w:sz w:val="21"/>
              </w:rPr>
            </w:pPr>
            <w:r>
              <w:rPr>
                <w:rFonts w:eastAsia="宋体" w:cs="Times New Roman"/>
                <w:kern w:val="0"/>
                <w:sz w:val="21"/>
                <w:lang w:bidi="ar"/>
              </w:rPr>
              <w:t>清淤</w:t>
            </w:r>
            <w:r>
              <w:rPr>
                <w:rFonts w:hint="eastAsia" w:eastAsia="宋体" w:cs="Times New Roman"/>
                <w:kern w:val="0"/>
                <w:sz w:val="21"/>
                <w:lang w:bidi="ar"/>
              </w:rPr>
              <w:t>后山沙朗新开涌</w:t>
            </w:r>
            <w:r>
              <w:rPr>
                <w:rFonts w:eastAsia="宋体" w:cs="Times New Roman"/>
                <w:kern w:val="0"/>
                <w:sz w:val="21"/>
                <w:lang w:bidi="ar"/>
              </w:rPr>
              <w:t>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0E56957D">
            <w:pPr>
              <w:widowControl/>
              <w:spacing w:line="240" w:lineRule="auto"/>
              <w:ind w:firstLine="0" w:firstLineChars="0"/>
              <w:jc w:val="center"/>
              <w:textAlignment w:val="top"/>
              <w:rPr>
                <w:rFonts w:eastAsia="宋体" w:cs="Times New Roman"/>
                <w:color w:val="000000"/>
                <w:sz w:val="21"/>
              </w:rPr>
            </w:pPr>
            <w:r>
              <w:rPr>
                <w:rFonts w:eastAsia="宋体" w:cs="Times New Roman"/>
                <w:color w:val="000000"/>
                <w:kern w:val="0"/>
                <w:sz w:val="21"/>
                <w:lang w:bidi="ar"/>
              </w:rPr>
              <w:t>2016年区住建局实施了狮滘河口至彩虹湿地公园段</w:t>
            </w:r>
            <w:r>
              <w:rPr>
                <w:rFonts w:hint="eastAsia" w:eastAsia="宋体" w:cs="Times New Roman"/>
                <w:color w:val="000000"/>
                <w:kern w:val="0"/>
                <w:sz w:val="21"/>
                <w:lang w:bidi="ar"/>
              </w:rPr>
              <w:t>的</w:t>
            </w:r>
            <w:r>
              <w:rPr>
                <w:rFonts w:eastAsia="宋体" w:cs="Times New Roman"/>
                <w:color w:val="000000"/>
                <w:kern w:val="0"/>
                <w:sz w:val="21"/>
                <w:lang w:bidi="ar"/>
              </w:rPr>
              <w:t>清淤工程</w:t>
            </w:r>
            <w:r>
              <w:rPr>
                <w:rFonts w:hint="eastAsia" w:eastAsia="宋体" w:cs="Times New Roman"/>
                <w:color w:val="000000"/>
                <w:kern w:val="0"/>
                <w:sz w:val="21"/>
                <w:lang w:bidi="ar"/>
              </w:rPr>
              <w:t>，2017年</w:t>
            </w:r>
            <w:r>
              <w:rPr>
                <w:rFonts w:eastAsia="宋体" w:cs="Times New Roman"/>
                <w:color w:val="000000"/>
                <w:kern w:val="0"/>
                <w:sz w:val="21"/>
                <w:lang w:bidi="ar"/>
              </w:rPr>
              <w:t>对公园至大信新家园段1.2</w:t>
            </w:r>
            <w:r>
              <w:rPr>
                <w:rFonts w:hint="eastAsia" w:eastAsia="宋体" w:cs="Times New Roman"/>
                <w:color w:val="000000"/>
                <w:kern w:val="0"/>
                <w:sz w:val="21"/>
                <w:lang w:bidi="ar"/>
              </w:rPr>
              <w:t>km</w:t>
            </w:r>
            <w:r>
              <w:rPr>
                <w:rFonts w:eastAsia="宋体" w:cs="Times New Roman"/>
                <w:color w:val="000000"/>
                <w:kern w:val="0"/>
                <w:sz w:val="21"/>
                <w:lang w:bidi="ar"/>
              </w:rPr>
              <w:t>河涌实施清淤工程</w:t>
            </w:r>
          </w:p>
        </w:tc>
      </w:tr>
      <w:tr w14:paraId="7863663F">
        <w:tblPrEx>
          <w:tblCellMar>
            <w:top w:w="15" w:type="dxa"/>
            <w:left w:w="15" w:type="dxa"/>
            <w:bottom w:w="15" w:type="dxa"/>
            <w:right w:w="15" w:type="dxa"/>
          </w:tblCellMar>
        </w:tblPrEx>
        <w:trPr>
          <w:trHeight w:val="95"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F1CD5">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5</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28BF2">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沙朗涌</w:t>
            </w:r>
            <w:r>
              <w:rPr>
                <w:rFonts w:eastAsia="宋体" w:cs="Times New Roman"/>
                <w:kern w:val="0"/>
                <w:sz w:val="21"/>
                <w:lang w:bidi="ar"/>
              </w:rPr>
              <w:t>两岸河堤整治工程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697C0819">
            <w:pPr>
              <w:widowControl/>
              <w:spacing w:line="240" w:lineRule="auto"/>
              <w:ind w:firstLine="0" w:firstLineChars="0"/>
              <w:jc w:val="center"/>
              <w:textAlignment w:val="top"/>
              <w:rPr>
                <w:rFonts w:eastAsia="宋体" w:cs="Times New Roman"/>
                <w:sz w:val="21"/>
              </w:rPr>
            </w:pPr>
            <w:r>
              <w:rPr>
                <w:rFonts w:eastAsia="宋体" w:cs="Times New Roman"/>
                <w:kern w:val="0"/>
                <w:sz w:val="21"/>
                <w:lang w:bidi="ar"/>
              </w:rPr>
              <w:t>两岸河堤整治</w:t>
            </w:r>
            <w:r>
              <w:rPr>
                <w:rFonts w:hint="eastAsia" w:eastAsia="宋体" w:cs="Times New Roman"/>
                <w:kern w:val="0"/>
                <w:sz w:val="21"/>
                <w:lang w:bidi="ar"/>
              </w:rPr>
              <w:t>和</w:t>
            </w:r>
            <w:r>
              <w:rPr>
                <w:rFonts w:eastAsia="宋体" w:cs="Times New Roman"/>
                <w:sz w:val="21"/>
              </w:rPr>
              <w:t>河涌清淤工程</w:t>
            </w:r>
            <w:r>
              <w:rPr>
                <w:rFonts w:hint="eastAsia" w:eastAsia="宋体" w:cs="Times New Roman"/>
                <w:sz w:val="21"/>
              </w:rPr>
              <w:t>，</w:t>
            </w:r>
            <w:r>
              <w:rPr>
                <w:rFonts w:eastAsia="宋体" w:cs="Times New Roman"/>
                <w:kern w:val="0"/>
                <w:sz w:val="21"/>
                <w:lang w:bidi="ar"/>
              </w:rPr>
              <w:t>以恢复和提高河道灌溉蓄水能力</w:t>
            </w:r>
          </w:p>
        </w:tc>
      </w:tr>
      <w:tr w14:paraId="0D32D36D">
        <w:tblPrEx>
          <w:tblCellMar>
            <w:top w:w="15" w:type="dxa"/>
            <w:left w:w="15" w:type="dxa"/>
            <w:bottom w:w="15" w:type="dxa"/>
            <w:right w:w="15" w:type="dxa"/>
          </w:tblCellMar>
        </w:tblPrEx>
        <w:trPr>
          <w:trHeight w:val="314"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D21CC">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6</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3EDBE">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南六涌</w:t>
            </w:r>
            <w:r>
              <w:rPr>
                <w:rFonts w:hint="eastAsia" w:eastAsia="宋体" w:cs="Times New Roman"/>
                <w:kern w:val="0"/>
                <w:sz w:val="21"/>
                <w:lang w:bidi="ar"/>
              </w:rPr>
              <w:t>、朗滘涌</w:t>
            </w:r>
            <w:r>
              <w:rPr>
                <w:rFonts w:eastAsia="宋体" w:cs="Times New Roman"/>
                <w:kern w:val="0"/>
                <w:sz w:val="21"/>
                <w:lang w:bidi="ar"/>
              </w:rPr>
              <w:t>清淤工程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11D9AC72">
            <w:pPr>
              <w:widowControl/>
              <w:spacing w:line="240" w:lineRule="auto"/>
              <w:ind w:firstLine="0" w:firstLineChars="0"/>
              <w:jc w:val="center"/>
              <w:textAlignment w:val="top"/>
              <w:rPr>
                <w:rFonts w:eastAsia="宋体" w:cs="Times New Roman"/>
                <w:sz w:val="21"/>
              </w:rPr>
            </w:pPr>
            <w:r>
              <w:rPr>
                <w:rFonts w:eastAsia="宋体" w:cs="Times New Roman"/>
                <w:kern w:val="0"/>
                <w:sz w:val="21"/>
                <w:lang w:bidi="ar"/>
              </w:rPr>
              <w:t>对南六涌</w:t>
            </w:r>
            <w:r>
              <w:rPr>
                <w:rFonts w:hint="eastAsia" w:eastAsia="宋体" w:cs="Times New Roman"/>
                <w:kern w:val="0"/>
                <w:sz w:val="21"/>
                <w:lang w:bidi="ar"/>
              </w:rPr>
              <w:t>、朗滘涌</w:t>
            </w:r>
            <w:r>
              <w:rPr>
                <w:rFonts w:eastAsia="宋体" w:cs="Times New Roman"/>
                <w:kern w:val="0"/>
                <w:sz w:val="21"/>
                <w:lang w:bidi="ar"/>
              </w:rPr>
              <w:t>进行清淤，清理水浮莲、水上垃圾</w:t>
            </w:r>
            <w:r>
              <w:rPr>
                <w:rFonts w:hint="eastAsia" w:eastAsia="宋体" w:cs="Times New Roman"/>
                <w:kern w:val="0"/>
                <w:sz w:val="21"/>
                <w:lang w:bidi="ar"/>
              </w:rPr>
              <w:t>，</w:t>
            </w:r>
            <w:r>
              <w:rPr>
                <w:rFonts w:eastAsia="宋体" w:cs="Times New Roman"/>
                <w:kern w:val="0"/>
                <w:sz w:val="21"/>
                <w:lang w:bidi="ar"/>
              </w:rPr>
              <w:t>以改善恶臭浑浊问题</w:t>
            </w:r>
          </w:p>
        </w:tc>
      </w:tr>
      <w:tr w14:paraId="66796E20">
        <w:tblPrEx>
          <w:tblCellMar>
            <w:top w:w="15" w:type="dxa"/>
            <w:left w:w="15" w:type="dxa"/>
            <w:bottom w:w="15" w:type="dxa"/>
            <w:right w:w="15" w:type="dxa"/>
          </w:tblCellMar>
        </w:tblPrEx>
        <w:trPr>
          <w:trHeight w:val="574"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01AFB">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7</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F6105">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南八</w:t>
            </w:r>
            <w:r>
              <w:rPr>
                <w:rFonts w:eastAsia="宋体" w:cs="Times New Roman"/>
                <w:kern w:val="0"/>
                <w:sz w:val="21"/>
                <w:lang w:bidi="ar"/>
              </w:rPr>
              <w:t>涌</w:t>
            </w:r>
            <w:r>
              <w:rPr>
                <w:rFonts w:hint="eastAsia" w:eastAsia="宋体" w:cs="Times New Roman"/>
                <w:kern w:val="0"/>
                <w:sz w:val="21"/>
                <w:lang w:bidi="ar"/>
              </w:rPr>
              <w:t>、十六顷涌</w:t>
            </w:r>
            <w:r>
              <w:rPr>
                <w:rFonts w:eastAsia="宋体" w:cs="Times New Roman"/>
                <w:kern w:val="0"/>
                <w:sz w:val="21"/>
                <w:lang w:bidi="ar"/>
              </w:rPr>
              <w:t>清淤工程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16A4D8F4">
            <w:pPr>
              <w:widowControl/>
              <w:spacing w:line="240" w:lineRule="auto"/>
              <w:ind w:firstLine="0" w:firstLineChars="0"/>
              <w:jc w:val="center"/>
              <w:textAlignment w:val="top"/>
              <w:rPr>
                <w:rFonts w:eastAsia="宋体" w:cs="Times New Roman"/>
                <w:sz w:val="21"/>
              </w:rPr>
            </w:pPr>
            <w:r>
              <w:rPr>
                <w:rFonts w:eastAsia="宋体" w:cs="Times New Roman"/>
                <w:kern w:val="0"/>
                <w:sz w:val="21"/>
                <w:lang w:bidi="ar"/>
              </w:rPr>
              <w:t>对南</w:t>
            </w:r>
            <w:r>
              <w:rPr>
                <w:rFonts w:hint="eastAsia" w:eastAsia="宋体" w:cs="Times New Roman"/>
                <w:kern w:val="0"/>
                <w:sz w:val="21"/>
                <w:lang w:bidi="ar"/>
              </w:rPr>
              <w:t>八</w:t>
            </w:r>
            <w:r>
              <w:rPr>
                <w:rFonts w:eastAsia="宋体" w:cs="Times New Roman"/>
                <w:kern w:val="0"/>
                <w:sz w:val="21"/>
                <w:lang w:bidi="ar"/>
              </w:rPr>
              <w:t>涌</w:t>
            </w:r>
            <w:r>
              <w:rPr>
                <w:rFonts w:hint="eastAsia" w:eastAsia="宋体" w:cs="Times New Roman"/>
                <w:kern w:val="0"/>
                <w:sz w:val="21"/>
                <w:lang w:bidi="ar"/>
              </w:rPr>
              <w:t>、十六顷涌</w:t>
            </w:r>
            <w:r>
              <w:rPr>
                <w:rFonts w:eastAsia="宋体" w:cs="Times New Roman"/>
                <w:kern w:val="0"/>
                <w:sz w:val="21"/>
                <w:lang w:bidi="ar"/>
              </w:rPr>
              <w:t>进行清淤，两岸河堤整治</w:t>
            </w:r>
            <w:r>
              <w:rPr>
                <w:rFonts w:hint="eastAsia" w:eastAsia="宋体" w:cs="Times New Roman"/>
                <w:kern w:val="0"/>
                <w:sz w:val="21"/>
                <w:lang w:bidi="ar"/>
              </w:rPr>
              <w:t>，</w:t>
            </w:r>
            <w:r>
              <w:rPr>
                <w:rFonts w:eastAsia="宋体" w:cs="Times New Roman"/>
                <w:kern w:val="0"/>
                <w:sz w:val="21"/>
                <w:lang w:bidi="ar"/>
              </w:rPr>
              <w:t>清理水浮莲、水上垃圾</w:t>
            </w:r>
          </w:p>
        </w:tc>
      </w:tr>
      <w:tr w14:paraId="7FE35FD9">
        <w:tblPrEx>
          <w:tblCellMar>
            <w:top w:w="15" w:type="dxa"/>
            <w:left w:w="15" w:type="dxa"/>
            <w:bottom w:w="15" w:type="dxa"/>
            <w:right w:w="15" w:type="dxa"/>
          </w:tblCellMar>
        </w:tblPrEx>
        <w:trPr>
          <w:trHeight w:val="300"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495BA">
            <w:pPr>
              <w:widowControl/>
              <w:spacing w:line="240" w:lineRule="auto"/>
              <w:ind w:firstLine="0" w:firstLineChars="0"/>
              <w:jc w:val="center"/>
              <w:textAlignment w:val="center"/>
              <w:rPr>
                <w:rFonts w:eastAsia="宋体" w:cs="Times New Roman"/>
                <w:color w:val="000000"/>
                <w:kern w:val="0"/>
                <w:sz w:val="21"/>
                <w:lang w:bidi="ar"/>
              </w:rPr>
            </w:pPr>
            <w:r>
              <w:rPr>
                <w:rFonts w:hint="eastAsia" w:eastAsia="宋体" w:cs="Times New Roman"/>
                <w:color w:val="000000"/>
                <w:kern w:val="0"/>
                <w:sz w:val="21"/>
                <w:lang w:bidi="ar"/>
              </w:rPr>
              <w:t>8</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EE05C">
            <w:pPr>
              <w:widowControl/>
              <w:spacing w:line="240" w:lineRule="auto"/>
              <w:ind w:firstLine="0" w:firstLineChars="0"/>
              <w:jc w:val="center"/>
              <w:textAlignment w:val="center"/>
              <w:rPr>
                <w:rFonts w:eastAsia="宋体" w:cs="Times New Roman"/>
                <w:kern w:val="0"/>
                <w:sz w:val="21"/>
                <w:lang w:bidi="ar"/>
              </w:rPr>
            </w:pPr>
            <w:r>
              <w:rPr>
                <w:rFonts w:hint="eastAsia" w:eastAsia="宋体" w:cs="Times New Roman"/>
                <w:kern w:val="0"/>
                <w:sz w:val="21"/>
                <w:lang w:bidi="ar"/>
              </w:rPr>
              <w:t>沙朗新开涌、悦生涌</w:t>
            </w:r>
            <w:r>
              <w:rPr>
                <w:rFonts w:eastAsia="宋体" w:cs="Times New Roman"/>
                <w:kern w:val="0"/>
                <w:sz w:val="21"/>
                <w:lang w:bidi="ar"/>
              </w:rPr>
              <w:t>河堤整治</w:t>
            </w:r>
            <w:r>
              <w:rPr>
                <w:rFonts w:hint="eastAsia" w:eastAsia="宋体" w:cs="Times New Roman"/>
                <w:kern w:val="0"/>
                <w:sz w:val="21"/>
                <w:lang w:bidi="ar"/>
              </w:rPr>
              <w:t>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4224B4B7">
            <w:pPr>
              <w:widowControl/>
              <w:spacing w:line="240" w:lineRule="auto"/>
              <w:ind w:firstLine="0" w:firstLineChars="0"/>
              <w:jc w:val="center"/>
              <w:textAlignment w:val="top"/>
              <w:rPr>
                <w:rFonts w:eastAsia="宋体" w:cs="Times New Roman"/>
                <w:kern w:val="0"/>
                <w:sz w:val="21"/>
                <w:lang w:bidi="ar"/>
              </w:rPr>
            </w:pPr>
            <w:r>
              <w:rPr>
                <w:rFonts w:hint="eastAsia" w:eastAsia="宋体" w:cs="Times New Roman"/>
                <w:kern w:val="0"/>
                <w:sz w:val="21"/>
                <w:lang w:bidi="ar"/>
              </w:rPr>
              <w:t>河堤砌石</w:t>
            </w:r>
          </w:p>
        </w:tc>
      </w:tr>
    </w:tbl>
    <w:p w14:paraId="074FC759">
      <w:pPr>
        <w:ind w:firstLine="480"/>
        <w:rPr>
          <w:rFonts w:cs="Times New Roman"/>
          <w:szCs w:val="28"/>
        </w:rPr>
      </w:pPr>
    </w:p>
    <w:p w14:paraId="1D0F9AF2">
      <w:pPr>
        <w:pStyle w:val="5"/>
      </w:pPr>
      <w:r>
        <w:t>2.1.2.</w:t>
      </w:r>
      <w:r>
        <w:rPr>
          <w:rFonts w:hint="eastAsia"/>
        </w:rPr>
        <w:t>2城镇</w:t>
      </w:r>
      <w:r>
        <w:t>废污水收集处理系统有序推进</w:t>
      </w:r>
    </w:p>
    <w:p w14:paraId="356E495F">
      <w:pPr>
        <w:ind w:firstLine="480"/>
        <w:rPr>
          <w:rFonts w:eastAsia="宋体" w:cs="Times New Roman"/>
          <w:szCs w:val="24"/>
        </w:rPr>
      </w:pPr>
      <w:r>
        <w:rPr>
          <w:rFonts w:hint="eastAsia" w:eastAsia="宋体" w:cs="Times New Roman"/>
          <w:szCs w:val="24"/>
        </w:rPr>
        <w:t>西区雨污分流工程纳入中心城区雨分污工程，施工建设是由市雨污办统一负责。按照市政府雨污分流建设总体方案，西区建设主干管长19997m（其中：狮滘河以南西区城区片8455m，接入中嘉污水处理厂；狮滘河北岸的彩虹片、沙朗片11542m，接入珍家山污水处理厂），市政管总长44840m（其中：狮滘河以南西区城区片11807m，狮滘河北岸的彩虹片、沙朗片33033m），支管到户面积2623万m</w:t>
      </w:r>
      <w:r>
        <w:rPr>
          <w:rFonts w:eastAsia="宋体" w:cs="Times New Roman"/>
          <w:szCs w:val="24"/>
          <w:vertAlign w:val="superscript"/>
        </w:rPr>
        <w:t>2</w:t>
      </w:r>
      <w:r>
        <w:rPr>
          <w:rFonts w:hint="eastAsia" w:eastAsia="宋体" w:cs="Times New Roman"/>
          <w:szCs w:val="24"/>
        </w:rPr>
        <w:t>（其中：狮滘河以南西区城区片1164万m</w:t>
      </w:r>
      <w:r>
        <w:rPr>
          <w:rFonts w:eastAsia="宋体" w:cs="Times New Roman"/>
          <w:szCs w:val="24"/>
          <w:vertAlign w:val="superscript"/>
        </w:rPr>
        <w:t>2</w:t>
      </w:r>
      <w:r>
        <w:rPr>
          <w:rFonts w:hint="eastAsia" w:eastAsia="宋体" w:cs="Times New Roman"/>
          <w:szCs w:val="24"/>
        </w:rPr>
        <w:t>，狮滘河北岸的彩虹片、沙朗片1459万m</w:t>
      </w:r>
      <w:r>
        <w:rPr>
          <w:rFonts w:eastAsia="宋体" w:cs="Times New Roman"/>
          <w:szCs w:val="24"/>
          <w:vertAlign w:val="superscript"/>
        </w:rPr>
        <w:t>2</w:t>
      </w:r>
      <w:r>
        <w:rPr>
          <w:rFonts w:hint="eastAsia" w:eastAsia="宋体" w:cs="Times New Roman"/>
          <w:szCs w:val="24"/>
        </w:rPr>
        <w:t>），总投资48510万元，其中市投入资金17643万元，区投入资金30876万元，最后以结算为准（注：市、区投资按：狮滘河以南西区城区片主干管、市政管由市投入，支管到户市、区各按50%计；狮滘河北岸的彩虹片、沙朗片主干管、市政管及支管到户由区全额投入）。雨污分流工程于2012年6月动工，2016年12月基本完工。</w:t>
      </w:r>
    </w:p>
    <w:p w14:paraId="5E9A142A">
      <w:pPr>
        <w:ind w:firstLine="480"/>
        <w:rPr>
          <w:rFonts w:eastAsia="宋体" w:cs="Times New Roman"/>
          <w:szCs w:val="24"/>
        </w:rPr>
      </w:pPr>
      <w:r>
        <w:rPr>
          <w:rFonts w:hint="eastAsia" w:eastAsia="宋体" w:cs="Times New Roman"/>
          <w:szCs w:val="24"/>
        </w:rPr>
        <w:t>西区雨污分流建设共分为11个片区，其中城区片4个，沙朗片7个。到2016年底，狮滘河以南西区城区4个片区已全部完成并通水运行，污水输送到中嘉污水处理厂；狮滘河北岸的彩虹片、沙朗7个片区主干管完成14714m，市政管37433m，除5k</w:t>
      </w:r>
      <w:r>
        <w:rPr>
          <w:rFonts w:eastAsia="宋体" w:cs="Times New Roman"/>
          <w:szCs w:val="24"/>
        </w:rPr>
        <w:t>m</w:t>
      </w:r>
      <w:r>
        <w:rPr>
          <w:rFonts w:hint="eastAsia" w:eastAsia="宋体" w:cs="Times New Roman"/>
          <w:szCs w:val="24"/>
        </w:rPr>
        <w:t>左右河堤管网无法施工外，已完成工程总量的90%。支管到户完成工程量的90%。但到目前为止，狮滘河北岸的彩虹片、沙朗片已完成的污水管网未验收，未投入运行使用。</w:t>
      </w:r>
    </w:p>
    <w:p w14:paraId="4A982107">
      <w:pPr>
        <w:ind w:firstLine="480"/>
        <w:rPr>
          <w:rFonts w:eastAsia="宋体" w:cs="Times New Roman"/>
          <w:szCs w:val="24"/>
        </w:rPr>
      </w:pPr>
      <w:r>
        <w:rPr>
          <w:rFonts w:hint="eastAsia" w:eastAsia="宋体" w:cs="Times New Roman"/>
          <w:szCs w:val="24"/>
        </w:rPr>
        <w:t>到2018年为止：西区上缴市财政局雨污分流工程款累计12707万元（其中2013年4383万元，2014年6574万元，2015年1750万元）。因工程未验收取消年度预算资金3250万元（其中2016年1750万元，2017年1000万元，2018年500万元）。</w:t>
      </w:r>
    </w:p>
    <w:p w14:paraId="5D117D33">
      <w:pPr>
        <w:ind w:firstLine="480"/>
        <w:rPr>
          <w:rFonts w:eastAsia="宋体" w:cs="Times New Roman"/>
          <w:szCs w:val="24"/>
        </w:rPr>
      </w:pPr>
      <w:r>
        <w:rPr>
          <w:rFonts w:hint="eastAsia" w:eastAsia="宋体" w:cs="Times New Roman"/>
          <w:szCs w:val="24"/>
        </w:rPr>
        <w:t>中山市将生活污水处理设施建设作为生态市建设和污染减排的重点项目，列为巩固内河整治和水环境综合整治成果、全面建设社会主义新农村的民生工程。根据西区住建局提供的数据，西区城镇居民生活的污水基本都经过中嘉污水处理厂、珍家山污水处理厂（二期）处理才排到河涌，2017年西区生活污水处理率为</w:t>
      </w:r>
      <w:r>
        <w:rPr>
          <w:rFonts w:hint="eastAsia" w:eastAsia="宋体"/>
          <w:szCs w:val="24"/>
        </w:rPr>
        <w:t>90</w:t>
      </w:r>
      <w:r>
        <w:rPr>
          <w:rFonts w:hint="eastAsia"/>
          <w:szCs w:val="24"/>
        </w:rPr>
        <w:t>%</w:t>
      </w:r>
      <w:r>
        <w:rPr>
          <w:szCs w:val="24"/>
        </w:rPr>
        <w:t>，</w:t>
      </w:r>
      <w:r>
        <w:rPr>
          <w:rFonts w:hint="eastAsia" w:eastAsia="宋体" w:cs="Times New Roman"/>
          <w:szCs w:val="24"/>
        </w:rPr>
        <w:t>中嘉污水处理厂、</w:t>
      </w:r>
      <w:r>
        <w:rPr>
          <w:rFonts w:hint="eastAsia"/>
          <w:szCs w:val="24"/>
        </w:rPr>
        <w:t>珍家山污水处理厂（二期）</w:t>
      </w:r>
      <w:r>
        <w:rPr>
          <w:szCs w:val="24"/>
        </w:rPr>
        <w:t>出水水质达到国家一级B排放标准。</w:t>
      </w:r>
    </w:p>
    <w:p w14:paraId="70722F4A">
      <w:pPr>
        <w:spacing w:line="240" w:lineRule="auto"/>
        <w:ind w:firstLine="480"/>
        <w:rPr>
          <w:rFonts w:cs="Times New Roman"/>
          <w:szCs w:val="28"/>
        </w:rPr>
      </w:pPr>
    </w:p>
    <w:p w14:paraId="3D080CCF">
      <w:pPr>
        <w:pStyle w:val="3"/>
        <w:spacing w:before="0" w:after="0" w:line="360" w:lineRule="auto"/>
        <w:rPr>
          <w:rFonts w:cs="Times New Roman"/>
        </w:rPr>
      </w:pPr>
      <w:bookmarkStart w:id="214" w:name="_Toc523306787"/>
      <w:bookmarkStart w:id="215" w:name="_Toc25852"/>
      <w:bookmarkStart w:id="216" w:name="_Toc527881070"/>
      <w:bookmarkStart w:id="217" w:name="_Toc21250"/>
      <w:bookmarkStart w:id="218" w:name="_Toc13962"/>
      <w:bookmarkStart w:id="219" w:name="_Toc526004915"/>
      <w:bookmarkStart w:id="220" w:name="_Toc16675023"/>
      <w:bookmarkStart w:id="221" w:name="_Toc528880276"/>
      <w:bookmarkStart w:id="222" w:name="_Toc16124"/>
      <w:bookmarkStart w:id="223" w:name="_Toc15454"/>
      <w:bookmarkStart w:id="224" w:name="_Toc23473"/>
      <w:bookmarkStart w:id="225" w:name="_Toc528607244"/>
      <w:r>
        <w:rPr>
          <w:rFonts w:cs="Times New Roman"/>
        </w:rPr>
        <w:t>2.1.3水生态</w:t>
      </w:r>
      <w:bookmarkEnd w:id="214"/>
      <w:r>
        <w:rPr>
          <w:rFonts w:cs="Times New Roman"/>
        </w:rPr>
        <w:t>体系建设现状</w:t>
      </w:r>
      <w:bookmarkEnd w:id="215"/>
      <w:bookmarkEnd w:id="216"/>
      <w:bookmarkEnd w:id="217"/>
      <w:bookmarkEnd w:id="218"/>
      <w:bookmarkEnd w:id="219"/>
      <w:bookmarkEnd w:id="220"/>
      <w:bookmarkEnd w:id="221"/>
      <w:bookmarkEnd w:id="222"/>
      <w:bookmarkEnd w:id="223"/>
      <w:bookmarkEnd w:id="224"/>
      <w:bookmarkEnd w:id="225"/>
    </w:p>
    <w:p w14:paraId="0A5ECF78">
      <w:pPr>
        <w:pStyle w:val="5"/>
      </w:pPr>
      <w:r>
        <w:t>2.1.3.1内河涌水生态修复初见成效</w:t>
      </w:r>
    </w:p>
    <w:p w14:paraId="49D9446E">
      <w:pPr>
        <w:ind w:firstLine="480"/>
        <w:rPr>
          <w:rFonts w:cs="Times New Roman"/>
          <w:szCs w:val="28"/>
        </w:rPr>
      </w:pPr>
      <w:r>
        <w:rPr>
          <w:rFonts w:cs="Times New Roman"/>
          <w:szCs w:val="28"/>
        </w:rPr>
        <w:t>中山市近年来逐渐重视内河涌水生态修复工作，最严格水资源管理制度考核</w:t>
      </w:r>
      <w:r>
        <w:rPr>
          <w:rFonts w:hint="eastAsia" w:cs="Times New Roman"/>
          <w:szCs w:val="28"/>
        </w:rPr>
        <w:t>要求</w:t>
      </w:r>
      <w:r>
        <w:rPr>
          <w:rFonts w:cs="Times New Roman"/>
          <w:szCs w:val="28"/>
        </w:rPr>
        <w:t>镇区</w:t>
      </w:r>
      <w:r>
        <w:rPr>
          <w:rFonts w:hint="eastAsia" w:cs="Times New Roman"/>
          <w:szCs w:val="28"/>
        </w:rPr>
        <w:t>开展</w:t>
      </w:r>
      <w:r>
        <w:rPr>
          <w:rFonts w:cs="Times New Roman"/>
          <w:szCs w:val="28"/>
        </w:rPr>
        <w:t>河涌水生态修复</w:t>
      </w:r>
      <w:r>
        <w:rPr>
          <w:rFonts w:hint="eastAsia" w:cs="Times New Roman"/>
          <w:szCs w:val="28"/>
        </w:rPr>
        <w:t>工作</w:t>
      </w:r>
      <w:r>
        <w:rPr>
          <w:rFonts w:cs="Times New Roman"/>
          <w:szCs w:val="28"/>
        </w:rPr>
        <w:t>。在已开展的</w:t>
      </w:r>
      <w:r>
        <w:rPr>
          <w:rFonts w:hint="eastAsia" w:cs="Times New Roman"/>
          <w:szCs w:val="28"/>
        </w:rPr>
        <w:t>西区</w:t>
      </w:r>
      <w:r>
        <w:rPr>
          <w:rFonts w:cs="Times New Roman"/>
          <w:szCs w:val="28"/>
        </w:rPr>
        <w:t>中小河流整治中也逐渐实施水生态修复措施。</w:t>
      </w:r>
      <w:r>
        <w:rPr>
          <w:rFonts w:hint="eastAsia" w:cs="Times New Roman"/>
          <w:szCs w:val="28"/>
        </w:rPr>
        <w:t>西区</w:t>
      </w:r>
      <w:r>
        <w:rPr>
          <w:rFonts w:cs="Times New Roman"/>
          <w:szCs w:val="28"/>
        </w:rPr>
        <w:t>积极落实市下达的内河涌水生态修复任务。</w:t>
      </w:r>
      <w:r>
        <w:rPr>
          <w:rFonts w:hint="eastAsia" w:cs="Times New Roman"/>
          <w:szCs w:val="28"/>
        </w:rPr>
        <w:t>西区</w:t>
      </w:r>
      <w:r>
        <w:rPr>
          <w:rFonts w:cs="Times New Roman"/>
          <w:szCs w:val="28"/>
        </w:rPr>
        <w:t>通过开展内河涌清淤疏浚、</w:t>
      </w:r>
      <w:r>
        <w:rPr>
          <w:rFonts w:hint="eastAsia" w:cs="Times New Roman"/>
          <w:szCs w:val="28"/>
        </w:rPr>
        <w:t>清理浮莲、</w:t>
      </w:r>
      <w:r>
        <w:rPr>
          <w:rFonts w:cs="Times New Roman"/>
          <w:szCs w:val="28"/>
        </w:rPr>
        <w:t>护岸生态整治等水生态修复工程措施，修复内河涌的水生态系统，初步取得了一定的成效。</w:t>
      </w:r>
      <w:r>
        <w:rPr>
          <w:rFonts w:hint="eastAsia" w:cs="Times New Roman"/>
          <w:szCs w:val="28"/>
        </w:rPr>
        <w:t>西区</w:t>
      </w:r>
      <w:r>
        <w:rPr>
          <w:rFonts w:cs="Times New Roman"/>
          <w:szCs w:val="28"/>
        </w:rPr>
        <w:t>的内河涌生物指标处于一般状态，通过进一步的生态修复建设有望恢复水生态系统健康。</w:t>
      </w:r>
    </w:p>
    <w:p w14:paraId="772A3CC4">
      <w:pPr>
        <w:pStyle w:val="5"/>
      </w:pPr>
      <w:r>
        <w:rPr>
          <w:rFonts w:hint="eastAsia"/>
        </w:rPr>
        <w:t>2.1.3.2</w:t>
      </w:r>
      <w:r>
        <w:t>河湖水系连通建设</w:t>
      </w:r>
      <w:r>
        <w:rPr>
          <w:rFonts w:hint="eastAsia"/>
        </w:rPr>
        <w:t>起步阶段</w:t>
      </w:r>
    </w:p>
    <w:p w14:paraId="15E1F1ED">
      <w:pPr>
        <w:ind w:firstLine="480"/>
      </w:pPr>
      <w:r>
        <w:rPr>
          <w:rFonts w:hint="eastAsia"/>
        </w:rPr>
        <w:t>西区境内的河涌流动性差。根据中山市水系特点，将中山市水系连通类型与重点分为四个区域，即西北部平原河网区、翠亨新区河网区、南部平原河网区、中心城区河网区。</w:t>
      </w:r>
    </w:p>
    <w:p w14:paraId="2F3FE16E">
      <w:pPr>
        <w:pStyle w:val="78"/>
        <w:ind w:firstLine="480"/>
        <w:jc w:val="left"/>
        <w:rPr>
          <w:sz w:val="24"/>
        </w:rPr>
      </w:pPr>
      <w:r>
        <w:rPr>
          <w:rFonts w:hint="eastAsia"/>
          <w:sz w:val="24"/>
        </w:rPr>
        <w:t>西区属于中心城区河网，中心城区的主干河涌为岐江河，与汇入岐江的各支流一起，构成中心城区的水系网络。该区域水系连通的重点是落实中顺大围水系连通、水闸泵站联合调度的研究，执行“西引东排”的单向引排水格局，将西江的清洁水源引入中顺大围内河涌，一方面可起到稀释内河涌水体的作，另一方面通过单向排水与外潮潮汐特性，提高中顺大围内河涌的水体流动性，提高水体的自然自净作用，改善中顺大围内河涌水环境状况，修复水生态系统。近期推进中顺大围水系连通与引水冲污工程建设；远期逐渐优化中顺大围水系连通水闸泵站联合调度系统，并实现智能化调度。</w:t>
      </w:r>
    </w:p>
    <w:p w14:paraId="0CA80F5C">
      <w:pPr>
        <w:pStyle w:val="78"/>
        <w:ind w:firstLine="480"/>
        <w:jc w:val="left"/>
        <w:rPr>
          <w:sz w:val="24"/>
        </w:rPr>
      </w:pPr>
      <w:r>
        <w:rPr>
          <w:rFonts w:hint="eastAsia"/>
          <w:sz w:val="24"/>
        </w:rPr>
        <w:t>西区部分内河涌</w:t>
      </w:r>
      <w:r>
        <w:rPr>
          <w:sz w:val="24"/>
        </w:rPr>
        <w:t>由于水体流动受限，水体自然净化能力差，水体基本呈</w:t>
      </w:r>
      <w:r>
        <w:rPr>
          <w:rFonts w:hint="eastAsia"/>
          <w:sz w:val="24"/>
        </w:rPr>
        <w:t>劣V类</w:t>
      </w:r>
      <w:r>
        <w:rPr>
          <w:sz w:val="24"/>
        </w:rPr>
        <w:t>状态</w:t>
      </w:r>
      <w:r>
        <w:rPr>
          <w:rFonts w:hint="eastAsia"/>
          <w:sz w:val="24"/>
        </w:rPr>
        <w:t>。</w:t>
      </w:r>
      <w:r>
        <w:rPr>
          <w:sz w:val="24"/>
        </w:rPr>
        <w:t>为了改</w:t>
      </w:r>
      <w:r>
        <w:rPr>
          <w:rFonts w:hint="eastAsia"/>
          <w:sz w:val="24"/>
        </w:rPr>
        <w:t>善内河</w:t>
      </w:r>
      <w:r>
        <w:rPr>
          <w:sz w:val="24"/>
        </w:rPr>
        <w:t>涌的水体流动性，近年来开展了一系列工作，</w:t>
      </w:r>
      <w:r>
        <w:rPr>
          <w:rFonts w:hint="eastAsia"/>
          <w:sz w:val="24"/>
        </w:rPr>
        <w:t>西区正积极准备实施清淤、调水补水、水生态修复</w:t>
      </w:r>
      <w:r>
        <w:rPr>
          <w:sz w:val="24"/>
        </w:rPr>
        <w:t>工程</w:t>
      </w:r>
      <w:r>
        <w:rPr>
          <w:rFonts w:hint="eastAsia" w:ascii="宋体" w:hAnsi="宋体" w:cs="宋体"/>
          <w:sz w:val="24"/>
        </w:rPr>
        <w:t>，提高了自净能力，水体的黑臭现象也在好转。西区开展石特涌清淤、水生态修复工程和翠朗水闸建设工程</w:t>
      </w:r>
      <w:r>
        <w:rPr>
          <w:rFonts w:hint="eastAsia"/>
          <w:sz w:val="24"/>
        </w:rPr>
        <w:t>，疏浚河床、砌护岸石及河道清淤。西区岐江河（西区段）、狮滘河（西区段）等河涌也作为开展重点县综合整治和水系连通试点项目建设规划期内重点整治河涌段。根据西区水利所提供的数据，结合遥感影像显示，目前，西区新涌大信新家园段、花海湾小区段，长度约1.6km已被覆盖，水系连通的河涌有岐江河、狮滘河、沙朗新开涌、十六顷涌等14条河涌，占总河涌的93.3%。</w:t>
      </w:r>
    </w:p>
    <w:p w14:paraId="1F98BD07">
      <w:pPr>
        <w:pStyle w:val="5"/>
      </w:pPr>
      <w:r>
        <w:t>2.1.3.</w:t>
      </w:r>
      <w:r>
        <w:rPr>
          <w:rFonts w:hint="eastAsia"/>
        </w:rPr>
        <w:t>3</w:t>
      </w:r>
      <w:r>
        <w:t>水土保持生态现状</w:t>
      </w:r>
    </w:p>
    <w:p w14:paraId="5856666D">
      <w:pPr>
        <w:ind w:firstLine="480"/>
        <w:rPr>
          <w:rFonts w:cs="Times New Roman"/>
          <w:szCs w:val="28"/>
        </w:rPr>
      </w:pPr>
      <w:r>
        <w:rPr>
          <w:rFonts w:cs="Times New Roman"/>
          <w:szCs w:val="28"/>
        </w:rPr>
        <w:t>根据《中山市水土保持规划（2016-2030）》，</w:t>
      </w:r>
      <w:r>
        <w:rPr>
          <w:rFonts w:hint="eastAsia" w:cs="Times New Roman"/>
          <w:szCs w:val="28"/>
        </w:rPr>
        <w:t>西区</w:t>
      </w:r>
      <w:r>
        <w:rPr>
          <w:rFonts w:cs="Times New Roman"/>
          <w:szCs w:val="28"/>
        </w:rPr>
        <w:t>水土保持分区属于北部平原水质维护和人居环境维护区，该区位于中山市北部，土地面积951.56km</w:t>
      </w:r>
      <w:r>
        <w:rPr>
          <w:rFonts w:cs="Times New Roman"/>
          <w:szCs w:val="28"/>
          <w:vertAlign w:val="superscript"/>
        </w:rPr>
        <w:t>2</w:t>
      </w:r>
      <w:r>
        <w:rPr>
          <w:rFonts w:cs="Times New Roman"/>
          <w:szCs w:val="28"/>
        </w:rPr>
        <w:t>，占全市土地总面积的53.34％。本区地貌以冲积平原为主，区域海拔多在20～80m之间，坡度小，地势起伏和缓，水网纵横。总体上北部平原区范围东起张家边，西至</w:t>
      </w:r>
      <w:r>
        <w:rPr>
          <w:rFonts w:hint="eastAsia" w:cs="Times New Roman"/>
          <w:szCs w:val="28"/>
        </w:rPr>
        <w:t>西区</w:t>
      </w:r>
      <w:r>
        <w:rPr>
          <w:rFonts w:cs="Times New Roman"/>
          <w:szCs w:val="28"/>
        </w:rPr>
        <w:t>，北达黄圃，南到石岐附近，是全市最广阔的平原。该区包括石岐区街道、西区街道、小榄镇、横栏镇、</w:t>
      </w:r>
      <w:r>
        <w:rPr>
          <w:rFonts w:hint="eastAsia" w:cs="Times New Roman"/>
          <w:szCs w:val="28"/>
        </w:rPr>
        <w:t>古镇镇</w:t>
      </w:r>
      <w:r>
        <w:rPr>
          <w:rFonts w:cs="Times New Roman"/>
          <w:szCs w:val="28"/>
        </w:rPr>
        <w:t>、阜沙镇、</w:t>
      </w:r>
      <w:r>
        <w:rPr>
          <w:rFonts w:hint="eastAsia" w:cs="Times New Roman"/>
          <w:szCs w:val="28"/>
        </w:rPr>
        <w:t>大涌镇</w:t>
      </w:r>
      <w:r>
        <w:rPr>
          <w:rFonts w:cs="Times New Roman"/>
          <w:szCs w:val="28"/>
        </w:rPr>
        <w:t>等15个镇级行政区，区内人口约197.30万人，占全市总人口的63.22%，人口密度2073人/km</w:t>
      </w:r>
      <w:r>
        <w:rPr>
          <w:rFonts w:cs="Times New Roman"/>
          <w:szCs w:val="28"/>
          <w:vertAlign w:val="superscript"/>
        </w:rPr>
        <w:t>2</w:t>
      </w:r>
      <w:r>
        <w:rPr>
          <w:rFonts w:cs="Times New Roman"/>
          <w:szCs w:val="28"/>
        </w:rPr>
        <w:t>。农用地、建设用地和未利用地面积分布为431.67km</w:t>
      </w:r>
      <w:r>
        <w:rPr>
          <w:rFonts w:cs="Times New Roman"/>
          <w:szCs w:val="28"/>
          <w:vertAlign w:val="superscript"/>
        </w:rPr>
        <w:t>2</w:t>
      </w:r>
      <w:r>
        <w:rPr>
          <w:rFonts w:cs="Times New Roman"/>
          <w:szCs w:val="28"/>
        </w:rPr>
        <w:t>、395.73km</w:t>
      </w:r>
      <w:r>
        <w:rPr>
          <w:rFonts w:cs="Times New Roman"/>
          <w:szCs w:val="28"/>
          <w:vertAlign w:val="superscript"/>
        </w:rPr>
        <w:t>2</w:t>
      </w:r>
      <w:r>
        <w:rPr>
          <w:rFonts w:cs="Times New Roman"/>
          <w:szCs w:val="28"/>
        </w:rPr>
        <w:t>和124.06km</w:t>
      </w:r>
      <w:r>
        <w:rPr>
          <w:rFonts w:cs="Times New Roman"/>
          <w:szCs w:val="28"/>
          <w:vertAlign w:val="superscript"/>
        </w:rPr>
        <w:t>2</w:t>
      </w:r>
      <w:r>
        <w:rPr>
          <w:rFonts w:cs="Times New Roman"/>
          <w:szCs w:val="28"/>
        </w:rPr>
        <w:t>，分别占全市农用地、建设用地和未利用地的46.62%、58.95%和66.53%，分别占本区总面积的45.37%、41.59%和13.4%；本区人口密集，建设用地比重大，土地开发程度高，区域内林草面积（含园地）约163.01km</w:t>
      </w:r>
      <w:r>
        <w:rPr>
          <w:rFonts w:cs="Times New Roman"/>
          <w:szCs w:val="28"/>
          <w:vertAlign w:val="superscript"/>
        </w:rPr>
        <w:t>2</w:t>
      </w:r>
      <w:r>
        <w:rPr>
          <w:rFonts w:cs="Times New Roman"/>
          <w:szCs w:val="28"/>
        </w:rPr>
        <w:t>，植被覆盖率约17.13%，低于全市平均值28.86%。本区轻度及以上水土流失面积16.13km</w:t>
      </w:r>
      <w:r>
        <w:rPr>
          <w:rFonts w:cs="Times New Roman"/>
          <w:szCs w:val="28"/>
          <w:vertAlign w:val="superscript"/>
        </w:rPr>
        <w:t>2</w:t>
      </w:r>
      <w:r>
        <w:rPr>
          <w:rFonts w:cs="Times New Roman"/>
          <w:szCs w:val="28"/>
        </w:rPr>
        <w:t>，占全市水土流失面积的15.83%，占国土面积的1.70%。总体上，水土流失轻微，其中城市扩张、开发区建设和修路等城市化建设是本区引发土壤侵蚀的主要原因。</w:t>
      </w:r>
    </w:p>
    <w:p w14:paraId="4399449F">
      <w:pPr>
        <w:ind w:firstLine="480"/>
        <w:rPr>
          <w:rFonts w:cs="Times New Roman"/>
          <w:szCs w:val="28"/>
        </w:rPr>
      </w:pPr>
      <w:r>
        <w:rPr>
          <w:rFonts w:hint="eastAsia"/>
          <w:szCs w:val="28"/>
        </w:rPr>
        <w:t>综上所述，本区的水土流失率约为1.70%，西区镇域面积为25.21km</w:t>
      </w:r>
      <w:r>
        <w:rPr>
          <w:rFonts w:hint="eastAsia"/>
          <w:szCs w:val="28"/>
          <w:vertAlign w:val="superscript"/>
        </w:rPr>
        <w:t>2</w:t>
      </w:r>
      <w:r>
        <w:rPr>
          <w:rFonts w:hint="eastAsia"/>
          <w:szCs w:val="28"/>
        </w:rPr>
        <w:t>，由此推测西区2017年的水土流失面积约为0.43km</w:t>
      </w:r>
      <w:r>
        <w:rPr>
          <w:rFonts w:hint="eastAsia"/>
          <w:szCs w:val="28"/>
          <w:vertAlign w:val="superscript"/>
        </w:rPr>
        <w:t>2</w:t>
      </w:r>
      <w:r>
        <w:rPr>
          <w:rFonts w:hint="eastAsia"/>
          <w:szCs w:val="28"/>
        </w:rPr>
        <w:t>。</w:t>
      </w:r>
    </w:p>
    <w:p w14:paraId="7381E8DE">
      <w:pPr>
        <w:pStyle w:val="5"/>
      </w:pPr>
      <w:r>
        <w:t>2.1.3.</w:t>
      </w:r>
      <w:r>
        <w:rPr>
          <w:rFonts w:hint="eastAsia"/>
        </w:rPr>
        <w:t>4</w:t>
      </w:r>
      <w:r>
        <w:t>湿地保护初见成效</w:t>
      </w:r>
    </w:p>
    <w:p w14:paraId="627C3947">
      <w:pPr>
        <w:ind w:firstLine="480"/>
        <w:rPr>
          <w:rFonts w:cs="Times New Roman"/>
          <w:szCs w:val="28"/>
        </w:rPr>
      </w:pPr>
      <w:r>
        <w:rPr>
          <w:rFonts w:cs="Times New Roman"/>
          <w:szCs w:val="28"/>
        </w:rPr>
        <w:t>目前</w:t>
      </w:r>
      <w:r>
        <w:rPr>
          <w:rFonts w:hint="eastAsia" w:cs="Times New Roman"/>
          <w:szCs w:val="28"/>
        </w:rPr>
        <w:t>西区</w:t>
      </w:r>
      <w:r>
        <w:rPr>
          <w:rFonts w:cs="Times New Roman"/>
          <w:szCs w:val="28"/>
        </w:rPr>
        <w:t>水生态环境逐步修复，本次湿地为狭义上的湿地（包含河流、湖泊、水库、坑塘水面、养殖水面、滩涂，不含水田）。</w:t>
      </w:r>
      <w:r>
        <w:rPr>
          <w:rFonts w:hint="eastAsia" w:cs="Times New Roman"/>
          <w:szCs w:val="28"/>
        </w:rPr>
        <w:t>西区</w:t>
      </w:r>
      <w:r>
        <w:rPr>
          <w:rFonts w:cs="Times New Roman"/>
          <w:szCs w:val="28"/>
        </w:rPr>
        <w:t>目前已建的湿地公园有</w:t>
      </w:r>
      <w:r>
        <w:rPr>
          <w:rFonts w:hint="eastAsia" w:cs="Times New Roman"/>
          <w:szCs w:val="28"/>
        </w:rPr>
        <w:t>彩虹绿洲湿地公园（图2-3）和六涌休闲湿地公园，切实保护湿地资源，构建生态修复屏障，改善城镇小气候，创造优良城镇环境，丰富居民休闲游憩选择。彩虹绿洲湿地公园、六涌休闲湿地公园</w:t>
      </w:r>
      <w:r>
        <w:rPr>
          <w:rFonts w:cs="Times New Roman"/>
          <w:szCs w:val="28"/>
        </w:rPr>
        <w:t>是中山市目前已建成的西区彩虹绿洲公园、中山湿地公园、板芙滨江湿地公园、南头水上运动公园、东凤莺哥咀水文公园、东凤和穗湿地公园等湿地公园之一（见</w:t>
      </w:r>
      <w:r>
        <w:rPr>
          <w:rFonts w:hint="eastAsia" w:cs="Times New Roman"/>
          <w:b/>
          <w:bCs/>
          <w:szCs w:val="28"/>
        </w:rPr>
        <w:t>附</w:t>
      </w:r>
      <w:r>
        <w:rPr>
          <w:rFonts w:cs="Times New Roman"/>
          <w:b/>
          <w:bCs/>
          <w:szCs w:val="28"/>
        </w:rPr>
        <w:t>图</w:t>
      </w:r>
      <w:r>
        <w:rPr>
          <w:rFonts w:hint="eastAsia" w:cs="Times New Roman"/>
          <w:b/>
          <w:bCs/>
          <w:szCs w:val="28"/>
        </w:rPr>
        <w:t>15</w:t>
      </w:r>
      <w:r>
        <w:rPr>
          <w:rFonts w:cs="Times New Roman"/>
          <w:szCs w:val="28"/>
        </w:rPr>
        <w:t>），</w:t>
      </w:r>
      <w:r>
        <w:rPr>
          <w:rFonts w:hint="eastAsia" w:cs="Times New Roman"/>
          <w:szCs w:val="28"/>
        </w:rPr>
        <w:t>彩虹绿洲湿地公园、六涌休闲湿地公园</w:t>
      </w:r>
      <w:r>
        <w:rPr>
          <w:rFonts w:cs="Times New Roman"/>
          <w:szCs w:val="28"/>
        </w:rPr>
        <w:t>充分利用</w:t>
      </w:r>
      <w:r>
        <w:rPr>
          <w:rFonts w:hint="eastAsia" w:cs="Times New Roman"/>
          <w:szCs w:val="28"/>
        </w:rPr>
        <w:t>河涌或</w:t>
      </w:r>
      <w:r>
        <w:rPr>
          <w:rFonts w:cs="Times New Roman"/>
          <w:szCs w:val="28"/>
        </w:rPr>
        <w:t>水道的沿河滩涂湿地资源，以龙舟文化和科普教育为主题，具有旅游和人文旅游双重特征，是一个集休闲健身、旅游观景、文化教育于一体的湿地公园，是利用与保护</w:t>
      </w:r>
      <w:r>
        <w:rPr>
          <w:rFonts w:hint="eastAsia" w:cs="Times New Roman"/>
          <w:szCs w:val="28"/>
        </w:rPr>
        <w:t>河流</w:t>
      </w:r>
      <w:r>
        <w:rPr>
          <w:rFonts w:cs="Times New Roman"/>
          <w:szCs w:val="28"/>
        </w:rPr>
        <w:t>沿岸滩涂湿地的典型湿地公园。</w:t>
      </w:r>
    </w:p>
    <w:p w14:paraId="6CA2F7AA">
      <w:pPr>
        <w:pStyle w:val="5"/>
      </w:pPr>
      <w:r>
        <w:t>2.1.3.</w:t>
      </w:r>
      <w:r>
        <w:rPr>
          <w:rFonts w:hint="eastAsia"/>
        </w:rPr>
        <w:t>5</w:t>
      </w:r>
      <w:r>
        <w:t>生态示范村</w:t>
      </w:r>
      <w:r>
        <w:rPr>
          <w:rFonts w:hint="eastAsia"/>
        </w:rPr>
        <w:t>（社区）</w:t>
      </w:r>
      <w:r>
        <w:t>建设初见成效</w:t>
      </w:r>
    </w:p>
    <w:p w14:paraId="7ADBD041">
      <w:pPr>
        <w:ind w:firstLine="480"/>
        <w:rPr>
          <w:rFonts w:cs="Times New Roman"/>
          <w:sz w:val="21"/>
        </w:rPr>
      </w:pPr>
      <w:r>
        <w:rPr>
          <w:rFonts w:cs="Times New Roman"/>
          <w:szCs w:val="28"/>
        </w:rPr>
        <w:t>为贯彻落实党的十九大精神，全面改善农村生态环境，建设幸福和美新农村，</w:t>
      </w:r>
      <w:r>
        <w:rPr>
          <w:rFonts w:hint="eastAsia" w:cs="Times New Roman"/>
          <w:szCs w:val="28"/>
        </w:rPr>
        <w:t>截至</w:t>
      </w:r>
      <w:r>
        <w:rPr>
          <w:rFonts w:cs="Times New Roman"/>
          <w:szCs w:val="28"/>
        </w:rPr>
        <w:t>201</w:t>
      </w:r>
      <w:r>
        <w:rPr>
          <w:rFonts w:hint="eastAsia" w:cs="Times New Roman"/>
          <w:szCs w:val="28"/>
        </w:rPr>
        <w:t>9</w:t>
      </w:r>
      <w:r>
        <w:rPr>
          <w:rFonts w:cs="Times New Roman"/>
          <w:szCs w:val="28"/>
        </w:rPr>
        <w:t>年</w:t>
      </w:r>
      <w:r>
        <w:rPr>
          <w:rFonts w:hint="eastAsia" w:cs="Times New Roman"/>
          <w:szCs w:val="28"/>
        </w:rPr>
        <w:t>西区</w:t>
      </w:r>
      <w:r>
        <w:rPr>
          <w:rFonts w:cs="Times New Roman"/>
          <w:szCs w:val="28"/>
        </w:rPr>
        <w:t>共有</w:t>
      </w:r>
      <w:r>
        <w:rPr>
          <w:rFonts w:hint="eastAsia" w:cs="Times New Roman"/>
          <w:szCs w:val="28"/>
        </w:rPr>
        <w:t>西苑社区、烟洲社区、广丰社区、沙朗社区等9个社区获得“市级生态示范社区”称号，2014年西苑社区、烟洲社区、长洲社区、后山社区、彩虹社区等 5个社区，2015年广丰社区，2016年隆平社区、沙朗社区、隆昌社区等3个社区，100%行政社区完成</w:t>
      </w:r>
      <w:r>
        <w:rPr>
          <w:rFonts w:cs="Times New Roman"/>
          <w:szCs w:val="28"/>
        </w:rPr>
        <w:t>生态示范</w:t>
      </w:r>
      <w:r>
        <w:rPr>
          <w:rFonts w:hint="eastAsia" w:cs="Times New Roman"/>
          <w:szCs w:val="28"/>
        </w:rPr>
        <w:t>社区的创建，</w:t>
      </w:r>
      <w:r>
        <w:rPr>
          <w:rFonts w:cs="Times New Roman"/>
          <w:szCs w:val="28"/>
        </w:rPr>
        <w:t>生态示范</w:t>
      </w:r>
      <w:r>
        <w:rPr>
          <w:rFonts w:hint="eastAsia" w:cs="Times New Roman"/>
          <w:szCs w:val="28"/>
        </w:rPr>
        <w:t>社区</w:t>
      </w:r>
      <w:r>
        <w:rPr>
          <w:rFonts w:cs="Times New Roman"/>
          <w:szCs w:val="28"/>
        </w:rPr>
        <w:t>创建工作</w:t>
      </w:r>
      <w:r>
        <w:rPr>
          <w:rFonts w:hint="eastAsia" w:cs="Times New Roman"/>
          <w:szCs w:val="28"/>
        </w:rPr>
        <w:t>进展较快</w:t>
      </w:r>
      <w:r>
        <w:rPr>
          <w:rFonts w:cs="Times New Roman"/>
          <w:szCs w:val="28"/>
        </w:rPr>
        <w:t>。</w:t>
      </w:r>
      <w:r>
        <w:rPr>
          <w:rFonts w:hint="eastAsia" w:cs="Times New Roman"/>
          <w:szCs w:val="28"/>
        </w:rPr>
        <w:t>西区除了拥有彩虹绿洲公园这个大型综合公园外，还建有狮山公园、马山公园、岐江公园、西区休闲文化公园、六涌休闲湿地、西区彩虹社区体育公园等休闲公园，生态环境良好。</w:t>
      </w:r>
    </w:p>
    <w:p w14:paraId="10F7EE89">
      <w:pPr>
        <w:spacing w:line="240" w:lineRule="auto"/>
        <w:ind w:firstLine="0" w:firstLineChars="0"/>
        <w:jc w:val="center"/>
      </w:pPr>
      <w:r>
        <w:drawing>
          <wp:inline distT="0" distB="0" distL="114300" distR="114300">
            <wp:extent cx="5286375" cy="3390900"/>
            <wp:effectExtent l="0" t="0" r="9525" b="0"/>
            <wp:docPr id="17411" name="内容占位符 17410" descr="20171101_09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内容占位符 17410" descr="20171101_092322"/>
                    <pic:cNvPicPr>
                      <a:picLocks noChangeAspect="1"/>
                    </pic:cNvPicPr>
                  </pic:nvPicPr>
                  <pic:blipFill>
                    <a:blip r:embed="rId20"/>
                    <a:stretch>
                      <a:fillRect/>
                    </a:stretch>
                  </pic:blipFill>
                  <pic:spPr>
                    <a:xfrm>
                      <a:off x="0" y="0"/>
                      <a:ext cx="5323008" cy="3414387"/>
                    </a:xfrm>
                    <a:prstGeom prst="rect">
                      <a:avLst/>
                    </a:prstGeom>
                    <a:noFill/>
                    <a:ln w="9525">
                      <a:noFill/>
                    </a:ln>
                  </pic:spPr>
                </pic:pic>
              </a:graphicData>
            </a:graphic>
          </wp:inline>
        </w:drawing>
      </w:r>
    </w:p>
    <w:p w14:paraId="7FF1E596">
      <w:pPr>
        <w:spacing w:line="240" w:lineRule="auto"/>
        <w:ind w:firstLine="420"/>
        <w:jc w:val="center"/>
        <w:rPr>
          <w:rFonts w:cs="Times New Roman"/>
          <w:sz w:val="21"/>
        </w:rPr>
      </w:pPr>
      <w:r>
        <w:rPr>
          <w:rFonts w:hint="eastAsia" w:cs="Times New Roman"/>
          <w:sz w:val="21"/>
        </w:rPr>
        <w:t>图2-3  彩虹绿洲湿地公园</w:t>
      </w:r>
    </w:p>
    <w:p w14:paraId="51BEA7AE">
      <w:pPr>
        <w:spacing w:line="240" w:lineRule="auto"/>
        <w:ind w:firstLine="420"/>
        <w:jc w:val="center"/>
        <w:rPr>
          <w:sz w:val="21"/>
        </w:rPr>
      </w:pPr>
    </w:p>
    <w:p w14:paraId="53677EEF">
      <w:pPr>
        <w:pStyle w:val="5"/>
      </w:pPr>
      <w:r>
        <w:t>2.1.3.</w:t>
      </w:r>
      <w:r>
        <w:rPr>
          <w:rFonts w:hint="eastAsia"/>
        </w:rPr>
        <w:t>6</w:t>
      </w:r>
      <w:r>
        <w:t>河长制初见成效</w:t>
      </w:r>
    </w:p>
    <w:p w14:paraId="544B5B85">
      <w:pPr>
        <w:ind w:firstLine="480"/>
        <w:rPr>
          <w:rFonts w:cs="Times New Roman"/>
          <w:szCs w:val="28"/>
        </w:rPr>
      </w:pPr>
      <w:r>
        <w:rPr>
          <w:rFonts w:hint="eastAsia" w:cs="Times New Roman"/>
          <w:szCs w:val="28"/>
        </w:rPr>
        <w:t>根据中山市人民政府西区办事处文件（西办【2</w:t>
      </w:r>
      <w:r>
        <w:rPr>
          <w:rFonts w:cs="Times New Roman"/>
          <w:szCs w:val="28"/>
        </w:rPr>
        <w:t>017</w:t>
      </w:r>
      <w:r>
        <w:rPr>
          <w:rFonts w:hint="eastAsia" w:cs="Times New Roman"/>
          <w:szCs w:val="28"/>
        </w:rPr>
        <w:t>】1</w:t>
      </w:r>
      <w:r>
        <w:rPr>
          <w:rFonts w:cs="Times New Roman"/>
          <w:szCs w:val="28"/>
        </w:rPr>
        <w:t>40</w:t>
      </w:r>
      <w:r>
        <w:rPr>
          <w:rFonts w:hint="eastAsia" w:cs="Times New Roman"/>
          <w:szCs w:val="28"/>
        </w:rPr>
        <w:t>号），2</w:t>
      </w:r>
      <w:r>
        <w:rPr>
          <w:rFonts w:cs="Times New Roman"/>
          <w:szCs w:val="28"/>
        </w:rPr>
        <w:t>017</w:t>
      </w:r>
      <w:r>
        <w:rPr>
          <w:rFonts w:hint="eastAsia" w:cs="Times New Roman"/>
          <w:szCs w:val="28"/>
        </w:rPr>
        <w:t>年，西区制定了《西区全面推行河长制会议制度（试行）》、《西区全面推行河长制巡查制度（试行）》和《西区全面推行河长制工作督察制度（试行）》等三项制度。西区</w:t>
      </w:r>
      <w:r>
        <w:rPr>
          <w:rFonts w:cs="Times New Roman"/>
          <w:szCs w:val="28"/>
        </w:rPr>
        <w:t>目前已全面推进河长制，</w:t>
      </w:r>
      <w:r>
        <w:rPr>
          <w:rFonts w:hint="eastAsia" w:cs="Times New Roman"/>
          <w:szCs w:val="28"/>
        </w:rPr>
        <w:t>严格执行河长制会议制度、河长制巡查制度、河长制工作督察制度。</w:t>
      </w:r>
      <w:r>
        <w:rPr>
          <w:rFonts w:cs="Times New Roman"/>
          <w:szCs w:val="28"/>
        </w:rPr>
        <w:t>按</w:t>
      </w:r>
      <w:r>
        <w:rPr>
          <w:rFonts w:cs="Times New Roman" w:asciiTheme="minorEastAsia" w:hAnsiTheme="minorEastAsia"/>
          <w:szCs w:val="28"/>
        </w:rPr>
        <w:t>照“一流域一方案”及“一河一策”原则，建立了镇、社区</w:t>
      </w:r>
      <w:r>
        <w:rPr>
          <w:rFonts w:hint="eastAsia" w:cs="Times New Roman" w:asciiTheme="minorEastAsia" w:hAnsiTheme="minorEastAsia"/>
          <w:szCs w:val="28"/>
        </w:rPr>
        <w:t>或村</w:t>
      </w:r>
      <w:r>
        <w:rPr>
          <w:rFonts w:cs="Times New Roman" w:asciiTheme="minorEastAsia" w:hAnsiTheme="minorEastAsia"/>
          <w:szCs w:val="28"/>
        </w:rPr>
        <w:t>二级河长体系，成立了镇河长制工作领导小组，各级河长、镇各成员单位明确了工作职责，强化“三条红线”管理，保护水</w:t>
      </w:r>
      <w:r>
        <w:rPr>
          <w:rFonts w:cs="Times New Roman"/>
          <w:szCs w:val="28"/>
        </w:rPr>
        <w:t>资源，提高防灾减灾能力，保障水安全，控制污染物排放，防治水污染，强化分类治理，改善水环境，维护河道生命健康，修复水生态，严格河道空间管控，加强河涌水域岸线管理保护，建立健全法规制度，加强执法监管。</w:t>
      </w:r>
    </w:p>
    <w:p w14:paraId="635C12DC">
      <w:pPr>
        <w:spacing w:line="240" w:lineRule="auto"/>
        <w:ind w:firstLine="480"/>
        <w:rPr>
          <w:rFonts w:cs="Times New Roman"/>
          <w:szCs w:val="28"/>
        </w:rPr>
      </w:pPr>
    </w:p>
    <w:p w14:paraId="402D9626">
      <w:pPr>
        <w:pStyle w:val="3"/>
        <w:spacing w:before="0" w:after="0" w:line="360" w:lineRule="auto"/>
        <w:rPr>
          <w:rFonts w:cs="Times New Roman"/>
        </w:rPr>
      </w:pPr>
      <w:bookmarkStart w:id="226" w:name="_Toc523306783"/>
      <w:bookmarkStart w:id="227" w:name="_Toc528880277"/>
      <w:bookmarkStart w:id="228" w:name="_Toc8448"/>
      <w:bookmarkStart w:id="229" w:name="_Toc16675024"/>
      <w:bookmarkStart w:id="230" w:name="_Toc25801"/>
      <w:bookmarkStart w:id="231" w:name="_Toc2224"/>
      <w:bookmarkStart w:id="232" w:name="_Toc528607245"/>
      <w:bookmarkStart w:id="233" w:name="_Toc25279"/>
      <w:bookmarkStart w:id="234" w:name="_Toc527881071"/>
      <w:bookmarkStart w:id="235" w:name="_Toc526004916"/>
      <w:bookmarkStart w:id="236" w:name="_Toc21073"/>
      <w:bookmarkStart w:id="237" w:name="_Toc7449"/>
      <w:r>
        <w:rPr>
          <w:rFonts w:cs="Times New Roman"/>
        </w:rPr>
        <w:t>2.1.4水监管</w:t>
      </w:r>
      <w:bookmarkEnd w:id="226"/>
      <w:r>
        <w:rPr>
          <w:rFonts w:cs="Times New Roman"/>
        </w:rPr>
        <w:t>体系建设现状</w:t>
      </w:r>
      <w:bookmarkEnd w:id="227"/>
      <w:bookmarkEnd w:id="228"/>
      <w:bookmarkEnd w:id="229"/>
      <w:bookmarkEnd w:id="230"/>
      <w:bookmarkEnd w:id="231"/>
      <w:bookmarkEnd w:id="232"/>
      <w:bookmarkEnd w:id="233"/>
      <w:bookmarkEnd w:id="234"/>
      <w:bookmarkEnd w:id="235"/>
      <w:bookmarkEnd w:id="236"/>
      <w:bookmarkEnd w:id="237"/>
    </w:p>
    <w:p w14:paraId="5900D2E7">
      <w:pPr>
        <w:pStyle w:val="5"/>
      </w:pPr>
      <w:r>
        <w:t>2.1.4.1水域生态空间管控正逐步得到落实</w:t>
      </w:r>
    </w:p>
    <w:p w14:paraId="13ED0A3B">
      <w:pPr>
        <w:ind w:firstLine="480"/>
        <w:rPr>
          <w:rFonts w:eastAsia="宋体" w:cs="Times New Roman"/>
          <w:szCs w:val="24"/>
        </w:rPr>
      </w:pPr>
      <w:r>
        <w:rPr>
          <w:rFonts w:eastAsia="宋体" w:cs="Times New Roman"/>
          <w:szCs w:val="24"/>
        </w:rPr>
        <w:t>根据</w:t>
      </w:r>
      <w:r>
        <w:rPr>
          <w:rFonts w:hint="eastAsia" w:eastAsia="宋体" w:cs="Times New Roman"/>
          <w:szCs w:val="24"/>
        </w:rPr>
        <w:t>《中山市海绵城市专项规划》、《中山市水利现代化规划》、《中山市城市生态控制线划定规划》、</w:t>
      </w:r>
      <w:r>
        <w:rPr>
          <w:rFonts w:eastAsia="宋体" w:cs="Times New Roman"/>
          <w:szCs w:val="24"/>
        </w:rPr>
        <w:t>《中山市市域蓝线规划》（201</w:t>
      </w:r>
      <w:r>
        <w:rPr>
          <w:rFonts w:hint="eastAsia" w:eastAsia="宋体" w:cs="Times New Roman"/>
          <w:szCs w:val="24"/>
        </w:rPr>
        <w:t>8</w:t>
      </w:r>
      <w:r>
        <w:rPr>
          <w:rFonts w:eastAsia="宋体" w:cs="Times New Roman"/>
          <w:szCs w:val="24"/>
        </w:rPr>
        <w:t>年）</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，结合遥感影像对水域面积进行估算，2017年</w:t>
      </w:r>
      <w:r>
        <w:rPr>
          <w:rFonts w:hint="eastAsia" w:eastAsia="宋体" w:cs="Times New Roman"/>
          <w:szCs w:val="24"/>
        </w:rPr>
        <w:t>西区</w:t>
      </w:r>
      <w:r>
        <w:rPr>
          <w:rFonts w:eastAsia="宋体" w:cs="Times New Roman"/>
          <w:szCs w:val="24"/>
        </w:rPr>
        <w:t>水域面积约为</w:t>
      </w:r>
      <w:r>
        <w:rPr>
          <w:rFonts w:hint="eastAsia" w:eastAsia="宋体" w:cs="Times New Roman"/>
          <w:szCs w:val="24"/>
        </w:rPr>
        <w:t>1</w:t>
      </w:r>
      <w:r>
        <w:rPr>
          <w:rFonts w:eastAsia="宋体" w:cs="Times New Roman"/>
          <w:szCs w:val="24"/>
        </w:rPr>
        <w:t>.78km</w:t>
      </w:r>
      <w:r>
        <w:rPr>
          <w:rFonts w:eastAsia="宋体" w:cs="Times New Roman"/>
          <w:szCs w:val="24"/>
          <w:vertAlign w:val="superscript"/>
        </w:rPr>
        <w:t>2</w:t>
      </w:r>
      <w:r>
        <w:rPr>
          <w:rFonts w:eastAsia="宋体" w:cs="Times New Roman"/>
          <w:szCs w:val="24"/>
        </w:rPr>
        <w:t>，水域</w:t>
      </w:r>
      <w:r>
        <w:rPr>
          <w:rFonts w:hint="eastAsia" w:eastAsia="宋体" w:cs="Times New Roman"/>
          <w:szCs w:val="24"/>
        </w:rPr>
        <w:t>面积</w:t>
      </w:r>
      <w:r>
        <w:rPr>
          <w:rFonts w:eastAsia="宋体" w:cs="Times New Roman"/>
          <w:szCs w:val="24"/>
        </w:rPr>
        <w:t>率达7.06%，</w:t>
      </w:r>
      <w:r>
        <w:rPr>
          <w:rFonts w:hint="eastAsia" w:eastAsia="宋体" w:cs="Times New Roman"/>
          <w:szCs w:val="24"/>
        </w:rPr>
        <w:t>西区</w:t>
      </w:r>
      <w:r>
        <w:rPr>
          <w:rFonts w:eastAsia="宋体" w:cs="Times New Roman"/>
          <w:szCs w:val="24"/>
        </w:rPr>
        <w:t>的现状水域面积率较</w:t>
      </w:r>
      <w:r>
        <w:rPr>
          <w:rFonts w:hint="eastAsia" w:eastAsia="宋体" w:cs="Times New Roman"/>
          <w:szCs w:val="24"/>
        </w:rPr>
        <w:t>差</w:t>
      </w:r>
      <w:r>
        <w:rPr>
          <w:rFonts w:eastAsia="宋体" w:cs="Times New Roman"/>
          <w:szCs w:val="24"/>
        </w:rPr>
        <w:t>，</w:t>
      </w:r>
      <w:r>
        <w:rPr>
          <w:rFonts w:hint="eastAsia" w:eastAsia="宋体" w:cs="Times New Roman"/>
          <w:szCs w:val="24"/>
        </w:rPr>
        <w:t>由于</w:t>
      </w:r>
      <w:r>
        <w:rPr>
          <w:rFonts w:eastAsia="宋体" w:cs="Times New Roman"/>
          <w:szCs w:val="24"/>
        </w:rPr>
        <w:t>城市化的发展，使原有河涌水塘大多被填埋作为城市建设用地，区域河涌水体被填埋蚕食非常严重，</w:t>
      </w:r>
      <w:r>
        <w:rPr>
          <w:rFonts w:hint="eastAsia" w:eastAsia="宋体" w:cs="Times New Roman"/>
          <w:szCs w:val="24"/>
        </w:rPr>
        <w:t>西区</w:t>
      </w:r>
      <w:r>
        <w:rPr>
          <w:rFonts w:eastAsia="宋体" w:cs="Times New Roman"/>
          <w:szCs w:val="24"/>
        </w:rPr>
        <w:t>应加大水域空间管控的管理，</w:t>
      </w:r>
      <w:r>
        <w:rPr>
          <w:rFonts w:hint="eastAsia" w:eastAsia="宋体" w:cs="Times New Roman"/>
          <w:szCs w:val="24"/>
        </w:rPr>
        <w:t>进一步保持以及提高</w:t>
      </w:r>
      <w:r>
        <w:rPr>
          <w:rFonts w:eastAsia="宋体" w:cs="Times New Roman"/>
          <w:szCs w:val="24"/>
        </w:rPr>
        <w:t>水域空间</w:t>
      </w:r>
      <w:r>
        <w:rPr>
          <w:rFonts w:hint="eastAsia" w:eastAsia="宋体" w:cs="Times New Roman"/>
          <w:szCs w:val="24"/>
        </w:rPr>
        <w:t>。</w:t>
      </w:r>
      <w:r>
        <w:rPr>
          <w:rFonts w:eastAsia="宋体" w:cs="Times New Roman"/>
          <w:szCs w:val="24"/>
        </w:rPr>
        <w:t>2016年中山市制定了《中山市城市生态控制线划定规划》，主干河流及堤围、饮用水源一级保护区、水库及水源林等都纳入一级管制区管理，实行最严格的管控措施，由省通过立法和行政等手段进行强制性监督控制，由市政府实施日常管理。同时正在开展《中山市市域蓝线规划》（201</w:t>
      </w:r>
      <w:r>
        <w:rPr>
          <w:rFonts w:hint="eastAsia" w:eastAsia="宋体" w:cs="Times New Roman"/>
          <w:szCs w:val="24"/>
        </w:rPr>
        <w:t>8</w:t>
      </w:r>
      <w:r>
        <w:rPr>
          <w:rFonts w:eastAsia="宋体" w:cs="Times New Roman"/>
          <w:szCs w:val="24"/>
        </w:rPr>
        <w:t>年），将划定中山市主要河涌的水域控制线与管理控制线，为中山市河涌管理提供依据，保护河涌的水域面积。</w:t>
      </w:r>
    </w:p>
    <w:p w14:paraId="786566D5">
      <w:pPr>
        <w:pStyle w:val="5"/>
      </w:pPr>
      <w:r>
        <w:t>2.1.4.2水资源监控能力建设不断推进</w:t>
      </w:r>
    </w:p>
    <w:p w14:paraId="75893514">
      <w:pPr>
        <w:ind w:firstLine="480"/>
        <w:rPr>
          <w:rFonts w:eastAsia="宋体" w:cs="Times New Roman"/>
          <w:szCs w:val="24"/>
        </w:rPr>
      </w:pPr>
      <w:r>
        <w:rPr>
          <w:rFonts w:hint="eastAsia" w:eastAsia="宋体" w:cs="Times New Roman"/>
          <w:szCs w:val="24"/>
        </w:rPr>
        <w:t>（1）</w:t>
      </w:r>
      <w:r>
        <w:rPr>
          <w:rFonts w:eastAsia="宋体" w:cs="Times New Roman"/>
          <w:szCs w:val="24"/>
        </w:rPr>
        <w:t>自取水户取水监控能力逐步提高</w:t>
      </w:r>
    </w:p>
    <w:p w14:paraId="3398FD8C">
      <w:pPr>
        <w:ind w:firstLine="480"/>
        <w:rPr>
          <w:rFonts w:eastAsia="宋体" w:cs="Times New Roman"/>
          <w:szCs w:val="24"/>
        </w:rPr>
      </w:pPr>
      <w:r>
        <w:rPr>
          <w:rFonts w:eastAsia="宋体" w:cs="Times New Roman"/>
          <w:szCs w:val="24"/>
        </w:rPr>
        <w:t>截止2017年，</w:t>
      </w:r>
      <w:r>
        <w:rPr>
          <w:rFonts w:hint="eastAsia" w:eastAsia="宋体" w:cs="Times New Roman"/>
          <w:szCs w:val="24"/>
        </w:rPr>
        <w:t>西区</w:t>
      </w:r>
      <w:r>
        <w:rPr>
          <w:rFonts w:eastAsia="宋体" w:cs="Times New Roman"/>
          <w:szCs w:val="24"/>
        </w:rPr>
        <w:t>已对镇区</w:t>
      </w:r>
      <w:r>
        <w:rPr>
          <w:rFonts w:hint="eastAsia" w:eastAsia="宋体" w:cs="Times New Roman"/>
          <w:szCs w:val="24"/>
        </w:rPr>
        <w:t>所有</w:t>
      </w:r>
      <w:r>
        <w:rPr>
          <w:rFonts w:eastAsia="宋体" w:cs="Times New Roman"/>
          <w:szCs w:val="24"/>
        </w:rPr>
        <w:t>居民</w:t>
      </w:r>
      <w:r>
        <w:rPr>
          <w:rFonts w:hint="eastAsia" w:eastAsia="宋体" w:cs="Times New Roman"/>
          <w:szCs w:val="24"/>
        </w:rPr>
        <w:t>和村民的生活</w:t>
      </w:r>
      <w:r>
        <w:rPr>
          <w:rFonts w:eastAsia="宋体" w:cs="Times New Roman"/>
          <w:szCs w:val="24"/>
        </w:rPr>
        <w:t>用水</w:t>
      </w:r>
      <w:r>
        <w:rPr>
          <w:rFonts w:hint="eastAsia" w:eastAsia="宋体" w:cs="Times New Roman"/>
          <w:szCs w:val="24"/>
        </w:rPr>
        <w:t>和镇区工业用水</w:t>
      </w:r>
      <w:r>
        <w:rPr>
          <w:rFonts w:eastAsia="宋体" w:cs="Times New Roman"/>
          <w:szCs w:val="24"/>
        </w:rPr>
        <w:t>进行统计，河道外非农取水量</w:t>
      </w:r>
      <w:r>
        <w:rPr>
          <w:rFonts w:hint="eastAsia" w:eastAsia="宋体" w:cs="Times New Roman"/>
          <w:szCs w:val="24"/>
        </w:rPr>
        <w:t>2308.4</w:t>
      </w:r>
      <w:r>
        <w:rPr>
          <w:rFonts w:eastAsia="宋体" w:cs="Times New Roman"/>
          <w:szCs w:val="24"/>
        </w:rPr>
        <w:t>万m</w:t>
      </w:r>
      <w:r>
        <w:rPr>
          <w:rFonts w:eastAsia="宋体" w:cs="Times New Roman"/>
          <w:szCs w:val="24"/>
          <w:vertAlign w:val="superscript"/>
        </w:rPr>
        <w:t>3</w:t>
      </w:r>
      <w:r>
        <w:rPr>
          <w:rFonts w:eastAsia="宋体" w:cs="Times New Roman"/>
          <w:szCs w:val="24"/>
        </w:rPr>
        <w:t>，计量实际取水量</w:t>
      </w:r>
      <w:r>
        <w:rPr>
          <w:rFonts w:hint="eastAsia" w:eastAsia="宋体" w:cs="Times New Roman"/>
          <w:szCs w:val="24"/>
        </w:rPr>
        <w:t>2308.4</w:t>
      </w:r>
      <w:r>
        <w:rPr>
          <w:rFonts w:eastAsia="宋体" w:cs="Times New Roman"/>
          <w:szCs w:val="24"/>
        </w:rPr>
        <w:t>万m</w:t>
      </w:r>
      <w:r>
        <w:rPr>
          <w:rFonts w:eastAsia="宋体" w:cs="Times New Roman"/>
          <w:szCs w:val="24"/>
          <w:vertAlign w:val="superscript"/>
        </w:rPr>
        <w:t>3</w:t>
      </w:r>
      <w:r>
        <w:rPr>
          <w:rFonts w:eastAsia="宋体" w:cs="Times New Roman"/>
          <w:szCs w:val="24"/>
        </w:rPr>
        <w:t>，计量覆盖率100%。未安装计量设施计量农田有效灌溉面积的用水量。</w:t>
      </w:r>
      <w:r>
        <w:rPr>
          <w:rFonts w:hint="eastAsia" w:eastAsia="宋体" w:cs="Times New Roman"/>
          <w:szCs w:val="24"/>
        </w:rPr>
        <w:t>西区将</w:t>
      </w:r>
      <w:r>
        <w:rPr>
          <w:rFonts w:eastAsia="宋体" w:cs="Times New Roman"/>
          <w:szCs w:val="24"/>
        </w:rPr>
        <w:t>进一步加大取水户取水量监控力度，积极配合中山市开展水资源监控能力建设工作。</w:t>
      </w:r>
    </w:p>
    <w:p w14:paraId="1FBEEFB6">
      <w:pPr>
        <w:ind w:firstLine="480"/>
        <w:rPr>
          <w:rFonts w:eastAsia="宋体" w:cs="Times New Roman"/>
          <w:szCs w:val="24"/>
        </w:rPr>
      </w:pPr>
      <w:r>
        <w:rPr>
          <w:rFonts w:hint="eastAsia" w:eastAsia="宋体" w:cs="Times New Roman"/>
          <w:szCs w:val="24"/>
        </w:rPr>
        <w:t>（2）</w:t>
      </w:r>
      <w:r>
        <w:rPr>
          <w:rFonts w:eastAsia="宋体" w:cs="Times New Roman"/>
          <w:szCs w:val="24"/>
        </w:rPr>
        <w:t>水功能区水质监测初步落实</w:t>
      </w:r>
    </w:p>
    <w:p w14:paraId="68494194">
      <w:pPr>
        <w:ind w:firstLine="480"/>
        <w:rPr>
          <w:rFonts w:eastAsia="宋体" w:cs="Times New Roman"/>
          <w:szCs w:val="24"/>
        </w:rPr>
      </w:pPr>
      <w:r>
        <w:rPr>
          <w:rFonts w:eastAsia="宋体" w:cs="Times New Roman"/>
          <w:szCs w:val="24"/>
        </w:rPr>
        <w:t>根据省政府批复的《广东省水功能区划》，广东省重点水功能区12个，分别为洪奇沥水道渔业工业用水区、桂洲水道工业用水区、鸡鸦水道饮用渔业用水区、黄沙沥水道工业用水区、横门水道渔业用水区、小榄水道饮用渔业用水区、西海水道饮用渔业用水区、古镇水道工业用水区、岐江河农业景观用水区、前山水道农业用水区、长江水库饮用农业用水区和横门水道河口缓冲区。</w:t>
      </w:r>
      <w:r>
        <w:rPr>
          <w:rFonts w:hint="eastAsia" w:eastAsia="宋体" w:cs="Times New Roman"/>
          <w:szCs w:val="24"/>
        </w:rPr>
        <w:t>西区</w:t>
      </w:r>
      <w:r>
        <w:rPr>
          <w:rFonts w:eastAsia="宋体" w:cs="Times New Roman"/>
          <w:szCs w:val="24"/>
        </w:rPr>
        <w:t>有西海水道饮用渔业用水区</w:t>
      </w:r>
      <w:r>
        <w:rPr>
          <w:rFonts w:hint="eastAsia" w:eastAsia="宋体" w:cs="Times New Roman"/>
          <w:szCs w:val="24"/>
        </w:rPr>
        <w:t>和岐江河农业景观用水区</w:t>
      </w:r>
      <w:r>
        <w:rPr>
          <w:rFonts w:eastAsia="宋体" w:cs="Times New Roman"/>
          <w:szCs w:val="24"/>
        </w:rPr>
        <w:t>的部分区域，截止至2017年，西海水道饮用渔业用水区</w:t>
      </w:r>
      <w:r>
        <w:rPr>
          <w:rFonts w:hint="eastAsia" w:eastAsia="宋体" w:cs="Times New Roman"/>
          <w:szCs w:val="24"/>
        </w:rPr>
        <w:t>和岐江河农业景观用水区</w:t>
      </w:r>
      <w:r>
        <w:rPr>
          <w:rFonts w:eastAsia="宋体" w:cs="Times New Roman"/>
          <w:szCs w:val="24"/>
        </w:rPr>
        <w:t>已列入水质监测范围，省级水功能区水质监测率达100%。市级水功能区方面，中山市于2008年印发了《中山市水功能区管理办法》，共划分311个水功能区划，</w:t>
      </w:r>
      <w:r>
        <w:rPr>
          <w:rFonts w:hint="eastAsia" w:eastAsia="宋体" w:cs="Times New Roman"/>
          <w:szCs w:val="24"/>
        </w:rPr>
        <w:t>西区</w:t>
      </w:r>
      <w:r>
        <w:rPr>
          <w:rFonts w:eastAsia="宋体" w:cs="Times New Roman"/>
          <w:szCs w:val="24"/>
        </w:rPr>
        <w:t>的水功能区有</w:t>
      </w:r>
      <w:r>
        <w:rPr>
          <w:rFonts w:hint="eastAsia"/>
        </w:rPr>
        <w:t>狮滘河、十六顷排灌渠、悦生涌、石特涌、沙朗涌、南八涌、南六涌、岐江河</w:t>
      </w:r>
      <w:r>
        <w:rPr>
          <w:rFonts w:hint="eastAsia" w:eastAsia="宋体" w:cs="Times New Roman"/>
          <w:szCs w:val="24"/>
        </w:rPr>
        <w:t>等8</w:t>
      </w:r>
      <w:r>
        <w:rPr>
          <w:rFonts w:eastAsia="宋体" w:cs="Times New Roman"/>
          <w:szCs w:val="24"/>
        </w:rPr>
        <w:t>个，截止至2017年，已开展监测的水功能区达</w:t>
      </w:r>
      <w:r>
        <w:rPr>
          <w:rFonts w:hint="eastAsia" w:eastAsia="宋体" w:cs="Times New Roman"/>
          <w:szCs w:val="24"/>
        </w:rPr>
        <w:t>8</w:t>
      </w:r>
      <w:r>
        <w:rPr>
          <w:rFonts w:eastAsia="宋体" w:cs="Times New Roman"/>
          <w:szCs w:val="24"/>
        </w:rPr>
        <w:t>个，监测率100%，对</w:t>
      </w:r>
      <w:r>
        <w:rPr>
          <w:rFonts w:hint="eastAsia" w:eastAsia="宋体" w:cs="Times New Roman"/>
          <w:szCs w:val="24"/>
        </w:rPr>
        <w:t>8</w:t>
      </w:r>
      <w:r>
        <w:rPr>
          <w:rFonts w:eastAsia="宋体" w:cs="Times New Roman"/>
          <w:szCs w:val="24"/>
        </w:rPr>
        <w:t>个重点水功能区，每年定期开展水质监测工作，并公布结果。</w:t>
      </w:r>
    </w:p>
    <w:p w14:paraId="52DA5BB1">
      <w:pPr>
        <w:ind w:firstLine="480"/>
        <w:rPr>
          <w:rFonts w:eastAsia="宋体" w:cs="Times New Roman"/>
          <w:szCs w:val="24"/>
        </w:rPr>
      </w:pPr>
      <w:r>
        <w:rPr>
          <w:rFonts w:hint="eastAsia" w:eastAsia="宋体" w:cs="Times New Roman"/>
          <w:szCs w:val="24"/>
        </w:rPr>
        <w:t>（3）</w:t>
      </w:r>
      <w:r>
        <w:rPr>
          <w:rFonts w:eastAsia="宋体" w:cs="Times New Roman"/>
          <w:szCs w:val="24"/>
        </w:rPr>
        <w:t>节水减污与入河排污口监督逐步落实</w:t>
      </w:r>
    </w:p>
    <w:p w14:paraId="2F01BEE1">
      <w:pPr>
        <w:ind w:firstLine="480"/>
        <w:rPr>
          <w:rFonts w:eastAsia="宋体" w:cs="Times New Roman"/>
          <w:szCs w:val="24"/>
        </w:rPr>
      </w:pPr>
      <w:r>
        <w:rPr>
          <w:rFonts w:eastAsia="宋体" w:cs="Times New Roman"/>
          <w:szCs w:val="24"/>
        </w:rPr>
        <w:t>已落实入河排污口审批、论证、监测等工作，规范排污口设置审批，对重点排污对象实施监测工作，全面整治入河排污口，规范入河排污口设置审批，并设置标志牌。</w:t>
      </w:r>
      <w:r>
        <w:rPr>
          <w:rFonts w:hint="eastAsia" w:eastAsia="宋体" w:cs="Times New Roman"/>
          <w:szCs w:val="24"/>
        </w:rPr>
        <w:t>根据西区水利所提供的数据，目前西区入河排污口实施监测的数量无相关统计资料，本次按有排污许可的入河排污口数量与入河排污口总量的比值替代，后期西区将加强入河排污口的监督力度。2017年西区具有入河排污许可的入河排污口数量为0个，入河排污口监测率为0%。</w:t>
      </w:r>
    </w:p>
    <w:p w14:paraId="7114D456">
      <w:pPr>
        <w:spacing w:line="240" w:lineRule="auto"/>
        <w:ind w:firstLine="480"/>
        <w:rPr>
          <w:rFonts w:eastAsia="宋体" w:cs="Times New Roman"/>
          <w:color w:val="FF0000"/>
          <w:szCs w:val="24"/>
        </w:rPr>
      </w:pPr>
    </w:p>
    <w:p w14:paraId="50DDD58F">
      <w:pPr>
        <w:pStyle w:val="3"/>
        <w:spacing w:before="0" w:after="0" w:line="360" w:lineRule="auto"/>
        <w:rPr>
          <w:rFonts w:cs="Times New Roman"/>
        </w:rPr>
      </w:pPr>
      <w:bookmarkStart w:id="238" w:name="_Toc498447319"/>
      <w:bookmarkStart w:id="239" w:name="_Toc523306784"/>
      <w:bookmarkStart w:id="240" w:name="_Toc498877650"/>
      <w:bookmarkStart w:id="241" w:name="_Toc27418"/>
      <w:bookmarkStart w:id="242" w:name="_Toc16675025"/>
      <w:bookmarkStart w:id="243" w:name="_Toc526004917"/>
      <w:bookmarkStart w:id="244" w:name="_Toc31181"/>
      <w:bookmarkStart w:id="245" w:name="_Toc31789"/>
      <w:bookmarkStart w:id="246" w:name="_Toc6501"/>
      <w:bookmarkStart w:id="247" w:name="_Toc527881072"/>
      <w:bookmarkStart w:id="248" w:name="_Toc16040"/>
      <w:bookmarkStart w:id="249" w:name="_Toc8510"/>
      <w:bookmarkStart w:id="250" w:name="_Toc528607246"/>
      <w:bookmarkStart w:id="251" w:name="_Toc528880278"/>
      <w:r>
        <w:rPr>
          <w:rFonts w:cs="Times New Roman"/>
        </w:rPr>
        <w:t>2.1.5水节约</w:t>
      </w:r>
      <w:bookmarkEnd w:id="238"/>
      <w:bookmarkEnd w:id="239"/>
      <w:bookmarkEnd w:id="240"/>
      <w:r>
        <w:rPr>
          <w:rFonts w:cs="Times New Roman"/>
        </w:rPr>
        <w:t>体系建设现状</w:t>
      </w:r>
      <w:bookmarkEnd w:id="241"/>
      <w:bookmarkEnd w:id="242"/>
      <w:bookmarkEnd w:id="243"/>
      <w:bookmarkEnd w:id="244"/>
      <w:bookmarkEnd w:id="245"/>
      <w:bookmarkEnd w:id="246"/>
      <w:bookmarkEnd w:id="247"/>
      <w:bookmarkEnd w:id="248"/>
      <w:bookmarkEnd w:id="249"/>
      <w:bookmarkEnd w:id="250"/>
      <w:bookmarkEnd w:id="251"/>
    </w:p>
    <w:p w14:paraId="0FC00CCA">
      <w:pPr>
        <w:pStyle w:val="5"/>
      </w:pPr>
      <w:r>
        <w:t>2.1.5.1用水总量得到严格控制</w:t>
      </w:r>
    </w:p>
    <w:p w14:paraId="31130352">
      <w:pPr>
        <w:ind w:firstLine="480"/>
        <w:rPr>
          <w:rFonts w:cs="Times New Roman"/>
          <w:szCs w:val="28"/>
        </w:rPr>
      </w:pPr>
      <w:r>
        <w:rPr>
          <w:rFonts w:hint="eastAsia" w:eastAsia="宋体" w:cs="Times New Roman"/>
          <w:szCs w:val="24"/>
        </w:rPr>
        <w:t>西区用水结构现状主要以工业用水、生活用水和农业用水为主。2017年西区的工业用水372.0万m</w:t>
      </w:r>
      <w:r>
        <w:rPr>
          <w:rFonts w:hint="eastAsia" w:eastAsia="宋体" w:cs="Times New Roman"/>
          <w:szCs w:val="24"/>
          <w:vertAlign w:val="superscript"/>
        </w:rPr>
        <w:t>3</w:t>
      </w:r>
      <w:r>
        <w:rPr>
          <w:rFonts w:hint="eastAsia" w:eastAsia="宋体" w:cs="Times New Roman"/>
          <w:szCs w:val="24"/>
        </w:rPr>
        <w:t>，生活用水1936.4万m</w:t>
      </w:r>
      <w:r>
        <w:rPr>
          <w:rFonts w:hint="eastAsia" w:eastAsia="宋体" w:cs="Times New Roman"/>
          <w:szCs w:val="24"/>
          <w:vertAlign w:val="superscript"/>
        </w:rPr>
        <w:t>3</w:t>
      </w:r>
      <w:r>
        <w:rPr>
          <w:rFonts w:hint="eastAsia" w:eastAsia="宋体" w:cs="Times New Roman"/>
          <w:szCs w:val="24"/>
        </w:rPr>
        <w:t>，农业用水为550万m</w:t>
      </w:r>
      <w:r>
        <w:rPr>
          <w:rFonts w:hint="eastAsia" w:eastAsia="宋体" w:cs="Times New Roman"/>
          <w:szCs w:val="24"/>
          <w:vertAlign w:val="superscript"/>
        </w:rPr>
        <w:t>3</w:t>
      </w:r>
      <w:r>
        <w:rPr>
          <w:rFonts w:cs="Times New Roman"/>
          <w:szCs w:val="28"/>
        </w:rPr>
        <w:t>（图2-</w:t>
      </w:r>
      <w:r>
        <w:rPr>
          <w:rFonts w:hint="eastAsia" w:cs="Times New Roman"/>
          <w:szCs w:val="28"/>
        </w:rPr>
        <w:t>4</w:t>
      </w:r>
      <w:r>
        <w:rPr>
          <w:rFonts w:cs="Times New Roman"/>
          <w:szCs w:val="28"/>
        </w:rPr>
        <w:t>）。</w:t>
      </w:r>
    </w:p>
    <w:p w14:paraId="57DF984A">
      <w:pPr>
        <w:ind w:firstLine="480"/>
        <w:jc w:val="left"/>
        <w:rPr>
          <w:rFonts w:cs="Times New Roman"/>
          <w:szCs w:val="28"/>
        </w:rPr>
      </w:pPr>
      <w:r>
        <w:rPr>
          <w:rFonts w:cs="Times New Roman"/>
          <w:szCs w:val="28"/>
        </w:rPr>
        <w:t>根据</w:t>
      </w:r>
      <w:r>
        <w:rPr>
          <w:rFonts w:hint="eastAsia" w:cs="Times New Roman"/>
          <w:szCs w:val="28"/>
        </w:rPr>
        <w:t>《中山市2016~2020年度用水指标 分配方案》</w:t>
      </w:r>
      <w:r>
        <w:rPr>
          <w:rFonts w:cs="Times New Roman"/>
          <w:szCs w:val="28"/>
        </w:rPr>
        <w:t>要求，</w:t>
      </w:r>
      <w:r>
        <w:rPr>
          <w:rFonts w:hint="eastAsia" w:cs="Times New Roman"/>
          <w:szCs w:val="28"/>
        </w:rPr>
        <w:t>西区</w:t>
      </w:r>
      <w:r>
        <w:rPr>
          <w:rFonts w:cs="Times New Roman"/>
          <w:szCs w:val="28"/>
        </w:rPr>
        <w:t>的用水指标为一般工业和生活用水总量</w:t>
      </w:r>
      <w:r>
        <w:rPr>
          <w:rFonts w:hint="eastAsia" w:cs="Times New Roman"/>
          <w:szCs w:val="28"/>
        </w:rPr>
        <w:t>2800</w:t>
      </w:r>
      <w:r>
        <w:rPr>
          <w:rFonts w:cs="Times New Roman"/>
          <w:szCs w:val="28"/>
        </w:rPr>
        <w:t>万m</w:t>
      </w:r>
      <w:r>
        <w:rPr>
          <w:rFonts w:cs="Times New Roman"/>
          <w:szCs w:val="28"/>
          <w:vertAlign w:val="superscript"/>
        </w:rPr>
        <w:t>3</w:t>
      </w:r>
      <w:r>
        <w:rPr>
          <w:rFonts w:cs="Times New Roman"/>
          <w:szCs w:val="28"/>
        </w:rPr>
        <w:t>，农业用水量为</w:t>
      </w:r>
      <w:r>
        <w:rPr>
          <w:rFonts w:hint="eastAsia" w:cs="Times New Roman"/>
          <w:szCs w:val="28"/>
        </w:rPr>
        <w:t>907</w:t>
      </w:r>
      <w:r>
        <w:rPr>
          <w:rFonts w:cs="Times New Roman"/>
          <w:szCs w:val="28"/>
        </w:rPr>
        <w:t>万m</w:t>
      </w:r>
      <w:r>
        <w:rPr>
          <w:rFonts w:cs="Times New Roman"/>
          <w:szCs w:val="28"/>
          <w:vertAlign w:val="superscript"/>
        </w:rPr>
        <w:t>3</w:t>
      </w:r>
      <w:r>
        <w:rPr>
          <w:rFonts w:cs="Times New Roman"/>
          <w:szCs w:val="28"/>
        </w:rPr>
        <w:t>，如表2-2所示，近三年来</w:t>
      </w:r>
      <w:r>
        <w:rPr>
          <w:rFonts w:hint="eastAsia" w:cs="Times New Roman"/>
          <w:szCs w:val="28"/>
        </w:rPr>
        <w:t>西区</w:t>
      </w:r>
      <w:r>
        <w:rPr>
          <w:rFonts w:cs="Times New Roman"/>
          <w:szCs w:val="28"/>
        </w:rPr>
        <w:t>的用水总量均没有超出用水总量控制指标值，且余量均超过</w:t>
      </w:r>
      <w:r>
        <w:rPr>
          <w:rFonts w:hint="eastAsia" w:cs="Times New Roman"/>
          <w:szCs w:val="28"/>
        </w:rPr>
        <w:t>800</w:t>
      </w:r>
      <w:r>
        <w:rPr>
          <w:rFonts w:cs="Times New Roman"/>
          <w:szCs w:val="28"/>
        </w:rPr>
        <w:t>万m</w:t>
      </w:r>
      <w:r>
        <w:rPr>
          <w:rFonts w:cs="Times New Roman"/>
          <w:szCs w:val="28"/>
          <w:vertAlign w:val="superscript"/>
        </w:rPr>
        <w:t>3</w:t>
      </w:r>
      <w:r>
        <w:rPr>
          <w:rFonts w:cs="Times New Roman"/>
          <w:szCs w:val="28"/>
        </w:rPr>
        <w:t>。其中，工业节水效果较好，2015年、2016年、2017年</w:t>
      </w:r>
      <w:r>
        <w:rPr>
          <w:rFonts w:hint="eastAsia" w:cs="Times New Roman"/>
          <w:szCs w:val="28"/>
        </w:rPr>
        <w:t>生活</w:t>
      </w:r>
      <w:r>
        <w:rPr>
          <w:rFonts w:cs="Times New Roman"/>
          <w:szCs w:val="28"/>
        </w:rPr>
        <w:t>用水总量呈</w:t>
      </w:r>
      <w:r>
        <w:rPr>
          <w:rFonts w:hint="eastAsia" w:cs="Times New Roman"/>
          <w:szCs w:val="28"/>
        </w:rPr>
        <w:t>上升</w:t>
      </w:r>
      <w:r>
        <w:rPr>
          <w:rFonts w:cs="Times New Roman"/>
          <w:szCs w:val="28"/>
        </w:rPr>
        <w:t>趋势</w:t>
      </w:r>
      <w:r>
        <w:rPr>
          <w:rFonts w:hint="eastAsia" w:cs="Times New Roman"/>
          <w:szCs w:val="28"/>
        </w:rPr>
        <w:t>（见表2-5）</w:t>
      </w:r>
      <w:r>
        <w:rPr>
          <w:rFonts w:cs="Times New Roman"/>
          <w:szCs w:val="28"/>
        </w:rPr>
        <w:t>。根据《中山市2016-2020年度最严格水资源管理制度考核实施细则》，201</w:t>
      </w:r>
      <w:r>
        <w:rPr>
          <w:rFonts w:hint="eastAsia" w:cs="Times New Roman"/>
          <w:szCs w:val="28"/>
        </w:rPr>
        <w:t>7</w:t>
      </w:r>
      <w:r>
        <w:rPr>
          <w:rFonts w:cs="Times New Roman"/>
          <w:szCs w:val="28"/>
        </w:rPr>
        <w:t>年</w:t>
      </w:r>
      <w:r>
        <w:rPr>
          <w:rFonts w:hint="eastAsia" w:cs="Times New Roman"/>
          <w:szCs w:val="28"/>
        </w:rPr>
        <w:t>西区</w:t>
      </w:r>
      <w:r>
        <w:rPr>
          <w:rFonts w:cs="Times New Roman"/>
          <w:szCs w:val="28"/>
        </w:rPr>
        <w:t>万元工业增加值用水量（不含火电）指标是</w:t>
      </w:r>
      <w:r>
        <w:rPr>
          <w:rFonts w:hint="eastAsia" w:cs="Times New Roman"/>
          <w:szCs w:val="28"/>
        </w:rPr>
        <w:t>10</w:t>
      </w:r>
      <w:r>
        <w:rPr>
          <w:rFonts w:cs="Times New Roman"/>
          <w:szCs w:val="28"/>
        </w:rPr>
        <w:t>m³/万元，2020年为</w:t>
      </w:r>
      <w:r>
        <w:rPr>
          <w:rFonts w:hint="eastAsia" w:cs="Times New Roman"/>
          <w:szCs w:val="28"/>
        </w:rPr>
        <w:t>10</w:t>
      </w:r>
      <w:r>
        <w:rPr>
          <w:rFonts w:cs="Times New Roman"/>
          <w:szCs w:val="28"/>
        </w:rPr>
        <w:t xml:space="preserve"> m³/万元，而</w:t>
      </w:r>
      <w:r>
        <w:rPr>
          <w:rFonts w:hint="eastAsia" w:cs="Times New Roman"/>
          <w:szCs w:val="28"/>
        </w:rPr>
        <w:t>西区</w:t>
      </w:r>
      <w:r>
        <w:rPr>
          <w:rFonts w:cs="Times New Roman"/>
          <w:szCs w:val="28"/>
        </w:rPr>
        <w:t>201</w:t>
      </w:r>
      <w:r>
        <w:rPr>
          <w:rFonts w:hint="eastAsia" w:cs="Times New Roman"/>
          <w:szCs w:val="28"/>
        </w:rPr>
        <w:t>7</w:t>
      </w:r>
      <w:r>
        <w:rPr>
          <w:rFonts w:cs="Times New Roman"/>
          <w:szCs w:val="28"/>
        </w:rPr>
        <w:t>年实际的万元工业增加值用水量是</w:t>
      </w:r>
      <w:r>
        <w:rPr>
          <w:rFonts w:hint="eastAsia" w:cs="Times New Roman"/>
          <w:szCs w:val="28"/>
        </w:rPr>
        <w:t>8.39</w:t>
      </w:r>
      <w:r>
        <w:rPr>
          <w:rFonts w:cs="Times New Roman"/>
          <w:szCs w:val="28"/>
        </w:rPr>
        <w:t>m³/万元，用水总量控制</w:t>
      </w:r>
      <w:r>
        <w:rPr>
          <w:rFonts w:hint="eastAsia" w:cs="Times New Roman"/>
          <w:szCs w:val="28"/>
        </w:rPr>
        <w:t>和用水效率均达到基本要求</w:t>
      </w:r>
      <w:r>
        <w:rPr>
          <w:rFonts w:cs="Times New Roman"/>
          <w:szCs w:val="28"/>
        </w:rPr>
        <w:t>。</w:t>
      </w:r>
    </w:p>
    <w:p w14:paraId="6196D704">
      <w:pPr>
        <w:ind w:firstLine="480"/>
        <w:rPr>
          <w:rFonts w:eastAsia="宋体" w:cs="Times New Roman"/>
          <w:szCs w:val="24"/>
        </w:rPr>
      </w:pPr>
      <w:r>
        <w:rPr>
          <w:rFonts w:eastAsia="宋体" w:cs="Times New Roman"/>
          <w:szCs w:val="24"/>
        </w:rPr>
        <w:t>201</w:t>
      </w:r>
      <w:r>
        <w:rPr>
          <w:rFonts w:hint="eastAsia" w:eastAsia="宋体" w:cs="Times New Roman"/>
          <w:szCs w:val="24"/>
        </w:rPr>
        <w:t>7</w:t>
      </w:r>
      <w:r>
        <w:rPr>
          <w:rFonts w:eastAsia="宋体" w:cs="Times New Roman"/>
          <w:szCs w:val="24"/>
        </w:rPr>
        <w:t>年</w:t>
      </w:r>
      <w:r>
        <w:rPr>
          <w:rFonts w:hint="eastAsia" w:eastAsia="宋体" w:cs="Times New Roman"/>
          <w:szCs w:val="28"/>
        </w:rPr>
        <w:t>西区</w:t>
      </w:r>
      <w:r>
        <w:rPr>
          <w:rFonts w:cs="Times New Roman"/>
          <w:szCs w:val="28"/>
        </w:rPr>
        <w:t>农业现状用水总量为</w:t>
      </w:r>
      <w:r>
        <w:rPr>
          <w:rFonts w:hint="eastAsia" w:cs="Times New Roman"/>
          <w:szCs w:val="28"/>
        </w:rPr>
        <w:t>550</w:t>
      </w:r>
      <w:r>
        <w:rPr>
          <w:rFonts w:cs="Times New Roman"/>
          <w:szCs w:val="28"/>
        </w:rPr>
        <w:t>万m³，农业节水现状达到用水总量控制指标要求。但是</w:t>
      </w:r>
      <w:r>
        <w:rPr>
          <w:rFonts w:hint="eastAsia" w:cs="Times New Roman"/>
          <w:szCs w:val="28"/>
        </w:rPr>
        <w:t>西区</w:t>
      </w:r>
      <w:r>
        <w:rPr>
          <w:rFonts w:cs="Times New Roman"/>
          <w:szCs w:val="28"/>
        </w:rPr>
        <w:t>现状农业用水方式相对粗放，灌溉渠系尚未完善，输水损失较大，节水的空间较大。</w:t>
      </w:r>
    </w:p>
    <w:p w14:paraId="62EA1FA7">
      <w:pPr>
        <w:ind w:firstLine="0" w:firstLineChars="0"/>
        <w:jc w:val="center"/>
        <w:rPr>
          <w:rFonts w:cs="Times New Roman"/>
          <w:szCs w:val="28"/>
        </w:rPr>
      </w:pPr>
      <w:r>
        <w:drawing>
          <wp:inline distT="0" distB="0" distL="114300" distR="114300">
            <wp:extent cx="4995545" cy="2976245"/>
            <wp:effectExtent l="4445" t="4445" r="10160" b="10160"/>
            <wp:docPr id="3"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92E03CB">
      <w:pPr>
        <w:ind w:firstLine="420"/>
        <w:jc w:val="center"/>
        <w:rPr>
          <w:rFonts w:cs="Times New Roman"/>
          <w:sz w:val="21"/>
        </w:rPr>
      </w:pPr>
      <w:r>
        <w:rPr>
          <w:rFonts w:cs="Times New Roman"/>
          <w:sz w:val="21"/>
        </w:rPr>
        <w:t>图2-</w:t>
      </w:r>
      <w:r>
        <w:rPr>
          <w:rFonts w:hint="eastAsia" w:cs="Times New Roman"/>
          <w:sz w:val="21"/>
        </w:rPr>
        <w:t>4</w:t>
      </w:r>
      <w:r>
        <w:rPr>
          <w:rFonts w:cs="Times New Roman"/>
          <w:sz w:val="21"/>
        </w:rPr>
        <w:t xml:space="preserve"> </w:t>
      </w:r>
      <w:r>
        <w:rPr>
          <w:rFonts w:hint="eastAsia" w:cs="Times New Roman"/>
          <w:sz w:val="21"/>
        </w:rPr>
        <w:t>西区</w:t>
      </w:r>
      <w:r>
        <w:rPr>
          <w:rFonts w:cs="Times New Roman"/>
          <w:sz w:val="21"/>
        </w:rPr>
        <w:t>用水结构现状图</w:t>
      </w:r>
    </w:p>
    <w:p w14:paraId="08BD8E12">
      <w:pPr>
        <w:spacing w:line="240" w:lineRule="auto"/>
        <w:ind w:firstLine="420"/>
        <w:jc w:val="center"/>
        <w:rPr>
          <w:rFonts w:cs="Times New Roman"/>
          <w:sz w:val="21"/>
        </w:rPr>
      </w:pPr>
    </w:p>
    <w:p w14:paraId="32AC6F6F">
      <w:pPr>
        <w:spacing w:line="240" w:lineRule="auto"/>
        <w:ind w:firstLine="420"/>
        <w:jc w:val="center"/>
        <w:rPr>
          <w:rFonts w:cs="Times New Roman"/>
          <w:sz w:val="21"/>
        </w:rPr>
      </w:pPr>
      <w:r>
        <w:rPr>
          <w:rFonts w:cs="Times New Roman"/>
          <w:sz w:val="21"/>
        </w:rPr>
        <w:t>表2-</w:t>
      </w:r>
      <w:r>
        <w:rPr>
          <w:rFonts w:hint="eastAsia" w:cs="Times New Roman"/>
          <w:sz w:val="21"/>
        </w:rPr>
        <w:t>5</w:t>
      </w:r>
      <w:r>
        <w:rPr>
          <w:rFonts w:cs="Times New Roman"/>
          <w:sz w:val="21"/>
        </w:rPr>
        <w:t xml:space="preserve"> </w:t>
      </w:r>
      <w:r>
        <w:rPr>
          <w:rFonts w:hint="eastAsia" w:cs="Times New Roman"/>
          <w:sz w:val="21"/>
        </w:rPr>
        <w:t>西区</w:t>
      </w:r>
      <w:r>
        <w:rPr>
          <w:rFonts w:cs="Times New Roman"/>
          <w:sz w:val="21"/>
        </w:rPr>
        <w:t>2015~2017年用水总量与2020年用水总量控制指标</w:t>
      </w:r>
    </w:p>
    <w:tbl>
      <w:tblPr>
        <w:tblStyle w:val="25"/>
        <w:tblW w:w="97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756"/>
        <w:gridCol w:w="756"/>
        <w:gridCol w:w="756"/>
        <w:gridCol w:w="756"/>
        <w:gridCol w:w="756"/>
        <w:gridCol w:w="756"/>
        <w:gridCol w:w="756"/>
        <w:gridCol w:w="756"/>
        <w:gridCol w:w="576"/>
        <w:gridCol w:w="953"/>
        <w:gridCol w:w="709"/>
        <w:gridCol w:w="656"/>
      </w:tblGrid>
      <w:tr w14:paraId="6C234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8" w:type="dxa"/>
            <w:gridSpan w:val="3"/>
            <w:vAlign w:val="center"/>
          </w:tcPr>
          <w:p w14:paraId="7D230095">
            <w:pPr>
              <w:snapToGrid w:val="0"/>
              <w:spacing w:line="240" w:lineRule="auto"/>
              <w:ind w:firstLine="0" w:firstLineChars="0"/>
              <w:jc w:val="center"/>
              <w:rPr>
                <w:rFonts w:cs="Times New Roman"/>
                <w:sz w:val="21"/>
              </w:rPr>
            </w:pPr>
            <w:r>
              <w:rPr>
                <w:rFonts w:cs="Times New Roman"/>
                <w:sz w:val="21"/>
              </w:rPr>
              <w:t>2015年</w:t>
            </w:r>
          </w:p>
        </w:tc>
        <w:tc>
          <w:tcPr>
            <w:tcW w:w="2268" w:type="dxa"/>
            <w:gridSpan w:val="3"/>
            <w:vAlign w:val="center"/>
          </w:tcPr>
          <w:p w14:paraId="6813A961">
            <w:pPr>
              <w:snapToGrid w:val="0"/>
              <w:spacing w:line="240" w:lineRule="auto"/>
              <w:ind w:firstLine="0" w:firstLineChars="0"/>
              <w:jc w:val="center"/>
              <w:rPr>
                <w:rFonts w:cs="Times New Roman"/>
                <w:sz w:val="21"/>
              </w:rPr>
            </w:pPr>
            <w:r>
              <w:rPr>
                <w:rFonts w:cs="Times New Roman"/>
                <w:sz w:val="21"/>
              </w:rPr>
              <w:t>2016年</w:t>
            </w:r>
          </w:p>
        </w:tc>
        <w:tc>
          <w:tcPr>
            <w:tcW w:w="2268" w:type="dxa"/>
            <w:gridSpan w:val="3"/>
            <w:vAlign w:val="center"/>
          </w:tcPr>
          <w:p w14:paraId="60F350CF">
            <w:pPr>
              <w:snapToGrid w:val="0"/>
              <w:spacing w:line="240" w:lineRule="auto"/>
              <w:ind w:firstLine="0" w:firstLineChars="0"/>
              <w:jc w:val="center"/>
              <w:rPr>
                <w:rFonts w:cs="Times New Roman"/>
                <w:sz w:val="21"/>
              </w:rPr>
            </w:pPr>
            <w:r>
              <w:rPr>
                <w:rFonts w:cs="Times New Roman"/>
                <w:sz w:val="21"/>
              </w:rPr>
              <w:t>2017年</w:t>
            </w:r>
          </w:p>
        </w:tc>
        <w:tc>
          <w:tcPr>
            <w:tcW w:w="2894" w:type="dxa"/>
            <w:gridSpan w:val="4"/>
            <w:vAlign w:val="center"/>
          </w:tcPr>
          <w:p w14:paraId="19679DEA">
            <w:pPr>
              <w:snapToGrid w:val="0"/>
              <w:spacing w:line="240" w:lineRule="auto"/>
              <w:ind w:firstLine="0" w:firstLineChars="0"/>
              <w:jc w:val="center"/>
              <w:rPr>
                <w:rFonts w:cs="Times New Roman"/>
                <w:sz w:val="21"/>
              </w:rPr>
            </w:pPr>
            <w:r>
              <w:rPr>
                <w:rFonts w:cs="Times New Roman"/>
                <w:sz w:val="21"/>
              </w:rPr>
              <w:t>2020年用水总量控制指标</w:t>
            </w:r>
          </w:p>
          <w:p w14:paraId="546F8FD2">
            <w:pPr>
              <w:snapToGrid w:val="0"/>
              <w:spacing w:line="240" w:lineRule="auto"/>
              <w:ind w:firstLine="0" w:firstLineChars="0"/>
              <w:jc w:val="center"/>
              <w:rPr>
                <w:rFonts w:cs="Times New Roman"/>
                <w:sz w:val="21"/>
              </w:rPr>
            </w:pPr>
            <w:r>
              <w:rPr>
                <w:rFonts w:cs="Times New Roman"/>
                <w:sz w:val="21"/>
              </w:rPr>
              <w:t>（万m</w:t>
            </w:r>
            <w:r>
              <w:rPr>
                <w:rFonts w:cs="Times New Roman"/>
                <w:sz w:val="21"/>
                <w:vertAlign w:val="superscript"/>
              </w:rPr>
              <w:t>3</w:t>
            </w:r>
            <w:r>
              <w:rPr>
                <w:rFonts w:cs="Times New Roman"/>
                <w:sz w:val="21"/>
              </w:rPr>
              <w:t>）</w:t>
            </w:r>
          </w:p>
        </w:tc>
      </w:tr>
      <w:tr w14:paraId="3495A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restart"/>
            <w:vAlign w:val="center"/>
          </w:tcPr>
          <w:p w14:paraId="7CC96106">
            <w:pPr>
              <w:snapToGrid w:val="0"/>
              <w:spacing w:line="240" w:lineRule="auto"/>
              <w:ind w:firstLine="0" w:firstLineChars="0"/>
              <w:jc w:val="center"/>
              <w:rPr>
                <w:rFonts w:cs="Times New Roman"/>
                <w:sz w:val="21"/>
              </w:rPr>
            </w:pPr>
            <w:r>
              <w:rPr>
                <w:rFonts w:cs="Times New Roman"/>
                <w:sz w:val="21"/>
              </w:rPr>
              <w:t>总量</w:t>
            </w:r>
          </w:p>
        </w:tc>
        <w:tc>
          <w:tcPr>
            <w:tcW w:w="1512" w:type="dxa"/>
            <w:gridSpan w:val="2"/>
            <w:vAlign w:val="center"/>
          </w:tcPr>
          <w:p w14:paraId="07CFEA4A">
            <w:pPr>
              <w:snapToGrid w:val="0"/>
              <w:spacing w:line="240" w:lineRule="auto"/>
              <w:ind w:firstLine="0" w:firstLineChars="0"/>
              <w:jc w:val="center"/>
              <w:rPr>
                <w:rFonts w:cs="Times New Roman"/>
                <w:sz w:val="21"/>
              </w:rPr>
            </w:pPr>
            <w:r>
              <w:rPr>
                <w:rFonts w:cs="Times New Roman"/>
                <w:sz w:val="21"/>
              </w:rPr>
              <w:t>其中</w:t>
            </w:r>
          </w:p>
        </w:tc>
        <w:tc>
          <w:tcPr>
            <w:tcW w:w="756" w:type="dxa"/>
            <w:vMerge w:val="restart"/>
            <w:vAlign w:val="center"/>
          </w:tcPr>
          <w:p w14:paraId="7CC21389">
            <w:pPr>
              <w:snapToGrid w:val="0"/>
              <w:spacing w:line="240" w:lineRule="auto"/>
              <w:ind w:firstLine="0" w:firstLineChars="0"/>
              <w:jc w:val="center"/>
              <w:rPr>
                <w:rFonts w:cs="Times New Roman"/>
                <w:sz w:val="21"/>
              </w:rPr>
            </w:pPr>
            <w:r>
              <w:rPr>
                <w:rFonts w:cs="Times New Roman"/>
                <w:sz w:val="21"/>
              </w:rPr>
              <w:t>总量</w:t>
            </w:r>
          </w:p>
        </w:tc>
        <w:tc>
          <w:tcPr>
            <w:tcW w:w="1512" w:type="dxa"/>
            <w:gridSpan w:val="2"/>
            <w:vAlign w:val="center"/>
          </w:tcPr>
          <w:p w14:paraId="4D584C93">
            <w:pPr>
              <w:snapToGrid w:val="0"/>
              <w:spacing w:line="240" w:lineRule="auto"/>
              <w:ind w:firstLine="0" w:firstLineChars="0"/>
              <w:jc w:val="center"/>
              <w:rPr>
                <w:rFonts w:cs="Times New Roman"/>
                <w:sz w:val="21"/>
              </w:rPr>
            </w:pPr>
            <w:r>
              <w:rPr>
                <w:rFonts w:cs="Times New Roman"/>
                <w:sz w:val="21"/>
              </w:rPr>
              <w:t>其中</w:t>
            </w:r>
          </w:p>
        </w:tc>
        <w:tc>
          <w:tcPr>
            <w:tcW w:w="756" w:type="dxa"/>
            <w:vMerge w:val="restart"/>
            <w:vAlign w:val="center"/>
          </w:tcPr>
          <w:p w14:paraId="4A3D35FA">
            <w:pPr>
              <w:snapToGrid w:val="0"/>
              <w:spacing w:line="240" w:lineRule="auto"/>
              <w:ind w:firstLine="0" w:firstLineChars="0"/>
              <w:jc w:val="center"/>
              <w:rPr>
                <w:rFonts w:cs="Times New Roman"/>
                <w:sz w:val="21"/>
              </w:rPr>
            </w:pPr>
            <w:r>
              <w:rPr>
                <w:rFonts w:cs="Times New Roman"/>
                <w:sz w:val="21"/>
              </w:rPr>
              <w:t>总量</w:t>
            </w:r>
          </w:p>
        </w:tc>
        <w:tc>
          <w:tcPr>
            <w:tcW w:w="1512" w:type="dxa"/>
            <w:gridSpan w:val="2"/>
            <w:vAlign w:val="center"/>
          </w:tcPr>
          <w:p w14:paraId="0257CF59">
            <w:pPr>
              <w:snapToGrid w:val="0"/>
              <w:spacing w:line="240" w:lineRule="auto"/>
              <w:ind w:firstLine="0" w:firstLineChars="0"/>
              <w:jc w:val="center"/>
              <w:rPr>
                <w:rFonts w:cs="Times New Roman"/>
                <w:sz w:val="21"/>
              </w:rPr>
            </w:pPr>
            <w:r>
              <w:rPr>
                <w:rFonts w:cs="Times New Roman"/>
                <w:sz w:val="21"/>
              </w:rPr>
              <w:t>其中</w:t>
            </w:r>
          </w:p>
        </w:tc>
        <w:tc>
          <w:tcPr>
            <w:tcW w:w="576" w:type="dxa"/>
            <w:vMerge w:val="restart"/>
            <w:vAlign w:val="center"/>
          </w:tcPr>
          <w:p w14:paraId="619AD459">
            <w:pPr>
              <w:snapToGrid w:val="0"/>
              <w:spacing w:line="240" w:lineRule="auto"/>
              <w:ind w:firstLine="0" w:firstLineChars="0"/>
              <w:jc w:val="center"/>
              <w:rPr>
                <w:rFonts w:cs="Times New Roman"/>
                <w:sz w:val="21"/>
              </w:rPr>
            </w:pPr>
            <w:r>
              <w:rPr>
                <w:rFonts w:cs="Times New Roman"/>
                <w:sz w:val="21"/>
              </w:rPr>
              <w:t>用水总量</w:t>
            </w:r>
          </w:p>
        </w:tc>
        <w:tc>
          <w:tcPr>
            <w:tcW w:w="2318" w:type="dxa"/>
            <w:gridSpan w:val="3"/>
            <w:vAlign w:val="center"/>
          </w:tcPr>
          <w:p w14:paraId="6D104281">
            <w:pPr>
              <w:snapToGrid w:val="0"/>
              <w:spacing w:line="240" w:lineRule="auto"/>
              <w:ind w:firstLine="0" w:firstLineChars="0"/>
              <w:jc w:val="center"/>
              <w:rPr>
                <w:rFonts w:cs="Times New Roman"/>
                <w:sz w:val="21"/>
              </w:rPr>
            </w:pPr>
            <w:r>
              <w:rPr>
                <w:rFonts w:cs="Times New Roman"/>
                <w:sz w:val="21"/>
              </w:rPr>
              <w:t>其中</w:t>
            </w:r>
          </w:p>
        </w:tc>
      </w:tr>
      <w:tr w14:paraId="572A7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786" w:type="dxa"/>
            <w:vMerge w:val="continue"/>
            <w:vAlign w:val="center"/>
          </w:tcPr>
          <w:p w14:paraId="3D45EB78">
            <w:pPr>
              <w:snapToGrid w:val="0"/>
              <w:spacing w:line="240" w:lineRule="auto"/>
              <w:ind w:firstLine="0" w:firstLineChars="0"/>
              <w:jc w:val="center"/>
              <w:rPr>
                <w:rFonts w:cs="Times New Roman"/>
                <w:sz w:val="21"/>
              </w:rPr>
            </w:pPr>
          </w:p>
        </w:tc>
        <w:tc>
          <w:tcPr>
            <w:tcW w:w="756" w:type="dxa"/>
            <w:vAlign w:val="center"/>
          </w:tcPr>
          <w:p w14:paraId="58B45DA8">
            <w:pPr>
              <w:snapToGrid w:val="0"/>
              <w:spacing w:line="240" w:lineRule="auto"/>
              <w:ind w:firstLine="0" w:firstLineChars="0"/>
              <w:jc w:val="center"/>
              <w:rPr>
                <w:rFonts w:cs="Times New Roman"/>
                <w:sz w:val="21"/>
              </w:rPr>
            </w:pPr>
            <w:r>
              <w:rPr>
                <w:rFonts w:cs="Times New Roman"/>
                <w:sz w:val="21"/>
              </w:rPr>
              <w:t>生活</w:t>
            </w:r>
          </w:p>
        </w:tc>
        <w:tc>
          <w:tcPr>
            <w:tcW w:w="756" w:type="dxa"/>
            <w:vAlign w:val="center"/>
          </w:tcPr>
          <w:p w14:paraId="198C20DB">
            <w:pPr>
              <w:snapToGrid w:val="0"/>
              <w:spacing w:line="240" w:lineRule="auto"/>
              <w:ind w:firstLine="0" w:firstLineChars="0"/>
              <w:jc w:val="center"/>
              <w:rPr>
                <w:rFonts w:cs="Times New Roman"/>
                <w:sz w:val="21"/>
              </w:rPr>
            </w:pPr>
            <w:r>
              <w:rPr>
                <w:rFonts w:cs="Times New Roman"/>
                <w:sz w:val="21"/>
              </w:rPr>
              <w:t>工业</w:t>
            </w:r>
          </w:p>
        </w:tc>
        <w:tc>
          <w:tcPr>
            <w:tcW w:w="756" w:type="dxa"/>
            <w:vMerge w:val="continue"/>
            <w:vAlign w:val="center"/>
          </w:tcPr>
          <w:p w14:paraId="15D84501">
            <w:pPr>
              <w:snapToGrid w:val="0"/>
              <w:spacing w:line="240" w:lineRule="auto"/>
              <w:ind w:firstLine="0" w:firstLineChars="0"/>
              <w:jc w:val="center"/>
              <w:rPr>
                <w:rFonts w:cs="Times New Roman"/>
                <w:sz w:val="21"/>
              </w:rPr>
            </w:pPr>
          </w:p>
        </w:tc>
        <w:tc>
          <w:tcPr>
            <w:tcW w:w="756" w:type="dxa"/>
            <w:vAlign w:val="center"/>
          </w:tcPr>
          <w:p w14:paraId="68CFB735">
            <w:pPr>
              <w:snapToGrid w:val="0"/>
              <w:spacing w:line="240" w:lineRule="auto"/>
              <w:ind w:firstLine="0" w:firstLineChars="0"/>
              <w:jc w:val="center"/>
              <w:rPr>
                <w:rFonts w:cs="Times New Roman"/>
                <w:sz w:val="21"/>
              </w:rPr>
            </w:pPr>
            <w:r>
              <w:rPr>
                <w:rFonts w:cs="Times New Roman"/>
                <w:sz w:val="21"/>
              </w:rPr>
              <w:t>生活</w:t>
            </w:r>
          </w:p>
        </w:tc>
        <w:tc>
          <w:tcPr>
            <w:tcW w:w="756" w:type="dxa"/>
            <w:vAlign w:val="center"/>
          </w:tcPr>
          <w:p w14:paraId="1C29B85E">
            <w:pPr>
              <w:snapToGrid w:val="0"/>
              <w:spacing w:line="240" w:lineRule="auto"/>
              <w:ind w:firstLine="0" w:firstLineChars="0"/>
              <w:jc w:val="center"/>
              <w:rPr>
                <w:rFonts w:cs="Times New Roman"/>
                <w:sz w:val="21"/>
              </w:rPr>
            </w:pPr>
            <w:r>
              <w:rPr>
                <w:rFonts w:cs="Times New Roman"/>
                <w:sz w:val="21"/>
              </w:rPr>
              <w:t>工业</w:t>
            </w:r>
          </w:p>
        </w:tc>
        <w:tc>
          <w:tcPr>
            <w:tcW w:w="756" w:type="dxa"/>
            <w:vMerge w:val="continue"/>
            <w:vAlign w:val="center"/>
          </w:tcPr>
          <w:p w14:paraId="2C1ACFC9">
            <w:pPr>
              <w:snapToGrid w:val="0"/>
              <w:spacing w:line="240" w:lineRule="auto"/>
              <w:ind w:firstLine="0" w:firstLineChars="0"/>
              <w:jc w:val="center"/>
              <w:rPr>
                <w:rFonts w:cs="Times New Roman"/>
                <w:sz w:val="21"/>
              </w:rPr>
            </w:pPr>
          </w:p>
        </w:tc>
        <w:tc>
          <w:tcPr>
            <w:tcW w:w="756" w:type="dxa"/>
            <w:vAlign w:val="center"/>
          </w:tcPr>
          <w:p w14:paraId="3AF98D02">
            <w:pPr>
              <w:snapToGrid w:val="0"/>
              <w:spacing w:line="240" w:lineRule="auto"/>
              <w:ind w:firstLine="0" w:firstLineChars="0"/>
              <w:jc w:val="center"/>
              <w:rPr>
                <w:rFonts w:cs="Times New Roman"/>
                <w:sz w:val="21"/>
              </w:rPr>
            </w:pPr>
            <w:r>
              <w:rPr>
                <w:rFonts w:cs="Times New Roman"/>
                <w:sz w:val="21"/>
              </w:rPr>
              <w:t>生活</w:t>
            </w:r>
          </w:p>
        </w:tc>
        <w:tc>
          <w:tcPr>
            <w:tcW w:w="756" w:type="dxa"/>
            <w:vAlign w:val="center"/>
          </w:tcPr>
          <w:p w14:paraId="0A2AA320">
            <w:pPr>
              <w:snapToGrid w:val="0"/>
              <w:spacing w:line="240" w:lineRule="auto"/>
              <w:ind w:firstLine="0" w:firstLineChars="0"/>
              <w:jc w:val="center"/>
              <w:rPr>
                <w:rFonts w:cs="Times New Roman"/>
                <w:sz w:val="21"/>
              </w:rPr>
            </w:pPr>
            <w:r>
              <w:rPr>
                <w:rFonts w:cs="Times New Roman"/>
                <w:sz w:val="21"/>
              </w:rPr>
              <w:t>工业</w:t>
            </w:r>
          </w:p>
        </w:tc>
        <w:tc>
          <w:tcPr>
            <w:tcW w:w="576" w:type="dxa"/>
            <w:vMerge w:val="continue"/>
            <w:vAlign w:val="center"/>
          </w:tcPr>
          <w:p w14:paraId="70555DD1">
            <w:pPr>
              <w:snapToGrid w:val="0"/>
              <w:spacing w:line="240" w:lineRule="auto"/>
              <w:ind w:firstLine="0" w:firstLineChars="0"/>
              <w:jc w:val="center"/>
              <w:rPr>
                <w:rFonts w:cs="Times New Roman"/>
                <w:sz w:val="21"/>
              </w:rPr>
            </w:pPr>
          </w:p>
        </w:tc>
        <w:tc>
          <w:tcPr>
            <w:tcW w:w="953" w:type="dxa"/>
            <w:vAlign w:val="center"/>
          </w:tcPr>
          <w:p w14:paraId="2175DA3B">
            <w:pPr>
              <w:snapToGrid w:val="0"/>
              <w:spacing w:line="240" w:lineRule="auto"/>
              <w:ind w:firstLine="0" w:firstLineChars="0"/>
              <w:jc w:val="center"/>
              <w:rPr>
                <w:rFonts w:cs="Times New Roman"/>
                <w:sz w:val="21"/>
              </w:rPr>
            </w:pPr>
            <w:r>
              <w:rPr>
                <w:rFonts w:cs="Times New Roman"/>
                <w:sz w:val="21"/>
              </w:rPr>
              <w:t>工业和生活</w:t>
            </w:r>
          </w:p>
        </w:tc>
        <w:tc>
          <w:tcPr>
            <w:tcW w:w="709" w:type="dxa"/>
            <w:vAlign w:val="center"/>
          </w:tcPr>
          <w:p w14:paraId="1D7B557F">
            <w:pPr>
              <w:snapToGrid w:val="0"/>
              <w:spacing w:line="240" w:lineRule="auto"/>
              <w:ind w:firstLine="0" w:firstLineChars="0"/>
              <w:jc w:val="center"/>
              <w:rPr>
                <w:rFonts w:cs="Times New Roman"/>
                <w:sz w:val="21"/>
              </w:rPr>
            </w:pPr>
            <w:r>
              <w:rPr>
                <w:rFonts w:cs="Times New Roman"/>
                <w:sz w:val="21"/>
              </w:rPr>
              <w:t>火核电</w:t>
            </w:r>
          </w:p>
        </w:tc>
        <w:tc>
          <w:tcPr>
            <w:tcW w:w="656" w:type="dxa"/>
            <w:vAlign w:val="center"/>
          </w:tcPr>
          <w:p w14:paraId="227E4AAB">
            <w:pPr>
              <w:snapToGrid w:val="0"/>
              <w:spacing w:line="240" w:lineRule="auto"/>
              <w:ind w:firstLine="0" w:firstLineChars="0"/>
              <w:jc w:val="center"/>
              <w:rPr>
                <w:rFonts w:cs="Times New Roman"/>
                <w:sz w:val="21"/>
              </w:rPr>
            </w:pPr>
            <w:r>
              <w:rPr>
                <w:rFonts w:cs="Times New Roman"/>
                <w:sz w:val="21"/>
              </w:rPr>
              <w:t>农业</w:t>
            </w:r>
          </w:p>
        </w:tc>
      </w:tr>
      <w:tr w14:paraId="459AF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786" w:type="dxa"/>
            <w:vAlign w:val="center"/>
          </w:tcPr>
          <w:p w14:paraId="56D9E34A">
            <w:pPr>
              <w:snapToGrid w:val="0"/>
              <w:spacing w:line="240" w:lineRule="auto"/>
              <w:ind w:firstLine="0" w:firstLineChars="0"/>
              <w:jc w:val="center"/>
              <w:rPr>
                <w:rFonts w:cs="Times New Roman"/>
                <w:sz w:val="18"/>
                <w:szCs w:val="18"/>
              </w:rPr>
            </w:pPr>
            <w:r>
              <w:rPr>
                <w:rFonts w:hint="eastAsia" w:cs="Times New Roman"/>
                <w:sz w:val="18"/>
                <w:szCs w:val="18"/>
              </w:rPr>
              <w:t>2137.4</w:t>
            </w:r>
          </w:p>
        </w:tc>
        <w:tc>
          <w:tcPr>
            <w:tcW w:w="756" w:type="dxa"/>
            <w:vAlign w:val="center"/>
          </w:tcPr>
          <w:p w14:paraId="2E4A4155">
            <w:pPr>
              <w:snapToGrid w:val="0"/>
              <w:spacing w:line="240" w:lineRule="auto"/>
              <w:ind w:firstLine="0" w:firstLineChars="0"/>
              <w:jc w:val="center"/>
              <w:rPr>
                <w:rFonts w:cs="Times New Roman"/>
                <w:sz w:val="18"/>
                <w:szCs w:val="18"/>
              </w:rPr>
            </w:pPr>
            <w:r>
              <w:rPr>
                <w:rFonts w:hint="eastAsia" w:cs="Times New Roman"/>
                <w:sz w:val="18"/>
                <w:szCs w:val="18"/>
              </w:rPr>
              <w:t>1797.4</w:t>
            </w:r>
          </w:p>
        </w:tc>
        <w:tc>
          <w:tcPr>
            <w:tcW w:w="756" w:type="dxa"/>
            <w:vAlign w:val="center"/>
          </w:tcPr>
          <w:p w14:paraId="2F8FF673">
            <w:pPr>
              <w:snapToGrid w:val="0"/>
              <w:spacing w:line="240" w:lineRule="auto"/>
              <w:ind w:firstLine="0" w:firstLineChars="0"/>
              <w:jc w:val="center"/>
              <w:rPr>
                <w:rFonts w:cs="Times New Roman"/>
                <w:sz w:val="18"/>
                <w:szCs w:val="18"/>
              </w:rPr>
            </w:pPr>
            <w:r>
              <w:rPr>
                <w:rFonts w:hint="eastAsia" w:cs="Times New Roman"/>
                <w:sz w:val="18"/>
                <w:szCs w:val="18"/>
              </w:rPr>
              <w:t>340.0</w:t>
            </w:r>
          </w:p>
        </w:tc>
        <w:tc>
          <w:tcPr>
            <w:tcW w:w="756" w:type="dxa"/>
            <w:vAlign w:val="center"/>
          </w:tcPr>
          <w:p w14:paraId="0B49A09E">
            <w:pPr>
              <w:snapToGrid w:val="0"/>
              <w:spacing w:line="240" w:lineRule="auto"/>
              <w:ind w:firstLine="0" w:firstLineChars="0"/>
              <w:jc w:val="center"/>
              <w:rPr>
                <w:rFonts w:cs="Times New Roman"/>
                <w:sz w:val="18"/>
                <w:szCs w:val="18"/>
              </w:rPr>
            </w:pPr>
            <w:r>
              <w:rPr>
                <w:rFonts w:hint="eastAsia" w:cs="Times New Roman"/>
                <w:sz w:val="18"/>
                <w:szCs w:val="18"/>
              </w:rPr>
              <w:t>2237.3</w:t>
            </w:r>
          </w:p>
        </w:tc>
        <w:tc>
          <w:tcPr>
            <w:tcW w:w="756" w:type="dxa"/>
            <w:vAlign w:val="center"/>
          </w:tcPr>
          <w:p w14:paraId="10F5A4CB">
            <w:pPr>
              <w:snapToGrid w:val="0"/>
              <w:spacing w:line="240" w:lineRule="auto"/>
              <w:ind w:firstLine="0" w:firstLineChars="0"/>
              <w:jc w:val="center"/>
              <w:rPr>
                <w:rFonts w:cs="Times New Roman"/>
                <w:sz w:val="18"/>
                <w:szCs w:val="18"/>
              </w:rPr>
            </w:pPr>
            <w:r>
              <w:rPr>
                <w:rFonts w:hint="eastAsia" w:cs="Times New Roman"/>
                <w:sz w:val="18"/>
                <w:szCs w:val="18"/>
              </w:rPr>
              <w:t>1867.5</w:t>
            </w:r>
          </w:p>
        </w:tc>
        <w:tc>
          <w:tcPr>
            <w:tcW w:w="756" w:type="dxa"/>
            <w:vAlign w:val="center"/>
          </w:tcPr>
          <w:p w14:paraId="6FCDDFA5">
            <w:pPr>
              <w:snapToGrid w:val="0"/>
              <w:spacing w:line="240" w:lineRule="auto"/>
              <w:ind w:firstLine="0" w:firstLineChars="0"/>
              <w:jc w:val="center"/>
              <w:rPr>
                <w:rFonts w:cs="Times New Roman"/>
                <w:sz w:val="18"/>
                <w:szCs w:val="18"/>
              </w:rPr>
            </w:pPr>
            <w:r>
              <w:rPr>
                <w:rFonts w:hint="eastAsia" w:cs="Times New Roman"/>
                <w:sz w:val="18"/>
                <w:szCs w:val="18"/>
              </w:rPr>
              <w:t>369.8</w:t>
            </w:r>
          </w:p>
        </w:tc>
        <w:tc>
          <w:tcPr>
            <w:tcW w:w="756" w:type="dxa"/>
            <w:vAlign w:val="center"/>
          </w:tcPr>
          <w:p w14:paraId="1F11DABA">
            <w:pPr>
              <w:snapToGrid w:val="0"/>
              <w:spacing w:line="240" w:lineRule="auto"/>
              <w:ind w:firstLine="0" w:firstLineChars="0"/>
              <w:jc w:val="center"/>
              <w:rPr>
                <w:rFonts w:cs="Times New Roman"/>
                <w:sz w:val="18"/>
                <w:szCs w:val="18"/>
              </w:rPr>
            </w:pPr>
            <w:r>
              <w:rPr>
                <w:rFonts w:hint="eastAsia" w:cs="Times New Roman"/>
                <w:sz w:val="18"/>
                <w:szCs w:val="18"/>
              </w:rPr>
              <w:t>2308.4</w:t>
            </w:r>
          </w:p>
        </w:tc>
        <w:tc>
          <w:tcPr>
            <w:tcW w:w="756" w:type="dxa"/>
            <w:vAlign w:val="center"/>
          </w:tcPr>
          <w:p w14:paraId="60C92DB6">
            <w:pPr>
              <w:snapToGrid w:val="0"/>
              <w:spacing w:line="240" w:lineRule="auto"/>
              <w:ind w:firstLine="0" w:firstLineChars="0"/>
              <w:jc w:val="center"/>
              <w:rPr>
                <w:rFonts w:cs="Times New Roman"/>
                <w:sz w:val="18"/>
                <w:szCs w:val="18"/>
              </w:rPr>
            </w:pPr>
            <w:r>
              <w:rPr>
                <w:rFonts w:hint="eastAsia" w:cs="Times New Roman"/>
                <w:sz w:val="18"/>
                <w:szCs w:val="18"/>
              </w:rPr>
              <w:t>1936.4</w:t>
            </w:r>
          </w:p>
        </w:tc>
        <w:tc>
          <w:tcPr>
            <w:tcW w:w="756" w:type="dxa"/>
            <w:vAlign w:val="center"/>
          </w:tcPr>
          <w:p w14:paraId="5A1BFB4D">
            <w:pPr>
              <w:snapToGrid w:val="0"/>
              <w:spacing w:line="240" w:lineRule="auto"/>
              <w:ind w:firstLine="0" w:firstLineChars="0"/>
              <w:jc w:val="center"/>
              <w:rPr>
                <w:rFonts w:cs="Times New Roman"/>
                <w:sz w:val="18"/>
                <w:szCs w:val="18"/>
              </w:rPr>
            </w:pPr>
            <w:r>
              <w:rPr>
                <w:rFonts w:hint="eastAsia" w:cs="Times New Roman"/>
                <w:sz w:val="18"/>
                <w:szCs w:val="18"/>
              </w:rPr>
              <w:t>372.0</w:t>
            </w:r>
          </w:p>
        </w:tc>
        <w:tc>
          <w:tcPr>
            <w:tcW w:w="576" w:type="dxa"/>
            <w:vAlign w:val="center"/>
          </w:tcPr>
          <w:p w14:paraId="66D97636">
            <w:pPr>
              <w:snapToGrid w:val="0"/>
              <w:spacing w:line="240" w:lineRule="auto"/>
              <w:ind w:firstLine="0" w:firstLineChars="0"/>
              <w:jc w:val="center"/>
              <w:rPr>
                <w:rFonts w:cs="Times New Roman"/>
                <w:sz w:val="18"/>
                <w:szCs w:val="18"/>
              </w:rPr>
            </w:pPr>
            <w:r>
              <w:rPr>
                <w:rFonts w:hint="eastAsia" w:cs="Times New Roman"/>
                <w:sz w:val="18"/>
                <w:szCs w:val="18"/>
              </w:rPr>
              <w:t>3707</w:t>
            </w:r>
          </w:p>
        </w:tc>
        <w:tc>
          <w:tcPr>
            <w:tcW w:w="953" w:type="dxa"/>
            <w:vAlign w:val="center"/>
          </w:tcPr>
          <w:p w14:paraId="11C728FE">
            <w:pPr>
              <w:snapToGrid w:val="0"/>
              <w:spacing w:line="240" w:lineRule="auto"/>
              <w:ind w:firstLine="0" w:firstLineChars="0"/>
              <w:jc w:val="center"/>
              <w:rPr>
                <w:rFonts w:cs="Times New Roman"/>
                <w:sz w:val="18"/>
                <w:szCs w:val="18"/>
              </w:rPr>
            </w:pPr>
            <w:r>
              <w:rPr>
                <w:rFonts w:hint="eastAsia" w:cs="Times New Roman"/>
                <w:sz w:val="18"/>
                <w:szCs w:val="18"/>
              </w:rPr>
              <w:t>2800</w:t>
            </w:r>
          </w:p>
        </w:tc>
        <w:tc>
          <w:tcPr>
            <w:tcW w:w="709" w:type="dxa"/>
            <w:vAlign w:val="center"/>
          </w:tcPr>
          <w:p w14:paraId="513586D5">
            <w:pPr>
              <w:snapToGrid w:val="0"/>
              <w:spacing w:line="240" w:lineRule="auto"/>
              <w:ind w:firstLine="0" w:firstLineChars="0"/>
              <w:jc w:val="center"/>
              <w:rPr>
                <w:rFonts w:cs="Times New Roman"/>
                <w:sz w:val="18"/>
                <w:szCs w:val="18"/>
              </w:rPr>
            </w:pPr>
            <w:r>
              <w:rPr>
                <w:rFonts w:cs="Times New Roman"/>
                <w:sz w:val="18"/>
                <w:szCs w:val="18"/>
              </w:rPr>
              <w:t>0</w:t>
            </w:r>
          </w:p>
        </w:tc>
        <w:tc>
          <w:tcPr>
            <w:tcW w:w="656" w:type="dxa"/>
            <w:vAlign w:val="center"/>
          </w:tcPr>
          <w:p w14:paraId="1233A151">
            <w:pPr>
              <w:snapToGrid w:val="0"/>
              <w:spacing w:line="240" w:lineRule="auto"/>
              <w:ind w:firstLine="0" w:firstLineChars="0"/>
              <w:jc w:val="center"/>
              <w:rPr>
                <w:rFonts w:cs="Times New Roman"/>
                <w:sz w:val="18"/>
                <w:szCs w:val="18"/>
              </w:rPr>
            </w:pPr>
            <w:r>
              <w:rPr>
                <w:rFonts w:hint="eastAsia" w:cs="Times New Roman"/>
                <w:sz w:val="18"/>
                <w:szCs w:val="18"/>
              </w:rPr>
              <w:t>907</w:t>
            </w:r>
          </w:p>
        </w:tc>
      </w:tr>
    </w:tbl>
    <w:p w14:paraId="64F44A27">
      <w:pPr>
        <w:spacing w:line="240" w:lineRule="auto"/>
        <w:ind w:firstLine="480"/>
        <w:rPr>
          <w:rFonts w:eastAsia="宋体" w:cs="Times New Roman"/>
          <w:szCs w:val="24"/>
        </w:rPr>
      </w:pPr>
    </w:p>
    <w:p w14:paraId="68712131">
      <w:pPr>
        <w:pStyle w:val="5"/>
      </w:pPr>
      <w:r>
        <w:t>2.1.5.2节水型</w:t>
      </w:r>
      <w:r>
        <w:rPr>
          <w:rFonts w:hint="eastAsia"/>
        </w:rPr>
        <w:t>载体</w:t>
      </w:r>
      <w:r>
        <w:t>建设逐步推进</w:t>
      </w:r>
    </w:p>
    <w:p w14:paraId="4DA21614">
      <w:pPr>
        <w:ind w:firstLine="480"/>
        <w:rPr>
          <w:rFonts w:cs="Times New Roman"/>
          <w:szCs w:val="28"/>
        </w:rPr>
      </w:pPr>
      <w:r>
        <w:rPr>
          <w:rFonts w:cs="Times New Roman"/>
          <w:szCs w:val="28"/>
        </w:rPr>
        <w:t>依据《中山市最严格水资源管理制度实施方案》，按照</w:t>
      </w:r>
      <w:r>
        <w:rPr>
          <w:rFonts w:hint="eastAsia" w:cs="Times New Roman"/>
          <w:szCs w:val="28"/>
        </w:rPr>
        <w:t>西区</w:t>
      </w:r>
      <w:r>
        <w:rPr>
          <w:rFonts w:cs="Times New Roman"/>
          <w:szCs w:val="28"/>
        </w:rPr>
        <w:t>实际情况，目前</w:t>
      </w:r>
      <w:r>
        <w:rPr>
          <w:rFonts w:hint="eastAsia" w:cs="Times New Roman"/>
          <w:szCs w:val="28"/>
        </w:rPr>
        <w:t>西区正积极</w:t>
      </w:r>
      <w:r>
        <w:rPr>
          <w:rFonts w:cs="Times New Roman"/>
          <w:szCs w:val="28"/>
        </w:rPr>
        <w:t>推进节水型社会建设</w:t>
      </w:r>
      <w:r>
        <w:rPr>
          <w:rFonts w:hint="eastAsia" w:cs="Times New Roman"/>
          <w:szCs w:val="28"/>
        </w:rPr>
        <w:t>相关工作</w:t>
      </w:r>
      <w:r>
        <w:rPr>
          <w:rFonts w:cs="Times New Roman"/>
          <w:szCs w:val="28"/>
        </w:rPr>
        <w:t>，</w:t>
      </w:r>
      <w:r>
        <w:rPr>
          <w:rFonts w:hint="eastAsia" w:cs="Times New Roman"/>
          <w:szCs w:val="28"/>
        </w:rPr>
        <w:t>大量</w:t>
      </w:r>
      <w:r>
        <w:t>节水型</w:t>
      </w:r>
      <w:r>
        <w:rPr>
          <w:rFonts w:hint="eastAsia"/>
        </w:rPr>
        <w:t>载体被</w:t>
      </w:r>
      <w:r>
        <w:t>建设</w:t>
      </w:r>
      <w:r>
        <w:rPr>
          <w:rFonts w:hint="eastAsia"/>
        </w:rPr>
        <w:t>，</w:t>
      </w:r>
      <w:r>
        <w:rPr>
          <w:rFonts w:hint="eastAsia" w:cs="Times New Roman"/>
          <w:szCs w:val="28"/>
        </w:rPr>
        <w:t>在节水型社会建设、节水器具普及、节水型单位与学校建设等方面取得很不错的成果，</w:t>
      </w:r>
      <w:r>
        <w:rPr>
          <w:rFonts w:cs="Times New Roman"/>
          <w:szCs w:val="28"/>
        </w:rPr>
        <w:t>201</w:t>
      </w:r>
      <w:r>
        <w:rPr>
          <w:rFonts w:hint="eastAsia" w:cs="Times New Roman"/>
          <w:szCs w:val="28"/>
        </w:rPr>
        <w:t>7</w:t>
      </w:r>
      <w:r>
        <w:rPr>
          <w:rFonts w:cs="Times New Roman"/>
          <w:szCs w:val="28"/>
        </w:rPr>
        <w:t>年</w:t>
      </w:r>
      <w:r>
        <w:rPr>
          <w:rFonts w:hint="eastAsia" w:cs="Times New Roman"/>
          <w:szCs w:val="28"/>
        </w:rPr>
        <w:t>9月完成了</w:t>
      </w:r>
      <w:r>
        <w:rPr>
          <w:rFonts w:cs="Times New Roman"/>
          <w:szCs w:val="28"/>
        </w:rPr>
        <w:t>中山市</w:t>
      </w:r>
      <w:r>
        <w:rPr>
          <w:rFonts w:hint="eastAsia" w:cs="Times New Roman"/>
          <w:szCs w:val="28"/>
        </w:rPr>
        <w:t>西区节水型社会建设与非常规水资源开发利用规划，目前已推进1家农业高效节水灌溉用水计量，工业用水计量率100%。</w:t>
      </w:r>
    </w:p>
    <w:p w14:paraId="355B9201">
      <w:pPr>
        <w:ind w:firstLine="480"/>
        <w:rPr>
          <w:rFonts w:cs="Times New Roman"/>
          <w:szCs w:val="28"/>
        </w:rPr>
      </w:pPr>
      <w:r>
        <w:rPr>
          <w:rFonts w:hint="eastAsia" w:cs="Times New Roman"/>
          <w:szCs w:val="28"/>
        </w:rPr>
        <w:t>如表2-</w:t>
      </w:r>
      <w:r>
        <w:rPr>
          <w:rFonts w:cs="Times New Roman"/>
          <w:szCs w:val="28"/>
        </w:rPr>
        <w:t>6</w:t>
      </w:r>
      <w:r>
        <w:rPr>
          <w:rFonts w:hint="eastAsia" w:cs="Times New Roman"/>
          <w:szCs w:val="28"/>
        </w:rPr>
        <w:t>，目前西区完成创建、正在创建，以及预计创建的节水型载体5</w:t>
      </w:r>
      <w:r>
        <w:rPr>
          <w:rFonts w:cs="Times New Roman"/>
          <w:szCs w:val="28"/>
        </w:rPr>
        <w:t>8</w:t>
      </w:r>
      <w:r>
        <w:rPr>
          <w:rFonts w:hint="eastAsia" w:cs="Times New Roman"/>
          <w:szCs w:val="28"/>
        </w:rPr>
        <w:t>个：</w:t>
      </w:r>
      <w:r>
        <w:rPr>
          <w:rFonts w:hint="eastAsia" w:cs="Times New Roman" w:asciiTheme="minorEastAsia" w:hAnsiTheme="minorEastAsia"/>
          <w:szCs w:val="28"/>
        </w:rPr>
        <w:t>①</w:t>
      </w:r>
      <w:r>
        <w:rPr>
          <w:rFonts w:hint="eastAsia" w:cs="Times New Roman"/>
          <w:szCs w:val="28"/>
        </w:rPr>
        <w:t>节水型企业</w:t>
      </w:r>
      <w:r>
        <w:rPr>
          <w:rFonts w:cs="Times New Roman"/>
          <w:szCs w:val="28"/>
        </w:rPr>
        <w:t>10</w:t>
      </w:r>
      <w:r>
        <w:rPr>
          <w:rFonts w:hint="eastAsia" w:cs="Times New Roman"/>
          <w:szCs w:val="28"/>
        </w:rPr>
        <w:t>家，其中2家完成创建；2家正在开展工作；1家签订合同，准备开展；5家准备开展。</w:t>
      </w:r>
      <w:r>
        <w:rPr>
          <w:rFonts w:hint="eastAsia" w:cs="Times New Roman" w:asciiTheme="minorEastAsia" w:hAnsiTheme="minorEastAsia"/>
          <w:szCs w:val="28"/>
        </w:rPr>
        <w:t>②</w:t>
      </w:r>
      <w:r>
        <w:rPr>
          <w:rFonts w:hint="eastAsia" w:cs="Times New Roman"/>
          <w:szCs w:val="28"/>
        </w:rPr>
        <w:t>节水型公共机构</w:t>
      </w:r>
      <w:r>
        <w:rPr>
          <w:rFonts w:cs="Times New Roman"/>
          <w:szCs w:val="28"/>
        </w:rPr>
        <w:t>22</w:t>
      </w:r>
      <w:r>
        <w:rPr>
          <w:rFonts w:hint="eastAsia" w:cs="Times New Roman"/>
          <w:szCs w:val="28"/>
        </w:rPr>
        <w:t>家，其中</w:t>
      </w:r>
      <w:r>
        <w:rPr>
          <w:rFonts w:cs="Times New Roman"/>
          <w:szCs w:val="28"/>
        </w:rPr>
        <w:t>13</w:t>
      </w:r>
      <w:r>
        <w:rPr>
          <w:rFonts w:hint="eastAsia" w:cs="Times New Roman"/>
          <w:szCs w:val="28"/>
        </w:rPr>
        <w:t>家完成创建；</w:t>
      </w:r>
      <w:r>
        <w:rPr>
          <w:rFonts w:cs="Times New Roman"/>
          <w:szCs w:val="28"/>
        </w:rPr>
        <w:t>6</w:t>
      </w:r>
      <w:r>
        <w:rPr>
          <w:rFonts w:hint="eastAsia" w:cs="Times New Roman"/>
          <w:szCs w:val="28"/>
        </w:rPr>
        <w:t>家通过专家评审，准备改造；</w:t>
      </w:r>
      <w:r>
        <w:rPr>
          <w:rFonts w:cs="Times New Roman"/>
          <w:szCs w:val="28"/>
        </w:rPr>
        <w:t>1</w:t>
      </w:r>
      <w:r>
        <w:rPr>
          <w:rFonts w:hint="eastAsia" w:cs="Times New Roman"/>
          <w:szCs w:val="28"/>
        </w:rPr>
        <w:t>家通过专家评审，追加预算；</w:t>
      </w:r>
      <w:r>
        <w:rPr>
          <w:rFonts w:cs="Times New Roman"/>
          <w:szCs w:val="28"/>
        </w:rPr>
        <w:t>1</w:t>
      </w:r>
      <w:r>
        <w:rPr>
          <w:rFonts w:hint="eastAsia" w:cs="Times New Roman"/>
          <w:szCs w:val="28"/>
        </w:rPr>
        <w:t>家开展水平衡测试；</w:t>
      </w:r>
      <w:r>
        <w:rPr>
          <w:rFonts w:cs="Times New Roman"/>
          <w:szCs w:val="28"/>
        </w:rPr>
        <w:t>1</w:t>
      </w:r>
      <w:r>
        <w:rPr>
          <w:rFonts w:hint="eastAsia" w:cs="Times New Roman"/>
          <w:szCs w:val="28"/>
        </w:rPr>
        <w:t>家准备开展工作。</w:t>
      </w:r>
      <w:r>
        <w:rPr>
          <w:rFonts w:hint="eastAsia" w:cs="Times New Roman" w:asciiTheme="minorEastAsia" w:hAnsiTheme="minorEastAsia"/>
          <w:szCs w:val="28"/>
        </w:rPr>
        <w:t>③</w:t>
      </w:r>
      <w:r>
        <w:rPr>
          <w:rFonts w:hint="eastAsia" w:cs="Times New Roman"/>
          <w:szCs w:val="28"/>
        </w:rPr>
        <w:t>节水型学校</w:t>
      </w:r>
      <w:r>
        <w:rPr>
          <w:rFonts w:cs="Times New Roman"/>
          <w:szCs w:val="28"/>
        </w:rPr>
        <w:t>13</w:t>
      </w:r>
      <w:r>
        <w:rPr>
          <w:rFonts w:hint="eastAsia" w:cs="Times New Roman"/>
          <w:szCs w:val="28"/>
        </w:rPr>
        <w:t>家，其中</w:t>
      </w:r>
      <w:r>
        <w:rPr>
          <w:rFonts w:cs="Times New Roman"/>
          <w:szCs w:val="28"/>
        </w:rPr>
        <w:t>7</w:t>
      </w:r>
      <w:r>
        <w:rPr>
          <w:rFonts w:hint="eastAsia" w:cs="Times New Roman"/>
          <w:szCs w:val="28"/>
        </w:rPr>
        <w:t>家完成创建；</w:t>
      </w:r>
      <w:r>
        <w:rPr>
          <w:rFonts w:cs="Times New Roman"/>
          <w:szCs w:val="28"/>
        </w:rPr>
        <w:t>1</w:t>
      </w:r>
      <w:r>
        <w:rPr>
          <w:rFonts w:hint="eastAsia" w:cs="Times New Roman"/>
          <w:szCs w:val="28"/>
        </w:rPr>
        <w:t>家去年验收未通过，正在重新申报；</w:t>
      </w:r>
      <w:r>
        <w:rPr>
          <w:rFonts w:cs="Times New Roman"/>
          <w:szCs w:val="28"/>
        </w:rPr>
        <w:t>1</w:t>
      </w:r>
      <w:r>
        <w:rPr>
          <w:rFonts w:hint="eastAsia" w:cs="Times New Roman"/>
          <w:szCs w:val="28"/>
        </w:rPr>
        <w:t>家通过专家评审，进行中介预算；</w:t>
      </w:r>
      <w:r>
        <w:rPr>
          <w:rFonts w:cs="Times New Roman"/>
          <w:szCs w:val="28"/>
        </w:rPr>
        <w:t>1</w:t>
      </w:r>
      <w:r>
        <w:rPr>
          <w:rFonts w:hint="eastAsia" w:cs="Times New Roman"/>
          <w:szCs w:val="28"/>
        </w:rPr>
        <w:t>家正在组织专家评审；</w:t>
      </w:r>
      <w:r>
        <w:rPr>
          <w:rFonts w:cs="Times New Roman"/>
          <w:szCs w:val="28"/>
        </w:rPr>
        <w:t>3</w:t>
      </w:r>
      <w:r>
        <w:rPr>
          <w:rFonts w:hint="eastAsia" w:cs="Times New Roman"/>
          <w:szCs w:val="28"/>
        </w:rPr>
        <w:t>家专家评审通过，准备改造。</w:t>
      </w:r>
      <w:r>
        <w:rPr>
          <w:rFonts w:hint="eastAsia" w:cs="Times New Roman" w:asciiTheme="minorEastAsia" w:hAnsiTheme="minorEastAsia"/>
          <w:szCs w:val="28"/>
        </w:rPr>
        <w:t>④</w:t>
      </w:r>
      <w:r>
        <w:rPr>
          <w:rFonts w:hint="eastAsia" w:cs="Times New Roman"/>
          <w:szCs w:val="28"/>
        </w:rPr>
        <w:t>节水型居民小区1</w:t>
      </w:r>
      <w:r>
        <w:rPr>
          <w:rFonts w:cs="Times New Roman"/>
          <w:szCs w:val="28"/>
        </w:rPr>
        <w:t>2</w:t>
      </w:r>
      <w:r>
        <w:rPr>
          <w:rFonts w:hint="eastAsia" w:cs="Times New Roman"/>
          <w:szCs w:val="28"/>
        </w:rPr>
        <w:t>家，2019年西区正在开展节水型居民小区建设，预计8月底前验收。</w:t>
      </w:r>
    </w:p>
    <w:p w14:paraId="7A3046D7">
      <w:pPr>
        <w:ind w:firstLine="420"/>
        <w:jc w:val="center"/>
        <w:rPr>
          <w:rFonts w:cs="Times New Roman"/>
          <w:szCs w:val="28"/>
        </w:rPr>
      </w:pPr>
      <w:r>
        <w:rPr>
          <w:rFonts w:cs="Times New Roman"/>
          <w:sz w:val="21"/>
        </w:rPr>
        <w:t xml:space="preserve">表2-6 </w:t>
      </w:r>
      <w:r>
        <w:rPr>
          <w:rFonts w:hint="eastAsia" w:cs="Times New Roman"/>
          <w:sz w:val="21"/>
        </w:rPr>
        <w:t>西区</w:t>
      </w:r>
      <w:r>
        <w:rPr>
          <w:rFonts w:cs="Times New Roman"/>
          <w:sz w:val="21"/>
        </w:rPr>
        <w:t>2017年</w:t>
      </w:r>
      <w:r>
        <w:rPr>
          <w:rFonts w:hint="eastAsia" w:cs="Times New Roman"/>
          <w:sz w:val="21"/>
        </w:rPr>
        <w:t>以来节水型载体建设情况</w:t>
      </w:r>
    </w:p>
    <w:tbl>
      <w:tblPr>
        <w:tblStyle w:val="26"/>
        <w:tblW w:w="9152"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17"/>
        <w:gridCol w:w="708"/>
        <w:gridCol w:w="2846"/>
        <w:gridCol w:w="2427"/>
        <w:gridCol w:w="2354"/>
      </w:tblGrid>
      <w:tr w14:paraId="06CCB6E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37" w:hRule="atLeast"/>
          <w:jc w:val="center"/>
        </w:trPr>
        <w:tc>
          <w:tcPr>
            <w:tcW w:w="817" w:type="dxa"/>
          </w:tcPr>
          <w:p w14:paraId="35A8BBDE">
            <w:pPr>
              <w:spacing w:line="240" w:lineRule="auto"/>
              <w:ind w:firstLine="0" w:firstLineChars="0"/>
              <w:jc w:val="center"/>
              <w:rPr>
                <w:rFonts w:cs="Times New Roman"/>
                <w:b/>
                <w:bCs/>
                <w:sz w:val="21"/>
              </w:rPr>
            </w:pPr>
            <w:r>
              <w:rPr>
                <w:rFonts w:hint="eastAsia" w:cs="Times New Roman"/>
                <w:b/>
                <w:bCs/>
                <w:sz w:val="21"/>
              </w:rPr>
              <w:t>载体</w:t>
            </w:r>
          </w:p>
        </w:tc>
        <w:tc>
          <w:tcPr>
            <w:tcW w:w="708" w:type="dxa"/>
          </w:tcPr>
          <w:p w14:paraId="54AE8DE6">
            <w:pPr>
              <w:spacing w:line="240" w:lineRule="auto"/>
              <w:ind w:firstLine="0" w:firstLineChars="0"/>
              <w:jc w:val="center"/>
              <w:rPr>
                <w:rFonts w:cs="Times New Roman"/>
                <w:b/>
                <w:bCs/>
                <w:sz w:val="21"/>
              </w:rPr>
            </w:pPr>
            <w:r>
              <w:rPr>
                <w:rFonts w:hint="eastAsia" w:cs="Times New Roman"/>
                <w:b/>
                <w:bCs/>
                <w:sz w:val="21"/>
              </w:rPr>
              <w:t>序号</w:t>
            </w:r>
          </w:p>
        </w:tc>
        <w:tc>
          <w:tcPr>
            <w:tcW w:w="2846" w:type="dxa"/>
          </w:tcPr>
          <w:p w14:paraId="6C864B87">
            <w:pPr>
              <w:spacing w:line="240" w:lineRule="auto"/>
              <w:ind w:firstLine="0" w:firstLineChars="0"/>
              <w:jc w:val="center"/>
              <w:rPr>
                <w:rFonts w:cs="Times New Roman"/>
                <w:b/>
                <w:bCs/>
                <w:sz w:val="21"/>
              </w:rPr>
            </w:pPr>
            <w:r>
              <w:rPr>
                <w:rFonts w:hint="eastAsia" w:cs="Times New Roman"/>
                <w:b/>
                <w:bCs/>
                <w:sz w:val="21"/>
              </w:rPr>
              <w:t>名称</w:t>
            </w:r>
          </w:p>
        </w:tc>
        <w:tc>
          <w:tcPr>
            <w:tcW w:w="2427" w:type="dxa"/>
          </w:tcPr>
          <w:p w14:paraId="0AFC8E70">
            <w:pPr>
              <w:spacing w:line="240" w:lineRule="auto"/>
              <w:ind w:firstLine="0" w:firstLineChars="0"/>
              <w:jc w:val="center"/>
              <w:rPr>
                <w:rFonts w:cs="Times New Roman"/>
                <w:b/>
                <w:bCs/>
                <w:sz w:val="21"/>
              </w:rPr>
            </w:pPr>
            <w:r>
              <w:rPr>
                <w:rFonts w:hint="eastAsia" w:cs="Times New Roman"/>
                <w:b/>
                <w:bCs/>
                <w:sz w:val="21"/>
              </w:rPr>
              <w:t>进展</w:t>
            </w:r>
          </w:p>
        </w:tc>
        <w:tc>
          <w:tcPr>
            <w:tcW w:w="2354" w:type="dxa"/>
          </w:tcPr>
          <w:p w14:paraId="4C0E6031">
            <w:pPr>
              <w:spacing w:line="240" w:lineRule="auto"/>
              <w:ind w:firstLine="0" w:firstLineChars="0"/>
              <w:jc w:val="center"/>
              <w:rPr>
                <w:rFonts w:cs="Times New Roman"/>
                <w:b/>
                <w:bCs/>
                <w:sz w:val="21"/>
              </w:rPr>
            </w:pPr>
            <w:r>
              <w:rPr>
                <w:rFonts w:hint="eastAsia" w:cs="Times New Roman"/>
                <w:b/>
                <w:bCs/>
                <w:sz w:val="21"/>
              </w:rPr>
              <w:t>备注</w:t>
            </w:r>
          </w:p>
        </w:tc>
      </w:tr>
      <w:tr w14:paraId="07F9BC4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4FA8ABEA">
            <w:pPr>
              <w:spacing w:line="240" w:lineRule="auto"/>
              <w:ind w:firstLine="0" w:firstLineChars="0"/>
              <w:jc w:val="center"/>
              <w:rPr>
                <w:rFonts w:cs="Times New Roman"/>
                <w:b/>
                <w:bCs/>
                <w:sz w:val="21"/>
              </w:rPr>
            </w:pPr>
          </w:p>
          <w:p w14:paraId="6454A07D">
            <w:pPr>
              <w:spacing w:line="240" w:lineRule="auto"/>
              <w:ind w:firstLine="0" w:firstLineChars="0"/>
              <w:jc w:val="center"/>
              <w:rPr>
                <w:rFonts w:cs="Times New Roman"/>
                <w:b/>
                <w:bCs/>
                <w:sz w:val="21"/>
              </w:rPr>
            </w:pPr>
          </w:p>
          <w:p w14:paraId="7C4016A8">
            <w:pPr>
              <w:spacing w:line="240" w:lineRule="auto"/>
              <w:ind w:firstLine="0" w:firstLineChars="0"/>
              <w:jc w:val="center"/>
              <w:rPr>
                <w:rFonts w:cs="Times New Roman"/>
                <w:b/>
                <w:bCs/>
                <w:sz w:val="21"/>
              </w:rPr>
            </w:pPr>
          </w:p>
          <w:p w14:paraId="08FBF0D2">
            <w:pPr>
              <w:spacing w:line="240" w:lineRule="auto"/>
              <w:ind w:firstLine="0" w:firstLineChars="0"/>
              <w:jc w:val="center"/>
              <w:rPr>
                <w:rFonts w:cs="Times New Roman"/>
                <w:b/>
                <w:bCs/>
                <w:sz w:val="21"/>
              </w:rPr>
            </w:pPr>
            <w:r>
              <w:rPr>
                <w:rFonts w:hint="eastAsia" w:cs="Times New Roman"/>
                <w:b/>
                <w:bCs/>
                <w:sz w:val="21"/>
              </w:rPr>
              <w:t>节</w:t>
            </w:r>
          </w:p>
          <w:p w14:paraId="0EA0FE4F">
            <w:pPr>
              <w:spacing w:line="240" w:lineRule="auto"/>
              <w:ind w:firstLine="0" w:firstLineChars="0"/>
              <w:jc w:val="center"/>
              <w:rPr>
                <w:rFonts w:cs="Times New Roman"/>
                <w:b/>
                <w:bCs/>
                <w:sz w:val="21"/>
              </w:rPr>
            </w:pPr>
            <w:r>
              <w:rPr>
                <w:rFonts w:hint="eastAsia" w:cs="Times New Roman"/>
                <w:b/>
                <w:bCs/>
                <w:sz w:val="21"/>
              </w:rPr>
              <w:t>水</w:t>
            </w:r>
          </w:p>
          <w:p w14:paraId="3FD9F448">
            <w:pPr>
              <w:spacing w:line="240" w:lineRule="auto"/>
              <w:ind w:firstLine="0" w:firstLineChars="0"/>
              <w:jc w:val="center"/>
              <w:rPr>
                <w:rFonts w:cs="Times New Roman"/>
                <w:b/>
                <w:bCs/>
                <w:sz w:val="21"/>
              </w:rPr>
            </w:pPr>
            <w:r>
              <w:rPr>
                <w:rFonts w:hint="eastAsia" w:cs="Times New Roman"/>
                <w:b/>
                <w:bCs/>
                <w:sz w:val="21"/>
              </w:rPr>
              <w:t>型</w:t>
            </w:r>
          </w:p>
          <w:p w14:paraId="5F24E7B1">
            <w:pPr>
              <w:spacing w:line="240" w:lineRule="auto"/>
              <w:ind w:firstLine="0" w:firstLineChars="0"/>
              <w:jc w:val="center"/>
              <w:rPr>
                <w:rFonts w:cs="Times New Roman"/>
                <w:b/>
                <w:bCs/>
                <w:sz w:val="21"/>
              </w:rPr>
            </w:pPr>
            <w:r>
              <w:rPr>
                <w:rFonts w:hint="eastAsia" w:cs="Times New Roman"/>
                <w:b/>
                <w:bCs/>
                <w:sz w:val="21"/>
              </w:rPr>
              <w:t>企</w:t>
            </w:r>
          </w:p>
          <w:p w14:paraId="44E1DA58">
            <w:pPr>
              <w:spacing w:line="240" w:lineRule="auto"/>
              <w:ind w:firstLine="0" w:firstLineChars="0"/>
              <w:jc w:val="center"/>
              <w:rPr>
                <w:rFonts w:cs="Times New Roman"/>
                <w:b/>
                <w:bCs/>
                <w:sz w:val="21"/>
              </w:rPr>
            </w:pPr>
            <w:r>
              <w:rPr>
                <w:rFonts w:hint="eastAsia" w:cs="Times New Roman"/>
                <w:b/>
                <w:bCs/>
                <w:sz w:val="21"/>
              </w:rPr>
              <w:t>业</w:t>
            </w:r>
          </w:p>
        </w:tc>
        <w:tc>
          <w:tcPr>
            <w:tcW w:w="708" w:type="dxa"/>
          </w:tcPr>
          <w:p w14:paraId="678A867A">
            <w:pPr>
              <w:spacing w:line="240" w:lineRule="auto"/>
              <w:ind w:firstLine="0" w:firstLineChars="0"/>
              <w:jc w:val="center"/>
              <w:rPr>
                <w:rFonts w:cs="Times New Roman"/>
                <w:sz w:val="21"/>
              </w:rPr>
            </w:pPr>
            <w:r>
              <w:rPr>
                <w:rFonts w:hint="eastAsia" w:cs="Times New Roman"/>
                <w:sz w:val="21"/>
              </w:rPr>
              <w:t>1</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59D1FA0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中山瑞德卫生纸品有限公司</w:t>
            </w:r>
          </w:p>
        </w:tc>
        <w:tc>
          <w:tcPr>
            <w:tcW w:w="2427" w:type="dxa"/>
            <w:vAlign w:val="center"/>
          </w:tcPr>
          <w:p w14:paraId="0523B0E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Borders>
              <w:top w:val="single" w:color="auto" w:sz="4" w:space="0"/>
              <w:left w:val="single" w:color="auto" w:sz="4" w:space="0"/>
              <w:bottom w:val="single" w:color="auto" w:sz="4" w:space="0"/>
              <w:right w:val="single" w:color="auto" w:sz="4" w:space="0"/>
            </w:tcBorders>
            <w:shd w:val="clear" w:color="auto" w:fill="auto"/>
            <w:vAlign w:val="center"/>
          </w:tcPr>
          <w:p w14:paraId="4C72A5E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0884E1E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6B95A7C">
            <w:pPr>
              <w:spacing w:line="240" w:lineRule="auto"/>
              <w:ind w:firstLine="0" w:firstLineChars="0"/>
              <w:rPr>
                <w:rFonts w:cs="Times New Roman"/>
                <w:b/>
                <w:bCs/>
                <w:sz w:val="21"/>
              </w:rPr>
            </w:pPr>
          </w:p>
        </w:tc>
        <w:tc>
          <w:tcPr>
            <w:tcW w:w="708" w:type="dxa"/>
          </w:tcPr>
          <w:p w14:paraId="196F851C">
            <w:pPr>
              <w:spacing w:line="240" w:lineRule="auto"/>
              <w:ind w:firstLine="0" w:firstLineChars="0"/>
              <w:jc w:val="center"/>
              <w:rPr>
                <w:rFonts w:cs="Times New Roman"/>
                <w:sz w:val="21"/>
              </w:rPr>
            </w:pPr>
            <w:r>
              <w:rPr>
                <w:rFonts w:hint="eastAsia"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760B2A7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中山市朗科包装有限公司</w:t>
            </w:r>
          </w:p>
        </w:tc>
        <w:tc>
          <w:tcPr>
            <w:tcW w:w="2427" w:type="dxa"/>
            <w:vAlign w:val="center"/>
          </w:tcPr>
          <w:p w14:paraId="2F8427D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Borders>
              <w:top w:val="nil"/>
              <w:left w:val="single" w:color="auto" w:sz="4" w:space="0"/>
              <w:bottom w:val="single" w:color="auto" w:sz="4" w:space="0"/>
              <w:right w:val="single" w:color="auto" w:sz="4" w:space="0"/>
            </w:tcBorders>
            <w:shd w:val="clear" w:color="auto" w:fill="auto"/>
            <w:vAlign w:val="center"/>
          </w:tcPr>
          <w:p w14:paraId="2E2F7197">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34B4072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5946C13">
            <w:pPr>
              <w:spacing w:line="240" w:lineRule="auto"/>
              <w:ind w:firstLine="0" w:firstLineChars="0"/>
              <w:rPr>
                <w:rFonts w:cs="Times New Roman"/>
                <w:b/>
                <w:bCs/>
                <w:sz w:val="21"/>
              </w:rPr>
            </w:pPr>
          </w:p>
        </w:tc>
        <w:tc>
          <w:tcPr>
            <w:tcW w:w="708" w:type="dxa"/>
          </w:tcPr>
          <w:p w14:paraId="463D6595">
            <w:pPr>
              <w:spacing w:line="240" w:lineRule="auto"/>
              <w:ind w:firstLine="0" w:firstLineChars="0"/>
              <w:jc w:val="center"/>
              <w:rPr>
                <w:rFonts w:cs="Times New Roman"/>
                <w:sz w:val="21"/>
              </w:rPr>
            </w:pPr>
            <w:r>
              <w:rPr>
                <w:rFonts w:hint="eastAsia"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45B94ABD">
            <w:pPr>
              <w:widowControl/>
              <w:spacing w:line="240" w:lineRule="auto"/>
              <w:ind w:firstLine="0" w:firstLineChars="0"/>
              <w:jc w:val="center"/>
              <w:rPr>
                <w:rFonts w:cs="宋体" w:asciiTheme="minorEastAsia" w:hAnsiTheme="minorEastAsia"/>
                <w:color w:val="000000"/>
                <w:kern w:val="0"/>
                <w:sz w:val="21"/>
              </w:rPr>
            </w:pPr>
            <w:r>
              <w:rPr>
                <w:rFonts w:hint="eastAsia" w:asciiTheme="minorEastAsia" w:hAnsiTheme="minorEastAsia"/>
                <w:color w:val="000000"/>
                <w:sz w:val="21"/>
              </w:rPr>
              <w:t>好来化工（中山）有限公司</w:t>
            </w:r>
          </w:p>
        </w:tc>
        <w:tc>
          <w:tcPr>
            <w:tcW w:w="2427" w:type="dxa"/>
            <w:vAlign w:val="center"/>
          </w:tcPr>
          <w:p w14:paraId="4AFAFA6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正在开展节水型企业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0AE6D668">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化工的重点用水行业</w:t>
            </w:r>
          </w:p>
        </w:tc>
      </w:tr>
      <w:tr w14:paraId="10225B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17308B6">
            <w:pPr>
              <w:spacing w:line="240" w:lineRule="auto"/>
              <w:ind w:firstLine="0" w:firstLineChars="0"/>
              <w:rPr>
                <w:rFonts w:cs="Times New Roman"/>
                <w:b/>
                <w:bCs/>
                <w:sz w:val="21"/>
              </w:rPr>
            </w:pPr>
          </w:p>
        </w:tc>
        <w:tc>
          <w:tcPr>
            <w:tcW w:w="708" w:type="dxa"/>
          </w:tcPr>
          <w:p w14:paraId="6B6D6772">
            <w:pPr>
              <w:spacing w:line="240" w:lineRule="auto"/>
              <w:ind w:firstLine="0" w:firstLineChars="0"/>
              <w:jc w:val="center"/>
              <w:rPr>
                <w:rFonts w:cs="Times New Roman"/>
                <w:sz w:val="21"/>
              </w:rPr>
            </w:pPr>
            <w:r>
              <w:rPr>
                <w:rFonts w:hint="eastAsia"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0B6BF15D">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广东颐丰食品股份有限公司</w:t>
            </w:r>
          </w:p>
        </w:tc>
        <w:tc>
          <w:tcPr>
            <w:tcW w:w="2427" w:type="dxa"/>
            <w:vAlign w:val="center"/>
          </w:tcPr>
          <w:p w14:paraId="536ED18A">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正在开展节水型企业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0286A3BF">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食品的重点用水行业</w:t>
            </w:r>
          </w:p>
        </w:tc>
      </w:tr>
      <w:tr w14:paraId="7A381D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7169EE9">
            <w:pPr>
              <w:spacing w:line="240" w:lineRule="auto"/>
              <w:ind w:firstLine="0" w:firstLineChars="0"/>
              <w:rPr>
                <w:rFonts w:cs="Times New Roman"/>
                <w:b/>
                <w:bCs/>
                <w:sz w:val="21"/>
              </w:rPr>
            </w:pPr>
          </w:p>
        </w:tc>
        <w:tc>
          <w:tcPr>
            <w:tcW w:w="708" w:type="dxa"/>
          </w:tcPr>
          <w:p w14:paraId="49CE025A">
            <w:pPr>
              <w:spacing w:line="240" w:lineRule="auto"/>
              <w:ind w:firstLine="0" w:firstLineChars="0"/>
              <w:jc w:val="center"/>
              <w:rPr>
                <w:rFonts w:cs="Times New Roman"/>
                <w:sz w:val="21"/>
              </w:rPr>
            </w:pPr>
            <w:r>
              <w:rPr>
                <w:rFonts w:hint="eastAsia"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2D38987F">
            <w:pPr>
              <w:spacing w:line="240" w:lineRule="auto"/>
              <w:ind w:firstLine="0" w:firstLineChars="0"/>
              <w:jc w:val="center"/>
              <w:rPr>
                <w:rFonts w:asciiTheme="minorEastAsia" w:hAnsiTheme="minorEastAsia"/>
                <w:color w:val="000000"/>
                <w:sz w:val="21"/>
              </w:rPr>
            </w:pPr>
            <w:r>
              <w:rPr>
                <w:rFonts w:hint="eastAsia" w:asciiTheme="minorEastAsia" w:hAnsiTheme="minorEastAsia"/>
                <w:sz w:val="21"/>
              </w:rPr>
              <w:t>中山市恒生药业有限公司</w:t>
            </w:r>
          </w:p>
        </w:tc>
        <w:tc>
          <w:tcPr>
            <w:tcW w:w="2427" w:type="dxa"/>
          </w:tcPr>
          <w:p w14:paraId="0440B8D9">
            <w:pPr>
              <w:spacing w:line="240" w:lineRule="auto"/>
              <w:ind w:firstLine="0" w:firstLineChars="0"/>
              <w:jc w:val="center"/>
              <w:rPr>
                <w:rFonts w:cs="Times New Roman"/>
                <w:sz w:val="21"/>
              </w:rPr>
            </w:pPr>
            <w:r>
              <w:rPr>
                <w:rFonts w:hint="eastAsia" w:asciiTheme="minorEastAsia" w:hAnsiTheme="minorEastAsia"/>
                <w:color w:val="000000"/>
                <w:sz w:val="21"/>
              </w:rPr>
              <w:t>签订合同，准备开展</w:t>
            </w:r>
          </w:p>
        </w:tc>
        <w:tc>
          <w:tcPr>
            <w:tcW w:w="2354" w:type="dxa"/>
            <w:tcBorders>
              <w:top w:val="nil"/>
              <w:left w:val="single" w:color="auto" w:sz="4" w:space="0"/>
              <w:bottom w:val="single" w:color="auto" w:sz="4" w:space="0"/>
              <w:right w:val="single" w:color="auto" w:sz="4" w:space="0"/>
            </w:tcBorders>
            <w:shd w:val="clear" w:color="auto" w:fill="auto"/>
            <w:vAlign w:val="center"/>
          </w:tcPr>
          <w:p w14:paraId="4863BBA6">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药业的用水大户</w:t>
            </w:r>
          </w:p>
        </w:tc>
      </w:tr>
      <w:tr w14:paraId="68B68B1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3313148">
            <w:pPr>
              <w:spacing w:line="240" w:lineRule="auto"/>
              <w:ind w:firstLine="0" w:firstLineChars="0"/>
              <w:rPr>
                <w:rFonts w:cs="Times New Roman"/>
                <w:b/>
                <w:bCs/>
                <w:sz w:val="21"/>
              </w:rPr>
            </w:pPr>
          </w:p>
        </w:tc>
        <w:tc>
          <w:tcPr>
            <w:tcW w:w="708" w:type="dxa"/>
          </w:tcPr>
          <w:p w14:paraId="5C9FABA5">
            <w:pPr>
              <w:spacing w:line="240" w:lineRule="auto"/>
              <w:ind w:firstLine="0" w:firstLineChars="0"/>
              <w:jc w:val="center"/>
              <w:rPr>
                <w:rFonts w:cs="Times New Roman"/>
                <w:sz w:val="21"/>
              </w:rPr>
            </w:pPr>
            <w:r>
              <w:rPr>
                <w:rFonts w:hint="eastAsia"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476B7394">
            <w:pPr>
              <w:spacing w:line="240" w:lineRule="auto"/>
              <w:ind w:firstLine="0" w:firstLineChars="0"/>
              <w:jc w:val="center"/>
              <w:rPr>
                <w:rFonts w:asciiTheme="minorEastAsia" w:hAnsiTheme="minorEastAsia"/>
                <w:sz w:val="21"/>
              </w:rPr>
            </w:pPr>
            <w:r>
              <w:rPr>
                <w:rFonts w:hint="eastAsia" w:asciiTheme="minorEastAsia" w:hAnsiTheme="minorEastAsia"/>
                <w:sz w:val="21"/>
              </w:rPr>
              <w:t>中山市格林曼光电科技有限公司</w:t>
            </w:r>
          </w:p>
        </w:tc>
        <w:tc>
          <w:tcPr>
            <w:tcW w:w="2427" w:type="dxa"/>
          </w:tcPr>
          <w:p w14:paraId="281345C2">
            <w:pPr>
              <w:spacing w:line="240" w:lineRule="auto"/>
              <w:ind w:firstLine="0" w:firstLineChars="0"/>
              <w:jc w:val="center"/>
              <w:rPr>
                <w:rFonts w:cs="Times New Roman"/>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2D27282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灯饰的用水大户</w:t>
            </w:r>
          </w:p>
        </w:tc>
      </w:tr>
      <w:tr w14:paraId="45F6FD8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DF1FBD8">
            <w:pPr>
              <w:spacing w:line="240" w:lineRule="auto"/>
              <w:ind w:firstLine="0" w:firstLineChars="0"/>
              <w:rPr>
                <w:rFonts w:cs="Times New Roman"/>
                <w:b/>
                <w:bCs/>
                <w:sz w:val="21"/>
              </w:rPr>
            </w:pPr>
          </w:p>
        </w:tc>
        <w:tc>
          <w:tcPr>
            <w:tcW w:w="708" w:type="dxa"/>
          </w:tcPr>
          <w:p w14:paraId="3DCE4978">
            <w:pPr>
              <w:spacing w:line="240" w:lineRule="auto"/>
              <w:ind w:firstLine="0" w:firstLineChars="0"/>
              <w:jc w:val="center"/>
              <w:rPr>
                <w:rFonts w:cs="Times New Roman"/>
                <w:sz w:val="21"/>
              </w:rPr>
            </w:pPr>
            <w:r>
              <w:rPr>
                <w:rFonts w:hint="eastAsia"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0C5115BB">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中山市尊宝实业有限公司</w:t>
            </w:r>
          </w:p>
        </w:tc>
        <w:tc>
          <w:tcPr>
            <w:tcW w:w="2427" w:type="dxa"/>
            <w:vAlign w:val="center"/>
          </w:tcPr>
          <w:p w14:paraId="5AC97EA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41D41E29">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电器的用水大户</w:t>
            </w:r>
          </w:p>
        </w:tc>
      </w:tr>
      <w:tr w14:paraId="2BC0FFD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844AD87">
            <w:pPr>
              <w:spacing w:line="240" w:lineRule="auto"/>
              <w:ind w:firstLine="0" w:firstLineChars="0"/>
              <w:rPr>
                <w:rFonts w:cs="Times New Roman"/>
                <w:b/>
                <w:bCs/>
                <w:sz w:val="21"/>
              </w:rPr>
            </w:pPr>
          </w:p>
        </w:tc>
        <w:tc>
          <w:tcPr>
            <w:tcW w:w="708" w:type="dxa"/>
          </w:tcPr>
          <w:p w14:paraId="0A25C02F">
            <w:pPr>
              <w:spacing w:line="240" w:lineRule="auto"/>
              <w:ind w:firstLine="0" w:firstLineChars="0"/>
              <w:jc w:val="center"/>
              <w:rPr>
                <w:rFonts w:cs="Times New Roman"/>
                <w:sz w:val="21"/>
              </w:rPr>
            </w:pPr>
            <w:r>
              <w:rPr>
                <w:rFonts w:hint="eastAsia" w:cs="Times New Roman"/>
                <w:sz w:val="21"/>
              </w:rPr>
              <w:t>8</w:t>
            </w:r>
          </w:p>
        </w:tc>
        <w:tc>
          <w:tcPr>
            <w:tcW w:w="2846" w:type="dxa"/>
            <w:tcBorders>
              <w:top w:val="nil"/>
              <w:left w:val="single" w:color="auto" w:sz="4" w:space="0"/>
              <w:bottom w:val="nil"/>
              <w:right w:val="single" w:color="auto" w:sz="4" w:space="0"/>
            </w:tcBorders>
            <w:shd w:val="clear" w:color="auto" w:fill="auto"/>
            <w:vAlign w:val="center"/>
          </w:tcPr>
          <w:p w14:paraId="2110F2C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冰锐实业（广东）有限公司</w:t>
            </w:r>
          </w:p>
        </w:tc>
        <w:tc>
          <w:tcPr>
            <w:tcW w:w="2427" w:type="dxa"/>
            <w:vAlign w:val="center"/>
          </w:tcPr>
          <w:p w14:paraId="65CF0F1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nil"/>
              <w:right w:val="single" w:color="auto" w:sz="4" w:space="0"/>
            </w:tcBorders>
            <w:shd w:val="clear" w:color="auto" w:fill="auto"/>
            <w:vAlign w:val="center"/>
          </w:tcPr>
          <w:p w14:paraId="4FB4B18F">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食品的重点用水行业</w:t>
            </w:r>
          </w:p>
        </w:tc>
      </w:tr>
      <w:tr w14:paraId="5C07D23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AE55E89">
            <w:pPr>
              <w:spacing w:line="240" w:lineRule="auto"/>
              <w:ind w:firstLine="0" w:firstLineChars="0"/>
              <w:rPr>
                <w:rFonts w:cs="Times New Roman"/>
                <w:b/>
                <w:bCs/>
                <w:sz w:val="21"/>
              </w:rPr>
            </w:pPr>
          </w:p>
        </w:tc>
        <w:tc>
          <w:tcPr>
            <w:tcW w:w="708" w:type="dxa"/>
          </w:tcPr>
          <w:p w14:paraId="3FA8DCCB">
            <w:pPr>
              <w:spacing w:line="240" w:lineRule="auto"/>
              <w:ind w:firstLine="0" w:firstLineChars="0"/>
              <w:jc w:val="center"/>
              <w:rPr>
                <w:rFonts w:cs="Times New Roman"/>
                <w:sz w:val="21"/>
              </w:rPr>
            </w:pPr>
            <w:r>
              <w:rPr>
                <w:rFonts w:hint="eastAsia" w:cs="Times New Roman"/>
                <w:sz w:val="21"/>
              </w:rPr>
              <w:t>9</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50451D67">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中山新洋水产食品有限公司</w:t>
            </w:r>
          </w:p>
        </w:tc>
        <w:tc>
          <w:tcPr>
            <w:tcW w:w="2427" w:type="dxa"/>
            <w:vAlign w:val="center"/>
          </w:tcPr>
          <w:p w14:paraId="6AD7583D">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single" w:color="auto" w:sz="4" w:space="0"/>
              <w:left w:val="single" w:color="auto" w:sz="4" w:space="0"/>
              <w:bottom w:val="single" w:color="auto" w:sz="4" w:space="0"/>
              <w:right w:val="single" w:color="auto" w:sz="4" w:space="0"/>
            </w:tcBorders>
            <w:shd w:val="clear" w:color="auto" w:fill="auto"/>
            <w:vAlign w:val="center"/>
          </w:tcPr>
          <w:p w14:paraId="214BF93D">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食品的重点用水行业</w:t>
            </w:r>
          </w:p>
        </w:tc>
      </w:tr>
      <w:tr w14:paraId="6F81342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CC04DE3">
            <w:pPr>
              <w:spacing w:line="240" w:lineRule="auto"/>
              <w:ind w:firstLine="0" w:firstLineChars="0"/>
              <w:rPr>
                <w:rFonts w:cs="Times New Roman"/>
                <w:b/>
                <w:bCs/>
                <w:sz w:val="21"/>
              </w:rPr>
            </w:pPr>
          </w:p>
        </w:tc>
        <w:tc>
          <w:tcPr>
            <w:tcW w:w="708" w:type="dxa"/>
          </w:tcPr>
          <w:p w14:paraId="4B1576F7">
            <w:pPr>
              <w:spacing w:line="240" w:lineRule="auto"/>
              <w:ind w:firstLine="0" w:firstLineChars="0"/>
              <w:jc w:val="center"/>
              <w:rPr>
                <w:rFonts w:cs="Times New Roman"/>
                <w:sz w:val="21"/>
              </w:rPr>
            </w:pPr>
            <w:r>
              <w:rPr>
                <w:rFonts w:hint="eastAsia" w:cs="Times New Roman"/>
                <w:sz w:val="21"/>
              </w:rPr>
              <w:t>1</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707790C4">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广东日丰电缆股份有限公司</w:t>
            </w:r>
          </w:p>
        </w:tc>
        <w:tc>
          <w:tcPr>
            <w:tcW w:w="2427" w:type="dxa"/>
            <w:vAlign w:val="center"/>
          </w:tcPr>
          <w:p w14:paraId="23361457">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22C9502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电缆的用水大户</w:t>
            </w:r>
          </w:p>
        </w:tc>
      </w:tr>
      <w:tr w14:paraId="2527215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47623244">
            <w:pPr>
              <w:spacing w:line="240" w:lineRule="auto"/>
              <w:ind w:firstLine="0" w:firstLineChars="0"/>
              <w:rPr>
                <w:rFonts w:cs="Times New Roman"/>
                <w:b/>
                <w:bCs/>
                <w:sz w:val="21"/>
              </w:rPr>
            </w:pPr>
          </w:p>
          <w:p w14:paraId="4A4599AE">
            <w:pPr>
              <w:spacing w:line="240" w:lineRule="auto"/>
              <w:ind w:firstLine="0" w:firstLineChars="0"/>
              <w:rPr>
                <w:rFonts w:cs="Times New Roman"/>
                <w:b/>
                <w:bCs/>
                <w:sz w:val="21"/>
              </w:rPr>
            </w:pPr>
          </w:p>
          <w:p w14:paraId="794D3E93">
            <w:pPr>
              <w:spacing w:line="240" w:lineRule="auto"/>
              <w:ind w:firstLine="0" w:firstLineChars="0"/>
              <w:rPr>
                <w:rFonts w:cs="Times New Roman"/>
                <w:b/>
                <w:bCs/>
                <w:sz w:val="21"/>
              </w:rPr>
            </w:pPr>
          </w:p>
          <w:p w14:paraId="61DD2E98">
            <w:pPr>
              <w:spacing w:line="240" w:lineRule="auto"/>
              <w:ind w:firstLine="0" w:firstLineChars="0"/>
              <w:jc w:val="center"/>
              <w:rPr>
                <w:rFonts w:cs="Times New Roman"/>
                <w:b/>
                <w:bCs/>
                <w:sz w:val="21"/>
              </w:rPr>
            </w:pPr>
            <w:r>
              <w:rPr>
                <w:rFonts w:hint="eastAsia" w:cs="Times New Roman"/>
                <w:b/>
                <w:bCs/>
                <w:sz w:val="21"/>
              </w:rPr>
              <w:t>节</w:t>
            </w:r>
          </w:p>
          <w:p w14:paraId="49342ABA">
            <w:pPr>
              <w:spacing w:line="240" w:lineRule="auto"/>
              <w:ind w:firstLine="0" w:firstLineChars="0"/>
              <w:jc w:val="center"/>
              <w:rPr>
                <w:rFonts w:cs="Times New Roman"/>
                <w:b/>
                <w:bCs/>
                <w:sz w:val="21"/>
              </w:rPr>
            </w:pPr>
            <w:r>
              <w:rPr>
                <w:rFonts w:hint="eastAsia" w:cs="Times New Roman"/>
                <w:b/>
                <w:bCs/>
                <w:sz w:val="21"/>
              </w:rPr>
              <w:t>水</w:t>
            </w:r>
          </w:p>
          <w:p w14:paraId="6BF500DC">
            <w:pPr>
              <w:spacing w:line="240" w:lineRule="auto"/>
              <w:ind w:firstLine="0" w:firstLineChars="0"/>
              <w:jc w:val="center"/>
              <w:rPr>
                <w:rFonts w:cs="Times New Roman"/>
                <w:b/>
                <w:bCs/>
                <w:sz w:val="21"/>
              </w:rPr>
            </w:pPr>
            <w:r>
              <w:rPr>
                <w:rFonts w:hint="eastAsia" w:cs="Times New Roman"/>
                <w:b/>
                <w:bCs/>
                <w:sz w:val="21"/>
              </w:rPr>
              <w:t>型</w:t>
            </w:r>
          </w:p>
          <w:p w14:paraId="45A2AB5E">
            <w:pPr>
              <w:spacing w:line="240" w:lineRule="auto"/>
              <w:ind w:firstLine="0" w:firstLineChars="0"/>
              <w:jc w:val="center"/>
              <w:rPr>
                <w:rFonts w:cs="Times New Roman"/>
                <w:b/>
                <w:bCs/>
                <w:sz w:val="21"/>
              </w:rPr>
            </w:pPr>
            <w:r>
              <w:rPr>
                <w:rFonts w:hint="eastAsia" w:cs="Times New Roman"/>
                <w:b/>
                <w:bCs/>
                <w:sz w:val="21"/>
              </w:rPr>
              <w:t>公</w:t>
            </w:r>
          </w:p>
          <w:p w14:paraId="27F1E57B">
            <w:pPr>
              <w:spacing w:line="240" w:lineRule="auto"/>
              <w:ind w:firstLine="0" w:firstLineChars="0"/>
              <w:jc w:val="center"/>
              <w:rPr>
                <w:rFonts w:cs="Times New Roman"/>
                <w:b/>
                <w:bCs/>
                <w:sz w:val="21"/>
              </w:rPr>
            </w:pPr>
            <w:r>
              <w:rPr>
                <w:rFonts w:hint="eastAsia" w:cs="Times New Roman"/>
                <w:b/>
                <w:bCs/>
                <w:sz w:val="21"/>
              </w:rPr>
              <w:t>共</w:t>
            </w:r>
          </w:p>
          <w:p w14:paraId="55FB2581">
            <w:pPr>
              <w:spacing w:line="240" w:lineRule="auto"/>
              <w:ind w:firstLine="0" w:firstLineChars="0"/>
              <w:jc w:val="center"/>
              <w:rPr>
                <w:rFonts w:cs="Times New Roman"/>
                <w:b/>
                <w:bCs/>
                <w:sz w:val="21"/>
              </w:rPr>
            </w:pPr>
            <w:r>
              <w:rPr>
                <w:rFonts w:hint="eastAsia" w:cs="Times New Roman"/>
                <w:b/>
                <w:bCs/>
                <w:sz w:val="21"/>
              </w:rPr>
              <w:t>机</w:t>
            </w:r>
          </w:p>
          <w:p w14:paraId="41F26FFD">
            <w:pPr>
              <w:spacing w:line="240" w:lineRule="auto"/>
              <w:ind w:firstLine="0" w:firstLineChars="0"/>
              <w:jc w:val="center"/>
              <w:rPr>
                <w:rFonts w:cs="Times New Roman"/>
                <w:b/>
                <w:bCs/>
                <w:sz w:val="21"/>
              </w:rPr>
            </w:pPr>
            <w:r>
              <w:rPr>
                <w:rFonts w:hint="eastAsia" w:cs="Times New Roman"/>
                <w:b/>
                <w:bCs/>
                <w:sz w:val="21"/>
              </w:rPr>
              <w:t>构</w:t>
            </w:r>
          </w:p>
        </w:tc>
        <w:tc>
          <w:tcPr>
            <w:tcW w:w="708" w:type="dxa"/>
          </w:tcPr>
          <w:p w14:paraId="1C6B35A4">
            <w:pPr>
              <w:spacing w:line="240" w:lineRule="auto"/>
              <w:ind w:firstLine="0" w:firstLineChars="0"/>
              <w:jc w:val="center"/>
              <w:rPr>
                <w:rFonts w:cs="Times New Roman"/>
                <w:sz w:val="21"/>
              </w:rPr>
            </w:pPr>
            <w:r>
              <w:rPr>
                <w:rFonts w:hint="eastAsia" w:cs="Times New Roman"/>
                <w:sz w:val="21"/>
              </w:rPr>
              <w:t>1</w:t>
            </w:r>
            <w:r>
              <w:rPr>
                <w:rFonts w:cs="Times New Roman"/>
                <w:sz w:val="21"/>
              </w:rPr>
              <w:t>1</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001A7404">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中山市人民政府西区办事处</w:t>
            </w:r>
          </w:p>
        </w:tc>
        <w:tc>
          <w:tcPr>
            <w:tcW w:w="2427" w:type="dxa"/>
            <w:tcBorders>
              <w:top w:val="single" w:color="auto" w:sz="4" w:space="0"/>
              <w:left w:val="single" w:color="auto" w:sz="4" w:space="0"/>
              <w:bottom w:val="single" w:color="auto" w:sz="4" w:space="0"/>
              <w:right w:val="single" w:color="auto" w:sz="4" w:space="0"/>
            </w:tcBorders>
            <w:shd w:val="clear" w:color="auto" w:fill="auto"/>
            <w:vAlign w:val="center"/>
          </w:tcPr>
          <w:p w14:paraId="6A420AB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4FEA3877">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7FDB519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D82941F">
            <w:pPr>
              <w:spacing w:line="240" w:lineRule="auto"/>
              <w:ind w:firstLine="0" w:firstLineChars="0"/>
              <w:rPr>
                <w:rFonts w:cs="Times New Roman"/>
                <w:b/>
                <w:bCs/>
                <w:sz w:val="21"/>
              </w:rPr>
            </w:pPr>
          </w:p>
        </w:tc>
        <w:tc>
          <w:tcPr>
            <w:tcW w:w="708" w:type="dxa"/>
          </w:tcPr>
          <w:p w14:paraId="7166ECB0">
            <w:pPr>
              <w:spacing w:line="240" w:lineRule="auto"/>
              <w:ind w:firstLine="0" w:firstLineChars="0"/>
              <w:jc w:val="center"/>
              <w:rPr>
                <w:rFonts w:cs="Times New Roman"/>
                <w:sz w:val="21"/>
              </w:rPr>
            </w:pPr>
            <w:r>
              <w:rPr>
                <w:rFonts w:hint="eastAsia" w:cs="Times New Roman"/>
                <w:sz w:val="21"/>
              </w:rPr>
              <w:t>1</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07B20A1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中山市工商行政管理局西区分局</w:t>
            </w:r>
          </w:p>
        </w:tc>
        <w:tc>
          <w:tcPr>
            <w:tcW w:w="2427" w:type="dxa"/>
            <w:tcBorders>
              <w:top w:val="nil"/>
              <w:left w:val="single" w:color="auto" w:sz="4" w:space="0"/>
              <w:bottom w:val="single" w:color="auto" w:sz="4" w:space="0"/>
              <w:right w:val="single" w:color="auto" w:sz="4" w:space="0"/>
            </w:tcBorders>
            <w:shd w:val="clear" w:color="auto" w:fill="auto"/>
            <w:vAlign w:val="center"/>
          </w:tcPr>
          <w:p w14:paraId="10D1813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6DC5FCC6">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4342621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265FC15">
            <w:pPr>
              <w:spacing w:line="240" w:lineRule="auto"/>
              <w:ind w:firstLine="0" w:firstLineChars="0"/>
              <w:rPr>
                <w:rFonts w:cs="Times New Roman"/>
                <w:b/>
                <w:bCs/>
                <w:sz w:val="21"/>
              </w:rPr>
            </w:pPr>
          </w:p>
        </w:tc>
        <w:tc>
          <w:tcPr>
            <w:tcW w:w="708" w:type="dxa"/>
          </w:tcPr>
          <w:p w14:paraId="3B75E37C">
            <w:pPr>
              <w:spacing w:line="240" w:lineRule="auto"/>
              <w:ind w:firstLine="0" w:firstLineChars="0"/>
              <w:jc w:val="center"/>
              <w:rPr>
                <w:rFonts w:cs="Times New Roman"/>
                <w:sz w:val="21"/>
              </w:rPr>
            </w:pPr>
            <w:r>
              <w:rPr>
                <w:rFonts w:hint="eastAsia" w:cs="Times New Roman"/>
                <w:sz w:val="21"/>
              </w:rPr>
              <w:t>1</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7FA13F8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中山市西区水利所办公大楼</w:t>
            </w:r>
          </w:p>
        </w:tc>
        <w:tc>
          <w:tcPr>
            <w:tcW w:w="2427" w:type="dxa"/>
            <w:tcBorders>
              <w:top w:val="nil"/>
              <w:left w:val="single" w:color="auto" w:sz="4" w:space="0"/>
              <w:bottom w:val="single" w:color="auto" w:sz="4" w:space="0"/>
              <w:right w:val="single" w:color="auto" w:sz="4" w:space="0"/>
            </w:tcBorders>
            <w:shd w:val="clear" w:color="auto" w:fill="auto"/>
            <w:vAlign w:val="center"/>
          </w:tcPr>
          <w:p w14:paraId="2B6A556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429DD4F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13AF109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6E42982">
            <w:pPr>
              <w:spacing w:line="240" w:lineRule="auto"/>
              <w:ind w:firstLine="0" w:firstLineChars="0"/>
              <w:rPr>
                <w:rFonts w:cs="Times New Roman"/>
                <w:b/>
                <w:bCs/>
                <w:sz w:val="21"/>
              </w:rPr>
            </w:pPr>
          </w:p>
        </w:tc>
        <w:tc>
          <w:tcPr>
            <w:tcW w:w="708" w:type="dxa"/>
          </w:tcPr>
          <w:p w14:paraId="33853D28">
            <w:pPr>
              <w:spacing w:line="240" w:lineRule="auto"/>
              <w:ind w:firstLine="0" w:firstLineChars="0"/>
              <w:jc w:val="center"/>
              <w:rPr>
                <w:rFonts w:cs="Times New Roman"/>
                <w:sz w:val="21"/>
              </w:rPr>
            </w:pPr>
            <w:r>
              <w:rPr>
                <w:rFonts w:hint="eastAsia" w:cs="Times New Roman"/>
                <w:sz w:val="21"/>
              </w:rPr>
              <w:t>1</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25E8A07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中山市人力资源和社会保障局西区分局</w:t>
            </w:r>
          </w:p>
        </w:tc>
        <w:tc>
          <w:tcPr>
            <w:tcW w:w="2427" w:type="dxa"/>
            <w:tcBorders>
              <w:top w:val="nil"/>
              <w:left w:val="single" w:color="auto" w:sz="4" w:space="0"/>
              <w:bottom w:val="single" w:color="auto" w:sz="4" w:space="0"/>
              <w:right w:val="single" w:color="auto" w:sz="4" w:space="0"/>
            </w:tcBorders>
            <w:shd w:val="clear" w:color="auto" w:fill="auto"/>
            <w:vAlign w:val="center"/>
          </w:tcPr>
          <w:p w14:paraId="5F46D95D">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17DB1DCA">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237954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AB3686B">
            <w:pPr>
              <w:spacing w:line="240" w:lineRule="auto"/>
              <w:ind w:firstLine="0" w:firstLineChars="0"/>
              <w:rPr>
                <w:rFonts w:cs="Times New Roman"/>
                <w:b/>
                <w:bCs/>
                <w:sz w:val="21"/>
              </w:rPr>
            </w:pPr>
          </w:p>
        </w:tc>
        <w:tc>
          <w:tcPr>
            <w:tcW w:w="708" w:type="dxa"/>
          </w:tcPr>
          <w:p w14:paraId="3F399BE8">
            <w:pPr>
              <w:spacing w:line="240" w:lineRule="auto"/>
              <w:ind w:firstLine="0" w:firstLineChars="0"/>
              <w:jc w:val="center"/>
              <w:rPr>
                <w:rFonts w:cs="Times New Roman"/>
                <w:sz w:val="21"/>
              </w:rPr>
            </w:pPr>
            <w:r>
              <w:rPr>
                <w:rFonts w:hint="eastAsia" w:cs="Times New Roman"/>
                <w:sz w:val="21"/>
              </w:rPr>
              <w:t>1</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5CC0774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中山市西区彩虹社区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465C14D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7A4DC7DC">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558A8EF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E3B4543">
            <w:pPr>
              <w:spacing w:line="240" w:lineRule="auto"/>
              <w:ind w:firstLine="0" w:firstLineChars="0"/>
              <w:rPr>
                <w:rFonts w:cs="Times New Roman"/>
                <w:b/>
                <w:bCs/>
                <w:sz w:val="21"/>
              </w:rPr>
            </w:pPr>
          </w:p>
        </w:tc>
        <w:tc>
          <w:tcPr>
            <w:tcW w:w="708" w:type="dxa"/>
          </w:tcPr>
          <w:p w14:paraId="02E321BC">
            <w:pPr>
              <w:spacing w:line="240" w:lineRule="auto"/>
              <w:ind w:firstLine="0" w:firstLineChars="0"/>
              <w:jc w:val="center"/>
              <w:rPr>
                <w:rFonts w:cs="Times New Roman"/>
                <w:sz w:val="21"/>
              </w:rPr>
            </w:pPr>
            <w:r>
              <w:rPr>
                <w:rFonts w:hint="eastAsia" w:cs="Times New Roman"/>
                <w:sz w:val="21"/>
              </w:rPr>
              <w:t>1</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04987BF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中山市西区烟洲社区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7F8F4FF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2B734C56">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43D2A3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AEE8DDF">
            <w:pPr>
              <w:spacing w:line="240" w:lineRule="auto"/>
              <w:ind w:firstLine="0" w:firstLineChars="0"/>
              <w:rPr>
                <w:rFonts w:cs="Times New Roman"/>
                <w:b/>
                <w:bCs/>
                <w:sz w:val="21"/>
              </w:rPr>
            </w:pPr>
          </w:p>
        </w:tc>
        <w:tc>
          <w:tcPr>
            <w:tcW w:w="708" w:type="dxa"/>
          </w:tcPr>
          <w:p w14:paraId="231B01EE">
            <w:pPr>
              <w:spacing w:line="240" w:lineRule="auto"/>
              <w:ind w:firstLine="0" w:firstLineChars="0"/>
              <w:jc w:val="center"/>
              <w:rPr>
                <w:rFonts w:cs="Times New Roman"/>
                <w:sz w:val="21"/>
              </w:rPr>
            </w:pPr>
            <w:r>
              <w:rPr>
                <w:rFonts w:hint="eastAsia" w:cs="Times New Roman"/>
                <w:sz w:val="21"/>
              </w:rPr>
              <w:t>1</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6EE0E5A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中山市西区隆昌社区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0E88FB0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590716AD">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C8797A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A85EDDE">
            <w:pPr>
              <w:spacing w:line="240" w:lineRule="auto"/>
              <w:ind w:firstLine="0" w:firstLineChars="0"/>
              <w:rPr>
                <w:rFonts w:cs="Times New Roman"/>
                <w:b/>
                <w:bCs/>
                <w:sz w:val="21"/>
              </w:rPr>
            </w:pPr>
          </w:p>
        </w:tc>
        <w:tc>
          <w:tcPr>
            <w:tcW w:w="708" w:type="dxa"/>
          </w:tcPr>
          <w:p w14:paraId="00BFD5FF">
            <w:pPr>
              <w:spacing w:line="240" w:lineRule="auto"/>
              <w:ind w:firstLine="0" w:firstLineChars="0"/>
              <w:jc w:val="center"/>
              <w:rPr>
                <w:rFonts w:cs="Times New Roman"/>
                <w:sz w:val="21"/>
              </w:rPr>
            </w:pPr>
            <w:r>
              <w:rPr>
                <w:rFonts w:hint="eastAsia" w:cs="Times New Roman"/>
                <w:sz w:val="21"/>
              </w:rPr>
              <w:t>1</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650D22A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中山市西区隆平社区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720F1E9F">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08945D8F">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23B880F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DBAC88D">
            <w:pPr>
              <w:spacing w:line="240" w:lineRule="auto"/>
              <w:ind w:firstLine="0" w:firstLineChars="0"/>
              <w:rPr>
                <w:rFonts w:cs="Times New Roman"/>
                <w:b/>
                <w:bCs/>
                <w:sz w:val="21"/>
              </w:rPr>
            </w:pPr>
          </w:p>
        </w:tc>
        <w:tc>
          <w:tcPr>
            <w:tcW w:w="708" w:type="dxa"/>
          </w:tcPr>
          <w:p w14:paraId="248C58A1">
            <w:pPr>
              <w:spacing w:line="240" w:lineRule="auto"/>
              <w:ind w:firstLine="0" w:firstLineChars="0"/>
              <w:jc w:val="center"/>
              <w:rPr>
                <w:rFonts w:cs="Times New Roman"/>
                <w:sz w:val="21"/>
              </w:rPr>
            </w:pPr>
            <w:r>
              <w:rPr>
                <w:rFonts w:hint="eastAsia" w:cs="Times New Roman"/>
                <w:sz w:val="21"/>
              </w:rPr>
              <w:t>1</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2460EEE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中山市西区沙朗社区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199D3E7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530D532A">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8E5910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E4CA3F6">
            <w:pPr>
              <w:spacing w:line="240" w:lineRule="auto"/>
              <w:ind w:firstLine="0" w:firstLineChars="0"/>
              <w:rPr>
                <w:rFonts w:cs="Times New Roman"/>
                <w:b/>
                <w:bCs/>
                <w:sz w:val="21"/>
              </w:rPr>
            </w:pPr>
          </w:p>
        </w:tc>
        <w:tc>
          <w:tcPr>
            <w:tcW w:w="708" w:type="dxa"/>
          </w:tcPr>
          <w:p w14:paraId="1D00E8DC">
            <w:pPr>
              <w:spacing w:line="240" w:lineRule="auto"/>
              <w:ind w:firstLine="0" w:firstLineChars="0"/>
              <w:jc w:val="center"/>
              <w:rPr>
                <w:rFonts w:cs="Times New Roman"/>
                <w:sz w:val="21"/>
              </w:rPr>
            </w:pPr>
            <w:r>
              <w:rPr>
                <w:rFonts w:hint="eastAsia" w:cs="Times New Roman"/>
                <w:sz w:val="21"/>
              </w:rPr>
              <w:t>2</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2B59E4C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中山市西区广丰社区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7F0DA9F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7D4498C5">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4D2A0B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19A7010">
            <w:pPr>
              <w:spacing w:line="240" w:lineRule="auto"/>
              <w:ind w:firstLine="0" w:firstLineChars="0"/>
              <w:rPr>
                <w:rFonts w:cs="Times New Roman"/>
                <w:b/>
                <w:bCs/>
                <w:sz w:val="21"/>
              </w:rPr>
            </w:pPr>
          </w:p>
        </w:tc>
        <w:tc>
          <w:tcPr>
            <w:tcW w:w="708" w:type="dxa"/>
          </w:tcPr>
          <w:p w14:paraId="41E56253">
            <w:pPr>
              <w:spacing w:line="240" w:lineRule="auto"/>
              <w:ind w:firstLine="0" w:firstLineChars="0"/>
              <w:jc w:val="center"/>
              <w:rPr>
                <w:rFonts w:cs="Times New Roman"/>
                <w:sz w:val="21"/>
              </w:rPr>
            </w:pPr>
            <w:r>
              <w:rPr>
                <w:rFonts w:hint="eastAsia" w:cs="Times New Roman"/>
                <w:sz w:val="21"/>
              </w:rPr>
              <w:t>2</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3EDE16E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中山市西区长洲社区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03F0A41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6195FE5B">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bl>
    <w:p w14:paraId="39C1412F">
      <w:pPr>
        <w:ind w:firstLine="360"/>
        <w:jc w:val="center"/>
        <w:rPr>
          <w:rFonts w:cs="Times New Roman"/>
          <w:szCs w:val="28"/>
        </w:rPr>
      </w:pPr>
      <w:r>
        <w:rPr>
          <w:rFonts w:hint="eastAsia" w:cs="Times New Roman"/>
          <w:sz w:val="18"/>
          <w:szCs w:val="18"/>
        </w:rPr>
        <w:t>续</w:t>
      </w:r>
      <w:r>
        <w:rPr>
          <w:rFonts w:cs="Times New Roman"/>
          <w:sz w:val="21"/>
        </w:rPr>
        <w:t xml:space="preserve">表2-6 </w:t>
      </w:r>
      <w:r>
        <w:rPr>
          <w:rFonts w:hint="eastAsia" w:cs="Times New Roman"/>
          <w:sz w:val="21"/>
        </w:rPr>
        <w:t>西区</w:t>
      </w:r>
      <w:r>
        <w:rPr>
          <w:rFonts w:cs="Times New Roman"/>
          <w:sz w:val="21"/>
        </w:rPr>
        <w:t>2017年</w:t>
      </w:r>
      <w:r>
        <w:rPr>
          <w:rFonts w:hint="eastAsia" w:cs="Times New Roman"/>
          <w:sz w:val="21"/>
        </w:rPr>
        <w:t>以来节水型载体建设情况</w:t>
      </w:r>
    </w:p>
    <w:tbl>
      <w:tblPr>
        <w:tblStyle w:val="26"/>
        <w:tblW w:w="9152"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17"/>
        <w:gridCol w:w="708"/>
        <w:gridCol w:w="2846"/>
        <w:gridCol w:w="3419"/>
        <w:gridCol w:w="1362"/>
      </w:tblGrid>
      <w:tr w14:paraId="54838A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37" w:hRule="atLeast"/>
          <w:jc w:val="center"/>
        </w:trPr>
        <w:tc>
          <w:tcPr>
            <w:tcW w:w="817" w:type="dxa"/>
          </w:tcPr>
          <w:p w14:paraId="76206503">
            <w:pPr>
              <w:spacing w:line="240" w:lineRule="auto"/>
              <w:ind w:firstLine="0" w:firstLineChars="0"/>
              <w:jc w:val="center"/>
              <w:rPr>
                <w:rFonts w:cs="Times New Roman"/>
                <w:b/>
                <w:bCs/>
                <w:sz w:val="21"/>
              </w:rPr>
            </w:pPr>
            <w:r>
              <w:rPr>
                <w:rFonts w:hint="eastAsia" w:cs="Times New Roman"/>
                <w:b/>
                <w:bCs/>
                <w:sz w:val="21"/>
              </w:rPr>
              <w:t>载体</w:t>
            </w:r>
          </w:p>
        </w:tc>
        <w:tc>
          <w:tcPr>
            <w:tcW w:w="708" w:type="dxa"/>
          </w:tcPr>
          <w:p w14:paraId="1066BBDB">
            <w:pPr>
              <w:spacing w:line="240" w:lineRule="auto"/>
              <w:ind w:firstLine="0" w:firstLineChars="0"/>
              <w:jc w:val="center"/>
              <w:rPr>
                <w:rFonts w:cs="Times New Roman"/>
                <w:b/>
                <w:bCs/>
                <w:sz w:val="21"/>
              </w:rPr>
            </w:pPr>
            <w:r>
              <w:rPr>
                <w:rFonts w:hint="eastAsia" w:cs="Times New Roman"/>
                <w:b/>
                <w:bCs/>
                <w:sz w:val="21"/>
              </w:rPr>
              <w:t>序号</w:t>
            </w:r>
          </w:p>
        </w:tc>
        <w:tc>
          <w:tcPr>
            <w:tcW w:w="2846" w:type="dxa"/>
          </w:tcPr>
          <w:p w14:paraId="462A868B">
            <w:pPr>
              <w:spacing w:line="240" w:lineRule="auto"/>
              <w:ind w:firstLine="0" w:firstLineChars="0"/>
              <w:jc w:val="center"/>
              <w:rPr>
                <w:rFonts w:cs="Times New Roman"/>
                <w:b/>
                <w:bCs/>
                <w:sz w:val="21"/>
              </w:rPr>
            </w:pPr>
            <w:r>
              <w:rPr>
                <w:rFonts w:hint="eastAsia" w:cs="Times New Roman"/>
                <w:b/>
                <w:bCs/>
                <w:sz w:val="21"/>
              </w:rPr>
              <w:t>名称</w:t>
            </w:r>
          </w:p>
        </w:tc>
        <w:tc>
          <w:tcPr>
            <w:tcW w:w="3419" w:type="dxa"/>
          </w:tcPr>
          <w:p w14:paraId="29AE4237">
            <w:pPr>
              <w:spacing w:line="240" w:lineRule="auto"/>
              <w:ind w:firstLine="0" w:firstLineChars="0"/>
              <w:jc w:val="center"/>
              <w:rPr>
                <w:rFonts w:cs="Times New Roman"/>
                <w:b/>
                <w:bCs/>
                <w:sz w:val="21"/>
              </w:rPr>
            </w:pPr>
            <w:r>
              <w:rPr>
                <w:rFonts w:hint="eastAsia" w:cs="Times New Roman"/>
                <w:b/>
                <w:bCs/>
                <w:sz w:val="21"/>
              </w:rPr>
              <w:t>进展</w:t>
            </w:r>
          </w:p>
        </w:tc>
        <w:tc>
          <w:tcPr>
            <w:tcW w:w="1362" w:type="dxa"/>
          </w:tcPr>
          <w:p w14:paraId="3D5D8EC0">
            <w:pPr>
              <w:spacing w:line="240" w:lineRule="auto"/>
              <w:ind w:firstLine="0" w:firstLineChars="0"/>
              <w:jc w:val="center"/>
              <w:rPr>
                <w:rFonts w:cs="Times New Roman"/>
                <w:b/>
                <w:bCs/>
                <w:sz w:val="21"/>
              </w:rPr>
            </w:pPr>
            <w:r>
              <w:rPr>
                <w:rFonts w:hint="eastAsia" w:cs="Times New Roman"/>
                <w:b/>
                <w:bCs/>
                <w:sz w:val="21"/>
              </w:rPr>
              <w:t>备注</w:t>
            </w:r>
          </w:p>
        </w:tc>
      </w:tr>
      <w:tr w14:paraId="3CE4C0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566591B0">
            <w:pPr>
              <w:spacing w:line="240" w:lineRule="auto"/>
              <w:ind w:firstLine="0" w:firstLineChars="0"/>
              <w:jc w:val="center"/>
              <w:rPr>
                <w:rFonts w:cs="Times New Roman"/>
                <w:b/>
                <w:bCs/>
                <w:sz w:val="21"/>
              </w:rPr>
            </w:pPr>
          </w:p>
          <w:p w14:paraId="467AE4A3">
            <w:pPr>
              <w:spacing w:line="240" w:lineRule="auto"/>
              <w:ind w:firstLine="0" w:firstLineChars="0"/>
              <w:jc w:val="center"/>
              <w:rPr>
                <w:rFonts w:cs="Times New Roman"/>
                <w:b/>
                <w:bCs/>
                <w:sz w:val="21"/>
              </w:rPr>
            </w:pPr>
          </w:p>
          <w:p w14:paraId="235410F6">
            <w:pPr>
              <w:spacing w:line="240" w:lineRule="auto"/>
              <w:ind w:firstLine="0" w:firstLineChars="0"/>
              <w:jc w:val="center"/>
              <w:rPr>
                <w:rFonts w:cs="Times New Roman"/>
                <w:b/>
                <w:bCs/>
                <w:sz w:val="21"/>
              </w:rPr>
            </w:pPr>
            <w:r>
              <w:rPr>
                <w:rFonts w:hint="eastAsia" w:cs="Times New Roman"/>
                <w:b/>
                <w:bCs/>
                <w:sz w:val="21"/>
              </w:rPr>
              <w:t>节</w:t>
            </w:r>
          </w:p>
          <w:p w14:paraId="69C622C5">
            <w:pPr>
              <w:spacing w:line="240" w:lineRule="auto"/>
              <w:ind w:firstLine="0" w:firstLineChars="0"/>
              <w:jc w:val="center"/>
              <w:rPr>
                <w:rFonts w:cs="Times New Roman"/>
                <w:b/>
                <w:bCs/>
                <w:sz w:val="21"/>
              </w:rPr>
            </w:pPr>
            <w:r>
              <w:rPr>
                <w:rFonts w:hint="eastAsia" w:cs="Times New Roman"/>
                <w:b/>
                <w:bCs/>
                <w:sz w:val="21"/>
              </w:rPr>
              <w:t>水</w:t>
            </w:r>
          </w:p>
          <w:p w14:paraId="22951640">
            <w:pPr>
              <w:spacing w:line="240" w:lineRule="auto"/>
              <w:ind w:firstLine="0" w:firstLineChars="0"/>
              <w:jc w:val="center"/>
              <w:rPr>
                <w:rFonts w:cs="Times New Roman"/>
                <w:b/>
                <w:bCs/>
                <w:sz w:val="21"/>
              </w:rPr>
            </w:pPr>
            <w:r>
              <w:rPr>
                <w:rFonts w:hint="eastAsia" w:cs="Times New Roman"/>
                <w:b/>
                <w:bCs/>
                <w:sz w:val="21"/>
              </w:rPr>
              <w:t>型</w:t>
            </w:r>
          </w:p>
          <w:p w14:paraId="068E9405">
            <w:pPr>
              <w:spacing w:line="240" w:lineRule="auto"/>
              <w:ind w:firstLine="0" w:firstLineChars="0"/>
              <w:jc w:val="center"/>
              <w:rPr>
                <w:rFonts w:cs="Times New Roman"/>
                <w:b/>
                <w:bCs/>
                <w:sz w:val="21"/>
              </w:rPr>
            </w:pPr>
            <w:r>
              <w:rPr>
                <w:rFonts w:hint="eastAsia" w:cs="Times New Roman"/>
                <w:b/>
                <w:bCs/>
                <w:sz w:val="21"/>
              </w:rPr>
              <w:t>公</w:t>
            </w:r>
          </w:p>
          <w:p w14:paraId="216FFAC8">
            <w:pPr>
              <w:spacing w:line="240" w:lineRule="auto"/>
              <w:ind w:firstLine="0" w:firstLineChars="0"/>
              <w:jc w:val="center"/>
              <w:rPr>
                <w:rFonts w:cs="Times New Roman"/>
                <w:b/>
                <w:bCs/>
                <w:sz w:val="21"/>
              </w:rPr>
            </w:pPr>
            <w:r>
              <w:rPr>
                <w:rFonts w:hint="eastAsia" w:cs="Times New Roman"/>
                <w:b/>
                <w:bCs/>
                <w:sz w:val="21"/>
              </w:rPr>
              <w:t>共</w:t>
            </w:r>
          </w:p>
          <w:p w14:paraId="1BAEB0C5">
            <w:pPr>
              <w:spacing w:line="240" w:lineRule="auto"/>
              <w:ind w:firstLine="0" w:firstLineChars="0"/>
              <w:jc w:val="center"/>
              <w:rPr>
                <w:rFonts w:cs="Times New Roman"/>
                <w:b/>
                <w:bCs/>
                <w:sz w:val="21"/>
              </w:rPr>
            </w:pPr>
            <w:r>
              <w:rPr>
                <w:rFonts w:hint="eastAsia" w:cs="Times New Roman"/>
                <w:b/>
                <w:bCs/>
                <w:sz w:val="21"/>
              </w:rPr>
              <w:t>机</w:t>
            </w:r>
          </w:p>
          <w:p w14:paraId="60FBC414">
            <w:pPr>
              <w:spacing w:line="240" w:lineRule="auto"/>
              <w:ind w:firstLine="197" w:firstLineChars="94"/>
              <w:rPr>
                <w:rFonts w:cs="Times New Roman"/>
                <w:b/>
                <w:bCs/>
                <w:sz w:val="21"/>
              </w:rPr>
            </w:pPr>
            <w:r>
              <w:rPr>
                <w:rFonts w:hint="eastAsia" w:cs="Times New Roman"/>
                <w:b/>
                <w:bCs/>
                <w:sz w:val="21"/>
              </w:rPr>
              <w:t>构</w:t>
            </w:r>
          </w:p>
        </w:tc>
        <w:tc>
          <w:tcPr>
            <w:tcW w:w="708" w:type="dxa"/>
          </w:tcPr>
          <w:p w14:paraId="590C94EB">
            <w:pPr>
              <w:spacing w:line="240" w:lineRule="auto"/>
              <w:ind w:firstLine="0" w:firstLineChars="0"/>
              <w:jc w:val="center"/>
              <w:rPr>
                <w:rFonts w:cs="Times New Roman"/>
                <w:sz w:val="21"/>
              </w:rPr>
            </w:pPr>
            <w:r>
              <w:rPr>
                <w:rFonts w:hint="eastAsia" w:cs="Times New Roman"/>
                <w:sz w:val="21"/>
              </w:rPr>
              <w:t>2</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4FF8997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中山市西区后山社区</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45E7043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1DCA6971">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F617D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6239ADD">
            <w:pPr>
              <w:spacing w:line="240" w:lineRule="auto"/>
              <w:ind w:firstLine="422"/>
              <w:jc w:val="center"/>
              <w:rPr>
                <w:rFonts w:cs="Times New Roman"/>
                <w:b/>
                <w:bCs/>
                <w:sz w:val="21"/>
              </w:rPr>
            </w:pPr>
          </w:p>
        </w:tc>
        <w:tc>
          <w:tcPr>
            <w:tcW w:w="708" w:type="dxa"/>
          </w:tcPr>
          <w:p w14:paraId="44C13425">
            <w:pPr>
              <w:spacing w:line="240" w:lineRule="auto"/>
              <w:ind w:firstLine="0" w:firstLineChars="0"/>
              <w:jc w:val="center"/>
              <w:rPr>
                <w:rFonts w:cs="Times New Roman"/>
                <w:sz w:val="21"/>
              </w:rPr>
            </w:pPr>
            <w:r>
              <w:rPr>
                <w:rFonts w:hint="eastAsia" w:cs="Times New Roman"/>
                <w:sz w:val="21"/>
              </w:rPr>
              <w:t>2</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1AC745ED">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中山市西区西苑社区</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2D6CB106">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07559BAF">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4E6A747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48F6735">
            <w:pPr>
              <w:spacing w:line="240" w:lineRule="auto"/>
              <w:ind w:firstLine="422"/>
              <w:jc w:val="center"/>
              <w:rPr>
                <w:rFonts w:cs="Times New Roman"/>
                <w:b/>
                <w:bCs/>
                <w:sz w:val="21"/>
              </w:rPr>
            </w:pPr>
          </w:p>
        </w:tc>
        <w:tc>
          <w:tcPr>
            <w:tcW w:w="708" w:type="dxa"/>
          </w:tcPr>
          <w:p w14:paraId="08037B2A">
            <w:pPr>
              <w:spacing w:line="240" w:lineRule="auto"/>
              <w:ind w:firstLine="0" w:firstLineChars="0"/>
              <w:jc w:val="center"/>
              <w:rPr>
                <w:rFonts w:cs="Times New Roman"/>
                <w:sz w:val="21"/>
              </w:rPr>
            </w:pPr>
            <w:r>
              <w:rPr>
                <w:rFonts w:hint="eastAsia" w:cs="Times New Roman"/>
                <w:sz w:val="21"/>
              </w:rPr>
              <w:t>2</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7667B35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中山市公安局西区分局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1AE0F653">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7CDBC5BB">
            <w:pPr>
              <w:spacing w:line="240" w:lineRule="auto"/>
              <w:ind w:firstLine="0" w:firstLineChars="0"/>
              <w:jc w:val="center"/>
              <w:rPr>
                <w:rFonts w:cs="Times New Roman"/>
                <w:sz w:val="21"/>
              </w:rPr>
            </w:pPr>
            <w:r>
              <w:rPr>
                <w:rFonts w:hint="eastAsia" w:cs="Times New Roman"/>
                <w:sz w:val="21"/>
              </w:rPr>
              <w:t>正在开展</w:t>
            </w:r>
          </w:p>
        </w:tc>
      </w:tr>
      <w:tr w14:paraId="66FD167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CDA3AA8">
            <w:pPr>
              <w:spacing w:line="240" w:lineRule="auto"/>
              <w:ind w:firstLine="422"/>
              <w:jc w:val="center"/>
              <w:rPr>
                <w:rFonts w:cs="Times New Roman"/>
                <w:b/>
                <w:bCs/>
                <w:sz w:val="21"/>
              </w:rPr>
            </w:pPr>
          </w:p>
        </w:tc>
        <w:tc>
          <w:tcPr>
            <w:tcW w:w="708" w:type="dxa"/>
          </w:tcPr>
          <w:p w14:paraId="55EBFA13">
            <w:pPr>
              <w:spacing w:line="240" w:lineRule="auto"/>
              <w:ind w:firstLine="0" w:firstLineChars="0"/>
              <w:jc w:val="center"/>
              <w:rPr>
                <w:rFonts w:cs="Times New Roman"/>
                <w:sz w:val="21"/>
              </w:rPr>
            </w:pPr>
            <w:r>
              <w:rPr>
                <w:rFonts w:hint="eastAsia" w:cs="Times New Roman"/>
                <w:sz w:val="21"/>
              </w:rPr>
              <w:t>2</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269FF90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中山市西区烟洲派出所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41A808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3559C62E">
            <w:pPr>
              <w:spacing w:line="240" w:lineRule="auto"/>
              <w:ind w:firstLine="0" w:firstLineChars="0"/>
              <w:jc w:val="center"/>
              <w:rPr>
                <w:rFonts w:cs="Times New Roman"/>
                <w:sz w:val="21"/>
              </w:rPr>
            </w:pPr>
            <w:r>
              <w:rPr>
                <w:rFonts w:hint="eastAsia" w:cs="Times New Roman"/>
                <w:sz w:val="21"/>
              </w:rPr>
              <w:t>正在开展</w:t>
            </w:r>
          </w:p>
        </w:tc>
      </w:tr>
      <w:tr w14:paraId="795523F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DC21CD4">
            <w:pPr>
              <w:spacing w:line="240" w:lineRule="auto"/>
              <w:ind w:firstLine="422"/>
              <w:jc w:val="center"/>
              <w:rPr>
                <w:rFonts w:cs="Times New Roman"/>
                <w:b/>
                <w:bCs/>
                <w:sz w:val="21"/>
              </w:rPr>
            </w:pPr>
          </w:p>
        </w:tc>
        <w:tc>
          <w:tcPr>
            <w:tcW w:w="708" w:type="dxa"/>
          </w:tcPr>
          <w:p w14:paraId="74D4E31A">
            <w:pPr>
              <w:spacing w:line="240" w:lineRule="auto"/>
              <w:ind w:firstLine="0" w:firstLineChars="0"/>
              <w:jc w:val="center"/>
              <w:rPr>
                <w:rFonts w:cs="Times New Roman"/>
                <w:sz w:val="21"/>
              </w:rPr>
            </w:pPr>
            <w:r>
              <w:rPr>
                <w:rFonts w:hint="eastAsia" w:cs="Times New Roman"/>
                <w:sz w:val="21"/>
              </w:rPr>
              <w:t>2</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1220FE2B">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中山市西区沙朗派出所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AD4EF10">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25B37B62">
            <w:pPr>
              <w:spacing w:line="240" w:lineRule="auto"/>
              <w:ind w:firstLine="0" w:firstLineChars="0"/>
              <w:jc w:val="center"/>
              <w:rPr>
                <w:rFonts w:cs="Times New Roman"/>
                <w:sz w:val="21"/>
              </w:rPr>
            </w:pPr>
            <w:r>
              <w:rPr>
                <w:rFonts w:hint="eastAsia" w:cs="Times New Roman"/>
                <w:sz w:val="21"/>
              </w:rPr>
              <w:t>正在开展</w:t>
            </w:r>
          </w:p>
        </w:tc>
      </w:tr>
      <w:tr w14:paraId="445059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FDE946D">
            <w:pPr>
              <w:spacing w:line="240" w:lineRule="auto"/>
              <w:ind w:firstLine="422"/>
              <w:jc w:val="center"/>
              <w:rPr>
                <w:rFonts w:cs="Times New Roman"/>
                <w:b/>
                <w:bCs/>
                <w:sz w:val="21"/>
              </w:rPr>
            </w:pPr>
          </w:p>
        </w:tc>
        <w:tc>
          <w:tcPr>
            <w:tcW w:w="708" w:type="dxa"/>
          </w:tcPr>
          <w:p w14:paraId="54CE5422">
            <w:pPr>
              <w:spacing w:line="240" w:lineRule="auto"/>
              <w:ind w:firstLine="0" w:firstLineChars="0"/>
              <w:jc w:val="center"/>
              <w:rPr>
                <w:rFonts w:cs="Times New Roman"/>
                <w:sz w:val="21"/>
              </w:rPr>
            </w:pPr>
            <w:r>
              <w:rPr>
                <w:rFonts w:hint="eastAsia" w:cs="Times New Roman"/>
                <w:sz w:val="21"/>
              </w:rPr>
              <w:t>2</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6865D18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中山市西区昌平派出所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2F45D798">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624F1653">
            <w:pPr>
              <w:spacing w:line="240" w:lineRule="auto"/>
              <w:ind w:firstLine="0" w:firstLineChars="0"/>
              <w:jc w:val="center"/>
              <w:rPr>
                <w:rFonts w:cs="Times New Roman"/>
                <w:sz w:val="21"/>
              </w:rPr>
            </w:pPr>
            <w:r>
              <w:rPr>
                <w:rFonts w:hint="eastAsia" w:cs="Times New Roman"/>
                <w:sz w:val="21"/>
              </w:rPr>
              <w:t>正在开展</w:t>
            </w:r>
          </w:p>
        </w:tc>
      </w:tr>
      <w:tr w14:paraId="59E0758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472D176">
            <w:pPr>
              <w:spacing w:line="240" w:lineRule="auto"/>
              <w:ind w:firstLine="422"/>
              <w:jc w:val="center"/>
              <w:rPr>
                <w:rFonts w:cs="Times New Roman"/>
                <w:b/>
                <w:bCs/>
                <w:sz w:val="21"/>
              </w:rPr>
            </w:pPr>
          </w:p>
        </w:tc>
        <w:tc>
          <w:tcPr>
            <w:tcW w:w="708" w:type="dxa"/>
          </w:tcPr>
          <w:p w14:paraId="3ED751AB">
            <w:pPr>
              <w:spacing w:line="240" w:lineRule="auto"/>
              <w:ind w:firstLine="0" w:firstLineChars="0"/>
              <w:jc w:val="center"/>
              <w:rPr>
                <w:rFonts w:cs="Times New Roman"/>
                <w:sz w:val="21"/>
              </w:rPr>
            </w:pPr>
            <w:r>
              <w:rPr>
                <w:rFonts w:hint="eastAsia" w:cs="Times New Roman"/>
                <w:sz w:val="21"/>
              </w:rPr>
              <w:t>2</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265AAEF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中山市西区西苑派出所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014711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130C9648">
            <w:pPr>
              <w:spacing w:line="240" w:lineRule="auto"/>
              <w:ind w:firstLine="0" w:firstLineChars="0"/>
              <w:jc w:val="center"/>
              <w:rPr>
                <w:rFonts w:cs="Times New Roman"/>
                <w:sz w:val="21"/>
              </w:rPr>
            </w:pPr>
            <w:r>
              <w:rPr>
                <w:rFonts w:hint="eastAsia" w:cs="Times New Roman"/>
                <w:sz w:val="21"/>
              </w:rPr>
              <w:t>正在开展</w:t>
            </w:r>
          </w:p>
        </w:tc>
      </w:tr>
      <w:tr w14:paraId="0BB4E7B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36C52A3">
            <w:pPr>
              <w:spacing w:line="240" w:lineRule="auto"/>
              <w:ind w:firstLine="0" w:firstLineChars="0"/>
              <w:jc w:val="center"/>
              <w:rPr>
                <w:rFonts w:cs="Times New Roman"/>
                <w:b/>
                <w:bCs/>
                <w:sz w:val="21"/>
              </w:rPr>
            </w:pPr>
          </w:p>
        </w:tc>
        <w:tc>
          <w:tcPr>
            <w:tcW w:w="708" w:type="dxa"/>
          </w:tcPr>
          <w:p w14:paraId="4900622C">
            <w:pPr>
              <w:spacing w:line="240" w:lineRule="auto"/>
              <w:ind w:firstLine="0" w:firstLineChars="0"/>
              <w:jc w:val="center"/>
              <w:rPr>
                <w:rFonts w:cs="Times New Roman"/>
                <w:sz w:val="21"/>
              </w:rPr>
            </w:pPr>
            <w:r>
              <w:rPr>
                <w:rFonts w:hint="eastAsia" w:cs="Times New Roman"/>
                <w:sz w:val="21"/>
              </w:rPr>
              <w:t>2</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0B287DB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中山市西区医院</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FED370E">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5CAAA424">
            <w:pPr>
              <w:spacing w:line="240" w:lineRule="auto"/>
              <w:ind w:firstLine="0" w:firstLineChars="0"/>
              <w:jc w:val="center"/>
              <w:rPr>
                <w:rFonts w:cs="Times New Roman"/>
                <w:sz w:val="21"/>
              </w:rPr>
            </w:pPr>
            <w:r>
              <w:rPr>
                <w:rFonts w:hint="eastAsia" w:cs="Times New Roman"/>
                <w:sz w:val="21"/>
              </w:rPr>
              <w:t>正在开展</w:t>
            </w:r>
          </w:p>
        </w:tc>
      </w:tr>
      <w:tr w14:paraId="74EF110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7884008">
            <w:pPr>
              <w:spacing w:line="240" w:lineRule="auto"/>
              <w:ind w:firstLine="0" w:firstLineChars="0"/>
              <w:rPr>
                <w:rFonts w:cs="Times New Roman"/>
                <w:b/>
                <w:bCs/>
                <w:sz w:val="21"/>
              </w:rPr>
            </w:pPr>
          </w:p>
        </w:tc>
        <w:tc>
          <w:tcPr>
            <w:tcW w:w="708" w:type="dxa"/>
          </w:tcPr>
          <w:p w14:paraId="3C8B18F7">
            <w:pPr>
              <w:spacing w:line="240" w:lineRule="auto"/>
              <w:ind w:firstLine="0" w:firstLineChars="0"/>
              <w:jc w:val="center"/>
              <w:rPr>
                <w:rFonts w:cs="Times New Roman"/>
                <w:sz w:val="21"/>
              </w:rPr>
            </w:pPr>
            <w:r>
              <w:rPr>
                <w:rFonts w:hint="eastAsia" w:cs="Times New Roman"/>
                <w:sz w:val="21"/>
              </w:rPr>
              <w:t>3</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6201C24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中山市公安局交通警察支队城区大队西区中队</w:t>
            </w:r>
          </w:p>
        </w:tc>
        <w:tc>
          <w:tcPr>
            <w:tcW w:w="3419" w:type="dxa"/>
            <w:tcBorders>
              <w:top w:val="nil"/>
              <w:left w:val="single" w:color="auto" w:sz="4" w:space="0"/>
              <w:bottom w:val="single" w:color="auto" w:sz="4" w:space="0"/>
              <w:right w:val="single" w:color="auto" w:sz="4" w:space="0"/>
            </w:tcBorders>
            <w:shd w:val="clear" w:color="auto" w:fill="auto"/>
            <w:vAlign w:val="center"/>
          </w:tcPr>
          <w:p w14:paraId="73CFC36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专家评审通过，追加预算</w:t>
            </w:r>
          </w:p>
        </w:tc>
        <w:tc>
          <w:tcPr>
            <w:tcW w:w="1362" w:type="dxa"/>
          </w:tcPr>
          <w:p w14:paraId="1AAE9B7A">
            <w:pPr>
              <w:spacing w:line="240" w:lineRule="auto"/>
              <w:ind w:firstLine="0" w:firstLineChars="0"/>
              <w:jc w:val="center"/>
              <w:rPr>
                <w:rFonts w:cs="Times New Roman"/>
                <w:sz w:val="21"/>
              </w:rPr>
            </w:pPr>
            <w:r>
              <w:rPr>
                <w:rFonts w:hint="eastAsia" w:cs="Times New Roman"/>
                <w:sz w:val="21"/>
              </w:rPr>
              <w:t>正在开展</w:t>
            </w:r>
          </w:p>
        </w:tc>
      </w:tr>
      <w:tr w14:paraId="1CBB36B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98AD2AA">
            <w:pPr>
              <w:spacing w:line="240" w:lineRule="auto"/>
              <w:ind w:firstLine="0" w:firstLineChars="0"/>
              <w:rPr>
                <w:rFonts w:cs="Times New Roman"/>
                <w:b/>
                <w:bCs/>
                <w:sz w:val="21"/>
              </w:rPr>
            </w:pPr>
          </w:p>
        </w:tc>
        <w:tc>
          <w:tcPr>
            <w:tcW w:w="708" w:type="dxa"/>
          </w:tcPr>
          <w:p w14:paraId="77055A7A">
            <w:pPr>
              <w:spacing w:line="240" w:lineRule="auto"/>
              <w:ind w:firstLine="0" w:firstLineChars="0"/>
              <w:jc w:val="center"/>
              <w:rPr>
                <w:rFonts w:cs="Times New Roman"/>
                <w:sz w:val="21"/>
              </w:rPr>
            </w:pPr>
            <w:r>
              <w:rPr>
                <w:rFonts w:hint="eastAsia" w:cs="Times New Roman"/>
                <w:sz w:val="21"/>
              </w:rPr>
              <w:t>3</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7E145C6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中山市西区综合行政执法局</w:t>
            </w:r>
          </w:p>
        </w:tc>
        <w:tc>
          <w:tcPr>
            <w:tcW w:w="3419" w:type="dxa"/>
            <w:tcBorders>
              <w:top w:val="nil"/>
              <w:left w:val="single" w:color="auto" w:sz="4" w:space="0"/>
              <w:bottom w:val="single" w:color="auto" w:sz="4" w:space="0"/>
              <w:right w:val="single" w:color="auto" w:sz="4" w:space="0"/>
            </w:tcBorders>
            <w:shd w:val="clear" w:color="auto" w:fill="auto"/>
            <w:vAlign w:val="center"/>
          </w:tcPr>
          <w:p w14:paraId="76A59B40">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开展水平衡测试</w:t>
            </w:r>
          </w:p>
        </w:tc>
        <w:tc>
          <w:tcPr>
            <w:tcW w:w="1362" w:type="dxa"/>
          </w:tcPr>
          <w:p w14:paraId="6DB558B7">
            <w:pPr>
              <w:spacing w:line="240" w:lineRule="auto"/>
              <w:ind w:firstLine="0" w:firstLineChars="0"/>
              <w:jc w:val="center"/>
              <w:rPr>
                <w:rFonts w:cs="Times New Roman"/>
                <w:sz w:val="21"/>
              </w:rPr>
            </w:pPr>
            <w:r>
              <w:rPr>
                <w:rFonts w:hint="eastAsia" w:cs="Times New Roman"/>
                <w:sz w:val="21"/>
              </w:rPr>
              <w:t>正在开展</w:t>
            </w:r>
          </w:p>
        </w:tc>
      </w:tr>
      <w:tr w14:paraId="391520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A8EA9DA">
            <w:pPr>
              <w:spacing w:line="240" w:lineRule="auto"/>
              <w:ind w:firstLine="0" w:firstLineChars="0"/>
              <w:rPr>
                <w:rFonts w:cs="Times New Roman"/>
                <w:b/>
                <w:bCs/>
                <w:sz w:val="21"/>
              </w:rPr>
            </w:pPr>
          </w:p>
        </w:tc>
        <w:tc>
          <w:tcPr>
            <w:tcW w:w="708" w:type="dxa"/>
          </w:tcPr>
          <w:p w14:paraId="00A9EB62">
            <w:pPr>
              <w:spacing w:line="240" w:lineRule="auto"/>
              <w:ind w:firstLine="0" w:firstLineChars="0"/>
              <w:jc w:val="center"/>
              <w:rPr>
                <w:rFonts w:cs="Times New Roman"/>
                <w:sz w:val="21"/>
              </w:rPr>
            </w:pPr>
            <w:r>
              <w:rPr>
                <w:rFonts w:hint="eastAsia" w:cs="Times New Roman"/>
                <w:sz w:val="21"/>
              </w:rPr>
              <w:t>3</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34B42F2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中山市西区供电分局</w:t>
            </w:r>
          </w:p>
        </w:tc>
        <w:tc>
          <w:tcPr>
            <w:tcW w:w="3419" w:type="dxa"/>
            <w:tcBorders>
              <w:top w:val="nil"/>
              <w:left w:val="single" w:color="auto" w:sz="4" w:space="0"/>
              <w:bottom w:val="single" w:color="auto" w:sz="4" w:space="0"/>
              <w:right w:val="single" w:color="auto" w:sz="4" w:space="0"/>
            </w:tcBorders>
            <w:shd w:val="clear" w:color="auto" w:fill="auto"/>
            <w:vAlign w:val="center"/>
          </w:tcPr>
          <w:p w14:paraId="5184CD5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未开展</w:t>
            </w:r>
          </w:p>
        </w:tc>
        <w:tc>
          <w:tcPr>
            <w:tcW w:w="1362" w:type="dxa"/>
          </w:tcPr>
          <w:p w14:paraId="3E07C30C">
            <w:pPr>
              <w:spacing w:line="240" w:lineRule="auto"/>
              <w:ind w:firstLine="0" w:firstLineChars="0"/>
              <w:jc w:val="center"/>
              <w:rPr>
                <w:rFonts w:cs="Times New Roman"/>
                <w:sz w:val="21"/>
              </w:rPr>
            </w:pPr>
            <w:r>
              <w:rPr>
                <w:rFonts w:hint="eastAsia" w:cs="Times New Roman"/>
                <w:sz w:val="21"/>
              </w:rPr>
              <w:t>——</w:t>
            </w:r>
          </w:p>
        </w:tc>
      </w:tr>
      <w:tr w14:paraId="42B0A6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24FAF501">
            <w:pPr>
              <w:spacing w:line="240" w:lineRule="auto"/>
              <w:ind w:firstLine="0" w:firstLineChars="0"/>
              <w:rPr>
                <w:rFonts w:cs="Times New Roman"/>
                <w:b/>
                <w:bCs/>
                <w:sz w:val="21"/>
              </w:rPr>
            </w:pPr>
          </w:p>
          <w:p w14:paraId="7B0847F1">
            <w:pPr>
              <w:spacing w:line="240" w:lineRule="auto"/>
              <w:ind w:firstLine="0" w:firstLineChars="0"/>
              <w:rPr>
                <w:rFonts w:cs="Times New Roman"/>
                <w:b/>
                <w:bCs/>
                <w:sz w:val="21"/>
              </w:rPr>
            </w:pPr>
          </w:p>
          <w:p w14:paraId="01A99889">
            <w:pPr>
              <w:spacing w:line="240" w:lineRule="auto"/>
              <w:ind w:firstLine="0" w:firstLineChars="0"/>
              <w:rPr>
                <w:rFonts w:cs="Times New Roman"/>
                <w:b/>
                <w:bCs/>
                <w:sz w:val="21"/>
              </w:rPr>
            </w:pPr>
          </w:p>
          <w:p w14:paraId="63964634">
            <w:pPr>
              <w:spacing w:line="240" w:lineRule="auto"/>
              <w:ind w:firstLine="0" w:firstLineChars="0"/>
              <w:jc w:val="center"/>
              <w:rPr>
                <w:rFonts w:cs="Times New Roman"/>
                <w:b/>
                <w:bCs/>
                <w:sz w:val="21"/>
              </w:rPr>
            </w:pPr>
          </w:p>
          <w:p w14:paraId="617ED64F">
            <w:pPr>
              <w:spacing w:line="240" w:lineRule="auto"/>
              <w:ind w:firstLine="0" w:firstLineChars="0"/>
              <w:jc w:val="center"/>
              <w:rPr>
                <w:rFonts w:cs="Times New Roman"/>
                <w:b/>
                <w:bCs/>
                <w:sz w:val="21"/>
              </w:rPr>
            </w:pPr>
            <w:r>
              <w:rPr>
                <w:rFonts w:hint="eastAsia" w:cs="Times New Roman"/>
                <w:b/>
                <w:bCs/>
                <w:sz w:val="21"/>
              </w:rPr>
              <w:t>节</w:t>
            </w:r>
          </w:p>
          <w:p w14:paraId="03625023">
            <w:pPr>
              <w:spacing w:line="240" w:lineRule="auto"/>
              <w:ind w:firstLine="0" w:firstLineChars="0"/>
              <w:jc w:val="center"/>
              <w:rPr>
                <w:rFonts w:cs="Times New Roman"/>
                <w:b/>
                <w:bCs/>
                <w:sz w:val="21"/>
              </w:rPr>
            </w:pPr>
            <w:r>
              <w:rPr>
                <w:rFonts w:hint="eastAsia" w:cs="Times New Roman"/>
                <w:b/>
                <w:bCs/>
                <w:sz w:val="21"/>
              </w:rPr>
              <w:t>水</w:t>
            </w:r>
          </w:p>
          <w:p w14:paraId="5734AC73">
            <w:pPr>
              <w:spacing w:line="240" w:lineRule="auto"/>
              <w:ind w:firstLine="0" w:firstLineChars="0"/>
              <w:jc w:val="center"/>
              <w:rPr>
                <w:rFonts w:cs="Times New Roman"/>
                <w:b/>
                <w:bCs/>
                <w:sz w:val="21"/>
              </w:rPr>
            </w:pPr>
            <w:r>
              <w:rPr>
                <w:rFonts w:hint="eastAsia" w:cs="Times New Roman"/>
                <w:b/>
                <w:bCs/>
                <w:sz w:val="21"/>
              </w:rPr>
              <w:t>型</w:t>
            </w:r>
          </w:p>
          <w:p w14:paraId="0282294A">
            <w:pPr>
              <w:spacing w:line="240" w:lineRule="auto"/>
              <w:ind w:firstLine="0" w:firstLineChars="0"/>
              <w:jc w:val="center"/>
              <w:rPr>
                <w:rFonts w:cs="Times New Roman"/>
                <w:b/>
                <w:bCs/>
                <w:sz w:val="21"/>
              </w:rPr>
            </w:pPr>
            <w:r>
              <w:rPr>
                <w:rFonts w:hint="eastAsia" w:cs="Times New Roman"/>
                <w:b/>
                <w:bCs/>
                <w:sz w:val="21"/>
              </w:rPr>
              <w:t>学</w:t>
            </w:r>
          </w:p>
          <w:p w14:paraId="6F355760">
            <w:pPr>
              <w:spacing w:line="240" w:lineRule="auto"/>
              <w:ind w:firstLine="0" w:firstLineChars="0"/>
              <w:jc w:val="center"/>
              <w:rPr>
                <w:rFonts w:cs="Times New Roman"/>
                <w:b/>
                <w:bCs/>
                <w:sz w:val="21"/>
              </w:rPr>
            </w:pPr>
            <w:r>
              <w:rPr>
                <w:rFonts w:hint="eastAsia" w:cs="Times New Roman"/>
                <w:b/>
                <w:bCs/>
                <w:sz w:val="21"/>
              </w:rPr>
              <w:t>校</w:t>
            </w:r>
          </w:p>
        </w:tc>
        <w:tc>
          <w:tcPr>
            <w:tcW w:w="708" w:type="dxa"/>
          </w:tcPr>
          <w:p w14:paraId="076C0DFA">
            <w:pPr>
              <w:spacing w:line="240" w:lineRule="auto"/>
              <w:ind w:firstLine="0" w:firstLineChars="0"/>
              <w:jc w:val="center"/>
              <w:rPr>
                <w:rFonts w:cs="Times New Roman"/>
                <w:sz w:val="21"/>
              </w:rPr>
            </w:pPr>
            <w:r>
              <w:rPr>
                <w:rFonts w:hint="eastAsia" w:cs="Times New Roman"/>
                <w:sz w:val="21"/>
              </w:rPr>
              <w:t>3</w:t>
            </w:r>
            <w:r>
              <w:rPr>
                <w:rFonts w:cs="Times New Roman"/>
                <w:sz w:val="21"/>
              </w:rPr>
              <w:t>3</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299BB2E5">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中山市西区烟洲小学</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B1AA80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1B944151">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3DF1BED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B955629">
            <w:pPr>
              <w:spacing w:line="240" w:lineRule="auto"/>
              <w:ind w:firstLine="0" w:firstLineChars="0"/>
              <w:rPr>
                <w:rFonts w:cs="Times New Roman"/>
                <w:b/>
                <w:bCs/>
                <w:sz w:val="21"/>
              </w:rPr>
            </w:pPr>
          </w:p>
        </w:tc>
        <w:tc>
          <w:tcPr>
            <w:tcW w:w="708" w:type="dxa"/>
          </w:tcPr>
          <w:p w14:paraId="041AB673">
            <w:pPr>
              <w:spacing w:line="240" w:lineRule="auto"/>
              <w:ind w:firstLine="0" w:firstLineChars="0"/>
              <w:jc w:val="center"/>
              <w:rPr>
                <w:rFonts w:cs="Times New Roman"/>
                <w:sz w:val="21"/>
              </w:rPr>
            </w:pPr>
            <w:r>
              <w:rPr>
                <w:rFonts w:hint="eastAsia" w:cs="Times New Roman"/>
                <w:sz w:val="21"/>
              </w:rPr>
              <w:t>3</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723A6F4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中山市实验小学蓝波湾学校</w:t>
            </w:r>
          </w:p>
        </w:tc>
        <w:tc>
          <w:tcPr>
            <w:tcW w:w="3419" w:type="dxa"/>
            <w:tcBorders>
              <w:top w:val="nil"/>
              <w:left w:val="single" w:color="auto" w:sz="4" w:space="0"/>
              <w:bottom w:val="single" w:color="auto" w:sz="4" w:space="0"/>
              <w:right w:val="single" w:color="auto" w:sz="4" w:space="0"/>
            </w:tcBorders>
            <w:shd w:val="clear" w:color="auto" w:fill="auto"/>
            <w:vAlign w:val="center"/>
          </w:tcPr>
          <w:p w14:paraId="28094D8E">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31CA2048">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E9A4D6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600318F">
            <w:pPr>
              <w:spacing w:line="240" w:lineRule="auto"/>
              <w:ind w:firstLine="0" w:firstLineChars="0"/>
              <w:rPr>
                <w:rFonts w:cs="Times New Roman"/>
                <w:b/>
                <w:bCs/>
                <w:sz w:val="21"/>
              </w:rPr>
            </w:pPr>
          </w:p>
        </w:tc>
        <w:tc>
          <w:tcPr>
            <w:tcW w:w="708" w:type="dxa"/>
          </w:tcPr>
          <w:p w14:paraId="4FD1233F">
            <w:pPr>
              <w:spacing w:line="240" w:lineRule="auto"/>
              <w:ind w:firstLine="0" w:firstLineChars="0"/>
              <w:jc w:val="center"/>
              <w:rPr>
                <w:rFonts w:cs="Times New Roman"/>
                <w:sz w:val="21"/>
              </w:rPr>
            </w:pPr>
            <w:r>
              <w:rPr>
                <w:rFonts w:hint="eastAsia" w:cs="Times New Roman"/>
                <w:sz w:val="21"/>
              </w:rPr>
              <w:t>3</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73832230">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中山市西区沙朗小学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2F673799">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0AC6E951">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34E4DA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9ECE42B">
            <w:pPr>
              <w:spacing w:line="240" w:lineRule="auto"/>
              <w:ind w:firstLine="0" w:firstLineChars="0"/>
              <w:rPr>
                <w:rFonts w:cs="Times New Roman"/>
                <w:b/>
                <w:bCs/>
                <w:sz w:val="21"/>
              </w:rPr>
            </w:pPr>
          </w:p>
        </w:tc>
        <w:tc>
          <w:tcPr>
            <w:tcW w:w="708" w:type="dxa"/>
          </w:tcPr>
          <w:p w14:paraId="71DC8C21">
            <w:pPr>
              <w:spacing w:line="240" w:lineRule="auto"/>
              <w:ind w:firstLine="0" w:firstLineChars="0"/>
              <w:jc w:val="center"/>
              <w:rPr>
                <w:rFonts w:cs="Times New Roman"/>
                <w:sz w:val="21"/>
              </w:rPr>
            </w:pPr>
            <w:r>
              <w:rPr>
                <w:rFonts w:hint="eastAsia" w:cs="Times New Roman"/>
                <w:sz w:val="21"/>
              </w:rPr>
              <w:t>3</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156FBF5F">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中山市新长江学校</w:t>
            </w:r>
          </w:p>
        </w:tc>
        <w:tc>
          <w:tcPr>
            <w:tcW w:w="3419" w:type="dxa"/>
            <w:tcBorders>
              <w:top w:val="nil"/>
              <w:left w:val="single" w:color="auto" w:sz="4" w:space="0"/>
              <w:bottom w:val="single" w:color="auto" w:sz="4" w:space="0"/>
              <w:right w:val="single" w:color="auto" w:sz="4" w:space="0"/>
            </w:tcBorders>
            <w:shd w:val="clear" w:color="auto" w:fill="auto"/>
            <w:vAlign w:val="center"/>
          </w:tcPr>
          <w:p w14:paraId="14B0001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4F958A30">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5A60A73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80DB393">
            <w:pPr>
              <w:spacing w:line="240" w:lineRule="auto"/>
              <w:ind w:firstLine="0" w:firstLineChars="0"/>
              <w:rPr>
                <w:rFonts w:cs="Times New Roman"/>
                <w:b/>
                <w:bCs/>
                <w:sz w:val="21"/>
              </w:rPr>
            </w:pPr>
          </w:p>
        </w:tc>
        <w:tc>
          <w:tcPr>
            <w:tcW w:w="708" w:type="dxa"/>
          </w:tcPr>
          <w:p w14:paraId="103BA0F8">
            <w:pPr>
              <w:spacing w:line="240" w:lineRule="auto"/>
              <w:ind w:firstLine="0" w:firstLineChars="0"/>
              <w:jc w:val="center"/>
              <w:rPr>
                <w:rFonts w:cs="Times New Roman"/>
                <w:sz w:val="21"/>
              </w:rPr>
            </w:pPr>
            <w:r>
              <w:rPr>
                <w:rFonts w:hint="eastAsia" w:cs="Times New Roman"/>
                <w:sz w:val="21"/>
              </w:rPr>
              <w:t>3</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0355BA7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中山市西区中心小学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504EFFB0">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5E30D84B">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CFFA63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0D90CBA">
            <w:pPr>
              <w:spacing w:line="240" w:lineRule="auto"/>
              <w:ind w:firstLine="0" w:firstLineChars="0"/>
              <w:rPr>
                <w:rFonts w:cs="Times New Roman"/>
                <w:b/>
                <w:bCs/>
                <w:sz w:val="21"/>
              </w:rPr>
            </w:pPr>
          </w:p>
        </w:tc>
        <w:tc>
          <w:tcPr>
            <w:tcW w:w="708" w:type="dxa"/>
          </w:tcPr>
          <w:p w14:paraId="746D87B4">
            <w:pPr>
              <w:spacing w:line="240" w:lineRule="auto"/>
              <w:ind w:firstLine="0" w:firstLineChars="0"/>
              <w:jc w:val="center"/>
              <w:rPr>
                <w:rFonts w:cs="Times New Roman"/>
                <w:sz w:val="21"/>
              </w:rPr>
            </w:pPr>
            <w:r>
              <w:rPr>
                <w:rFonts w:hint="eastAsia" w:cs="Times New Roman"/>
                <w:sz w:val="21"/>
              </w:rPr>
              <w:t>3</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095692C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中山市西区初级中学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4217A28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255F703B">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536B43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CE28814">
            <w:pPr>
              <w:spacing w:line="240" w:lineRule="auto"/>
              <w:ind w:firstLine="0" w:firstLineChars="0"/>
              <w:rPr>
                <w:rFonts w:cs="Times New Roman"/>
                <w:b/>
                <w:bCs/>
                <w:sz w:val="21"/>
              </w:rPr>
            </w:pPr>
          </w:p>
        </w:tc>
        <w:tc>
          <w:tcPr>
            <w:tcW w:w="708" w:type="dxa"/>
          </w:tcPr>
          <w:p w14:paraId="41AA49BE">
            <w:pPr>
              <w:spacing w:line="240" w:lineRule="auto"/>
              <w:ind w:firstLine="0" w:firstLineChars="0"/>
              <w:jc w:val="center"/>
              <w:rPr>
                <w:rFonts w:cs="Times New Roman"/>
                <w:sz w:val="21"/>
              </w:rPr>
            </w:pPr>
            <w:r>
              <w:rPr>
                <w:rFonts w:hint="eastAsia" w:cs="Times New Roman"/>
                <w:sz w:val="21"/>
              </w:rPr>
              <w:t>3</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4EBA1A2A">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中山市西区西区小学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30FAEEC8">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13DDABEF">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B4ADDC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9435DA5">
            <w:pPr>
              <w:spacing w:line="240" w:lineRule="auto"/>
              <w:ind w:firstLine="0" w:firstLineChars="0"/>
              <w:rPr>
                <w:rFonts w:cs="Times New Roman"/>
                <w:b/>
                <w:bCs/>
                <w:sz w:val="21"/>
              </w:rPr>
            </w:pPr>
          </w:p>
        </w:tc>
        <w:tc>
          <w:tcPr>
            <w:tcW w:w="708" w:type="dxa"/>
          </w:tcPr>
          <w:p w14:paraId="41272CC0">
            <w:pPr>
              <w:spacing w:line="240" w:lineRule="auto"/>
              <w:ind w:firstLine="0" w:firstLineChars="0"/>
              <w:jc w:val="center"/>
              <w:rPr>
                <w:rFonts w:cs="Times New Roman"/>
                <w:sz w:val="21"/>
              </w:rPr>
            </w:pPr>
            <w:r>
              <w:rPr>
                <w:rFonts w:hint="eastAsia" w:cs="Times New Roman"/>
                <w:sz w:val="21"/>
              </w:rPr>
              <w:t>4</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6632B0B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中山市西区聚星学校</w:t>
            </w:r>
          </w:p>
        </w:tc>
        <w:tc>
          <w:tcPr>
            <w:tcW w:w="3419" w:type="dxa"/>
            <w:tcBorders>
              <w:top w:val="nil"/>
              <w:left w:val="single" w:color="auto" w:sz="4" w:space="0"/>
              <w:bottom w:val="single" w:color="auto" w:sz="4" w:space="0"/>
              <w:right w:val="single" w:color="auto" w:sz="4" w:space="0"/>
            </w:tcBorders>
            <w:shd w:val="clear" w:color="auto" w:fill="auto"/>
            <w:vAlign w:val="center"/>
          </w:tcPr>
          <w:p w14:paraId="0A451B43">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去年验收未通过，正在重新申报</w:t>
            </w:r>
          </w:p>
        </w:tc>
        <w:tc>
          <w:tcPr>
            <w:tcW w:w="1362" w:type="dxa"/>
          </w:tcPr>
          <w:p w14:paraId="27498103">
            <w:pPr>
              <w:spacing w:line="240" w:lineRule="auto"/>
              <w:ind w:firstLine="0" w:firstLineChars="0"/>
              <w:jc w:val="center"/>
              <w:rPr>
                <w:rFonts w:cs="Times New Roman"/>
                <w:sz w:val="21"/>
              </w:rPr>
            </w:pPr>
            <w:r>
              <w:rPr>
                <w:rFonts w:hint="eastAsia" w:cs="Times New Roman"/>
                <w:sz w:val="21"/>
              </w:rPr>
              <w:t>正在开展</w:t>
            </w:r>
          </w:p>
        </w:tc>
      </w:tr>
      <w:tr w14:paraId="3FDCE5D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61F1F7C">
            <w:pPr>
              <w:spacing w:line="240" w:lineRule="auto"/>
              <w:ind w:firstLine="0" w:firstLineChars="0"/>
              <w:rPr>
                <w:rFonts w:cs="Times New Roman"/>
                <w:b/>
                <w:bCs/>
                <w:sz w:val="21"/>
              </w:rPr>
            </w:pPr>
          </w:p>
        </w:tc>
        <w:tc>
          <w:tcPr>
            <w:tcW w:w="708" w:type="dxa"/>
          </w:tcPr>
          <w:p w14:paraId="71BFB2A1">
            <w:pPr>
              <w:spacing w:line="240" w:lineRule="auto"/>
              <w:ind w:firstLine="0" w:firstLineChars="0"/>
              <w:jc w:val="center"/>
              <w:rPr>
                <w:rFonts w:cs="Times New Roman"/>
                <w:sz w:val="21"/>
              </w:rPr>
            </w:pPr>
            <w:r>
              <w:rPr>
                <w:rFonts w:hint="eastAsia" w:cs="Times New Roman"/>
                <w:sz w:val="21"/>
              </w:rPr>
              <w:t>4</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3279F41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中山市西区翠景东方小学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1721AA09">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专家评审通过，中介预算</w:t>
            </w:r>
          </w:p>
        </w:tc>
        <w:tc>
          <w:tcPr>
            <w:tcW w:w="1362" w:type="dxa"/>
          </w:tcPr>
          <w:p w14:paraId="4854DA69">
            <w:pPr>
              <w:spacing w:line="240" w:lineRule="auto"/>
              <w:ind w:firstLine="0" w:firstLineChars="0"/>
              <w:jc w:val="center"/>
              <w:rPr>
                <w:rFonts w:cs="Times New Roman"/>
                <w:sz w:val="21"/>
              </w:rPr>
            </w:pPr>
            <w:r>
              <w:rPr>
                <w:rFonts w:hint="eastAsia" w:cs="Times New Roman"/>
                <w:sz w:val="21"/>
              </w:rPr>
              <w:t>正在开展</w:t>
            </w:r>
          </w:p>
        </w:tc>
      </w:tr>
      <w:tr w14:paraId="049FE08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CABFD97">
            <w:pPr>
              <w:spacing w:line="240" w:lineRule="auto"/>
              <w:ind w:firstLine="0" w:firstLineChars="0"/>
              <w:rPr>
                <w:rFonts w:cs="Times New Roman"/>
                <w:b/>
                <w:bCs/>
                <w:sz w:val="21"/>
              </w:rPr>
            </w:pPr>
          </w:p>
        </w:tc>
        <w:tc>
          <w:tcPr>
            <w:tcW w:w="708" w:type="dxa"/>
          </w:tcPr>
          <w:p w14:paraId="26D5964E">
            <w:pPr>
              <w:spacing w:line="240" w:lineRule="auto"/>
              <w:ind w:firstLine="0" w:firstLineChars="0"/>
              <w:jc w:val="center"/>
              <w:rPr>
                <w:rFonts w:cs="Times New Roman"/>
                <w:sz w:val="21"/>
              </w:rPr>
            </w:pPr>
            <w:r>
              <w:rPr>
                <w:rFonts w:hint="eastAsia" w:cs="Times New Roman"/>
                <w:sz w:val="21"/>
              </w:rPr>
              <w:t>4</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4C0B138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中山市西区广丰小学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022B8E5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正在组织专家评审</w:t>
            </w:r>
          </w:p>
        </w:tc>
        <w:tc>
          <w:tcPr>
            <w:tcW w:w="1362" w:type="dxa"/>
          </w:tcPr>
          <w:p w14:paraId="7B6C405D">
            <w:pPr>
              <w:spacing w:line="240" w:lineRule="auto"/>
              <w:ind w:firstLine="0" w:firstLineChars="0"/>
              <w:jc w:val="center"/>
              <w:rPr>
                <w:rFonts w:cs="Times New Roman"/>
                <w:sz w:val="21"/>
              </w:rPr>
            </w:pPr>
            <w:r>
              <w:rPr>
                <w:rFonts w:hint="eastAsia" w:cs="Times New Roman"/>
                <w:sz w:val="21"/>
              </w:rPr>
              <w:t>正在开展</w:t>
            </w:r>
          </w:p>
        </w:tc>
      </w:tr>
      <w:tr w14:paraId="68EFBA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8FF6DD5">
            <w:pPr>
              <w:spacing w:line="240" w:lineRule="auto"/>
              <w:ind w:firstLine="0" w:firstLineChars="0"/>
              <w:rPr>
                <w:rFonts w:cs="Times New Roman"/>
                <w:b/>
                <w:bCs/>
                <w:sz w:val="21"/>
              </w:rPr>
            </w:pPr>
          </w:p>
        </w:tc>
        <w:tc>
          <w:tcPr>
            <w:tcW w:w="708" w:type="dxa"/>
          </w:tcPr>
          <w:p w14:paraId="3F42821A">
            <w:pPr>
              <w:spacing w:line="240" w:lineRule="auto"/>
              <w:ind w:firstLine="0" w:firstLineChars="0"/>
              <w:jc w:val="center"/>
              <w:rPr>
                <w:rFonts w:cs="Times New Roman"/>
                <w:sz w:val="21"/>
              </w:rPr>
            </w:pPr>
            <w:r>
              <w:rPr>
                <w:rFonts w:hint="eastAsia" w:cs="Times New Roman"/>
                <w:sz w:val="21"/>
              </w:rPr>
              <w:t>4</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5B44206F">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中山市西区昌平小学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429F81D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044120B0">
            <w:pPr>
              <w:spacing w:line="240" w:lineRule="auto"/>
              <w:ind w:firstLine="0" w:firstLineChars="0"/>
              <w:jc w:val="center"/>
              <w:rPr>
                <w:rFonts w:cs="Times New Roman"/>
                <w:sz w:val="21"/>
              </w:rPr>
            </w:pPr>
            <w:r>
              <w:rPr>
                <w:rFonts w:hint="eastAsia" w:cs="Times New Roman"/>
                <w:sz w:val="21"/>
              </w:rPr>
              <w:t>正在开展</w:t>
            </w:r>
          </w:p>
        </w:tc>
      </w:tr>
      <w:tr w14:paraId="77062F8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1761261">
            <w:pPr>
              <w:spacing w:line="240" w:lineRule="auto"/>
              <w:ind w:firstLine="0" w:firstLineChars="0"/>
              <w:rPr>
                <w:rFonts w:cs="Times New Roman"/>
                <w:b/>
                <w:bCs/>
                <w:sz w:val="21"/>
              </w:rPr>
            </w:pPr>
          </w:p>
        </w:tc>
        <w:tc>
          <w:tcPr>
            <w:tcW w:w="708" w:type="dxa"/>
          </w:tcPr>
          <w:p w14:paraId="1CB0E243">
            <w:pPr>
              <w:spacing w:line="240" w:lineRule="auto"/>
              <w:ind w:firstLine="0" w:firstLineChars="0"/>
              <w:jc w:val="center"/>
              <w:rPr>
                <w:rFonts w:cs="Times New Roman"/>
                <w:sz w:val="21"/>
              </w:rPr>
            </w:pPr>
            <w:r>
              <w:rPr>
                <w:rFonts w:hint="eastAsia" w:cs="Times New Roman"/>
                <w:sz w:val="21"/>
              </w:rPr>
              <w:t>4</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6BE81D7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中山市西区铁城小学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3644235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660998C1">
            <w:pPr>
              <w:spacing w:line="240" w:lineRule="auto"/>
              <w:ind w:firstLine="0" w:firstLineChars="0"/>
              <w:jc w:val="center"/>
              <w:rPr>
                <w:rFonts w:cs="Times New Roman"/>
                <w:sz w:val="21"/>
              </w:rPr>
            </w:pPr>
            <w:r>
              <w:rPr>
                <w:rFonts w:hint="eastAsia" w:cs="Times New Roman"/>
                <w:sz w:val="21"/>
              </w:rPr>
              <w:t>正在开展</w:t>
            </w:r>
          </w:p>
        </w:tc>
      </w:tr>
      <w:tr w14:paraId="02D85A4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5CECED9">
            <w:pPr>
              <w:spacing w:line="240" w:lineRule="auto"/>
              <w:ind w:firstLine="0" w:firstLineChars="0"/>
              <w:rPr>
                <w:rFonts w:cs="Times New Roman"/>
                <w:b/>
                <w:bCs/>
                <w:sz w:val="21"/>
              </w:rPr>
            </w:pPr>
          </w:p>
        </w:tc>
        <w:tc>
          <w:tcPr>
            <w:tcW w:w="708" w:type="dxa"/>
          </w:tcPr>
          <w:p w14:paraId="5F926376">
            <w:pPr>
              <w:spacing w:line="240" w:lineRule="auto"/>
              <w:ind w:firstLine="0" w:firstLineChars="0"/>
              <w:jc w:val="center"/>
              <w:rPr>
                <w:rFonts w:cs="Times New Roman"/>
                <w:sz w:val="21"/>
              </w:rPr>
            </w:pPr>
            <w:r>
              <w:rPr>
                <w:rFonts w:hint="eastAsia" w:cs="Times New Roman"/>
                <w:sz w:val="21"/>
              </w:rPr>
              <w:t>4</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3ED81F6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中山市西区铁城初级中学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1AABFAA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3BD8C051">
            <w:pPr>
              <w:spacing w:line="240" w:lineRule="auto"/>
              <w:ind w:firstLine="0" w:firstLineChars="0"/>
              <w:jc w:val="center"/>
              <w:rPr>
                <w:rFonts w:cs="Times New Roman"/>
                <w:sz w:val="21"/>
              </w:rPr>
            </w:pPr>
            <w:r>
              <w:rPr>
                <w:rFonts w:hint="eastAsia" w:cs="Times New Roman"/>
                <w:sz w:val="21"/>
              </w:rPr>
              <w:t>正在开展</w:t>
            </w:r>
          </w:p>
        </w:tc>
      </w:tr>
      <w:tr w14:paraId="69642DC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2142F8C6">
            <w:pPr>
              <w:spacing w:line="240" w:lineRule="auto"/>
              <w:ind w:firstLine="0" w:firstLineChars="0"/>
              <w:jc w:val="center"/>
              <w:rPr>
                <w:rFonts w:cs="Times New Roman"/>
                <w:b/>
                <w:bCs/>
                <w:sz w:val="21"/>
              </w:rPr>
            </w:pPr>
          </w:p>
          <w:p w14:paraId="6922D982">
            <w:pPr>
              <w:spacing w:line="240" w:lineRule="auto"/>
              <w:ind w:firstLine="0" w:firstLineChars="0"/>
              <w:jc w:val="center"/>
              <w:rPr>
                <w:rFonts w:cs="Times New Roman"/>
                <w:b/>
                <w:bCs/>
                <w:sz w:val="21"/>
              </w:rPr>
            </w:pPr>
          </w:p>
          <w:p w14:paraId="3E12682D">
            <w:pPr>
              <w:spacing w:line="240" w:lineRule="auto"/>
              <w:ind w:firstLine="0" w:firstLineChars="0"/>
              <w:jc w:val="center"/>
              <w:rPr>
                <w:rFonts w:cs="Times New Roman"/>
                <w:b/>
                <w:bCs/>
                <w:sz w:val="21"/>
              </w:rPr>
            </w:pPr>
            <w:r>
              <w:rPr>
                <w:rFonts w:hint="eastAsia" w:cs="Times New Roman"/>
                <w:b/>
                <w:bCs/>
                <w:sz w:val="21"/>
              </w:rPr>
              <w:t>节</w:t>
            </w:r>
          </w:p>
          <w:p w14:paraId="182FFB34">
            <w:pPr>
              <w:spacing w:line="240" w:lineRule="auto"/>
              <w:ind w:firstLine="0" w:firstLineChars="0"/>
              <w:jc w:val="center"/>
              <w:rPr>
                <w:rFonts w:cs="Times New Roman"/>
                <w:b/>
                <w:bCs/>
                <w:sz w:val="21"/>
              </w:rPr>
            </w:pPr>
            <w:r>
              <w:rPr>
                <w:rFonts w:hint="eastAsia" w:cs="Times New Roman"/>
                <w:b/>
                <w:bCs/>
                <w:sz w:val="21"/>
              </w:rPr>
              <w:t>水</w:t>
            </w:r>
          </w:p>
          <w:p w14:paraId="5FC441A0">
            <w:pPr>
              <w:spacing w:line="240" w:lineRule="auto"/>
              <w:ind w:firstLine="0" w:firstLineChars="0"/>
              <w:jc w:val="center"/>
              <w:rPr>
                <w:rFonts w:cs="Times New Roman"/>
                <w:b/>
                <w:bCs/>
                <w:sz w:val="21"/>
              </w:rPr>
            </w:pPr>
            <w:r>
              <w:rPr>
                <w:rFonts w:hint="eastAsia" w:cs="Times New Roman"/>
                <w:b/>
                <w:bCs/>
                <w:sz w:val="21"/>
              </w:rPr>
              <w:t>型</w:t>
            </w:r>
          </w:p>
          <w:p w14:paraId="0F7833A8">
            <w:pPr>
              <w:spacing w:line="240" w:lineRule="auto"/>
              <w:ind w:firstLine="0" w:firstLineChars="0"/>
              <w:jc w:val="center"/>
              <w:rPr>
                <w:rFonts w:cs="Times New Roman"/>
                <w:b/>
                <w:bCs/>
                <w:sz w:val="21"/>
              </w:rPr>
            </w:pPr>
            <w:r>
              <w:rPr>
                <w:rFonts w:hint="eastAsia" w:cs="Times New Roman"/>
                <w:b/>
                <w:bCs/>
                <w:sz w:val="21"/>
              </w:rPr>
              <w:t>居</w:t>
            </w:r>
          </w:p>
          <w:p w14:paraId="7AA02C89">
            <w:pPr>
              <w:spacing w:line="240" w:lineRule="auto"/>
              <w:ind w:firstLine="0" w:firstLineChars="0"/>
              <w:jc w:val="center"/>
              <w:rPr>
                <w:rFonts w:cs="Times New Roman"/>
                <w:b/>
                <w:bCs/>
                <w:sz w:val="21"/>
              </w:rPr>
            </w:pPr>
            <w:r>
              <w:rPr>
                <w:rFonts w:hint="eastAsia" w:cs="Times New Roman"/>
                <w:b/>
                <w:bCs/>
                <w:sz w:val="21"/>
              </w:rPr>
              <w:t>民</w:t>
            </w:r>
          </w:p>
          <w:p w14:paraId="153AF16A">
            <w:pPr>
              <w:spacing w:line="240" w:lineRule="auto"/>
              <w:ind w:firstLine="0" w:firstLineChars="0"/>
              <w:jc w:val="center"/>
              <w:rPr>
                <w:rFonts w:cs="Times New Roman"/>
                <w:b/>
                <w:bCs/>
                <w:sz w:val="21"/>
              </w:rPr>
            </w:pPr>
            <w:r>
              <w:rPr>
                <w:rFonts w:hint="eastAsia" w:cs="Times New Roman"/>
                <w:b/>
                <w:bCs/>
                <w:sz w:val="21"/>
              </w:rPr>
              <w:t>小</w:t>
            </w:r>
          </w:p>
          <w:p w14:paraId="10D4C493">
            <w:pPr>
              <w:spacing w:line="240" w:lineRule="auto"/>
              <w:ind w:firstLine="0" w:firstLineChars="0"/>
              <w:jc w:val="center"/>
              <w:rPr>
                <w:rFonts w:cs="Times New Roman"/>
                <w:b/>
                <w:bCs/>
                <w:sz w:val="21"/>
              </w:rPr>
            </w:pPr>
            <w:r>
              <w:rPr>
                <w:rFonts w:hint="eastAsia" w:cs="Times New Roman"/>
                <w:b/>
                <w:bCs/>
                <w:sz w:val="21"/>
              </w:rPr>
              <w:t>区</w:t>
            </w:r>
          </w:p>
        </w:tc>
        <w:tc>
          <w:tcPr>
            <w:tcW w:w="708" w:type="dxa"/>
          </w:tcPr>
          <w:p w14:paraId="72432F7B">
            <w:pPr>
              <w:spacing w:line="240" w:lineRule="auto"/>
              <w:ind w:firstLine="0" w:firstLineChars="0"/>
              <w:jc w:val="center"/>
              <w:rPr>
                <w:rFonts w:cs="Times New Roman"/>
                <w:sz w:val="21"/>
              </w:rPr>
            </w:pPr>
            <w:r>
              <w:rPr>
                <w:rFonts w:hint="eastAsia" w:cs="Times New Roman"/>
                <w:sz w:val="21"/>
              </w:rPr>
              <w:t>4</w:t>
            </w:r>
            <w:r>
              <w:rPr>
                <w:rFonts w:cs="Times New Roman"/>
                <w:sz w:val="21"/>
              </w:rPr>
              <w:t>6</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050565A7">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水悦熙园</w:t>
            </w:r>
          </w:p>
        </w:tc>
        <w:tc>
          <w:tcPr>
            <w:tcW w:w="3419" w:type="dxa"/>
          </w:tcPr>
          <w:p w14:paraId="14E1B852">
            <w:pPr>
              <w:spacing w:line="240" w:lineRule="auto"/>
              <w:ind w:firstLine="0" w:firstLineChars="0"/>
              <w:jc w:val="center"/>
              <w:rPr>
                <w:rFonts w:cs="Times New Roman"/>
                <w:sz w:val="21"/>
              </w:rPr>
            </w:pPr>
            <w:r>
              <w:rPr>
                <w:rFonts w:hint="eastAsia" w:cs="Times New Roman"/>
                <w:sz w:val="21"/>
              </w:rPr>
              <w:t>2019年正开展，预计8月底前验收</w:t>
            </w:r>
          </w:p>
        </w:tc>
        <w:tc>
          <w:tcPr>
            <w:tcW w:w="1362" w:type="dxa"/>
          </w:tcPr>
          <w:p w14:paraId="7DD5A85C">
            <w:pPr>
              <w:spacing w:line="240" w:lineRule="auto"/>
              <w:ind w:firstLine="0" w:firstLineChars="0"/>
              <w:jc w:val="center"/>
              <w:rPr>
                <w:rFonts w:cs="Times New Roman"/>
                <w:sz w:val="21"/>
              </w:rPr>
            </w:pPr>
            <w:r>
              <w:rPr>
                <w:rFonts w:hint="eastAsia" w:cs="Times New Roman"/>
                <w:sz w:val="21"/>
              </w:rPr>
              <w:t>——</w:t>
            </w:r>
          </w:p>
        </w:tc>
      </w:tr>
      <w:tr w14:paraId="3E8B0B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BD294B6">
            <w:pPr>
              <w:spacing w:line="240" w:lineRule="auto"/>
              <w:ind w:firstLine="0" w:firstLineChars="0"/>
              <w:rPr>
                <w:rFonts w:cs="Times New Roman"/>
                <w:b/>
                <w:bCs/>
                <w:sz w:val="21"/>
              </w:rPr>
            </w:pPr>
          </w:p>
        </w:tc>
        <w:tc>
          <w:tcPr>
            <w:tcW w:w="708" w:type="dxa"/>
          </w:tcPr>
          <w:p w14:paraId="309FA769">
            <w:pPr>
              <w:spacing w:line="240" w:lineRule="auto"/>
              <w:ind w:firstLine="0" w:firstLineChars="0"/>
              <w:jc w:val="center"/>
              <w:rPr>
                <w:rFonts w:cs="Times New Roman"/>
                <w:sz w:val="21"/>
              </w:rPr>
            </w:pPr>
            <w:r>
              <w:rPr>
                <w:rFonts w:hint="eastAsia" w:cs="Times New Roman"/>
                <w:sz w:val="21"/>
              </w:rPr>
              <w:t>4</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2A2A7FE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水悦馨园</w:t>
            </w:r>
          </w:p>
        </w:tc>
        <w:tc>
          <w:tcPr>
            <w:tcW w:w="3419" w:type="dxa"/>
          </w:tcPr>
          <w:p w14:paraId="6CC2C858">
            <w:pPr>
              <w:spacing w:line="240" w:lineRule="auto"/>
              <w:ind w:firstLine="0" w:firstLineChars="0"/>
              <w:jc w:val="center"/>
              <w:rPr>
                <w:rFonts w:cs="Times New Roman"/>
                <w:sz w:val="21"/>
              </w:rPr>
            </w:pPr>
            <w:r>
              <w:rPr>
                <w:rFonts w:hint="eastAsia" w:cs="Times New Roman"/>
                <w:sz w:val="21"/>
              </w:rPr>
              <w:t>2019年正开展，预计8月底前验收</w:t>
            </w:r>
          </w:p>
        </w:tc>
        <w:tc>
          <w:tcPr>
            <w:tcW w:w="1362" w:type="dxa"/>
          </w:tcPr>
          <w:p w14:paraId="3849980B">
            <w:pPr>
              <w:spacing w:line="240" w:lineRule="auto"/>
              <w:ind w:firstLine="0" w:firstLineChars="0"/>
              <w:jc w:val="center"/>
              <w:rPr>
                <w:rFonts w:cs="Times New Roman"/>
                <w:sz w:val="21"/>
              </w:rPr>
            </w:pPr>
            <w:r>
              <w:rPr>
                <w:rFonts w:hint="eastAsia" w:cs="Times New Roman"/>
                <w:sz w:val="21"/>
              </w:rPr>
              <w:t>——</w:t>
            </w:r>
          </w:p>
        </w:tc>
      </w:tr>
      <w:tr w14:paraId="054AA75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C3EFC98">
            <w:pPr>
              <w:spacing w:line="240" w:lineRule="auto"/>
              <w:ind w:firstLine="0" w:firstLineChars="0"/>
              <w:rPr>
                <w:rFonts w:cs="Times New Roman"/>
                <w:b/>
                <w:bCs/>
                <w:sz w:val="21"/>
              </w:rPr>
            </w:pPr>
          </w:p>
        </w:tc>
        <w:tc>
          <w:tcPr>
            <w:tcW w:w="708" w:type="dxa"/>
          </w:tcPr>
          <w:p w14:paraId="77685880">
            <w:pPr>
              <w:spacing w:line="240" w:lineRule="auto"/>
              <w:ind w:firstLine="0" w:firstLineChars="0"/>
              <w:jc w:val="center"/>
              <w:rPr>
                <w:rFonts w:cs="Times New Roman"/>
                <w:sz w:val="21"/>
              </w:rPr>
            </w:pPr>
            <w:r>
              <w:rPr>
                <w:rFonts w:hint="eastAsia" w:cs="Times New Roman"/>
                <w:sz w:val="21"/>
              </w:rPr>
              <w:t>4</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7BB77870">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御水湾</w:t>
            </w:r>
          </w:p>
        </w:tc>
        <w:tc>
          <w:tcPr>
            <w:tcW w:w="3419" w:type="dxa"/>
          </w:tcPr>
          <w:p w14:paraId="1CE6698E">
            <w:pPr>
              <w:spacing w:line="240" w:lineRule="auto"/>
              <w:ind w:firstLine="0" w:firstLineChars="0"/>
              <w:jc w:val="center"/>
              <w:rPr>
                <w:rFonts w:cs="Times New Roman"/>
                <w:sz w:val="21"/>
              </w:rPr>
            </w:pPr>
            <w:r>
              <w:rPr>
                <w:rFonts w:hint="eastAsia" w:cs="Times New Roman"/>
                <w:sz w:val="21"/>
              </w:rPr>
              <w:t>2019年正开展，预计8月底前验收</w:t>
            </w:r>
          </w:p>
        </w:tc>
        <w:tc>
          <w:tcPr>
            <w:tcW w:w="1362" w:type="dxa"/>
          </w:tcPr>
          <w:p w14:paraId="2D2A448A">
            <w:pPr>
              <w:spacing w:line="240" w:lineRule="auto"/>
              <w:ind w:firstLine="0" w:firstLineChars="0"/>
              <w:jc w:val="center"/>
              <w:rPr>
                <w:rFonts w:cs="Times New Roman"/>
                <w:sz w:val="21"/>
              </w:rPr>
            </w:pPr>
            <w:r>
              <w:rPr>
                <w:rFonts w:hint="eastAsia" w:cs="Times New Roman"/>
                <w:sz w:val="21"/>
              </w:rPr>
              <w:t>——</w:t>
            </w:r>
          </w:p>
        </w:tc>
      </w:tr>
      <w:tr w14:paraId="31D170F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F5974D6">
            <w:pPr>
              <w:spacing w:line="240" w:lineRule="auto"/>
              <w:ind w:firstLine="0" w:firstLineChars="0"/>
              <w:rPr>
                <w:rFonts w:cs="Times New Roman"/>
                <w:b/>
                <w:bCs/>
                <w:sz w:val="21"/>
              </w:rPr>
            </w:pPr>
          </w:p>
        </w:tc>
        <w:tc>
          <w:tcPr>
            <w:tcW w:w="708" w:type="dxa"/>
          </w:tcPr>
          <w:p w14:paraId="4A82527A">
            <w:pPr>
              <w:spacing w:line="240" w:lineRule="auto"/>
              <w:ind w:firstLine="0" w:firstLineChars="0"/>
              <w:jc w:val="center"/>
              <w:rPr>
                <w:rFonts w:cs="Times New Roman"/>
                <w:sz w:val="21"/>
              </w:rPr>
            </w:pPr>
            <w:r>
              <w:rPr>
                <w:rFonts w:hint="eastAsia" w:cs="Times New Roman"/>
                <w:sz w:val="21"/>
              </w:rPr>
              <w:t>4</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57FDF8C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沁美家园</w:t>
            </w:r>
          </w:p>
        </w:tc>
        <w:tc>
          <w:tcPr>
            <w:tcW w:w="3419" w:type="dxa"/>
          </w:tcPr>
          <w:p w14:paraId="0BDCE69A">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5003B2B9">
            <w:pPr>
              <w:spacing w:line="240" w:lineRule="auto"/>
              <w:ind w:firstLine="0" w:firstLineChars="0"/>
              <w:jc w:val="center"/>
              <w:rPr>
                <w:rFonts w:cs="Times New Roman"/>
                <w:sz w:val="21"/>
              </w:rPr>
            </w:pPr>
            <w:r>
              <w:rPr>
                <w:rFonts w:hint="eastAsia" w:cs="Times New Roman"/>
                <w:sz w:val="21"/>
              </w:rPr>
              <w:t>——</w:t>
            </w:r>
          </w:p>
        </w:tc>
      </w:tr>
      <w:tr w14:paraId="4FF6A4A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D2A3A58">
            <w:pPr>
              <w:spacing w:line="240" w:lineRule="auto"/>
              <w:ind w:firstLine="0" w:firstLineChars="0"/>
              <w:rPr>
                <w:rFonts w:cs="Times New Roman"/>
                <w:b/>
                <w:bCs/>
                <w:sz w:val="21"/>
              </w:rPr>
            </w:pPr>
          </w:p>
        </w:tc>
        <w:tc>
          <w:tcPr>
            <w:tcW w:w="708" w:type="dxa"/>
          </w:tcPr>
          <w:p w14:paraId="6435531F">
            <w:pPr>
              <w:spacing w:line="240" w:lineRule="auto"/>
              <w:ind w:firstLine="0" w:firstLineChars="0"/>
              <w:jc w:val="center"/>
              <w:rPr>
                <w:rFonts w:cs="Times New Roman"/>
                <w:sz w:val="21"/>
              </w:rPr>
            </w:pPr>
            <w:r>
              <w:rPr>
                <w:rFonts w:hint="eastAsia" w:cs="Times New Roman"/>
                <w:sz w:val="21"/>
              </w:rPr>
              <w:t>5</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1F3F4D35">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尚湖轩</w:t>
            </w:r>
          </w:p>
        </w:tc>
        <w:tc>
          <w:tcPr>
            <w:tcW w:w="3419" w:type="dxa"/>
          </w:tcPr>
          <w:p w14:paraId="301AD111">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13790566">
            <w:pPr>
              <w:spacing w:line="240" w:lineRule="auto"/>
              <w:ind w:firstLine="0" w:firstLineChars="0"/>
              <w:jc w:val="center"/>
              <w:rPr>
                <w:rFonts w:cs="Times New Roman"/>
                <w:sz w:val="21"/>
              </w:rPr>
            </w:pPr>
            <w:r>
              <w:rPr>
                <w:rFonts w:hint="eastAsia" w:cs="Times New Roman"/>
                <w:sz w:val="21"/>
              </w:rPr>
              <w:t>——</w:t>
            </w:r>
          </w:p>
        </w:tc>
      </w:tr>
      <w:tr w14:paraId="404FF4F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CB47FF2">
            <w:pPr>
              <w:spacing w:line="240" w:lineRule="auto"/>
              <w:ind w:firstLine="0" w:firstLineChars="0"/>
              <w:rPr>
                <w:rFonts w:cs="Times New Roman"/>
                <w:b/>
                <w:bCs/>
                <w:sz w:val="21"/>
              </w:rPr>
            </w:pPr>
          </w:p>
        </w:tc>
        <w:tc>
          <w:tcPr>
            <w:tcW w:w="708" w:type="dxa"/>
          </w:tcPr>
          <w:p w14:paraId="233DCA85">
            <w:pPr>
              <w:spacing w:line="240" w:lineRule="auto"/>
              <w:ind w:firstLine="0" w:firstLineChars="0"/>
              <w:jc w:val="center"/>
              <w:rPr>
                <w:rFonts w:cs="Times New Roman"/>
                <w:sz w:val="21"/>
              </w:rPr>
            </w:pPr>
            <w:r>
              <w:rPr>
                <w:rFonts w:hint="eastAsia" w:cs="Times New Roman"/>
                <w:sz w:val="21"/>
              </w:rPr>
              <w:t>5</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3E7EFCDD">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棕榈彩虹</w:t>
            </w:r>
          </w:p>
        </w:tc>
        <w:tc>
          <w:tcPr>
            <w:tcW w:w="3419" w:type="dxa"/>
          </w:tcPr>
          <w:p w14:paraId="6D25075D">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534B8AB2">
            <w:pPr>
              <w:spacing w:line="240" w:lineRule="auto"/>
              <w:ind w:firstLine="0" w:firstLineChars="0"/>
              <w:jc w:val="center"/>
              <w:rPr>
                <w:rFonts w:cs="Times New Roman"/>
                <w:sz w:val="21"/>
              </w:rPr>
            </w:pPr>
            <w:r>
              <w:rPr>
                <w:rFonts w:hint="eastAsia" w:cs="Times New Roman"/>
                <w:sz w:val="21"/>
              </w:rPr>
              <w:t>——</w:t>
            </w:r>
          </w:p>
        </w:tc>
      </w:tr>
      <w:tr w14:paraId="0DCB723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77CFA3F">
            <w:pPr>
              <w:spacing w:line="240" w:lineRule="auto"/>
              <w:ind w:firstLine="0" w:firstLineChars="0"/>
              <w:rPr>
                <w:rFonts w:cs="Times New Roman"/>
                <w:b/>
                <w:bCs/>
                <w:sz w:val="21"/>
              </w:rPr>
            </w:pPr>
          </w:p>
        </w:tc>
        <w:tc>
          <w:tcPr>
            <w:tcW w:w="708" w:type="dxa"/>
          </w:tcPr>
          <w:p w14:paraId="6C10D2D8">
            <w:pPr>
              <w:spacing w:line="240" w:lineRule="auto"/>
              <w:ind w:firstLine="0" w:firstLineChars="0"/>
              <w:jc w:val="center"/>
              <w:rPr>
                <w:rFonts w:cs="Times New Roman"/>
                <w:sz w:val="21"/>
              </w:rPr>
            </w:pPr>
            <w:r>
              <w:rPr>
                <w:rFonts w:hint="eastAsia" w:cs="Times New Roman"/>
                <w:sz w:val="21"/>
              </w:rPr>
              <w:t>5</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1139F7B7">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大信新家园</w:t>
            </w:r>
          </w:p>
        </w:tc>
        <w:tc>
          <w:tcPr>
            <w:tcW w:w="3419" w:type="dxa"/>
          </w:tcPr>
          <w:p w14:paraId="5DDF8772">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10F4CE26">
            <w:pPr>
              <w:spacing w:line="240" w:lineRule="auto"/>
              <w:ind w:firstLine="0" w:firstLineChars="0"/>
              <w:jc w:val="center"/>
              <w:rPr>
                <w:rFonts w:cs="Times New Roman"/>
                <w:sz w:val="21"/>
              </w:rPr>
            </w:pPr>
            <w:r>
              <w:rPr>
                <w:rFonts w:hint="eastAsia" w:cs="Times New Roman"/>
                <w:sz w:val="21"/>
              </w:rPr>
              <w:t>——</w:t>
            </w:r>
          </w:p>
        </w:tc>
      </w:tr>
      <w:tr w14:paraId="4211C08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31" w:hRule="atLeast"/>
          <w:jc w:val="center"/>
        </w:trPr>
        <w:tc>
          <w:tcPr>
            <w:tcW w:w="817" w:type="dxa"/>
            <w:vMerge w:val="continue"/>
          </w:tcPr>
          <w:p w14:paraId="24259342">
            <w:pPr>
              <w:spacing w:line="240" w:lineRule="auto"/>
              <w:ind w:firstLine="0" w:firstLineChars="0"/>
              <w:rPr>
                <w:rFonts w:cs="Times New Roman"/>
                <w:b/>
                <w:bCs/>
                <w:sz w:val="21"/>
              </w:rPr>
            </w:pPr>
          </w:p>
        </w:tc>
        <w:tc>
          <w:tcPr>
            <w:tcW w:w="708" w:type="dxa"/>
          </w:tcPr>
          <w:p w14:paraId="0528A539">
            <w:pPr>
              <w:spacing w:line="240" w:lineRule="auto"/>
              <w:ind w:firstLine="0" w:firstLineChars="0"/>
              <w:jc w:val="center"/>
              <w:rPr>
                <w:rFonts w:cs="Times New Roman"/>
                <w:sz w:val="21"/>
              </w:rPr>
            </w:pPr>
            <w:r>
              <w:rPr>
                <w:rFonts w:hint="eastAsia" w:cs="Times New Roman"/>
                <w:sz w:val="21"/>
              </w:rPr>
              <w:t>5</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578A9ED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奥园爱琴湾</w:t>
            </w:r>
          </w:p>
        </w:tc>
        <w:tc>
          <w:tcPr>
            <w:tcW w:w="3419" w:type="dxa"/>
          </w:tcPr>
          <w:p w14:paraId="054875B3">
            <w:pPr>
              <w:spacing w:line="240" w:lineRule="auto"/>
              <w:ind w:firstLine="0" w:firstLineChars="0"/>
            </w:pPr>
            <w:r>
              <w:rPr>
                <w:rFonts w:hint="eastAsia" w:cs="Times New Roman"/>
                <w:sz w:val="21"/>
              </w:rPr>
              <w:t>2019年正开展，预计8月底前验收</w:t>
            </w:r>
          </w:p>
        </w:tc>
        <w:tc>
          <w:tcPr>
            <w:tcW w:w="1362" w:type="dxa"/>
          </w:tcPr>
          <w:p w14:paraId="0094A837">
            <w:pPr>
              <w:spacing w:line="240" w:lineRule="auto"/>
              <w:ind w:firstLine="0" w:firstLineChars="0"/>
              <w:jc w:val="center"/>
              <w:rPr>
                <w:rFonts w:cs="Times New Roman"/>
                <w:sz w:val="21"/>
              </w:rPr>
            </w:pPr>
            <w:r>
              <w:rPr>
                <w:rFonts w:hint="eastAsia" w:cs="Times New Roman"/>
                <w:sz w:val="21"/>
              </w:rPr>
              <w:t>——</w:t>
            </w:r>
          </w:p>
        </w:tc>
      </w:tr>
      <w:tr w14:paraId="2AD78A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E61E82E">
            <w:pPr>
              <w:spacing w:line="240" w:lineRule="auto"/>
              <w:ind w:firstLine="0" w:firstLineChars="0"/>
              <w:rPr>
                <w:rFonts w:cs="Times New Roman"/>
                <w:b/>
                <w:bCs/>
                <w:sz w:val="21"/>
              </w:rPr>
            </w:pPr>
          </w:p>
        </w:tc>
        <w:tc>
          <w:tcPr>
            <w:tcW w:w="708" w:type="dxa"/>
          </w:tcPr>
          <w:p w14:paraId="180E1E77">
            <w:pPr>
              <w:spacing w:line="240" w:lineRule="auto"/>
              <w:ind w:firstLine="0" w:firstLineChars="0"/>
              <w:jc w:val="center"/>
              <w:rPr>
                <w:rFonts w:cs="Times New Roman"/>
                <w:sz w:val="21"/>
              </w:rPr>
            </w:pPr>
            <w:r>
              <w:rPr>
                <w:rFonts w:hint="eastAsia" w:cs="Times New Roman"/>
                <w:sz w:val="21"/>
              </w:rPr>
              <w:t>5</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38D8A7A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美林假日</w:t>
            </w:r>
          </w:p>
        </w:tc>
        <w:tc>
          <w:tcPr>
            <w:tcW w:w="3419" w:type="dxa"/>
          </w:tcPr>
          <w:p w14:paraId="5DC847E3">
            <w:pPr>
              <w:spacing w:line="240" w:lineRule="auto"/>
              <w:ind w:firstLine="0" w:firstLineChars="0"/>
            </w:pPr>
            <w:r>
              <w:rPr>
                <w:rFonts w:hint="eastAsia" w:cs="Times New Roman"/>
                <w:sz w:val="21"/>
              </w:rPr>
              <w:t>2019年正开展，预计8月底前验收</w:t>
            </w:r>
          </w:p>
        </w:tc>
        <w:tc>
          <w:tcPr>
            <w:tcW w:w="1362" w:type="dxa"/>
          </w:tcPr>
          <w:p w14:paraId="0F2C9313">
            <w:pPr>
              <w:spacing w:line="240" w:lineRule="auto"/>
              <w:ind w:firstLine="0" w:firstLineChars="0"/>
              <w:jc w:val="center"/>
              <w:rPr>
                <w:rFonts w:cs="Times New Roman"/>
                <w:sz w:val="21"/>
              </w:rPr>
            </w:pPr>
            <w:r>
              <w:rPr>
                <w:rFonts w:hint="eastAsia" w:cs="Times New Roman"/>
                <w:sz w:val="21"/>
              </w:rPr>
              <w:t>——</w:t>
            </w:r>
          </w:p>
        </w:tc>
      </w:tr>
      <w:tr w14:paraId="131A0B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CFC6057">
            <w:pPr>
              <w:spacing w:line="240" w:lineRule="auto"/>
              <w:ind w:firstLine="0" w:firstLineChars="0"/>
              <w:rPr>
                <w:rFonts w:cs="Times New Roman"/>
                <w:b/>
                <w:bCs/>
                <w:sz w:val="21"/>
              </w:rPr>
            </w:pPr>
          </w:p>
        </w:tc>
        <w:tc>
          <w:tcPr>
            <w:tcW w:w="708" w:type="dxa"/>
          </w:tcPr>
          <w:p w14:paraId="202F3F18">
            <w:pPr>
              <w:spacing w:line="240" w:lineRule="auto"/>
              <w:ind w:firstLine="0" w:firstLineChars="0"/>
              <w:jc w:val="center"/>
              <w:rPr>
                <w:rFonts w:cs="Times New Roman"/>
                <w:sz w:val="21"/>
              </w:rPr>
            </w:pPr>
            <w:r>
              <w:rPr>
                <w:rFonts w:hint="eastAsia" w:cs="Times New Roman"/>
                <w:sz w:val="21"/>
              </w:rPr>
              <w:t>5</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7281DDB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剑桥郡</w:t>
            </w:r>
          </w:p>
        </w:tc>
        <w:tc>
          <w:tcPr>
            <w:tcW w:w="3419" w:type="dxa"/>
          </w:tcPr>
          <w:p w14:paraId="693438CD">
            <w:pPr>
              <w:spacing w:line="240" w:lineRule="auto"/>
              <w:ind w:firstLine="0" w:firstLineChars="0"/>
            </w:pPr>
            <w:r>
              <w:rPr>
                <w:rFonts w:hint="eastAsia" w:cs="Times New Roman"/>
                <w:sz w:val="21"/>
              </w:rPr>
              <w:t>2019年正开展，预计8月底前验收</w:t>
            </w:r>
          </w:p>
        </w:tc>
        <w:tc>
          <w:tcPr>
            <w:tcW w:w="1362" w:type="dxa"/>
          </w:tcPr>
          <w:p w14:paraId="239B977C">
            <w:pPr>
              <w:spacing w:line="240" w:lineRule="auto"/>
              <w:ind w:firstLine="0" w:firstLineChars="0"/>
              <w:jc w:val="center"/>
              <w:rPr>
                <w:rFonts w:cs="Times New Roman"/>
                <w:sz w:val="21"/>
              </w:rPr>
            </w:pPr>
            <w:r>
              <w:rPr>
                <w:rFonts w:hint="eastAsia" w:cs="Times New Roman"/>
                <w:sz w:val="21"/>
              </w:rPr>
              <w:t>——</w:t>
            </w:r>
          </w:p>
        </w:tc>
      </w:tr>
      <w:tr w14:paraId="23BA9D3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8" w:hRule="atLeast"/>
          <w:jc w:val="center"/>
        </w:trPr>
        <w:tc>
          <w:tcPr>
            <w:tcW w:w="817" w:type="dxa"/>
            <w:vMerge w:val="continue"/>
          </w:tcPr>
          <w:p w14:paraId="570065E1">
            <w:pPr>
              <w:spacing w:line="240" w:lineRule="auto"/>
              <w:ind w:firstLine="0" w:firstLineChars="0"/>
              <w:rPr>
                <w:rFonts w:cs="Times New Roman"/>
                <w:b/>
                <w:bCs/>
                <w:sz w:val="21"/>
              </w:rPr>
            </w:pPr>
          </w:p>
        </w:tc>
        <w:tc>
          <w:tcPr>
            <w:tcW w:w="708" w:type="dxa"/>
          </w:tcPr>
          <w:p w14:paraId="2758F39A">
            <w:pPr>
              <w:spacing w:line="240" w:lineRule="auto"/>
              <w:ind w:firstLine="0" w:firstLineChars="0"/>
              <w:jc w:val="center"/>
              <w:rPr>
                <w:rFonts w:cs="Times New Roman"/>
                <w:sz w:val="21"/>
              </w:rPr>
            </w:pPr>
            <w:r>
              <w:rPr>
                <w:rFonts w:hint="eastAsia" w:cs="Times New Roman"/>
                <w:sz w:val="21"/>
              </w:rPr>
              <w:t>5</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68F2905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广浩华庭</w:t>
            </w:r>
          </w:p>
        </w:tc>
        <w:tc>
          <w:tcPr>
            <w:tcW w:w="3419" w:type="dxa"/>
          </w:tcPr>
          <w:p w14:paraId="733FFC89">
            <w:pPr>
              <w:spacing w:line="240" w:lineRule="auto"/>
              <w:ind w:firstLine="0" w:firstLineChars="0"/>
            </w:pPr>
            <w:r>
              <w:rPr>
                <w:rFonts w:hint="eastAsia" w:cs="Times New Roman"/>
                <w:sz w:val="21"/>
              </w:rPr>
              <w:t>2019年正开展，预计8月底前验收</w:t>
            </w:r>
          </w:p>
        </w:tc>
        <w:tc>
          <w:tcPr>
            <w:tcW w:w="1362" w:type="dxa"/>
          </w:tcPr>
          <w:p w14:paraId="1292C8C4">
            <w:pPr>
              <w:spacing w:line="240" w:lineRule="auto"/>
              <w:ind w:firstLine="0" w:firstLineChars="0"/>
              <w:jc w:val="center"/>
              <w:rPr>
                <w:rFonts w:cs="Times New Roman"/>
                <w:sz w:val="21"/>
              </w:rPr>
            </w:pPr>
            <w:r>
              <w:rPr>
                <w:rFonts w:hint="eastAsia" w:cs="Times New Roman"/>
                <w:sz w:val="21"/>
              </w:rPr>
              <w:t>——</w:t>
            </w:r>
          </w:p>
        </w:tc>
      </w:tr>
      <w:tr w14:paraId="498106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55FF789">
            <w:pPr>
              <w:spacing w:line="240" w:lineRule="auto"/>
              <w:ind w:firstLine="0" w:firstLineChars="0"/>
              <w:rPr>
                <w:rFonts w:cs="Times New Roman"/>
                <w:b/>
                <w:bCs/>
                <w:sz w:val="21"/>
              </w:rPr>
            </w:pPr>
          </w:p>
        </w:tc>
        <w:tc>
          <w:tcPr>
            <w:tcW w:w="708" w:type="dxa"/>
          </w:tcPr>
          <w:p w14:paraId="569449C7">
            <w:pPr>
              <w:spacing w:line="240" w:lineRule="auto"/>
              <w:ind w:firstLine="0" w:firstLineChars="0"/>
              <w:jc w:val="center"/>
              <w:rPr>
                <w:rFonts w:cs="Times New Roman"/>
                <w:sz w:val="21"/>
              </w:rPr>
            </w:pPr>
            <w:r>
              <w:rPr>
                <w:rFonts w:hint="eastAsia" w:cs="Times New Roman"/>
                <w:sz w:val="21"/>
              </w:rPr>
              <w:t>5</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1F0A5380">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蓝波水岸</w:t>
            </w:r>
          </w:p>
        </w:tc>
        <w:tc>
          <w:tcPr>
            <w:tcW w:w="3419" w:type="dxa"/>
          </w:tcPr>
          <w:p w14:paraId="35C040B8">
            <w:pPr>
              <w:spacing w:line="240" w:lineRule="auto"/>
              <w:ind w:firstLine="0" w:firstLineChars="0"/>
            </w:pPr>
            <w:r>
              <w:rPr>
                <w:rFonts w:hint="eastAsia" w:cs="Times New Roman"/>
                <w:sz w:val="21"/>
              </w:rPr>
              <w:t>2019年正开展，预计8月底前验收</w:t>
            </w:r>
          </w:p>
        </w:tc>
        <w:tc>
          <w:tcPr>
            <w:tcW w:w="1362" w:type="dxa"/>
          </w:tcPr>
          <w:p w14:paraId="074DBF09">
            <w:pPr>
              <w:spacing w:line="240" w:lineRule="auto"/>
              <w:ind w:firstLine="0" w:firstLineChars="0"/>
              <w:jc w:val="center"/>
              <w:rPr>
                <w:rFonts w:cs="Times New Roman"/>
                <w:sz w:val="21"/>
              </w:rPr>
            </w:pPr>
            <w:r>
              <w:rPr>
                <w:rFonts w:hint="eastAsia" w:cs="Times New Roman"/>
                <w:sz w:val="21"/>
              </w:rPr>
              <w:t>——</w:t>
            </w:r>
          </w:p>
        </w:tc>
      </w:tr>
    </w:tbl>
    <w:p w14:paraId="17B287AC">
      <w:pPr>
        <w:ind w:firstLine="480"/>
        <w:rPr>
          <w:rFonts w:cs="Times New Roman"/>
          <w:szCs w:val="28"/>
        </w:rPr>
      </w:pPr>
    </w:p>
    <w:p w14:paraId="1AE3FABD">
      <w:pPr>
        <w:ind w:firstLine="480"/>
        <w:rPr>
          <w:rFonts w:cs="Times New Roman"/>
          <w:szCs w:val="28"/>
        </w:rPr>
      </w:pPr>
      <w:r>
        <w:rPr>
          <w:rFonts w:hint="eastAsia" w:cs="Times New Roman"/>
          <w:szCs w:val="28"/>
        </w:rPr>
        <w:t>西区为了全社会养成节水意识，利用信息、网站、微信、横幅、宣传画报、设摊宣传及五进（进机关、进学校、进企业、进社区、进居民）等多种形式开展节水宣传教育活动，让公众具有明显的节水意识。为了进一步推进节水型社会建设，切实提高我区工业企业节水能力和用水效率，减少废污水排放，力促产业转型升级，西区于 2017 年 10 月 11 日出文《西区加快推进中山市节水型工业企业建设补贴扶持实施细则》”（以下简称《原细则》），由于2019年4月29日发布的《中山市西区建设中山市节水型工业企业补贴扶持实施细则》将于发布之日起三十日之后（即2019年5月29日）实施，《原细则》同时废止。</w:t>
      </w:r>
    </w:p>
    <w:p w14:paraId="11A8F8D2">
      <w:pPr>
        <w:pStyle w:val="5"/>
      </w:pPr>
      <w:r>
        <w:t>2.1.5.3农业节水灌溉工程建设</w:t>
      </w:r>
    </w:p>
    <w:p w14:paraId="5C12AC52">
      <w:pPr>
        <w:ind w:firstLine="480"/>
        <w:rPr>
          <w:rFonts w:cs="Times New Roman"/>
          <w:szCs w:val="28"/>
        </w:rPr>
      </w:pPr>
      <w:r>
        <w:rPr>
          <w:rFonts w:hint="eastAsia" w:cs="Times New Roman"/>
          <w:szCs w:val="28"/>
        </w:rPr>
        <w:t>西区</w:t>
      </w:r>
      <w:r>
        <w:rPr>
          <w:rFonts w:cs="Times New Roman"/>
          <w:szCs w:val="28"/>
        </w:rPr>
        <w:t>是中山市的</w:t>
      </w:r>
      <w:r>
        <w:rPr>
          <w:rFonts w:hint="eastAsia" w:cs="Times New Roman"/>
          <w:szCs w:val="28"/>
        </w:rPr>
        <w:t>新能源、日用化工、特种电缆、LED新光源产业</w:t>
      </w:r>
      <w:r>
        <w:rPr>
          <w:rFonts w:cs="Times New Roman"/>
          <w:szCs w:val="28"/>
        </w:rPr>
        <w:t>强镇，由于</w:t>
      </w:r>
      <w:r>
        <w:rPr>
          <w:rFonts w:hint="eastAsia" w:cs="Times New Roman"/>
          <w:szCs w:val="28"/>
        </w:rPr>
        <w:t>城市</w:t>
      </w:r>
      <w:r>
        <w:rPr>
          <w:rFonts w:cs="Times New Roman"/>
          <w:szCs w:val="28"/>
        </w:rPr>
        <w:t>发展迅速，开发强度大，镇内</w:t>
      </w:r>
      <w:r>
        <w:rPr>
          <w:rFonts w:hint="eastAsia" w:cs="Times New Roman"/>
          <w:szCs w:val="28"/>
        </w:rPr>
        <w:t>的</w:t>
      </w:r>
      <w:r>
        <w:rPr>
          <w:rFonts w:cs="Times New Roman"/>
          <w:szCs w:val="28"/>
        </w:rPr>
        <w:t>农</w:t>
      </w:r>
      <w:r>
        <w:rPr>
          <w:rFonts w:hint="eastAsia" w:cs="Times New Roman"/>
          <w:szCs w:val="28"/>
        </w:rPr>
        <w:t>用</w:t>
      </w:r>
      <w:r>
        <w:rPr>
          <w:rFonts w:cs="Times New Roman"/>
          <w:szCs w:val="28"/>
        </w:rPr>
        <w:t>地</w:t>
      </w:r>
      <w:r>
        <w:rPr>
          <w:rFonts w:hint="eastAsia" w:cs="Times New Roman"/>
          <w:szCs w:val="28"/>
        </w:rPr>
        <w:t>在逐渐减少，2017年，西区的耕地面积为509亩，林果地面积为402亩，鱼塘面积为3450亩。西区</w:t>
      </w:r>
      <w:r>
        <w:rPr>
          <w:rFonts w:cs="Times New Roman"/>
          <w:szCs w:val="28"/>
        </w:rPr>
        <w:t>未来应</w:t>
      </w:r>
      <w:r>
        <w:rPr>
          <w:rFonts w:hint="eastAsia" w:cs="Times New Roman"/>
          <w:szCs w:val="28"/>
        </w:rPr>
        <w:t>进一步</w:t>
      </w:r>
      <w:r>
        <w:rPr>
          <w:rFonts w:cs="Times New Roman"/>
          <w:szCs w:val="28"/>
        </w:rPr>
        <w:t>以发展节水灌溉和对现有灌溉工程改造为重点，加大节水灌溉工程建设力度，对现有灌溉配套设施进行技改或续建，提高灌溉水利用系数。</w:t>
      </w:r>
    </w:p>
    <w:p w14:paraId="434A1564">
      <w:pPr>
        <w:ind w:firstLine="480"/>
        <w:rPr>
          <w:rFonts w:cs="Times New Roman"/>
          <w:szCs w:val="28"/>
        </w:rPr>
      </w:pPr>
      <w:r>
        <w:rPr>
          <w:rFonts w:cs="Times New Roman"/>
          <w:szCs w:val="28"/>
        </w:rPr>
        <w:t>中山市为做好农业用水管理，进一步推动农业节水工作，中山市水务局制定了《中山市农田灌溉水有效利用系数测算分析工作方案》，有序推进中山市农田灌溉水有效利用系数测算分析工作，中山市典型灌区实测灌溉水有效利用系数达0.8532。因此，</w:t>
      </w:r>
      <w:r>
        <w:rPr>
          <w:rFonts w:hint="eastAsia" w:cs="Times New Roman"/>
          <w:szCs w:val="28"/>
        </w:rPr>
        <w:t>西区</w:t>
      </w:r>
      <w:r>
        <w:rPr>
          <w:rFonts w:cs="Times New Roman"/>
          <w:szCs w:val="28"/>
        </w:rPr>
        <w:t>2017年的灌溉水有效利用系数取为0.85。</w:t>
      </w:r>
    </w:p>
    <w:p w14:paraId="04DA1E1C">
      <w:pPr>
        <w:pStyle w:val="5"/>
      </w:pPr>
      <w:r>
        <w:t>2.1.5.4公共供水管网改造</w:t>
      </w:r>
    </w:p>
    <w:p w14:paraId="66FB87F6">
      <w:pPr>
        <w:ind w:firstLine="480"/>
        <w:rPr>
          <w:rFonts w:cs="Times New Roman"/>
          <w:szCs w:val="28"/>
        </w:rPr>
      </w:pPr>
      <w:r>
        <w:rPr>
          <w:rFonts w:cs="Times New Roman"/>
          <w:szCs w:val="28"/>
        </w:rPr>
        <w:t>从2011 年开始，中山公用水务每年投入约8000万进行管网改扩建工程，有效改善中山市供水管网的漏损情况。</w:t>
      </w:r>
      <w:r>
        <w:rPr>
          <w:rFonts w:hint="eastAsia" w:cs="Times New Roman"/>
          <w:szCs w:val="28"/>
        </w:rPr>
        <w:t>西区</w:t>
      </w:r>
      <w:r>
        <w:rPr>
          <w:rFonts w:cs="Times New Roman"/>
          <w:szCs w:val="28"/>
        </w:rPr>
        <w:t>的管网改造费用纳入市的公用水务投入，近几年来，</w:t>
      </w:r>
      <w:r>
        <w:rPr>
          <w:rFonts w:hint="eastAsia" w:cs="Times New Roman"/>
          <w:szCs w:val="28"/>
        </w:rPr>
        <w:t>西区</w:t>
      </w:r>
      <w:r>
        <w:rPr>
          <w:rFonts w:cs="Times New Roman"/>
          <w:szCs w:val="28"/>
        </w:rPr>
        <w:t>紧跟市的步伐，积极改造供水管网</w:t>
      </w:r>
      <w:r>
        <w:rPr>
          <w:rFonts w:hint="eastAsia" w:cs="Times New Roman"/>
          <w:szCs w:val="28"/>
        </w:rPr>
        <w:t>。根据西区水利所提供的数据，西区沙朗供水公司的供水管网约18km（</w:t>
      </w:r>
      <w:r>
        <w:rPr>
          <w:rFonts w:cs="Times New Roman"/>
          <w:szCs w:val="28"/>
        </w:rPr>
        <w:t>≥DN50</w:t>
      </w:r>
      <w:r>
        <w:rPr>
          <w:rFonts w:hint="eastAsia" w:cs="Times New Roman"/>
          <w:szCs w:val="28"/>
        </w:rPr>
        <w:t>），多为上世纪九十年代铺设，多为灰口铸铁管、镀锌管和水泥管，管材质量较差，管道口径偏小、老化严重，存在较多供水安全隐患，已出现水质、水压、爆漏等问题。到期需更换的贸易水表约12000个，约占供水公司总水表数的58%。因此，为逐步解决沙朗片区管网以及计量问题，需对本片区的供水管网及水表进行大规模改造，同时，根据消防要求，还需对不符合要求的消防栓进行改造及对尚未安装的区域新增消防栓。根据西区供水公司提供的数据，2017年西区</w:t>
      </w:r>
      <w:r>
        <w:rPr>
          <w:rFonts w:cs="Times New Roman"/>
          <w:szCs w:val="28"/>
        </w:rPr>
        <w:t>管网漏损率为</w:t>
      </w:r>
      <w:r>
        <w:rPr>
          <w:rFonts w:hint="eastAsia" w:cs="Times New Roman"/>
          <w:szCs w:val="28"/>
        </w:rPr>
        <w:t>10.35</w:t>
      </w:r>
      <w:r>
        <w:rPr>
          <w:rFonts w:cs="Times New Roman"/>
          <w:szCs w:val="28"/>
        </w:rPr>
        <w:t>%。</w:t>
      </w:r>
    </w:p>
    <w:p w14:paraId="65633E23">
      <w:pPr>
        <w:pStyle w:val="5"/>
      </w:pPr>
      <w:r>
        <w:t>2.1.5.5非常规水源利用率</w:t>
      </w:r>
    </w:p>
    <w:p w14:paraId="5346CE03">
      <w:pPr>
        <w:ind w:firstLine="480"/>
        <w:rPr>
          <w:rFonts w:cs="Times New Roman"/>
          <w:szCs w:val="28"/>
        </w:rPr>
      </w:pPr>
      <w:r>
        <w:rPr>
          <w:rFonts w:hint="eastAsia" w:ascii="宋体" w:hAnsi="宋体" w:eastAsia="宋体" w:cs="宋体"/>
          <w:szCs w:val="28"/>
        </w:rPr>
        <w:t>根据《中</w:t>
      </w:r>
      <w:r>
        <w:rPr>
          <w:rFonts w:cs="Times New Roman"/>
          <w:szCs w:val="28"/>
        </w:rPr>
        <w:t>山市节水型社会建设和非常规水源开发利用规划（2016-2020年）》，中山市在非常规水源的利用方面起步较晚，目前对非常规水源的利用主要集中在电厂。中山市对雨水利用主要用于厂内绿化浇水及清洗路面，目前只有永安电厂和中山市中心组团垃圾焚烧发电厂对雨水资源进行利用，利用量约为15万m³/a。目前，</w:t>
      </w:r>
      <w:r>
        <w:rPr>
          <w:rFonts w:hint="eastAsia" w:cs="Times New Roman"/>
          <w:szCs w:val="28"/>
        </w:rPr>
        <w:t>西区只对部分工业中水进行回用</w:t>
      </w:r>
      <w:r>
        <w:rPr>
          <w:rFonts w:cs="Times New Roman"/>
          <w:szCs w:val="28"/>
        </w:rPr>
        <w:t>，非常规水源的开发利用潜力空间巨大，有效地开发、利用非常规水源将可以减少地表水的利用，对水资源的可持续发展有重要意义，因此，</w:t>
      </w:r>
      <w:r>
        <w:rPr>
          <w:rFonts w:hint="eastAsia" w:cs="Times New Roman"/>
          <w:szCs w:val="28"/>
        </w:rPr>
        <w:t>西区</w:t>
      </w:r>
      <w:r>
        <w:rPr>
          <w:rFonts w:cs="Times New Roman"/>
          <w:szCs w:val="28"/>
        </w:rPr>
        <w:t>未来应加强对再生水</w:t>
      </w:r>
      <w:r>
        <w:rPr>
          <w:rFonts w:hint="eastAsia" w:cs="Times New Roman"/>
          <w:szCs w:val="28"/>
        </w:rPr>
        <w:t>（工业企业的重复利用水）</w:t>
      </w:r>
      <w:r>
        <w:rPr>
          <w:rFonts w:cs="Times New Roman"/>
          <w:szCs w:val="28"/>
        </w:rPr>
        <w:t>、雨水等非常规水源的开发利用力度。</w:t>
      </w:r>
    </w:p>
    <w:p w14:paraId="75FE1F83">
      <w:pPr>
        <w:spacing w:line="240" w:lineRule="auto"/>
        <w:ind w:firstLine="480"/>
        <w:rPr>
          <w:rFonts w:cs="Times New Roman"/>
          <w:szCs w:val="28"/>
        </w:rPr>
      </w:pPr>
    </w:p>
    <w:p w14:paraId="1243CBAC">
      <w:pPr>
        <w:pStyle w:val="3"/>
        <w:spacing w:before="0" w:after="0" w:line="360" w:lineRule="auto"/>
        <w:rPr>
          <w:rFonts w:cs="Times New Roman"/>
        </w:rPr>
      </w:pPr>
      <w:bookmarkStart w:id="252" w:name="_Toc498877654"/>
      <w:bookmarkStart w:id="253" w:name="_Toc498447323"/>
      <w:bookmarkStart w:id="254" w:name="_Toc523306788"/>
      <w:bookmarkStart w:id="255" w:name="_Toc527881073"/>
      <w:bookmarkStart w:id="256" w:name="_Toc26918"/>
      <w:bookmarkStart w:id="257" w:name="_Toc22704"/>
      <w:bookmarkStart w:id="258" w:name="_Toc3407"/>
      <w:bookmarkStart w:id="259" w:name="_Toc16675026"/>
      <w:bookmarkStart w:id="260" w:name="_Toc528880279"/>
      <w:bookmarkStart w:id="261" w:name="_Toc526004918"/>
      <w:bookmarkStart w:id="262" w:name="_Toc528607247"/>
      <w:bookmarkStart w:id="263" w:name="_Toc19483"/>
      <w:bookmarkStart w:id="264" w:name="_Toc28548"/>
      <w:bookmarkStart w:id="265" w:name="_Toc26113"/>
      <w:r>
        <w:rPr>
          <w:rFonts w:cs="Times New Roman"/>
        </w:rPr>
        <w:t>2.1.6水文化</w:t>
      </w:r>
      <w:bookmarkEnd w:id="252"/>
      <w:bookmarkEnd w:id="253"/>
      <w:bookmarkEnd w:id="254"/>
      <w:r>
        <w:rPr>
          <w:rFonts w:cs="Times New Roman"/>
        </w:rPr>
        <w:t>体系建设现状</w:t>
      </w:r>
      <w:bookmarkEnd w:id="255"/>
      <w:bookmarkEnd w:id="256"/>
      <w:bookmarkEnd w:id="257"/>
      <w:bookmarkEnd w:id="258"/>
      <w:bookmarkEnd w:id="259"/>
      <w:bookmarkEnd w:id="260"/>
      <w:bookmarkEnd w:id="261"/>
      <w:bookmarkEnd w:id="262"/>
      <w:bookmarkEnd w:id="263"/>
      <w:bookmarkEnd w:id="264"/>
      <w:bookmarkEnd w:id="265"/>
    </w:p>
    <w:p w14:paraId="23B4B6BC">
      <w:pPr>
        <w:pStyle w:val="5"/>
      </w:pPr>
      <w:r>
        <w:t>2.1.6.1水文化载体建设</w:t>
      </w:r>
    </w:p>
    <w:p w14:paraId="2D42EE4E">
      <w:pPr>
        <w:ind w:firstLine="480"/>
        <w:rPr>
          <w:rFonts w:cs="Times New Roman"/>
          <w:szCs w:val="28"/>
        </w:rPr>
      </w:pPr>
      <w:r>
        <w:rPr>
          <w:rFonts w:cs="Times New Roman"/>
          <w:szCs w:val="28"/>
        </w:rPr>
        <w:t>目前</w:t>
      </w:r>
      <w:r>
        <w:rPr>
          <w:rFonts w:hint="eastAsia" w:cs="Times New Roman"/>
          <w:szCs w:val="28"/>
        </w:rPr>
        <w:t>西区</w:t>
      </w:r>
      <w:r>
        <w:rPr>
          <w:rFonts w:cs="Times New Roman"/>
          <w:szCs w:val="28"/>
        </w:rPr>
        <w:t>在水文化载体建设比较少，但在改善水生态环境的基础上，深入挖掘，积极开发沿江公园、滨水广场、修建亲水建筑设施，建造了彰显岭南水乡文化底蕴的水生态示范工程，建成</w:t>
      </w:r>
      <w:r>
        <w:rPr>
          <w:rFonts w:hint="eastAsia" w:cs="Times New Roman"/>
          <w:szCs w:val="28"/>
        </w:rPr>
        <w:t>彩虹绿洲湿地公园和六涌休闲湿地公园</w:t>
      </w:r>
      <w:r>
        <w:rPr>
          <w:rFonts w:cs="Times New Roman"/>
          <w:szCs w:val="28"/>
        </w:rPr>
        <w:t>。</w:t>
      </w:r>
      <w:r>
        <w:rPr>
          <w:rFonts w:hint="eastAsia" w:cs="Times New Roman"/>
          <w:szCs w:val="28"/>
        </w:rPr>
        <w:t>西区应借助岐江游、醉龙文化、长洲烟雨的旅游名镇名片，以服务业综合改革试验区、中国中小企业互联网应用创新（中山）示范园、中医健康养生小镇三大产业平台为核心，依托狮山公园、岐江公园、马山公园的自然资源，着重对烟洲书院、黄氏宗祠进行改造，重新整合西区旅游资源，开拓具有醉龙文化的西区人文环境特色的生态休闲旅游景区。</w:t>
      </w:r>
    </w:p>
    <w:p w14:paraId="60C59332">
      <w:pPr>
        <w:pStyle w:val="5"/>
      </w:pPr>
      <w:r>
        <w:t>2.1.6.2水文化宣传教育不断开展</w:t>
      </w:r>
    </w:p>
    <w:p w14:paraId="5D48079C">
      <w:pPr>
        <w:ind w:firstLine="480"/>
        <w:rPr>
          <w:rFonts w:cs="宋体"/>
          <w:szCs w:val="28"/>
        </w:rPr>
      </w:pPr>
      <w:r>
        <w:rPr>
          <w:rFonts w:hint="eastAsia" w:cs="宋体"/>
          <w:szCs w:val="28"/>
        </w:rPr>
        <w:t>西区水利所应紧紧围绕“世界水日”和“中国水周”活动，落实“创新、协调、绿色、开放、共享”五大发展理念，积极开展宣传活动。例如，在该水利所办公点及主要水利工程建筑物所在地的显眼位置悬挂宣传标语，张贴主题宣传画，到各村派发中国水利报特刊等形式，扩大宣传效果，唤起公众的节水意识，加强水资源保护，促进人水和谐。进一步提高广大群众节水意识，营造爱水、惜水、护水的社会氛围，积极推进节水型社会建设。为了进一步加大水文化宣传教育，西区应开展如下宣传工作：</w:t>
      </w:r>
    </w:p>
    <w:p w14:paraId="37121CFC">
      <w:pPr>
        <w:ind w:firstLine="480"/>
        <w:rPr>
          <w:szCs w:val="28"/>
        </w:rPr>
      </w:pPr>
      <w:r>
        <w:rPr>
          <w:rFonts w:hint="eastAsia" w:cs="宋体"/>
          <w:szCs w:val="28"/>
        </w:rPr>
        <w:t>①</w:t>
      </w:r>
      <w:r>
        <w:rPr>
          <w:rFonts w:hint="eastAsia"/>
          <w:szCs w:val="28"/>
        </w:rPr>
        <w:t>西区</w:t>
      </w:r>
      <w:r>
        <w:rPr>
          <w:szCs w:val="28"/>
        </w:rPr>
        <w:t>水利所</w:t>
      </w:r>
      <w:r>
        <w:rPr>
          <w:rFonts w:hint="eastAsia"/>
          <w:szCs w:val="28"/>
        </w:rPr>
        <w:t>应</w:t>
      </w:r>
      <w:r>
        <w:rPr>
          <w:szCs w:val="28"/>
        </w:rPr>
        <w:t>紧紧</w:t>
      </w:r>
      <w:r>
        <w:rPr>
          <w:rFonts w:hint="eastAsia" w:ascii="宋体" w:hAnsi="宋体" w:eastAsia="宋体" w:cs="宋体"/>
          <w:szCs w:val="28"/>
        </w:rPr>
        <w:t>围绕“实施国家节水行动，建设节水型社会”的</w:t>
      </w:r>
      <w:r>
        <w:rPr>
          <w:szCs w:val="28"/>
        </w:rPr>
        <w:t>主题，通过多种途径学习和宣传水法律法规</w:t>
      </w:r>
      <w:r>
        <w:rPr>
          <w:rFonts w:hint="eastAsia"/>
          <w:szCs w:val="28"/>
        </w:rPr>
        <w:t>，继续</w:t>
      </w:r>
      <w:r>
        <w:rPr>
          <w:szCs w:val="28"/>
        </w:rPr>
        <w:t>组织</w:t>
      </w:r>
      <w:r>
        <w:rPr>
          <w:rFonts w:hint="eastAsia"/>
          <w:szCs w:val="28"/>
        </w:rPr>
        <w:t>西区</w:t>
      </w:r>
      <w:r>
        <w:rPr>
          <w:szCs w:val="28"/>
        </w:rPr>
        <w:t>水利所干部职工深入学习贯彻《中华人民共和国水法》，掌握新时期水利建设、水资源、水生态提出的新要求、新举措</w:t>
      </w:r>
      <w:r>
        <w:rPr>
          <w:rFonts w:hint="eastAsia"/>
          <w:szCs w:val="28"/>
        </w:rPr>
        <w:t>。</w:t>
      </w:r>
    </w:p>
    <w:p w14:paraId="1ADBC29A">
      <w:pPr>
        <w:ind w:firstLine="480"/>
        <w:rPr>
          <w:szCs w:val="28"/>
        </w:rPr>
      </w:pPr>
      <w:r>
        <w:rPr>
          <w:rFonts w:hint="eastAsia" w:cs="宋体"/>
          <w:szCs w:val="28"/>
        </w:rPr>
        <w:t>②西区应</w:t>
      </w:r>
      <w:r>
        <w:rPr>
          <w:szCs w:val="28"/>
        </w:rPr>
        <w:t>在</w:t>
      </w:r>
      <w:r>
        <w:rPr>
          <w:rFonts w:hint="eastAsia"/>
          <w:szCs w:val="28"/>
        </w:rPr>
        <w:t>本地</w:t>
      </w:r>
      <w:r>
        <w:rPr>
          <w:szCs w:val="28"/>
        </w:rPr>
        <w:t>电视台播放节水宣传视频，</w:t>
      </w:r>
      <w:r>
        <w:rPr>
          <w:rFonts w:hint="eastAsia"/>
          <w:szCs w:val="28"/>
        </w:rPr>
        <w:t>以及</w:t>
      </w:r>
      <w:r>
        <w:rPr>
          <w:szCs w:val="28"/>
        </w:rPr>
        <w:t>人口流动量较大的广场通过LED宣传屏宣传节水。</w:t>
      </w:r>
    </w:p>
    <w:p w14:paraId="2F4836D5">
      <w:pPr>
        <w:ind w:firstLine="480"/>
        <w:rPr>
          <w:szCs w:val="28"/>
        </w:rPr>
      </w:pPr>
      <w:r>
        <w:rPr>
          <w:rFonts w:hint="eastAsia" w:cs="宋体"/>
          <w:szCs w:val="28"/>
        </w:rPr>
        <w:t>③</w:t>
      </w:r>
      <w:r>
        <w:rPr>
          <w:szCs w:val="28"/>
        </w:rPr>
        <w:t>在科技发达的今天，使用微信的人群十分普遍，微信公众号作为一个低成本而受欢迎的宣传媒体，具有一对多的传播宣传优势，直接将消息推送到手机，达到率和被光看率几乎是100%。因此，</w:t>
      </w:r>
      <w:r>
        <w:rPr>
          <w:rFonts w:hint="eastAsia"/>
          <w:szCs w:val="28"/>
        </w:rPr>
        <w:t>西区</w:t>
      </w:r>
      <w:r>
        <w:rPr>
          <w:szCs w:val="28"/>
        </w:rPr>
        <w:t>水利所</w:t>
      </w:r>
      <w:r>
        <w:rPr>
          <w:rFonts w:hint="eastAsia"/>
          <w:szCs w:val="28"/>
        </w:rPr>
        <w:t>应继续</w:t>
      </w:r>
      <w:r>
        <w:rPr>
          <w:szCs w:val="28"/>
        </w:rPr>
        <w:t>通过</w:t>
      </w:r>
      <w:r>
        <w:rPr>
          <w:rFonts w:hint="eastAsia"/>
          <w:szCs w:val="28"/>
        </w:rPr>
        <w:t>西区</w:t>
      </w:r>
      <w:r>
        <w:rPr>
          <w:szCs w:val="28"/>
        </w:rPr>
        <w:t>微信公众号发送微信推文以推广节约用水。</w:t>
      </w:r>
    </w:p>
    <w:p w14:paraId="7BE763DE">
      <w:pPr>
        <w:pStyle w:val="4"/>
        <w:spacing w:before="0" w:after="0" w:line="360" w:lineRule="auto"/>
        <w:rPr>
          <w:rFonts w:cs="Times New Roman"/>
        </w:rPr>
      </w:pPr>
      <w:bookmarkStart w:id="266" w:name="_Toc16675027"/>
      <w:bookmarkStart w:id="267" w:name="_Toc528607248"/>
      <w:r>
        <w:rPr>
          <w:rFonts w:cs="Times New Roman"/>
        </w:rPr>
        <w:t>2.2存在的主要问题</w:t>
      </w:r>
      <w:bookmarkEnd w:id="266"/>
      <w:bookmarkEnd w:id="267"/>
    </w:p>
    <w:p w14:paraId="78E77557">
      <w:pPr>
        <w:ind w:firstLine="480"/>
        <w:rPr>
          <w:rFonts w:cs="Times New Roman"/>
          <w:szCs w:val="28"/>
        </w:rPr>
      </w:pPr>
      <w:r>
        <w:rPr>
          <w:rFonts w:cs="Times New Roman"/>
          <w:szCs w:val="28"/>
        </w:rPr>
        <w:t>在资料调查收集基础上，根据《水生态文明城市建设评价导则》（SL/Z738-2016）的要求与中山市</w:t>
      </w:r>
      <w:r>
        <w:rPr>
          <w:rFonts w:hint="eastAsia" w:cs="Times New Roman"/>
          <w:szCs w:val="28"/>
        </w:rPr>
        <w:t>西区</w:t>
      </w:r>
      <w:r>
        <w:rPr>
          <w:rFonts w:cs="Times New Roman"/>
          <w:szCs w:val="28"/>
        </w:rPr>
        <w:t>水生态文明建设现状，从水安全、水环境、水生态、水监管、水节约及水文化等方面入手构建</w:t>
      </w:r>
      <w:r>
        <w:rPr>
          <w:rFonts w:hint="eastAsia" w:cs="Times New Roman"/>
          <w:szCs w:val="28"/>
        </w:rPr>
        <w:t>西区</w:t>
      </w:r>
      <w:r>
        <w:rPr>
          <w:rFonts w:cs="Times New Roman"/>
          <w:szCs w:val="28"/>
        </w:rPr>
        <w:t>水生态文明城市建设指标体系，以此为基础分析</w:t>
      </w:r>
      <w:r>
        <w:rPr>
          <w:rFonts w:hint="eastAsia" w:cs="Times New Roman"/>
          <w:szCs w:val="28"/>
        </w:rPr>
        <w:t>西区</w:t>
      </w:r>
      <w:r>
        <w:rPr>
          <w:rFonts w:cs="Times New Roman"/>
          <w:szCs w:val="28"/>
        </w:rPr>
        <w:t>的水生态文明建设现状与问题。</w:t>
      </w:r>
    </w:p>
    <w:p w14:paraId="656BFBCA">
      <w:pPr>
        <w:spacing w:line="240" w:lineRule="auto"/>
        <w:ind w:firstLine="480"/>
        <w:rPr>
          <w:rFonts w:cs="Times New Roman"/>
          <w:szCs w:val="28"/>
        </w:rPr>
      </w:pPr>
    </w:p>
    <w:p w14:paraId="25F48152">
      <w:pPr>
        <w:pStyle w:val="3"/>
        <w:spacing w:before="0" w:after="0" w:line="360" w:lineRule="auto"/>
        <w:rPr>
          <w:rFonts w:cs="Times New Roman"/>
        </w:rPr>
      </w:pPr>
      <w:bookmarkStart w:id="268" w:name="_Toc523306792"/>
      <w:bookmarkStart w:id="269" w:name="_Toc21747"/>
      <w:bookmarkStart w:id="270" w:name="_Toc527881075"/>
      <w:bookmarkStart w:id="271" w:name="_Toc14389"/>
      <w:bookmarkStart w:id="272" w:name="_Toc4622"/>
      <w:bookmarkStart w:id="273" w:name="_Toc526004920"/>
      <w:bookmarkStart w:id="274" w:name="_Toc31242"/>
      <w:bookmarkStart w:id="275" w:name="_Toc8153"/>
      <w:bookmarkStart w:id="276" w:name="_Toc23793"/>
      <w:bookmarkStart w:id="277" w:name="_Toc16675028"/>
      <w:bookmarkStart w:id="278" w:name="_Toc528880281"/>
      <w:bookmarkStart w:id="279" w:name="_Toc528607249"/>
      <w:r>
        <w:rPr>
          <w:rFonts w:cs="Times New Roman"/>
        </w:rPr>
        <w:t>2.2.1水安全体系建设有待完善</w:t>
      </w:r>
      <w:bookmarkEnd w:id="268"/>
      <w:bookmarkEnd w:id="269"/>
      <w:bookmarkEnd w:id="270"/>
      <w:bookmarkEnd w:id="271"/>
      <w:bookmarkEnd w:id="272"/>
      <w:bookmarkEnd w:id="273"/>
      <w:bookmarkEnd w:id="274"/>
      <w:bookmarkEnd w:id="275"/>
      <w:bookmarkEnd w:id="276"/>
      <w:bookmarkEnd w:id="277"/>
      <w:bookmarkEnd w:id="278"/>
      <w:bookmarkEnd w:id="279"/>
    </w:p>
    <w:p w14:paraId="20C36537">
      <w:pPr>
        <w:pStyle w:val="5"/>
      </w:pPr>
      <w:r>
        <w:t>2.2.1.</w:t>
      </w:r>
      <w:r>
        <w:rPr>
          <w:rFonts w:hint="eastAsia"/>
        </w:rPr>
        <w:t>1</w:t>
      </w:r>
      <w:r>
        <w:t>进一步加强与提高居民供水水质安全</w:t>
      </w:r>
    </w:p>
    <w:p w14:paraId="26A30112">
      <w:pPr>
        <w:ind w:firstLine="480"/>
        <w:rPr>
          <w:rFonts w:cs="Times New Roman"/>
          <w:szCs w:val="28"/>
        </w:rPr>
      </w:pPr>
      <w:r>
        <w:rPr>
          <w:rFonts w:hint="eastAsia" w:cs="Times New Roman"/>
          <w:szCs w:val="28"/>
        </w:rPr>
        <w:t>西区</w:t>
      </w:r>
      <w:r>
        <w:rPr>
          <w:rFonts w:cs="Times New Roman"/>
          <w:szCs w:val="28"/>
        </w:rPr>
        <w:t>供水管网</w:t>
      </w:r>
      <w:r>
        <w:rPr>
          <w:rFonts w:hint="eastAsia" w:cs="Times New Roman"/>
          <w:szCs w:val="28"/>
        </w:rPr>
        <w:t>多为灰口铸铁管、镀锌管和水泥管，管材质量较差，管道口径偏小、老化严重，存在较多供水安全隐患，已出现水质、水压、爆漏等问题。</w:t>
      </w:r>
      <w:r>
        <w:rPr>
          <w:rFonts w:cs="Times New Roman"/>
          <w:szCs w:val="28"/>
        </w:rPr>
        <w:t>供水到户的饮用水水质直接关系到居民生活饮用水安全，</w:t>
      </w:r>
      <w:r>
        <w:rPr>
          <w:rFonts w:hint="eastAsia" w:cs="Times New Roman"/>
          <w:szCs w:val="28"/>
        </w:rPr>
        <w:t>目前西区只对供水管出水的原水水质有进行监测，出水水质监测体系还不完善，急需建立一套完善的原水—出厂水—管网水—到户水的全体系供水水质监管系统，以保障居民用水安全。</w:t>
      </w:r>
    </w:p>
    <w:p w14:paraId="6F69F060">
      <w:pPr>
        <w:pStyle w:val="5"/>
      </w:pPr>
      <w:r>
        <w:t>2.2.1.</w:t>
      </w:r>
      <w:r>
        <w:rPr>
          <w:rFonts w:hint="eastAsia"/>
        </w:rPr>
        <w:t>2</w:t>
      </w:r>
      <w:r>
        <w:t>进一步加强防洪</w:t>
      </w:r>
      <w:r>
        <w:rPr>
          <w:rFonts w:hint="eastAsia"/>
        </w:rPr>
        <w:t>排涝</w:t>
      </w:r>
      <w:r>
        <w:t>体系安全</w:t>
      </w:r>
    </w:p>
    <w:p w14:paraId="0D52AE81">
      <w:pPr>
        <w:ind w:firstLine="480"/>
        <w:rPr>
          <w:rFonts w:cs="Times New Roman"/>
          <w:szCs w:val="28"/>
        </w:rPr>
      </w:pPr>
      <w:r>
        <w:rPr>
          <w:rFonts w:cs="Times New Roman"/>
          <w:szCs w:val="28"/>
        </w:rPr>
        <w:t>依据《中山市城市排水（雨水）防洪综合规划》（2016年），规划提高了区域排涝标准，</w:t>
      </w:r>
      <w:r>
        <w:rPr>
          <w:rFonts w:hint="eastAsia" w:cs="Times New Roman"/>
          <w:szCs w:val="28"/>
        </w:rPr>
        <w:t>西区</w:t>
      </w:r>
      <w:r>
        <w:rPr>
          <w:rFonts w:cs="Times New Roman"/>
          <w:szCs w:val="28"/>
        </w:rPr>
        <w:t>境内的河涌大部分达不到新标准，相应设施亟需升级改造。</w:t>
      </w:r>
    </w:p>
    <w:p w14:paraId="3E9F9BF2">
      <w:pPr>
        <w:ind w:firstLine="480"/>
        <w:rPr>
          <w:rFonts w:cs="Times New Roman"/>
          <w:szCs w:val="28"/>
        </w:rPr>
      </w:pPr>
      <w:r>
        <w:rPr>
          <w:rFonts w:hint="eastAsia" w:cs="Times New Roman"/>
          <w:szCs w:val="28"/>
        </w:rPr>
        <w:t>西区现状主要存在内涝问题，部分河涌断面缩窄，过流能力降低。由于城市化发展，部分河涌被挤占，水域面积萎缩，淤积严重，加上违章建筑挤占河道的现象普遍存在，导致河涌过流断面缩小，过流不畅，污染物滞留，不利于排涝，且导致水质恶化。镇区现状排涝标准相当于10年一遇最大24小时设计暴雨</w:t>
      </w:r>
      <w:r>
        <w:rPr>
          <w:rFonts w:cs="Times New Roman"/>
          <w:szCs w:val="28"/>
        </w:rPr>
        <w:t>2</w:t>
      </w:r>
      <w:r>
        <w:rPr>
          <w:rFonts w:hint="eastAsia" w:cs="Times New Roman"/>
          <w:szCs w:val="28"/>
        </w:rPr>
        <w:t xml:space="preserve">天排干，排涝标准偏低，外排泵站规模不足。根据《中山市中顺大围内河河网综合规划》，西区的排涝标准应为城镇道路按 20年一遇最大24小时设计暴雨所产生的径流量1天排干不致灾；农田、经济作物、鱼塘按20年一遇最大24小时设计暴雨所产生的径流量1小时排干。未来西区的主要河道最小宽度：十六顷涌西区段为22m，石特涌西区段为15m，南八涌西区段为15m，沙朗涌西区段为20m，后山新开涌西区段为25m，狮窖河西区段为45m，岐江河西区段基本保持现状80~100m宽度不变，最窄处不能小于80m。 </w:t>
      </w:r>
    </w:p>
    <w:p w14:paraId="19862913">
      <w:pPr>
        <w:ind w:firstLine="480"/>
        <w:rPr>
          <w:rFonts w:cs="Times New Roman"/>
          <w:szCs w:val="28"/>
        </w:rPr>
      </w:pPr>
      <w:r>
        <w:rPr>
          <w:rFonts w:hint="eastAsia" w:cs="Times New Roman"/>
          <w:szCs w:val="28"/>
        </w:rPr>
        <w:t>西区内部分水闸使用年限较长，闸体结构不能满足安全性要求，需对其进行重新检测，对其进行加固，对不满足设计标准的水闸需进行重新设计。同时随着内河涌的改道或拓宽，水闸净宽与河宽相差较大，容易形成排水瓶颈，部分水闸需重建。</w:t>
      </w:r>
    </w:p>
    <w:p w14:paraId="22726077">
      <w:pPr>
        <w:pStyle w:val="5"/>
      </w:pPr>
      <w:r>
        <w:t>2.2.1.</w:t>
      </w:r>
      <w:r>
        <w:rPr>
          <w:rFonts w:hint="eastAsia"/>
        </w:rPr>
        <w:t>3</w:t>
      </w:r>
      <w:r>
        <w:t>需加强城市调蓄洪涝能力</w:t>
      </w:r>
    </w:p>
    <w:p w14:paraId="2DF5518C">
      <w:pPr>
        <w:ind w:firstLine="480"/>
        <w:rPr>
          <w:rFonts w:cs="Times New Roman"/>
          <w:szCs w:val="28"/>
        </w:rPr>
      </w:pPr>
      <w:r>
        <w:rPr>
          <w:rFonts w:hint="eastAsia" w:cs="Times New Roman"/>
          <w:szCs w:val="28"/>
        </w:rPr>
        <w:t>西区</w:t>
      </w:r>
      <w:r>
        <w:rPr>
          <w:rFonts w:cs="Times New Roman"/>
          <w:szCs w:val="28"/>
        </w:rPr>
        <w:t>的工业、城市建设用地不断增加，农田、鱼塘等农业用地逐渐减少，导致围内蓄滞能力大大降低，从而加大了排涝压力和内涝风险。加上</w:t>
      </w:r>
      <w:r>
        <w:rPr>
          <w:rFonts w:hint="eastAsia" w:cs="Times New Roman"/>
          <w:szCs w:val="28"/>
        </w:rPr>
        <w:t>西区</w:t>
      </w:r>
      <w:r>
        <w:rPr>
          <w:rFonts w:cs="Times New Roman"/>
          <w:szCs w:val="28"/>
        </w:rPr>
        <w:t>部分河涌断面狭窄，淤积严重，加上违章建筑挤占河道的现象普遍存在，且跨河建筑物处严重缩窄河道，导致河涌过流断面缩小，过流能力降低，使得可调蓄雨洪的水面面积不断减少，从而影响了河涌的排涝能力。</w:t>
      </w:r>
    </w:p>
    <w:p w14:paraId="6FDF6EC5">
      <w:pPr>
        <w:ind w:firstLine="480"/>
        <w:rPr>
          <w:rFonts w:cs="Times New Roman"/>
          <w:szCs w:val="28"/>
        </w:rPr>
      </w:pPr>
      <w:r>
        <w:rPr>
          <w:rFonts w:cs="Times New Roman"/>
          <w:szCs w:val="28"/>
        </w:rPr>
        <w:t>2017年</w:t>
      </w:r>
      <w:r>
        <w:rPr>
          <w:rFonts w:hint="eastAsia" w:cs="Times New Roman"/>
          <w:szCs w:val="28"/>
        </w:rPr>
        <w:t>西区</w:t>
      </w:r>
      <w:r>
        <w:rPr>
          <w:rFonts w:cs="Times New Roman"/>
          <w:szCs w:val="28"/>
        </w:rPr>
        <w:t>现状水域面积率</w:t>
      </w:r>
      <w:r>
        <w:rPr>
          <w:rFonts w:hint="eastAsia" w:cs="Times New Roman"/>
          <w:szCs w:val="28"/>
        </w:rPr>
        <w:t>为7.06</w:t>
      </w:r>
      <w:r>
        <w:rPr>
          <w:rFonts w:cs="Times New Roman"/>
          <w:szCs w:val="28"/>
        </w:rPr>
        <w:t>%，未来</w:t>
      </w:r>
      <w:r>
        <w:rPr>
          <w:rFonts w:hint="eastAsia" w:cs="Times New Roman"/>
          <w:szCs w:val="28"/>
        </w:rPr>
        <w:t>西区应</w:t>
      </w:r>
      <w:r>
        <w:rPr>
          <w:rFonts w:cs="Times New Roman"/>
          <w:szCs w:val="28"/>
        </w:rPr>
        <w:t>加大水域空间管控的管理，确保水域空间不被侵占，逐渐恢复河流应有的水域保护空间。提高有效的滞蓄面积，增加透水砖铺装、下沉绿地、雨水花园、生态树池等滞留设施，透水水泥和沥青混凝土路面等渗透设施，雨水湿地、湿塘等储存设施，调节塘、调节池等调节设施，植草沟、渗管、渗渠等转输设施，植被缓冲带、初期雨水弃流设施（池、井）等截污净化设施等设施建设。另外，由于城市化发展与前期治涝理念的落后，城市建设地面被硬化，透水面积减少。水域面积率与透水面积的减少，严重削弱了城市对雨洪的调蓄能力，城市内涝还较严重。</w:t>
      </w:r>
    </w:p>
    <w:p w14:paraId="57FBB46A">
      <w:pPr>
        <w:ind w:firstLine="480"/>
        <w:rPr>
          <w:rFonts w:cs="Times New Roman"/>
          <w:szCs w:val="28"/>
        </w:rPr>
      </w:pPr>
      <w:r>
        <w:rPr>
          <w:rFonts w:cs="Times New Roman"/>
          <w:szCs w:val="28"/>
        </w:rPr>
        <w:t>随着信息化、大数据发展与海绵城市理念的普及，传统水利防洪排涝也必须加快速度与信息化管理步伐接轨，海绵城市理念需进一步落实，由此，中山市于2016年完成了《中山市城市排水（雨水）防洪综合规划》，2017年完成《中山市海绵城市市专项规划》，制定《中山市中心城区防内涝应急联动工作方案》等，进一步提高了区域排涝标准，相应设施亟需升级改造，水闸、泵站联合自动化调度、内涝应急自动化信息系统还有待进一步完善。</w:t>
      </w:r>
    </w:p>
    <w:p w14:paraId="3E7E8B24">
      <w:pPr>
        <w:pStyle w:val="3"/>
        <w:spacing w:before="0" w:after="0" w:line="360" w:lineRule="auto"/>
        <w:rPr>
          <w:rFonts w:cs="Times New Roman"/>
        </w:rPr>
      </w:pPr>
      <w:bookmarkStart w:id="280" w:name="_Toc24138"/>
      <w:bookmarkStart w:id="281" w:name="_Toc526004921"/>
      <w:bookmarkStart w:id="282" w:name="_Toc20708"/>
      <w:bookmarkStart w:id="283" w:name="_Toc16675029"/>
      <w:bookmarkStart w:id="284" w:name="_Toc527881076"/>
      <w:bookmarkStart w:id="285" w:name="_Toc17182"/>
      <w:bookmarkStart w:id="286" w:name="_Toc7784"/>
      <w:bookmarkStart w:id="287" w:name="_Toc4842"/>
      <w:bookmarkStart w:id="288" w:name="_Toc523306793"/>
      <w:bookmarkStart w:id="289" w:name="_Toc28156"/>
      <w:bookmarkStart w:id="290" w:name="_Toc528607250"/>
      <w:bookmarkStart w:id="291" w:name="_Toc528880282"/>
      <w:r>
        <w:rPr>
          <w:rFonts w:cs="Times New Roman"/>
        </w:rPr>
        <w:t>2.2.2水环境有待综合治理完善</w:t>
      </w:r>
      <w:bookmarkEnd w:id="280"/>
      <w:bookmarkEnd w:id="281"/>
      <w:bookmarkEnd w:id="282"/>
      <w:bookmarkEnd w:id="283"/>
      <w:bookmarkEnd w:id="284"/>
      <w:bookmarkEnd w:id="285"/>
      <w:bookmarkEnd w:id="286"/>
      <w:bookmarkEnd w:id="287"/>
      <w:bookmarkEnd w:id="288"/>
      <w:bookmarkEnd w:id="289"/>
      <w:bookmarkEnd w:id="290"/>
      <w:bookmarkEnd w:id="291"/>
    </w:p>
    <w:p w14:paraId="7642BA0C">
      <w:pPr>
        <w:pStyle w:val="5"/>
      </w:pPr>
      <w:r>
        <w:t>2.2.2.1河湖水体污染依然严重</w:t>
      </w:r>
    </w:p>
    <w:p w14:paraId="7B372863">
      <w:pPr>
        <w:ind w:firstLine="480"/>
        <w:rPr>
          <w:rFonts w:cs="Times New Roman"/>
          <w:szCs w:val="28"/>
        </w:rPr>
      </w:pPr>
      <w:r>
        <w:rPr>
          <w:rFonts w:cs="Times New Roman"/>
          <w:szCs w:val="28"/>
        </w:rPr>
        <w:t>近年来</w:t>
      </w:r>
      <w:r>
        <w:rPr>
          <w:rFonts w:hint="eastAsia" w:cs="Times New Roman"/>
          <w:szCs w:val="28"/>
        </w:rPr>
        <w:t>西区</w:t>
      </w:r>
      <w:r>
        <w:rPr>
          <w:rFonts w:cs="Times New Roman"/>
          <w:szCs w:val="28"/>
        </w:rPr>
        <w:t>采取了多种措施遏制河湖水体污染，取得了一定效果，但现状水污染形势依然严峻，随着城市规模扩张和城镇化的持续推进，人类活动对河湖水体污染的威胁进一步增加。</w:t>
      </w:r>
      <w:r>
        <w:rPr>
          <w:rFonts w:hint="eastAsia" w:eastAsia="宋体" w:cs="Times New Roman"/>
          <w:szCs w:val="24"/>
        </w:rPr>
        <w:t>根据《201</w:t>
      </w:r>
      <w:r>
        <w:rPr>
          <w:rFonts w:eastAsia="宋体" w:cs="Times New Roman"/>
          <w:szCs w:val="24"/>
        </w:rPr>
        <w:t>7</w:t>
      </w:r>
      <w:r>
        <w:rPr>
          <w:rFonts w:hint="eastAsia" w:eastAsia="宋体" w:cs="Times New Roman"/>
          <w:szCs w:val="24"/>
        </w:rPr>
        <w:t>年中山市境内各镇区河涌水质监测数据统计》结果显示，201</w:t>
      </w:r>
      <w:r>
        <w:rPr>
          <w:rFonts w:eastAsia="宋体" w:cs="Times New Roman"/>
          <w:szCs w:val="24"/>
        </w:rPr>
        <w:t>7</w:t>
      </w:r>
      <w:r>
        <w:rPr>
          <w:rFonts w:hint="eastAsia" w:eastAsia="宋体" w:cs="Times New Roman"/>
          <w:szCs w:val="24"/>
        </w:rPr>
        <w:t>年西区检测的15条河涌</w:t>
      </w:r>
      <w:r>
        <w:rPr>
          <w:rFonts w:hint="eastAsia" w:ascii="宋体" w:hAnsi="宋体" w:eastAsia="宋体" w:cs="宋体"/>
          <w:szCs w:val="24"/>
        </w:rPr>
        <w:t>,</w:t>
      </w:r>
      <w:r>
        <w:rPr>
          <w:rFonts w:hint="eastAsia" w:eastAsia="宋体" w:cs="Times New Roman"/>
          <w:szCs w:val="24"/>
        </w:rPr>
        <w:t>14条为劣V类河涌，1条为V类河涌（表1-13）。</w:t>
      </w:r>
      <w:r>
        <w:rPr>
          <w:rFonts w:hint="eastAsia" w:eastAsia="宋体" w:cs="Times New Roman"/>
          <w:szCs w:val="28"/>
        </w:rPr>
        <w:t>西区</w:t>
      </w:r>
      <w:r>
        <w:rPr>
          <w:rFonts w:cs="Times New Roman"/>
          <w:szCs w:val="28"/>
        </w:rPr>
        <w:t>内河涌存在污染严重、污染源复杂、河床淤积、断面缩窄、渠化、流动性差等众多问题，内河涌水资源安全和水生态环境健康问题凸显。急需开展水环境综合治理与水生态修复工作。</w:t>
      </w:r>
    </w:p>
    <w:p w14:paraId="1C65F0EA">
      <w:pPr>
        <w:pStyle w:val="5"/>
      </w:pPr>
      <w:r>
        <w:t>2.2.2.2污水处理能力与水平有待提高</w:t>
      </w:r>
    </w:p>
    <w:p w14:paraId="08297768">
      <w:pPr>
        <w:ind w:firstLine="480"/>
        <w:rPr>
          <w:rFonts w:eastAsia="宋体" w:cs="Times New Roman"/>
          <w:szCs w:val="24"/>
        </w:rPr>
      </w:pPr>
      <w:r>
        <w:rPr>
          <w:rFonts w:hint="eastAsia" w:eastAsia="宋体" w:cs="Times New Roman"/>
          <w:szCs w:val="24"/>
        </w:rPr>
        <w:t>目前，西区的狮滘河以南西区城区片污水接入中嘉污水处理厂，狮滘河北岸的彩虹片、沙朗片接入珍家山污水处理厂。雨污分流工程存在问题：</w:t>
      </w:r>
      <w:r>
        <w:rPr>
          <w:rFonts w:hint="eastAsia" w:ascii="宋体" w:hAnsi="宋体" w:eastAsia="宋体" w:cs="宋体"/>
          <w:szCs w:val="24"/>
        </w:rPr>
        <w:t>①</w:t>
      </w:r>
      <w:r>
        <w:rPr>
          <w:rFonts w:hint="eastAsia" w:eastAsia="宋体" w:cs="Times New Roman"/>
          <w:szCs w:val="24"/>
        </w:rPr>
        <w:t>沙朗片污水经彩虹泵站输送到珍家山污水处理厂。目前沙朗片雨污分流工程完成部分管网未验收、未投入使用，导致全部已建管网无法运行，大量污水积蓄在管道内，经常反污反臭出路面，遇暴雨天更严重，严重影响居民正常出行及生活。</w:t>
      </w:r>
      <w:r>
        <w:rPr>
          <w:rFonts w:hint="eastAsia" w:ascii="宋体" w:hAnsi="宋体" w:eastAsia="宋体" w:cs="宋体"/>
          <w:szCs w:val="24"/>
        </w:rPr>
        <w:t>②</w:t>
      </w:r>
      <w:r>
        <w:rPr>
          <w:rFonts w:hint="eastAsia" w:eastAsia="宋体" w:cs="Times New Roman"/>
          <w:szCs w:val="24"/>
        </w:rPr>
        <w:t>未完成的工程无法推进。虽然设计已变更施工工艺技术（试验段已在西区隆昌社区获得成功），但因种种原因，推进无具体时间表，致使推进时间一拖再拖。</w:t>
      </w:r>
      <w:r>
        <w:rPr>
          <w:rFonts w:hint="eastAsia" w:ascii="宋体" w:hAnsi="宋体" w:eastAsia="宋体" w:cs="宋体"/>
          <w:szCs w:val="24"/>
        </w:rPr>
        <w:t>③</w:t>
      </w:r>
      <w:r>
        <w:rPr>
          <w:rFonts w:hint="eastAsia" w:eastAsia="宋体" w:cs="Times New Roman"/>
          <w:szCs w:val="24"/>
        </w:rPr>
        <w:t>支管到户剩余工程遇难无法推进。全部在沙朗片（涉及危房、险段、小区地下车库等），西区接收后遇到同样问题，也无法推进。</w:t>
      </w:r>
      <w:r>
        <w:rPr>
          <w:rFonts w:hint="eastAsia" w:ascii="宋体" w:hAnsi="宋体" w:eastAsia="宋体" w:cs="宋体"/>
          <w:szCs w:val="24"/>
        </w:rPr>
        <w:t>④</w:t>
      </w:r>
      <w:r>
        <w:rPr>
          <w:rFonts w:hint="eastAsia" w:eastAsia="宋体" w:cs="Times New Roman"/>
          <w:szCs w:val="24"/>
        </w:rPr>
        <w:t>雨污分流施工过程中影响居民房屋受损面广，赔付时间过长，赔付资金过大。</w:t>
      </w:r>
    </w:p>
    <w:p w14:paraId="27CD53CA">
      <w:pPr>
        <w:ind w:firstLine="480"/>
        <w:rPr>
          <w:rFonts w:cs="Times New Roman"/>
          <w:szCs w:val="28"/>
        </w:rPr>
      </w:pPr>
      <w:r>
        <w:rPr>
          <w:rFonts w:hint="eastAsia" w:cs="Times New Roman"/>
          <w:szCs w:val="28"/>
        </w:rPr>
        <w:t>随着</w:t>
      </w:r>
      <w:r>
        <w:rPr>
          <w:rFonts w:cs="Times New Roman"/>
          <w:szCs w:val="28"/>
        </w:rPr>
        <w:t>最严格水资源管理制度的实施，</w:t>
      </w:r>
      <w:r>
        <w:rPr>
          <w:rFonts w:hint="eastAsia" w:cs="Times New Roman"/>
          <w:szCs w:val="28"/>
        </w:rPr>
        <w:t>西区</w:t>
      </w:r>
      <w:r>
        <w:rPr>
          <w:rFonts w:cs="Times New Roman"/>
          <w:szCs w:val="28"/>
        </w:rPr>
        <w:t>用水量在减少，废污水排放总量有</w:t>
      </w:r>
      <w:r>
        <w:rPr>
          <w:rFonts w:hint="eastAsia" w:cs="Times New Roman"/>
          <w:szCs w:val="28"/>
        </w:rPr>
        <w:t>所</w:t>
      </w:r>
      <w:r>
        <w:rPr>
          <w:rFonts w:cs="Times New Roman"/>
          <w:szCs w:val="28"/>
        </w:rPr>
        <w:t>减少，但受污水厂处理规模、雨污合流、污水收集管网设施的影响，</w:t>
      </w:r>
      <w:r>
        <w:rPr>
          <w:rFonts w:hint="eastAsia" w:cs="Times New Roman"/>
          <w:szCs w:val="28"/>
        </w:rPr>
        <w:t>根据西区提供的数据，目前西区雨污分流工程彩虹大道主管尚未接通，生活污水处理率达不到100%，2017年西区生活污水处理率为90%。西区</w:t>
      </w:r>
      <w:r>
        <w:rPr>
          <w:rFonts w:cs="Times New Roman"/>
          <w:szCs w:val="28"/>
        </w:rPr>
        <w:t>现状污水处理厂尾水排放标准只达到一级B标准，亟需提标改造，污水厂污泥无害化处理还有待实施</w:t>
      </w:r>
      <w:r>
        <w:rPr>
          <w:rFonts w:hint="eastAsia" w:cs="Times New Roman"/>
          <w:szCs w:val="28"/>
        </w:rPr>
        <w:t>，以及大力加强提高污水处理率</w:t>
      </w:r>
      <w:r>
        <w:rPr>
          <w:rFonts w:cs="Times New Roman"/>
          <w:szCs w:val="28"/>
        </w:rPr>
        <w:t>。</w:t>
      </w:r>
    </w:p>
    <w:p w14:paraId="45616D71">
      <w:pPr>
        <w:spacing w:line="240" w:lineRule="auto"/>
        <w:ind w:firstLine="480"/>
        <w:rPr>
          <w:rFonts w:cs="Times New Roman"/>
          <w:szCs w:val="28"/>
        </w:rPr>
      </w:pPr>
    </w:p>
    <w:p w14:paraId="4AE8AEFE">
      <w:pPr>
        <w:pStyle w:val="3"/>
        <w:spacing w:before="0" w:after="0" w:line="360" w:lineRule="auto"/>
        <w:rPr>
          <w:rFonts w:cs="Times New Roman"/>
        </w:rPr>
      </w:pPr>
      <w:bookmarkStart w:id="292" w:name="_Toc11055"/>
      <w:bookmarkStart w:id="293" w:name="_Toc528607251"/>
      <w:bookmarkStart w:id="294" w:name="_Toc15313"/>
      <w:bookmarkStart w:id="295" w:name="_Toc527881077"/>
      <w:bookmarkStart w:id="296" w:name="_Toc526004922"/>
      <w:bookmarkStart w:id="297" w:name="_Toc11444"/>
      <w:bookmarkStart w:id="298" w:name="_Toc523306794"/>
      <w:bookmarkStart w:id="299" w:name="_Toc19143"/>
      <w:bookmarkStart w:id="300" w:name="_Toc16675030"/>
      <w:bookmarkStart w:id="301" w:name="_Toc528880283"/>
      <w:bookmarkStart w:id="302" w:name="_Toc32455"/>
      <w:bookmarkStart w:id="303" w:name="_Toc28163"/>
      <w:r>
        <w:rPr>
          <w:rFonts w:cs="Times New Roman"/>
        </w:rPr>
        <w:t>2.2.3水生态修复任务十分艰巨</w:t>
      </w:r>
      <w:bookmarkEnd w:id="292"/>
      <w:bookmarkEnd w:id="293"/>
      <w:bookmarkEnd w:id="294"/>
      <w:bookmarkEnd w:id="295"/>
      <w:bookmarkEnd w:id="296"/>
      <w:bookmarkEnd w:id="297"/>
      <w:bookmarkEnd w:id="298"/>
      <w:bookmarkEnd w:id="299"/>
      <w:bookmarkEnd w:id="300"/>
      <w:bookmarkEnd w:id="301"/>
      <w:bookmarkEnd w:id="302"/>
      <w:bookmarkEnd w:id="303"/>
    </w:p>
    <w:p w14:paraId="3460BD74">
      <w:pPr>
        <w:pStyle w:val="5"/>
      </w:pPr>
      <w:r>
        <w:t>2.2.3.1河流河岸带扰动严重，生态化程度低</w:t>
      </w:r>
    </w:p>
    <w:p w14:paraId="5FEBA552">
      <w:pPr>
        <w:ind w:firstLine="480"/>
        <w:rPr>
          <w:rFonts w:cs="Times New Roman"/>
          <w:szCs w:val="28"/>
        </w:rPr>
      </w:pPr>
      <w:r>
        <w:rPr>
          <w:rFonts w:hint="eastAsia" w:cs="Times New Roman"/>
          <w:szCs w:val="28"/>
        </w:rPr>
        <w:t>西区</w:t>
      </w:r>
      <w:r>
        <w:rPr>
          <w:rFonts w:cs="Times New Roman"/>
          <w:szCs w:val="28"/>
        </w:rPr>
        <w:t>内的河流河岸植被覆盖率较低，多在30%以下；河岸带及邻近陆域人类活动密集，大多建有房屋、厂房、仓库、公路等，河岸带受人为扰动较大，在城市建设区，人为修建的河岸带基本被硬化，缺乏河流与陆地两种类型生物系统的交换，破坏了河流原有的自然生态系统。因此，急需转变河岸整治的理念，在保障防洪排涝安全的条件下，在新建河道岸坡时尽量采用生态化的岸坡形式，并逐渐对已有的硬质化岸坡进行生态改造，恢复岸坡应有的生态功能。</w:t>
      </w:r>
    </w:p>
    <w:p w14:paraId="4A3AB4F8">
      <w:pPr>
        <w:pStyle w:val="5"/>
      </w:pPr>
      <w:r>
        <w:t>2.2.3.2河流生物系统遭到一定破坏，有待进一步实施水生态修复</w:t>
      </w:r>
    </w:p>
    <w:p w14:paraId="1B2E73D7">
      <w:pPr>
        <w:ind w:firstLine="480"/>
        <w:rPr>
          <w:rFonts w:cs="Times New Roman"/>
          <w:szCs w:val="28"/>
        </w:rPr>
      </w:pPr>
      <w:r>
        <w:rPr>
          <w:rFonts w:cs="Times New Roman"/>
          <w:szCs w:val="28"/>
        </w:rPr>
        <w:t>由于人类活动频繁，废污水排放量增加，</w:t>
      </w:r>
      <w:r>
        <w:rPr>
          <w:rFonts w:hint="eastAsia" w:cs="Times New Roman"/>
          <w:szCs w:val="28"/>
        </w:rPr>
        <w:t>西区</w:t>
      </w:r>
      <w:r>
        <w:rPr>
          <w:rFonts w:cs="Times New Roman"/>
          <w:szCs w:val="28"/>
        </w:rPr>
        <w:t>河涌水污染较严重，甚至有部分河涌还出现水体黑臭现象。造成</w:t>
      </w:r>
      <w:r>
        <w:rPr>
          <w:rFonts w:hint="eastAsia" w:cs="Times New Roman"/>
          <w:szCs w:val="28"/>
        </w:rPr>
        <w:t>西区</w:t>
      </w:r>
      <w:r>
        <w:rPr>
          <w:rFonts w:cs="Times New Roman"/>
          <w:szCs w:val="28"/>
        </w:rPr>
        <w:t>河涌生物生态系统遭到一定程度的破坏。</w:t>
      </w:r>
      <w:r>
        <w:rPr>
          <w:rFonts w:hint="eastAsia" w:cs="Times New Roman"/>
          <w:szCs w:val="28"/>
        </w:rPr>
        <w:t>西区</w:t>
      </w:r>
      <w:r>
        <w:rPr>
          <w:rFonts w:cs="Times New Roman"/>
          <w:szCs w:val="28"/>
        </w:rPr>
        <w:t>底栖动物完整性指数与鱼类损失指数的分数值均较低，鱼类群体遭到严重破坏。因此，</w:t>
      </w:r>
      <w:r>
        <w:rPr>
          <w:rFonts w:hint="eastAsia" w:cs="Times New Roman"/>
          <w:szCs w:val="28"/>
        </w:rPr>
        <w:t>西区</w:t>
      </w:r>
      <w:r>
        <w:rPr>
          <w:rFonts w:cs="Times New Roman"/>
          <w:szCs w:val="28"/>
        </w:rPr>
        <w:t>需严格水环境治理保护与修复湿地系统，控制水污染，改善水环境，在水环境改善后，逐渐修复河涌原来的水生态系统，恢复河道的天然自净能力。</w:t>
      </w:r>
    </w:p>
    <w:p w14:paraId="2B29C55C">
      <w:pPr>
        <w:spacing w:line="240" w:lineRule="auto"/>
        <w:ind w:firstLine="480"/>
        <w:rPr>
          <w:rFonts w:cs="Times New Roman"/>
        </w:rPr>
      </w:pPr>
    </w:p>
    <w:p w14:paraId="70EC9DBE">
      <w:pPr>
        <w:pStyle w:val="3"/>
        <w:spacing w:before="0" w:after="0" w:line="360" w:lineRule="auto"/>
        <w:rPr>
          <w:rFonts w:cs="Times New Roman"/>
        </w:rPr>
      </w:pPr>
      <w:bookmarkStart w:id="304" w:name="_Toc528607252"/>
      <w:bookmarkStart w:id="305" w:name="_Toc24505"/>
      <w:bookmarkStart w:id="306" w:name="_Toc523306790"/>
      <w:bookmarkStart w:id="307" w:name="_Toc25584"/>
      <w:bookmarkStart w:id="308" w:name="_Toc528880284"/>
      <w:bookmarkStart w:id="309" w:name="_Toc19005"/>
      <w:bookmarkStart w:id="310" w:name="_Toc526004923"/>
      <w:bookmarkStart w:id="311" w:name="_Toc14587"/>
      <w:bookmarkStart w:id="312" w:name="_Toc27631"/>
      <w:bookmarkStart w:id="313" w:name="_Toc16675031"/>
      <w:bookmarkStart w:id="314" w:name="_Toc527881078"/>
      <w:bookmarkStart w:id="315" w:name="_Toc8009"/>
      <w:r>
        <w:rPr>
          <w:rFonts w:cs="Times New Roman"/>
        </w:rPr>
        <w:t>2.2.4水管理体系需进一步完善</w:t>
      </w:r>
      <w:bookmarkEnd w:id="304"/>
      <w:bookmarkEnd w:id="305"/>
      <w:bookmarkEnd w:id="306"/>
      <w:bookmarkEnd w:id="307"/>
      <w:bookmarkEnd w:id="308"/>
      <w:bookmarkEnd w:id="309"/>
      <w:bookmarkEnd w:id="310"/>
      <w:bookmarkEnd w:id="311"/>
      <w:bookmarkEnd w:id="312"/>
      <w:bookmarkEnd w:id="313"/>
      <w:bookmarkEnd w:id="314"/>
      <w:bookmarkEnd w:id="315"/>
    </w:p>
    <w:p w14:paraId="0741243A">
      <w:pPr>
        <w:ind w:firstLine="480"/>
        <w:rPr>
          <w:rFonts w:cs="Times New Roman"/>
          <w:szCs w:val="28"/>
        </w:rPr>
      </w:pPr>
      <w:r>
        <w:rPr>
          <w:rFonts w:hint="eastAsia" w:cs="Times New Roman"/>
          <w:szCs w:val="28"/>
        </w:rPr>
        <w:t>西区</w:t>
      </w:r>
      <w:r>
        <w:rPr>
          <w:rFonts w:cs="Times New Roman"/>
          <w:szCs w:val="28"/>
        </w:rPr>
        <w:t>目前的水管理体制仍是部门分割，实行传统的多部门管水的模式（水源工程、防洪工程由水利、住建部门，地下水由水利，供配水由建设和市政部门，水质保护由水利、住建、</w:t>
      </w:r>
      <w:r>
        <w:rPr>
          <w:rFonts w:hint="eastAsia" w:cs="Times New Roman"/>
          <w:szCs w:val="28"/>
        </w:rPr>
        <w:t>生态环境分局</w:t>
      </w:r>
      <w:r>
        <w:rPr>
          <w:rFonts w:cs="Times New Roman"/>
          <w:szCs w:val="28"/>
        </w:rPr>
        <w:t>管理），多部门管理，职责交叉，责任不清，不利于供水、排水、治污的统一管理，影响水资源的合理开发、利用、节约、配置、治理和保护的有机统一。工程管理、安全监测滞后，影响工程效益的全面发挥。</w:t>
      </w:r>
    </w:p>
    <w:p w14:paraId="38C44214">
      <w:pPr>
        <w:ind w:firstLine="480"/>
        <w:rPr>
          <w:rFonts w:cs="Times New Roman"/>
          <w:szCs w:val="28"/>
        </w:rPr>
      </w:pPr>
      <w:r>
        <w:rPr>
          <w:rFonts w:cs="Times New Roman"/>
          <w:szCs w:val="28"/>
        </w:rPr>
        <w:t>全区水价偏低，价格杠杆没有发挥作用，居民生活水费支出比例较低，企业用水成本占其生产成本比重较低，农业不收水资源费，使公众节水行为缺乏利益驱动，远不能引起公众对节水的重视，导致公众节水意识淡薄，水浪费比较普遍。因此需进一步完善水资源有偿使用制度，积极开展水权交易试点工作。</w:t>
      </w:r>
    </w:p>
    <w:p w14:paraId="7D1E8FA0">
      <w:pPr>
        <w:spacing w:line="240" w:lineRule="auto"/>
        <w:ind w:firstLine="480"/>
        <w:rPr>
          <w:rFonts w:cs="Times New Roman"/>
          <w:szCs w:val="28"/>
        </w:rPr>
      </w:pPr>
    </w:p>
    <w:p w14:paraId="1241FAAE">
      <w:pPr>
        <w:pStyle w:val="3"/>
        <w:spacing w:before="0" w:after="0" w:line="360" w:lineRule="auto"/>
        <w:rPr>
          <w:rFonts w:cs="Times New Roman"/>
        </w:rPr>
      </w:pPr>
      <w:bookmarkStart w:id="316" w:name="_Toc528607253"/>
      <w:bookmarkStart w:id="317" w:name="_Toc16675032"/>
      <w:bookmarkStart w:id="318" w:name="_Toc2524"/>
      <w:bookmarkStart w:id="319" w:name="_Toc31516"/>
      <w:bookmarkStart w:id="320" w:name="_Toc523306791"/>
      <w:bookmarkStart w:id="321" w:name="_Toc526004924"/>
      <w:bookmarkStart w:id="322" w:name="_Toc527881079"/>
      <w:bookmarkStart w:id="323" w:name="_Toc528880285"/>
      <w:bookmarkStart w:id="324" w:name="_Toc22449"/>
      <w:bookmarkStart w:id="325" w:name="_Toc1550"/>
      <w:bookmarkStart w:id="326" w:name="_Toc12695"/>
      <w:bookmarkStart w:id="327" w:name="_Toc25390"/>
      <w:r>
        <w:rPr>
          <w:rFonts w:cs="Times New Roman"/>
        </w:rPr>
        <w:t>2.2.5节水型社会建设还需加强</w:t>
      </w:r>
      <w:bookmarkEnd w:id="316"/>
      <w:bookmarkEnd w:id="317"/>
      <w:bookmarkEnd w:id="318"/>
      <w:bookmarkEnd w:id="319"/>
      <w:bookmarkEnd w:id="320"/>
      <w:bookmarkEnd w:id="321"/>
      <w:bookmarkEnd w:id="322"/>
      <w:bookmarkEnd w:id="323"/>
      <w:bookmarkEnd w:id="324"/>
      <w:bookmarkEnd w:id="325"/>
      <w:bookmarkEnd w:id="326"/>
      <w:bookmarkEnd w:id="327"/>
    </w:p>
    <w:p w14:paraId="2C8FD458">
      <w:pPr>
        <w:ind w:firstLine="480"/>
        <w:rPr>
          <w:rFonts w:cs="Times New Roman"/>
          <w:szCs w:val="28"/>
        </w:rPr>
      </w:pPr>
      <w:r>
        <w:rPr>
          <w:rFonts w:hint="eastAsia" w:cs="Times New Roman"/>
          <w:szCs w:val="28"/>
        </w:rPr>
        <w:t>西区</w:t>
      </w:r>
      <w:r>
        <w:rPr>
          <w:rFonts w:cs="Times New Roman"/>
          <w:szCs w:val="28"/>
        </w:rPr>
        <w:t>目前的农业灌溉习惯大水漫灌，用水大量浪费，工业用水重复利用率偏低，节水农业、节水工业有待加快，特别是当地水资源开采量不高，大量清洁水资源变成涝渍水，既浪费资源，又增大排涝的难度。</w:t>
      </w:r>
      <w:r>
        <w:rPr>
          <w:rFonts w:hint="eastAsia" w:cs="Times New Roman"/>
          <w:szCs w:val="28"/>
        </w:rPr>
        <w:t>西区</w:t>
      </w:r>
      <w:r>
        <w:rPr>
          <w:rFonts w:cs="Times New Roman"/>
          <w:szCs w:val="28"/>
        </w:rPr>
        <w:t>按照实际情况，</w:t>
      </w:r>
      <w:r>
        <w:rPr>
          <w:rFonts w:hint="eastAsia" w:cs="Times New Roman"/>
          <w:szCs w:val="28"/>
        </w:rPr>
        <w:t>截止2018年，西区完成农业高效节水灌溉设施建设228亩，形成农业高效节水灌溉，保障水资源高效利用；另外，西区已通过2家节水型企业、13家节水型公共机构以及7间节水型学校验收合格。但</w:t>
      </w:r>
      <w:r>
        <w:rPr>
          <w:rFonts w:cs="Times New Roman"/>
          <w:szCs w:val="28"/>
        </w:rPr>
        <w:t xml:space="preserve">公共供水管网漏损较多、节水技术、工艺、设备等比较欠缺，因此需加强水资源节约力度。 </w:t>
      </w:r>
    </w:p>
    <w:p w14:paraId="75058EED">
      <w:pPr>
        <w:ind w:firstLine="480"/>
        <w:rPr>
          <w:rFonts w:cs="Times New Roman"/>
          <w:szCs w:val="24"/>
        </w:rPr>
      </w:pPr>
      <w:r>
        <w:rPr>
          <w:rFonts w:cs="Times New Roman"/>
          <w:szCs w:val="28"/>
        </w:rPr>
        <w:t>依据市委、市政府对镇区节水型社会建设的要求，</w:t>
      </w:r>
      <w:r>
        <w:rPr>
          <w:rFonts w:hint="eastAsia" w:cs="Times New Roman"/>
          <w:szCs w:val="28"/>
        </w:rPr>
        <w:t>西区</w:t>
      </w:r>
      <w:r>
        <w:rPr>
          <w:rFonts w:cs="Times New Roman"/>
          <w:szCs w:val="28"/>
        </w:rPr>
        <w:t>急需开展学校、机关事业单位、企业等典型节水型社会创建工作。同时</w:t>
      </w:r>
      <w:r>
        <w:rPr>
          <w:rFonts w:hint="eastAsia" w:cs="Times New Roman"/>
          <w:szCs w:val="28"/>
        </w:rPr>
        <w:t>西区</w:t>
      </w:r>
      <w:r>
        <w:rPr>
          <w:rFonts w:cs="Times New Roman"/>
          <w:szCs w:val="28"/>
        </w:rPr>
        <w:t>在进行最严格水资源管理中从源头</w:t>
      </w:r>
      <w:r>
        <w:rPr>
          <w:rFonts w:hint="eastAsia" w:ascii="宋体" w:hAnsi="宋体" w:eastAsia="宋体" w:cs="宋体"/>
          <w:szCs w:val="28"/>
        </w:rPr>
        <w:t>到终端未形成有效的全过程用水节水监管机制。其计划用水管理、用水定额管理、节水“三同时”管理、建设项目节水评估、节水型产品</w:t>
      </w:r>
      <w:r>
        <w:rPr>
          <w:rFonts w:cs="Times New Roman"/>
          <w:szCs w:val="28"/>
        </w:rPr>
        <w:t>认证机制等，需进一步强化和完善。由于</w:t>
      </w:r>
      <w:r>
        <w:rPr>
          <w:rFonts w:hint="eastAsia" w:cs="Times New Roman"/>
          <w:szCs w:val="28"/>
        </w:rPr>
        <w:t>西区</w:t>
      </w:r>
      <w:r>
        <w:rPr>
          <w:rFonts w:cs="Times New Roman"/>
          <w:szCs w:val="28"/>
        </w:rPr>
        <w:t>尚未对非常规水源的利用作出明确的规划，所以应尽快对</w:t>
      </w:r>
      <w:r>
        <w:rPr>
          <w:rFonts w:cs="Times New Roman"/>
          <w:szCs w:val="24"/>
        </w:rPr>
        <w:t>非常规水源的利用作出明确的规划。如雨水利用，可粗略地分为农业利用和城市利用。通过直接对天然降水进行收集、储存并加以处理可用于</w:t>
      </w:r>
      <w:r>
        <w:rPr>
          <w:rFonts w:hint="eastAsia" w:cs="Times New Roman"/>
          <w:szCs w:val="24"/>
        </w:rPr>
        <w:t>西区</w:t>
      </w:r>
      <w:r>
        <w:rPr>
          <w:rFonts w:cs="Times New Roman"/>
          <w:szCs w:val="24"/>
        </w:rPr>
        <w:t>农业发展；在城市中汇集的雨水一般不含有毒物质，经过简单沉淀处理即可利用于灌溉、消防、喷洒马路等。洪水资源化可以通过调蓄，用于</w:t>
      </w:r>
      <w:r>
        <w:rPr>
          <w:rFonts w:hint="eastAsia" w:cs="Times New Roman"/>
          <w:szCs w:val="24"/>
        </w:rPr>
        <w:t>西区</w:t>
      </w:r>
      <w:r>
        <w:rPr>
          <w:rFonts w:cs="Times New Roman"/>
          <w:szCs w:val="24"/>
        </w:rPr>
        <w:t>下游城市供水和农田灌溉，因此，利用先进的现代技术手段，科学合理的对</w:t>
      </w:r>
      <w:r>
        <w:rPr>
          <w:rFonts w:hint="eastAsia" w:cs="Times New Roman"/>
          <w:szCs w:val="24"/>
        </w:rPr>
        <w:t>西区</w:t>
      </w:r>
      <w:r>
        <w:rPr>
          <w:rFonts w:cs="Times New Roman"/>
          <w:szCs w:val="24"/>
        </w:rPr>
        <w:t>非常规水资源进行开发利用，最大限度地实现洪水资源化；再生水的利用是对</w:t>
      </w:r>
      <w:r>
        <w:rPr>
          <w:rFonts w:hint="eastAsia" w:cs="Times New Roman"/>
          <w:szCs w:val="24"/>
        </w:rPr>
        <w:t>西区</w:t>
      </w:r>
      <w:r>
        <w:rPr>
          <w:rFonts w:cs="Times New Roman"/>
          <w:szCs w:val="24"/>
        </w:rPr>
        <w:t>污水或废水排出后经过净化处理，再由其他用户抽取使用。中水回用于农业灌溉、工业用水、市政杂用、地下回灌等，</w:t>
      </w:r>
      <w:r>
        <w:rPr>
          <w:rFonts w:hint="eastAsia" w:cs="Times New Roman"/>
          <w:szCs w:val="24"/>
        </w:rPr>
        <w:t>西区</w:t>
      </w:r>
      <w:r>
        <w:rPr>
          <w:rFonts w:cs="Times New Roman"/>
          <w:szCs w:val="24"/>
        </w:rPr>
        <w:t>可大力提倡使用再生水用于城镇的公共需水，极力推行有效的节水政策。</w:t>
      </w:r>
    </w:p>
    <w:p w14:paraId="3E053A27">
      <w:pPr>
        <w:spacing w:line="240" w:lineRule="auto"/>
        <w:ind w:firstLine="480"/>
        <w:rPr>
          <w:rFonts w:cs="Times New Roman"/>
          <w:szCs w:val="28"/>
        </w:rPr>
      </w:pPr>
    </w:p>
    <w:p w14:paraId="259FF37F">
      <w:pPr>
        <w:pStyle w:val="3"/>
        <w:spacing w:before="0" w:after="0" w:line="360" w:lineRule="auto"/>
        <w:rPr>
          <w:rFonts w:cs="Times New Roman"/>
        </w:rPr>
      </w:pPr>
      <w:bookmarkStart w:id="328" w:name="_Toc19241"/>
      <w:bookmarkStart w:id="329" w:name="_Toc27293"/>
      <w:bookmarkStart w:id="330" w:name="_Toc10957"/>
      <w:bookmarkStart w:id="331" w:name="_Toc526004925"/>
      <w:bookmarkStart w:id="332" w:name="_Toc29424"/>
      <w:bookmarkStart w:id="333" w:name="_Toc528607254"/>
      <w:bookmarkStart w:id="334" w:name="_Toc527881080"/>
      <w:bookmarkStart w:id="335" w:name="_Toc528880286"/>
      <w:bookmarkStart w:id="336" w:name="_Toc30288"/>
      <w:bookmarkStart w:id="337" w:name="_Toc4033"/>
      <w:bookmarkStart w:id="338" w:name="_Toc523306795"/>
      <w:bookmarkStart w:id="339" w:name="_Toc16675033"/>
      <w:r>
        <w:rPr>
          <w:rFonts w:cs="Times New Roman"/>
        </w:rPr>
        <w:t>2.2.6岭南水乡文化亟待传承与发扬</w:t>
      </w:r>
      <w:bookmarkEnd w:id="328"/>
      <w:bookmarkEnd w:id="329"/>
      <w:bookmarkEnd w:id="330"/>
      <w:bookmarkEnd w:id="331"/>
      <w:bookmarkEnd w:id="332"/>
      <w:bookmarkEnd w:id="333"/>
      <w:bookmarkEnd w:id="334"/>
      <w:bookmarkEnd w:id="335"/>
      <w:bookmarkEnd w:id="336"/>
      <w:bookmarkEnd w:id="337"/>
      <w:bookmarkEnd w:id="338"/>
      <w:bookmarkEnd w:id="339"/>
    </w:p>
    <w:p w14:paraId="02FC8A04">
      <w:pPr>
        <w:ind w:firstLine="480"/>
        <w:rPr>
          <w:rFonts w:cs="Times New Roman"/>
          <w:szCs w:val="24"/>
        </w:rPr>
      </w:pPr>
      <w:r>
        <w:rPr>
          <w:rFonts w:cs="Times New Roman"/>
          <w:szCs w:val="24"/>
        </w:rPr>
        <w:t>城市品位的提升，</w:t>
      </w:r>
      <w:r>
        <w:rPr>
          <w:rFonts w:hint="eastAsia" w:cs="Times New Roman"/>
          <w:szCs w:val="24"/>
        </w:rPr>
        <w:t>西区</w:t>
      </w:r>
      <w:r>
        <w:rPr>
          <w:rFonts w:cs="Times New Roman"/>
          <w:szCs w:val="24"/>
        </w:rPr>
        <w:t>水生态水文化既具有典型的</w:t>
      </w:r>
      <w:r>
        <w:rPr>
          <w:rFonts w:hint="eastAsia" w:ascii="宋体" w:hAnsi="宋体" w:eastAsia="宋体" w:cs="宋体"/>
          <w:szCs w:val="24"/>
        </w:rPr>
        <w:t>“岭南水乡”特</w:t>
      </w:r>
      <w:r>
        <w:rPr>
          <w:rFonts w:cs="Times New Roman"/>
          <w:szCs w:val="24"/>
        </w:rPr>
        <w:t>色，又有</w:t>
      </w:r>
      <w:r>
        <w:rPr>
          <w:rFonts w:hint="eastAsia" w:cs="Times New Roman"/>
          <w:szCs w:val="24"/>
        </w:rPr>
        <w:t>“</w:t>
      </w:r>
      <w:r>
        <w:rPr>
          <w:rFonts w:cs="Times New Roman"/>
          <w:szCs w:val="24"/>
        </w:rPr>
        <w:t>香山名人文化</w:t>
      </w:r>
      <w:r>
        <w:rPr>
          <w:rFonts w:hint="eastAsia" w:cs="Times New Roman"/>
          <w:szCs w:val="24"/>
        </w:rPr>
        <w:t>”</w:t>
      </w:r>
      <w:r>
        <w:rPr>
          <w:rFonts w:cs="Times New Roman"/>
          <w:szCs w:val="24"/>
        </w:rPr>
        <w:t>色彩，虽然目前</w:t>
      </w:r>
      <w:r>
        <w:rPr>
          <w:rFonts w:hint="eastAsia" w:cs="Times New Roman"/>
          <w:szCs w:val="24"/>
        </w:rPr>
        <w:t>西区</w:t>
      </w:r>
      <w:r>
        <w:rPr>
          <w:rFonts w:cs="Times New Roman"/>
          <w:szCs w:val="24"/>
        </w:rPr>
        <w:t>在利用本地龙舟文化、</w:t>
      </w:r>
      <w:r>
        <w:rPr>
          <w:rFonts w:hint="eastAsia" w:cs="Times New Roman"/>
          <w:szCs w:val="24"/>
        </w:rPr>
        <w:t>醉龙文化</w:t>
      </w:r>
      <w:r>
        <w:rPr>
          <w:rFonts w:cs="Times New Roman"/>
          <w:szCs w:val="24"/>
        </w:rPr>
        <w:t>、岭南水乡文化等取得一定成效，但是在水文化建设方面，缺乏后期管理与宣传，造成水文化建设后期运行困难，效果不显著，因此，亟需创新水文化建设的新模式，加强管理与水文化打造与宣传力度，促进水文化建设的长续发展。另外，还需充分利用好自身岭南水乡、香山名人文化与地理优势，结合水利工程建设，融合现代科技与人文景观元素，立足水系连通、以水造景，尊重自然流态，纳入水文化原素，回归原有的水生态，挖掘民间的水文化习俗，如赛龙舟等，树立</w:t>
      </w:r>
      <w:r>
        <w:rPr>
          <w:rFonts w:hint="eastAsia" w:cs="Times New Roman"/>
          <w:szCs w:val="24"/>
        </w:rPr>
        <w:t>西区</w:t>
      </w:r>
      <w:r>
        <w:rPr>
          <w:rFonts w:cs="Times New Roman"/>
          <w:szCs w:val="24"/>
        </w:rPr>
        <w:t>水文化自信，重新打造岭南水乡风貌、传承岭南水乡与香山名人文化。</w:t>
      </w:r>
    </w:p>
    <w:p w14:paraId="4DBDF585">
      <w:pPr>
        <w:ind w:firstLine="480"/>
        <w:rPr>
          <w:rFonts w:cs="Times New Roman"/>
          <w:szCs w:val="24"/>
        </w:rPr>
        <w:sectPr>
          <w:pgSz w:w="11906" w:h="16838"/>
          <w:pgMar w:top="1440" w:right="1797" w:bottom="1440" w:left="1797" w:header="851" w:footer="992" w:gutter="0"/>
          <w:cols w:space="425" w:num="1"/>
          <w:docGrid w:type="linesAndChars" w:linePitch="326" w:charSpace="0"/>
        </w:sectPr>
      </w:pPr>
    </w:p>
    <w:p w14:paraId="4AB4868A">
      <w:pPr>
        <w:pStyle w:val="2"/>
        <w:spacing w:before="0" w:after="0" w:line="360" w:lineRule="auto"/>
        <w:rPr>
          <w:rFonts w:cs="Times New Roman"/>
        </w:rPr>
      </w:pPr>
      <w:bookmarkStart w:id="340" w:name="_Toc528607255"/>
      <w:bookmarkStart w:id="341" w:name="_Toc16675034"/>
      <w:r>
        <w:rPr>
          <w:rFonts w:cs="Times New Roman"/>
        </w:rPr>
        <w:t>3 目标和任务</w:t>
      </w:r>
      <w:bookmarkEnd w:id="340"/>
      <w:bookmarkEnd w:id="341"/>
    </w:p>
    <w:p w14:paraId="3A22873F">
      <w:pPr>
        <w:pStyle w:val="4"/>
        <w:spacing w:before="0" w:after="0" w:line="360" w:lineRule="auto"/>
        <w:rPr>
          <w:rFonts w:cs="Times New Roman"/>
        </w:rPr>
      </w:pPr>
      <w:bookmarkStart w:id="342" w:name="_Toc528607256"/>
      <w:bookmarkStart w:id="343" w:name="_Toc16675035"/>
      <w:r>
        <w:rPr>
          <w:rFonts w:cs="Times New Roman"/>
        </w:rPr>
        <w:t>3.1指导思想与基本原则</w:t>
      </w:r>
      <w:bookmarkEnd w:id="342"/>
      <w:bookmarkEnd w:id="343"/>
    </w:p>
    <w:p w14:paraId="594C838E">
      <w:pPr>
        <w:pStyle w:val="3"/>
        <w:spacing w:before="0" w:after="0" w:line="360" w:lineRule="auto"/>
        <w:rPr>
          <w:rFonts w:eastAsia="宋体" w:cs="Times New Roman"/>
          <w:sz w:val="24"/>
          <w:szCs w:val="24"/>
        </w:rPr>
      </w:pPr>
      <w:bookmarkStart w:id="344" w:name="_Toc9754"/>
      <w:bookmarkStart w:id="345" w:name="_Toc528880289"/>
      <w:bookmarkStart w:id="346" w:name="_Toc527881083"/>
      <w:bookmarkStart w:id="347" w:name="_Toc523306756"/>
      <w:bookmarkStart w:id="348" w:name="_Toc1725"/>
      <w:bookmarkStart w:id="349" w:name="_Toc528607257"/>
      <w:bookmarkStart w:id="350" w:name="_Toc28884"/>
      <w:bookmarkStart w:id="351" w:name="_Toc15751"/>
      <w:bookmarkStart w:id="352" w:name="_Toc21423"/>
      <w:bookmarkStart w:id="353" w:name="_Toc31348"/>
      <w:bookmarkStart w:id="354" w:name="_Toc16675036"/>
      <w:bookmarkStart w:id="355" w:name="_Toc526004928"/>
      <w:r>
        <w:rPr>
          <w:rFonts w:cs="Times New Roman"/>
          <w:szCs w:val="28"/>
        </w:rPr>
        <w:t>3.1.1</w:t>
      </w:r>
      <w:r>
        <w:rPr>
          <w:rFonts w:cs="Times New Roman"/>
        </w:rPr>
        <w:t>指导思想</w:t>
      </w:r>
      <w:bookmarkEnd w:id="344"/>
      <w:bookmarkEnd w:id="345"/>
      <w:bookmarkEnd w:id="346"/>
      <w:bookmarkEnd w:id="347"/>
      <w:bookmarkEnd w:id="348"/>
      <w:bookmarkEnd w:id="349"/>
      <w:bookmarkEnd w:id="350"/>
      <w:bookmarkEnd w:id="351"/>
      <w:bookmarkEnd w:id="352"/>
      <w:bookmarkEnd w:id="353"/>
      <w:bookmarkEnd w:id="354"/>
      <w:bookmarkEnd w:id="355"/>
    </w:p>
    <w:p w14:paraId="59176DD7">
      <w:pPr>
        <w:ind w:firstLine="480"/>
        <w:rPr>
          <w:rFonts w:eastAsia="宋体" w:cs="Times New Roman"/>
          <w:szCs w:val="24"/>
        </w:rPr>
      </w:pPr>
      <w:r>
        <w:rPr>
          <w:rFonts w:eastAsia="宋体" w:cs="Times New Roman"/>
          <w:szCs w:val="24"/>
        </w:rPr>
        <w:t>以邓小平理论、</w:t>
      </w:r>
      <w:r>
        <w:rPr>
          <w:rFonts w:hint="eastAsia" w:eastAsia="宋体" w:cs="Times New Roman"/>
          <w:szCs w:val="24"/>
        </w:rPr>
        <w:t>“</w:t>
      </w:r>
      <w:r>
        <w:rPr>
          <w:rFonts w:eastAsia="宋体" w:cs="Times New Roman"/>
          <w:szCs w:val="24"/>
        </w:rPr>
        <w:t>三个代表</w:t>
      </w:r>
      <w:r>
        <w:rPr>
          <w:rFonts w:hint="eastAsia" w:eastAsia="宋体" w:cs="Times New Roman"/>
          <w:szCs w:val="24"/>
        </w:rPr>
        <w:t>”</w:t>
      </w:r>
      <w:r>
        <w:rPr>
          <w:rFonts w:eastAsia="宋体" w:cs="Times New Roman"/>
          <w:szCs w:val="24"/>
        </w:rPr>
        <w:t>重要思想、科学发展观为指导，深入贯彻落实党的十八大、十九大精神，深刻领会</w:t>
      </w:r>
      <w:r>
        <w:rPr>
          <w:rFonts w:hint="eastAsia" w:eastAsia="宋体" w:cs="Times New Roman"/>
          <w:szCs w:val="24"/>
          <w:lang w:eastAsia="zh-CN"/>
        </w:rPr>
        <w:t>党的</w:t>
      </w:r>
      <w:r>
        <w:rPr>
          <w:rFonts w:eastAsia="宋体" w:cs="Times New Roman"/>
          <w:szCs w:val="24"/>
        </w:rPr>
        <w:t>十八大、</w:t>
      </w:r>
      <w:r>
        <w:rPr>
          <w:rFonts w:hint="eastAsia" w:eastAsia="宋体" w:cs="Times New Roman"/>
          <w:szCs w:val="24"/>
          <w:lang w:eastAsia="zh-CN"/>
        </w:rPr>
        <w:t>党的</w:t>
      </w:r>
      <w:r>
        <w:rPr>
          <w:rFonts w:eastAsia="宋体" w:cs="Times New Roman"/>
          <w:szCs w:val="24"/>
        </w:rPr>
        <w:t>十九大</w:t>
      </w:r>
      <w:bookmarkStart w:id="1073" w:name="_GoBack"/>
      <w:bookmarkEnd w:id="1073"/>
      <w:r>
        <w:rPr>
          <w:rFonts w:eastAsia="宋体" w:cs="Times New Roman"/>
          <w:szCs w:val="24"/>
        </w:rPr>
        <w:t>精神实质，积极践行习近平总</w:t>
      </w:r>
      <w:r>
        <w:rPr>
          <w:rFonts w:hint="eastAsia" w:ascii="宋体" w:hAnsi="宋体" w:eastAsia="宋体" w:cs="宋体"/>
          <w:szCs w:val="24"/>
        </w:rPr>
        <w:t>书记提出的“节水优先、空间均衡、系统治理、两手发力” 中央新时期</w:t>
      </w:r>
      <w:r>
        <w:rPr>
          <w:rFonts w:eastAsia="宋体" w:cs="Times New Roman"/>
          <w:szCs w:val="24"/>
        </w:rPr>
        <w:t>水利工作方针，落实最严格水资源管理制度</w:t>
      </w:r>
      <w:r>
        <w:rPr>
          <w:rFonts w:hint="eastAsia" w:eastAsia="宋体" w:cs="Times New Roman"/>
          <w:szCs w:val="24"/>
        </w:rPr>
        <w:t>“</w:t>
      </w:r>
      <w:r>
        <w:rPr>
          <w:rFonts w:eastAsia="宋体" w:cs="Times New Roman"/>
          <w:szCs w:val="24"/>
        </w:rPr>
        <w:t>三条红线</w:t>
      </w:r>
      <w:r>
        <w:rPr>
          <w:rFonts w:hint="eastAsia" w:eastAsia="宋体" w:cs="Times New Roman"/>
          <w:szCs w:val="24"/>
        </w:rPr>
        <w:t>”</w:t>
      </w:r>
      <w:r>
        <w:rPr>
          <w:rFonts w:eastAsia="宋体" w:cs="Times New Roman"/>
          <w:szCs w:val="24"/>
        </w:rPr>
        <w:t>。党的十九大报告把坚持人与自然和谐共生纳入新时代坚持和发展中国特色社会主义的基本方略，把水利摆在九大基础设施网络建设之首，深化了水利工作内涵，指明了水利发展方向。围绕《水利部关于深化水利改革的指导意见》、《水利部关于加快推进水生态文明建设工作的意见》（水资源〔2013〕1号）、《关于贯彻落实省改革试点方案的实施意见》（中山委办〔2014〕25号）、《珠江三角洲地区改革发展规划纲要（2008-2020年）》、《广东省国民经济和社会发展第十三个五年规划纲要》和率先全面建成小康社会的总体目标，以建设资源节约型和环境友好型社会为主线，把提高全社会节水意识以及深化体制机制改革作为核心举措。党的十九大提出了</w:t>
      </w:r>
      <w:r>
        <w:rPr>
          <w:rFonts w:hint="eastAsia" w:eastAsia="宋体" w:cs="Times New Roman"/>
          <w:szCs w:val="24"/>
        </w:rPr>
        <w:t>“</w:t>
      </w:r>
      <w:r>
        <w:rPr>
          <w:rFonts w:eastAsia="宋体" w:cs="Times New Roman"/>
          <w:szCs w:val="24"/>
        </w:rPr>
        <w:t>加快生态文明体制改革，建设美丽中国</w:t>
      </w:r>
      <w:r>
        <w:rPr>
          <w:rFonts w:hint="eastAsia" w:eastAsia="宋体" w:cs="Times New Roman"/>
          <w:szCs w:val="24"/>
        </w:rPr>
        <w:t>”</w:t>
      </w:r>
      <w:r>
        <w:rPr>
          <w:rFonts w:eastAsia="宋体" w:cs="Times New Roman"/>
          <w:szCs w:val="24"/>
        </w:rPr>
        <w:t>，把生态文明建设放在更高的高度上。水生态文明是生态文明建设最重要的组成部分，应抓住《广东省水利发展</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规划》中对于专项规划《广东省水生态文明建设</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的契机，紧紧围绕广东省拟将珠三角打造成全国首个水生态文明城市群的大环境，依据《关于贯彻落实省改革试点方案的实施意见》（中山委办〔2014〕25号）文件精神要求，不断推进中山市水生态文明城市试点建设，建设</w:t>
      </w:r>
      <w:r>
        <w:rPr>
          <w:rFonts w:hint="eastAsia" w:eastAsia="宋体" w:cs="Times New Roman"/>
          <w:szCs w:val="24"/>
        </w:rPr>
        <w:t>西区</w:t>
      </w:r>
      <w:r>
        <w:rPr>
          <w:rFonts w:eastAsia="宋体" w:cs="Times New Roman"/>
          <w:szCs w:val="24"/>
        </w:rPr>
        <w:t>水生态文明城市。</w:t>
      </w:r>
    </w:p>
    <w:p w14:paraId="3EBF25D7">
      <w:pPr>
        <w:pStyle w:val="3"/>
        <w:spacing w:before="326" w:beforeLines="100" w:after="0" w:line="360" w:lineRule="auto"/>
        <w:rPr>
          <w:rFonts w:eastAsia="宋体" w:cs="Times New Roman"/>
          <w:sz w:val="24"/>
          <w:szCs w:val="24"/>
        </w:rPr>
      </w:pPr>
      <w:bookmarkStart w:id="356" w:name="_Toc528607258"/>
      <w:bookmarkStart w:id="357" w:name="_Toc528880290"/>
      <w:bookmarkStart w:id="358" w:name="_Toc7032"/>
      <w:bookmarkStart w:id="359" w:name="_Toc527881084"/>
      <w:bookmarkStart w:id="360" w:name="_Toc14650"/>
      <w:bookmarkStart w:id="361" w:name="_Toc19564"/>
      <w:bookmarkStart w:id="362" w:name="_Toc14983"/>
      <w:bookmarkStart w:id="363" w:name="_Toc21971"/>
      <w:bookmarkStart w:id="364" w:name="_Toc14952"/>
      <w:bookmarkStart w:id="365" w:name="_Toc16675037"/>
      <w:bookmarkStart w:id="366" w:name="_Toc523306757"/>
      <w:bookmarkStart w:id="367" w:name="_Toc526004929"/>
      <w:r>
        <w:rPr>
          <w:rFonts w:cs="Times New Roman"/>
        </w:rPr>
        <w:t>3.1.2基本原则</w:t>
      </w:r>
      <w:bookmarkEnd w:id="356"/>
      <w:bookmarkEnd w:id="357"/>
      <w:bookmarkEnd w:id="358"/>
      <w:bookmarkEnd w:id="359"/>
      <w:bookmarkEnd w:id="360"/>
      <w:bookmarkEnd w:id="361"/>
      <w:bookmarkEnd w:id="362"/>
      <w:bookmarkEnd w:id="363"/>
      <w:bookmarkEnd w:id="364"/>
      <w:bookmarkEnd w:id="365"/>
      <w:bookmarkEnd w:id="366"/>
      <w:bookmarkEnd w:id="367"/>
    </w:p>
    <w:p w14:paraId="49CF5105">
      <w:pPr>
        <w:pStyle w:val="5"/>
      </w:pPr>
      <w:r>
        <w:t>3.1.2.1坚持科学发展，人水和谐</w:t>
      </w:r>
    </w:p>
    <w:p w14:paraId="54158902">
      <w:pPr>
        <w:ind w:firstLine="480"/>
        <w:rPr>
          <w:rFonts w:eastAsia="宋体" w:cs="Times New Roman"/>
          <w:szCs w:val="24"/>
        </w:rPr>
      </w:pPr>
      <w:r>
        <w:rPr>
          <w:rFonts w:eastAsia="宋体" w:cs="Times New Roman"/>
          <w:szCs w:val="24"/>
        </w:rPr>
        <w:t>顺应自然规律和社会发展规律，发挥水生态系统自我修复能力，降低水事活动的生态负面影响，提升自然水生态系统完整性和健康性。科学确定节水目标，合理布局、优化配置、全面节约水资源和有效保护水生态环境。</w:t>
      </w:r>
    </w:p>
    <w:p w14:paraId="1651C814">
      <w:pPr>
        <w:pStyle w:val="5"/>
      </w:pPr>
      <w:r>
        <w:t>3.1.2.2坚持防治结合，促进发展</w:t>
      </w:r>
    </w:p>
    <w:p w14:paraId="683363F6">
      <w:pPr>
        <w:ind w:firstLine="480"/>
        <w:rPr>
          <w:rFonts w:eastAsia="宋体" w:cs="Times New Roman"/>
          <w:szCs w:val="24"/>
        </w:rPr>
      </w:pPr>
      <w:r>
        <w:rPr>
          <w:rFonts w:eastAsia="宋体" w:cs="Times New Roman"/>
          <w:szCs w:val="24"/>
        </w:rPr>
        <w:t>强化保护优先，坚持自然恢复，源头严防、过程严管、后果严惩，防治结合，以防为主，全面提升</w:t>
      </w:r>
      <w:r>
        <w:rPr>
          <w:rFonts w:hint="eastAsia" w:eastAsia="宋体" w:cs="Times New Roman"/>
          <w:szCs w:val="24"/>
        </w:rPr>
        <w:t>西区</w:t>
      </w:r>
      <w:r>
        <w:rPr>
          <w:rFonts w:eastAsia="宋体" w:cs="Times New Roman"/>
          <w:szCs w:val="24"/>
        </w:rPr>
        <w:t xml:space="preserve">水生态系统健康水平，改善人居环境，提高水生态环境质量，实现城市品质的战略升级。 </w:t>
      </w:r>
    </w:p>
    <w:p w14:paraId="4E3D4C8A">
      <w:pPr>
        <w:pStyle w:val="5"/>
      </w:pPr>
      <w:r>
        <w:t>3.1.2.3坚持因地制宜，重点建设</w:t>
      </w:r>
    </w:p>
    <w:p w14:paraId="19496689">
      <w:pPr>
        <w:ind w:firstLine="480"/>
        <w:rPr>
          <w:rFonts w:eastAsia="宋体" w:cs="Times New Roman"/>
          <w:szCs w:val="24"/>
        </w:rPr>
      </w:pPr>
      <w:r>
        <w:rPr>
          <w:rFonts w:eastAsia="宋体" w:cs="Times New Roman"/>
          <w:szCs w:val="24"/>
        </w:rPr>
        <w:t>根据</w:t>
      </w:r>
      <w:r>
        <w:rPr>
          <w:rFonts w:hint="eastAsia" w:eastAsia="宋体" w:cs="Times New Roman"/>
          <w:szCs w:val="24"/>
        </w:rPr>
        <w:t>西区</w:t>
      </w:r>
      <w:r>
        <w:rPr>
          <w:rFonts w:eastAsia="宋体" w:cs="Times New Roman"/>
          <w:szCs w:val="24"/>
        </w:rPr>
        <w:t>水资源条件、水安全、水环境、水生态、水监管、水节约、水文化状况和经济社会发展水平等综合因素，按照因地制宜、突出重点、注重实效的原则，综合考虑需要与可能、投入与效果等诸多方面，合理确定工程措施和非工程措施。明确水生态条件，监督管理重点的水功能区，科学有效展开治理工程和保护工程。</w:t>
      </w:r>
    </w:p>
    <w:p w14:paraId="58213DD4">
      <w:pPr>
        <w:pStyle w:val="5"/>
      </w:pPr>
      <w:r>
        <w:t>3.1.2.4坚持改革创新，健全制度</w:t>
      </w:r>
    </w:p>
    <w:p w14:paraId="259C5EBE">
      <w:pPr>
        <w:ind w:firstLine="480"/>
        <w:rPr>
          <w:rFonts w:eastAsia="宋体" w:cs="Times New Roman"/>
          <w:szCs w:val="24"/>
        </w:rPr>
      </w:pPr>
      <w:r>
        <w:rPr>
          <w:rFonts w:eastAsia="宋体" w:cs="Times New Roman"/>
          <w:szCs w:val="24"/>
        </w:rPr>
        <w:t>改革体制，健全法制，完善机制，强化制度创新，实行最严格的水资源管理制度，制定科学的水生态补偿机制。深化水管理体制机制创新，不断强化政府作用，并注重发挥运用市场机制。加强重点领域和关键环节的制度改革攻坚，以制度创新和机制创新，促进水生态建设工作高效推进。</w:t>
      </w:r>
    </w:p>
    <w:p w14:paraId="2C6FAC86">
      <w:pPr>
        <w:pStyle w:val="5"/>
      </w:pPr>
      <w:r>
        <w:t>3.1.2.5坚持政府主导，全民参与</w:t>
      </w:r>
    </w:p>
    <w:p w14:paraId="59744754">
      <w:pPr>
        <w:ind w:firstLine="480"/>
        <w:rPr>
          <w:rFonts w:eastAsia="宋体" w:cs="Times New Roman"/>
          <w:szCs w:val="24"/>
        </w:rPr>
      </w:pPr>
      <w:r>
        <w:rPr>
          <w:rFonts w:eastAsia="宋体" w:cs="Times New Roman"/>
          <w:szCs w:val="24"/>
        </w:rPr>
        <w:t>发挥政府的宏观调控和主导作用，将水生态文明建设纳入</w:t>
      </w:r>
      <w:r>
        <w:rPr>
          <w:rFonts w:hint="eastAsia" w:eastAsia="宋体" w:cs="Times New Roman"/>
          <w:szCs w:val="24"/>
        </w:rPr>
        <w:t>西区</w:t>
      </w:r>
      <w:r>
        <w:rPr>
          <w:rFonts w:eastAsia="宋体" w:cs="Times New Roman"/>
          <w:szCs w:val="24"/>
        </w:rPr>
        <w:t>国民经济和社会发展规划，把水生态文明建设控制性指标作为经济社会发展的</w:t>
      </w:r>
      <w:r>
        <w:rPr>
          <w:rFonts w:hint="eastAsia" w:eastAsia="宋体" w:cs="Times New Roman"/>
          <w:szCs w:val="24"/>
        </w:rPr>
        <w:t>“</w:t>
      </w:r>
      <w:r>
        <w:rPr>
          <w:rFonts w:eastAsia="宋体" w:cs="Times New Roman"/>
          <w:szCs w:val="24"/>
        </w:rPr>
        <w:t>硬约束</w:t>
      </w:r>
      <w:r>
        <w:rPr>
          <w:rFonts w:hint="eastAsia" w:eastAsia="宋体" w:cs="Times New Roman"/>
          <w:szCs w:val="24"/>
        </w:rPr>
        <w:t>”</w:t>
      </w:r>
      <w:r>
        <w:rPr>
          <w:rFonts w:eastAsia="宋体" w:cs="Times New Roman"/>
          <w:szCs w:val="24"/>
        </w:rPr>
        <w:t>，强化政府对水生态文明建设的指导，具体落实相关水生态文明建设措施；落实各相关单位目标责任，建立绩效责任考核制度；加强水文化宣传力度，扩大宣传途径和丰富宣传内容，逐步形成全社会广泛自觉参与水生态文明建设的良好风尚。</w:t>
      </w:r>
    </w:p>
    <w:p w14:paraId="1D81536C">
      <w:pPr>
        <w:spacing w:line="240" w:lineRule="auto"/>
        <w:ind w:firstLine="480"/>
        <w:rPr>
          <w:rFonts w:eastAsia="宋体" w:cs="Times New Roman"/>
          <w:szCs w:val="24"/>
        </w:rPr>
      </w:pPr>
    </w:p>
    <w:p w14:paraId="6C958A09">
      <w:pPr>
        <w:pStyle w:val="4"/>
        <w:spacing w:before="0" w:after="0" w:line="360" w:lineRule="auto"/>
        <w:rPr>
          <w:rFonts w:cs="Times New Roman"/>
        </w:rPr>
      </w:pPr>
      <w:bookmarkStart w:id="368" w:name="_Toc528607259"/>
      <w:bookmarkStart w:id="369" w:name="_Toc523306761"/>
      <w:bookmarkStart w:id="370" w:name="_Toc16675038"/>
      <w:r>
        <w:rPr>
          <w:rFonts w:cs="Times New Roman"/>
        </w:rPr>
        <w:t>3.2规划范围及水平年</w:t>
      </w:r>
      <w:bookmarkEnd w:id="368"/>
      <w:bookmarkEnd w:id="369"/>
      <w:bookmarkEnd w:id="370"/>
    </w:p>
    <w:p w14:paraId="4BE02EE7">
      <w:pPr>
        <w:ind w:firstLine="480"/>
        <w:rPr>
          <w:rFonts w:eastAsia="宋体" w:cs="Times New Roman"/>
          <w:szCs w:val="24"/>
        </w:rPr>
      </w:pPr>
      <w:r>
        <w:rPr>
          <w:rFonts w:eastAsia="宋体" w:cs="Times New Roman"/>
          <w:szCs w:val="24"/>
        </w:rPr>
        <w:t>本次编制</w:t>
      </w:r>
      <w:r>
        <w:rPr>
          <w:rFonts w:hint="eastAsia" w:eastAsia="宋体" w:cs="Times New Roman"/>
          <w:szCs w:val="24"/>
        </w:rPr>
        <w:t>规划</w:t>
      </w:r>
      <w:r>
        <w:rPr>
          <w:rFonts w:eastAsia="宋体" w:cs="Times New Roman"/>
          <w:szCs w:val="24"/>
        </w:rPr>
        <w:t>范围为</w:t>
      </w:r>
      <w:r>
        <w:rPr>
          <w:rFonts w:hint="eastAsia" w:eastAsia="宋体" w:cs="Times New Roman"/>
          <w:szCs w:val="24"/>
        </w:rPr>
        <w:t>西区</w:t>
      </w:r>
      <w:r>
        <w:rPr>
          <w:rFonts w:eastAsia="宋体" w:cs="Times New Roman"/>
          <w:szCs w:val="24"/>
        </w:rPr>
        <w:t>全镇行政区域，总面积</w:t>
      </w:r>
      <w:r>
        <w:rPr>
          <w:rFonts w:hint="eastAsia" w:eastAsia="宋体" w:cs="Times New Roman"/>
          <w:szCs w:val="24"/>
        </w:rPr>
        <w:t>25.21</w:t>
      </w:r>
      <w:r>
        <w:rPr>
          <w:rFonts w:eastAsia="宋体" w:cs="Times New Roman"/>
          <w:szCs w:val="24"/>
        </w:rPr>
        <w:t>km</w:t>
      </w:r>
      <w:r>
        <w:rPr>
          <w:rFonts w:eastAsia="宋体" w:cs="Times New Roman"/>
          <w:szCs w:val="24"/>
          <w:vertAlign w:val="superscript"/>
        </w:rPr>
        <w:t>2</w:t>
      </w:r>
      <w:r>
        <w:rPr>
          <w:rFonts w:hint="eastAsia" w:eastAsia="宋体" w:cs="Times New Roman"/>
          <w:szCs w:val="24"/>
        </w:rPr>
        <w:t>，</w:t>
      </w:r>
      <w:r>
        <w:rPr>
          <w:rFonts w:eastAsia="宋体" w:cs="Times New Roman"/>
          <w:szCs w:val="24"/>
        </w:rPr>
        <w:t>包括</w:t>
      </w:r>
      <w:r>
        <w:rPr>
          <w:rFonts w:hint="eastAsia" w:ascii="宋体" w:hAnsi="宋体" w:eastAsia="宋体" w:cs="Times New Roman"/>
          <w:szCs w:val="24"/>
        </w:rPr>
        <w:t>隆平社区</w:t>
      </w:r>
      <w:r>
        <w:rPr>
          <w:rFonts w:eastAsia="宋体" w:cs="Times New Roman"/>
          <w:szCs w:val="24"/>
        </w:rPr>
        <w:t>、</w:t>
      </w:r>
      <w:r>
        <w:rPr>
          <w:rFonts w:hint="eastAsia" w:ascii="宋体" w:hAnsi="宋体" w:eastAsia="宋体" w:cs="Times New Roman"/>
          <w:szCs w:val="24"/>
        </w:rPr>
        <w:t>后山社区</w:t>
      </w:r>
      <w:r>
        <w:rPr>
          <w:rFonts w:hint="eastAsia" w:eastAsia="宋体" w:cs="Times New Roman"/>
          <w:szCs w:val="24"/>
        </w:rPr>
        <w:t>、</w:t>
      </w:r>
      <w:r>
        <w:rPr>
          <w:rFonts w:hint="eastAsia" w:ascii="宋体" w:hAnsi="宋体" w:eastAsia="宋体" w:cs="Times New Roman"/>
          <w:szCs w:val="24"/>
        </w:rPr>
        <w:t>烟洲社区</w:t>
      </w:r>
      <w:r>
        <w:rPr>
          <w:rFonts w:hint="eastAsia" w:eastAsia="宋体" w:cs="Times New Roman"/>
          <w:szCs w:val="24"/>
        </w:rPr>
        <w:t>、</w:t>
      </w:r>
      <w:r>
        <w:rPr>
          <w:rFonts w:hint="eastAsia" w:ascii="宋体" w:hAnsi="宋体" w:eastAsia="宋体" w:cs="Times New Roman"/>
          <w:szCs w:val="24"/>
        </w:rPr>
        <w:t>长洲社区</w:t>
      </w:r>
      <w:r>
        <w:rPr>
          <w:rFonts w:hint="eastAsia" w:eastAsia="宋体" w:cs="Times New Roman"/>
          <w:szCs w:val="24"/>
        </w:rPr>
        <w:t>、</w:t>
      </w:r>
      <w:r>
        <w:rPr>
          <w:rFonts w:hint="eastAsia" w:ascii="宋体" w:hAnsi="宋体" w:eastAsia="宋体" w:cs="Times New Roman"/>
          <w:szCs w:val="24"/>
        </w:rPr>
        <w:t>沙朗社区</w:t>
      </w:r>
      <w:r>
        <w:rPr>
          <w:rFonts w:hint="eastAsia" w:eastAsia="宋体" w:cs="Times New Roman"/>
          <w:szCs w:val="24"/>
        </w:rPr>
        <w:t>、</w:t>
      </w:r>
      <w:r>
        <w:rPr>
          <w:rFonts w:hint="eastAsia" w:ascii="宋体" w:hAnsi="宋体" w:eastAsia="宋体" w:cs="Times New Roman"/>
          <w:szCs w:val="24"/>
        </w:rPr>
        <w:t>隆昌社区</w:t>
      </w:r>
      <w:r>
        <w:rPr>
          <w:rFonts w:hint="eastAsia" w:eastAsia="宋体" w:cs="Times New Roman"/>
          <w:szCs w:val="24"/>
        </w:rPr>
        <w:t>、</w:t>
      </w:r>
      <w:r>
        <w:rPr>
          <w:rFonts w:hint="eastAsia" w:ascii="宋体" w:hAnsi="宋体" w:eastAsia="宋体" w:cs="Times New Roman"/>
          <w:szCs w:val="24"/>
        </w:rPr>
        <w:t>彩虹社区</w:t>
      </w:r>
      <w:r>
        <w:rPr>
          <w:rFonts w:hint="eastAsia" w:eastAsia="宋体" w:cs="Times New Roman"/>
          <w:szCs w:val="24"/>
        </w:rPr>
        <w:t>、</w:t>
      </w:r>
      <w:r>
        <w:rPr>
          <w:rFonts w:hint="eastAsia" w:ascii="宋体" w:hAnsi="宋体" w:eastAsia="宋体" w:cs="Times New Roman"/>
          <w:szCs w:val="24"/>
        </w:rPr>
        <w:t>西苑社区</w:t>
      </w:r>
      <w:r>
        <w:rPr>
          <w:rFonts w:hint="eastAsia" w:eastAsia="宋体" w:cs="Times New Roman"/>
          <w:szCs w:val="24"/>
        </w:rPr>
        <w:t>、</w:t>
      </w:r>
      <w:r>
        <w:rPr>
          <w:rFonts w:hint="eastAsia" w:ascii="宋体" w:hAnsi="宋体" w:eastAsia="宋体" w:cs="Times New Roman"/>
          <w:szCs w:val="24"/>
        </w:rPr>
        <w:t>广丰社区</w:t>
      </w:r>
      <w:r>
        <w:rPr>
          <w:rFonts w:hint="eastAsia" w:eastAsia="宋体" w:cs="Times New Roman"/>
          <w:szCs w:val="24"/>
        </w:rPr>
        <w:t>等9个社区居民委员会</w:t>
      </w:r>
      <w:r>
        <w:rPr>
          <w:rFonts w:eastAsia="宋体" w:cs="Times New Roman"/>
          <w:szCs w:val="24"/>
        </w:rPr>
        <w:t>。</w:t>
      </w:r>
    </w:p>
    <w:p w14:paraId="4ED5D54D">
      <w:pPr>
        <w:ind w:firstLine="480"/>
        <w:rPr>
          <w:rFonts w:eastAsia="宋体" w:cs="Times New Roman"/>
          <w:szCs w:val="24"/>
        </w:rPr>
      </w:pPr>
      <w:r>
        <w:rPr>
          <w:rFonts w:eastAsia="宋体" w:cs="Times New Roman"/>
          <w:szCs w:val="24"/>
        </w:rPr>
        <w:t>现状水平年为2017年，近期规划水平年为2020年，</w:t>
      </w:r>
      <w:r>
        <w:rPr>
          <w:rFonts w:hint="eastAsia" w:eastAsia="宋体" w:cs="Times New Roman"/>
          <w:szCs w:val="24"/>
        </w:rPr>
        <w:t>中期规划水平年为2025年，</w:t>
      </w:r>
      <w:r>
        <w:rPr>
          <w:rFonts w:eastAsia="宋体" w:cs="Times New Roman"/>
          <w:szCs w:val="24"/>
        </w:rPr>
        <w:t>远期规划水平年为2030年。</w:t>
      </w:r>
    </w:p>
    <w:p w14:paraId="79729FDD">
      <w:pPr>
        <w:spacing w:line="240" w:lineRule="auto"/>
        <w:ind w:firstLine="480"/>
        <w:rPr>
          <w:rFonts w:eastAsia="宋体" w:cs="Times New Roman"/>
          <w:szCs w:val="24"/>
        </w:rPr>
      </w:pPr>
    </w:p>
    <w:p w14:paraId="36F19AE9">
      <w:pPr>
        <w:pStyle w:val="4"/>
        <w:spacing w:before="0" w:after="0" w:line="360" w:lineRule="auto"/>
        <w:rPr>
          <w:rFonts w:cs="Times New Roman"/>
        </w:rPr>
      </w:pPr>
      <w:bookmarkStart w:id="371" w:name="_Toc528607260"/>
      <w:bookmarkStart w:id="372" w:name="_Toc16675039"/>
      <w:r>
        <w:rPr>
          <w:rFonts w:cs="Times New Roman"/>
        </w:rPr>
        <w:t>3.3规划依据</w:t>
      </w:r>
      <w:bookmarkEnd w:id="371"/>
      <w:bookmarkEnd w:id="372"/>
    </w:p>
    <w:p w14:paraId="41DCF0D3">
      <w:pPr>
        <w:pStyle w:val="3"/>
        <w:spacing w:before="0" w:after="0" w:line="360" w:lineRule="auto"/>
        <w:rPr>
          <w:rFonts w:cs="Times New Roman"/>
        </w:rPr>
      </w:pPr>
      <w:bookmarkStart w:id="373" w:name="_Toc10241"/>
      <w:bookmarkStart w:id="374" w:name="_Toc528607261"/>
      <w:bookmarkStart w:id="375" w:name="_Toc7272"/>
      <w:bookmarkStart w:id="376" w:name="_Toc526004932"/>
      <w:bookmarkStart w:id="377" w:name="_Toc527881087"/>
      <w:bookmarkStart w:id="378" w:name="_Toc9456"/>
      <w:bookmarkStart w:id="379" w:name="_Toc22421"/>
      <w:bookmarkStart w:id="380" w:name="_Toc523306759"/>
      <w:bookmarkStart w:id="381" w:name="_Toc528880293"/>
      <w:bookmarkStart w:id="382" w:name="_Toc12018"/>
      <w:bookmarkStart w:id="383" w:name="_Toc28774"/>
      <w:bookmarkStart w:id="384" w:name="_Toc16675040"/>
      <w:r>
        <w:rPr>
          <w:rFonts w:cs="Times New Roman"/>
        </w:rPr>
        <w:t>3.3.1主要法规文件</w:t>
      </w:r>
      <w:bookmarkEnd w:id="373"/>
      <w:bookmarkEnd w:id="374"/>
      <w:bookmarkEnd w:id="375"/>
      <w:bookmarkEnd w:id="376"/>
      <w:bookmarkEnd w:id="377"/>
      <w:bookmarkEnd w:id="378"/>
      <w:bookmarkEnd w:id="379"/>
      <w:bookmarkEnd w:id="380"/>
      <w:bookmarkEnd w:id="381"/>
      <w:bookmarkEnd w:id="382"/>
      <w:bookmarkEnd w:id="383"/>
      <w:bookmarkEnd w:id="384"/>
    </w:p>
    <w:p w14:paraId="02046C92">
      <w:pPr>
        <w:ind w:left="480" w:hanging="480" w:hangingChars="200"/>
        <w:rPr>
          <w:rFonts w:eastAsia="宋体" w:cs="Times New Roman"/>
          <w:szCs w:val="24"/>
          <w:lang w:bidi="ar"/>
        </w:rPr>
      </w:pPr>
      <w:r>
        <w:rPr>
          <w:rFonts w:eastAsia="宋体" w:cs="Times New Roman"/>
          <w:szCs w:val="24"/>
        </w:rPr>
        <w:t>（1）</w:t>
      </w:r>
      <w:r>
        <w:rPr>
          <w:rFonts w:eastAsia="宋体" w:cs="Times New Roman"/>
          <w:szCs w:val="24"/>
          <w:lang w:bidi="ar"/>
        </w:rPr>
        <w:t>《中华人民共和国水法》（2002年8月29日第九届全国人民代表大会常务委员会第二十九次会议通过，2016年7月2日第十二届全国人民代表大会常务委员会第二十一次会议修订）；</w:t>
      </w:r>
    </w:p>
    <w:p w14:paraId="7A881470">
      <w:pPr>
        <w:ind w:left="480" w:hanging="480" w:hangingChars="200"/>
        <w:rPr>
          <w:rFonts w:eastAsia="宋体" w:cs="Times New Roman"/>
          <w:szCs w:val="24"/>
          <w:lang w:bidi="ar"/>
        </w:rPr>
      </w:pPr>
      <w:r>
        <w:rPr>
          <w:rFonts w:eastAsia="宋体" w:cs="Times New Roman"/>
          <w:szCs w:val="24"/>
        </w:rPr>
        <w:t>（2）</w:t>
      </w:r>
      <w:r>
        <w:rPr>
          <w:rFonts w:eastAsia="宋体" w:cs="Times New Roman"/>
          <w:szCs w:val="24"/>
          <w:lang w:bidi="ar"/>
        </w:rPr>
        <w:t>《中华人民共和国环境保护法》（1989年12月26日第七届全国人民代表大会常务委员会第十一次会议通过，2014年4月24日第十二届全国人民代表大会常务委员会第八次会议修订）；</w:t>
      </w:r>
    </w:p>
    <w:p w14:paraId="6D21F2A6">
      <w:pPr>
        <w:ind w:left="480" w:hanging="480" w:hangingChars="200"/>
        <w:rPr>
          <w:rFonts w:eastAsia="宋体" w:cs="Times New Roman"/>
          <w:szCs w:val="24"/>
        </w:rPr>
      </w:pPr>
      <w:r>
        <w:rPr>
          <w:rFonts w:eastAsia="宋体" w:cs="Times New Roman"/>
          <w:szCs w:val="24"/>
        </w:rPr>
        <w:t>（3）《中华人民共和国防洪法》（</w:t>
      </w:r>
      <w:r>
        <w:rPr>
          <w:rFonts w:hint="eastAsia" w:eastAsia="宋体" w:cs="Times New Roman"/>
          <w:szCs w:val="24"/>
        </w:rPr>
        <w:t>1</w:t>
      </w:r>
      <w:r>
        <w:rPr>
          <w:rFonts w:eastAsia="宋体" w:cs="Times New Roman"/>
          <w:szCs w:val="24"/>
        </w:rPr>
        <w:t>997年8月29日第八届全国人民代表大会常务委员会第二十七次会议通过，根据2009年8月27日第十一届全国人民代表大会常务委员会第十次会议第一次修正，根据2015年4月24日第十二届全国人民代表大会常务委员会第十四次会议第二次修正）；</w:t>
      </w:r>
    </w:p>
    <w:p w14:paraId="3E3750E4">
      <w:pPr>
        <w:ind w:left="480" w:hanging="480" w:hangingChars="200"/>
        <w:rPr>
          <w:rFonts w:eastAsia="宋体" w:cs="Times New Roman"/>
          <w:szCs w:val="24"/>
        </w:rPr>
      </w:pPr>
      <w:r>
        <w:rPr>
          <w:rFonts w:eastAsia="宋体" w:cs="Times New Roman"/>
          <w:szCs w:val="24"/>
        </w:rPr>
        <w:t>（4）《中华人民共和国水土保持法》（2010年）；</w:t>
      </w:r>
    </w:p>
    <w:p w14:paraId="109532E7">
      <w:pPr>
        <w:ind w:left="480" w:hanging="480" w:hangingChars="200"/>
        <w:rPr>
          <w:rFonts w:eastAsia="宋体" w:cs="Times New Roman"/>
          <w:szCs w:val="24"/>
        </w:rPr>
      </w:pPr>
      <w:r>
        <w:rPr>
          <w:rFonts w:eastAsia="宋体" w:cs="Times New Roman"/>
          <w:szCs w:val="24"/>
        </w:rPr>
        <w:t>（5）《中华人民共和国清洁生产促进法》（2002年6月29日第九届全国人民代表大会常务委员会第二十八次会议通过，2012年2月29日第十一届全国人民代表大会常务委员会第二十五次会议第一次修订，2016年5月修订）；</w:t>
      </w:r>
    </w:p>
    <w:p w14:paraId="00B5F1E6">
      <w:pPr>
        <w:ind w:left="480" w:hanging="480" w:hangingChars="200"/>
        <w:rPr>
          <w:rFonts w:eastAsia="宋体" w:cs="Times New Roman"/>
          <w:szCs w:val="24"/>
        </w:rPr>
      </w:pPr>
      <w:r>
        <w:rPr>
          <w:rFonts w:eastAsia="宋体" w:cs="Times New Roman"/>
          <w:szCs w:val="24"/>
        </w:rPr>
        <w:t>（6）《中华人民共和国水污染防治法》（中华人民共和国第十届全国人民代表大会常务委员会第三十二次会议于2008年2月28日修订通过，自2008年6月1日起施行）；</w:t>
      </w:r>
    </w:p>
    <w:p w14:paraId="69403E41">
      <w:pPr>
        <w:ind w:left="480" w:hanging="480" w:hangingChars="200"/>
        <w:rPr>
          <w:rFonts w:eastAsia="宋体" w:cs="Times New Roman"/>
          <w:szCs w:val="24"/>
        </w:rPr>
      </w:pPr>
      <w:r>
        <w:rPr>
          <w:rFonts w:eastAsia="宋体" w:cs="Times New Roman"/>
          <w:szCs w:val="24"/>
        </w:rPr>
        <w:t xml:space="preserve">（7）《城市排水条例》（中华人民共和国国务院令第158号）； </w:t>
      </w:r>
    </w:p>
    <w:p w14:paraId="383731AB">
      <w:pPr>
        <w:ind w:left="480" w:hanging="480" w:hangingChars="200"/>
        <w:rPr>
          <w:rFonts w:eastAsia="宋体" w:cs="Times New Roman"/>
          <w:szCs w:val="24"/>
        </w:rPr>
      </w:pPr>
      <w:r>
        <w:rPr>
          <w:rFonts w:eastAsia="宋体" w:cs="Times New Roman"/>
          <w:szCs w:val="24"/>
        </w:rPr>
        <w:t>（8）《饮用水水源保护区污染防治管理规定》(1989年7月10日)；</w:t>
      </w:r>
    </w:p>
    <w:p w14:paraId="65B755DE">
      <w:pPr>
        <w:ind w:left="480" w:hanging="480" w:hangingChars="200"/>
        <w:rPr>
          <w:rFonts w:eastAsia="宋体" w:cs="Times New Roman"/>
          <w:szCs w:val="24"/>
        </w:rPr>
      </w:pPr>
      <w:r>
        <w:rPr>
          <w:rFonts w:eastAsia="宋体" w:cs="Times New Roman"/>
          <w:szCs w:val="24"/>
        </w:rPr>
        <w:t>（9）《广东省实施&lt;中华人民共和国水法&gt;办法》（2014年11月26日修订，2015年1月1日实施）；</w:t>
      </w:r>
    </w:p>
    <w:p w14:paraId="33F0A83A">
      <w:pPr>
        <w:ind w:left="480" w:hanging="480" w:hangingChars="200"/>
        <w:rPr>
          <w:rFonts w:eastAsia="宋体" w:cs="Times New Roman"/>
          <w:szCs w:val="24"/>
        </w:rPr>
      </w:pPr>
      <w:r>
        <w:rPr>
          <w:rFonts w:eastAsia="宋体" w:cs="Times New Roman"/>
          <w:szCs w:val="24"/>
        </w:rPr>
        <w:t>（10）《广东省饮用水源水质保护条例》（2010年7月23日）；</w:t>
      </w:r>
    </w:p>
    <w:p w14:paraId="2AAAF756">
      <w:pPr>
        <w:ind w:left="480" w:hanging="480" w:hangingChars="200"/>
        <w:rPr>
          <w:rFonts w:eastAsia="宋体" w:cs="Times New Roman"/>
          <w:szCs w:val="24"/>
        </w:rPr>
      </w:pPr>
      <w:r>
        <w:rPr>
          <w:rFonts w:eastAsia="宋体" w:cs="Times New Roman"/>
          <w:szCs w:val="24"/>
        </w:rPr>
        <w:t>（11）其他相关法律法规。</w:t>
      </w:r>
    </w:p>
    <w:p w14:paraId="206213A2">
      <w:pPr>
        <w:pStyle w:val="3"/>
        <w:spacing w:before="0" w:after="0" w:line="360" w:lineRule="auto"/>
        <w:rPr>
          <w:rFonts w:cs="Times New Roman"/>
        </w:rPr>
      </w:pPr>
      <w:bookmarkStart w:id="385" w:name="_Toc523306760"/>
      <w:bookmarkStart w:id="386" w:name="_Toc528880294"/>
      <w:bookmarkStart w:id="387" w:name="_Toc26850"/>
      <w:bookmarkStart w:id="388" w:name="_Toc3102"/>
      <w:bookmarkStart w:id="389" w:name="_Toc526004933"/>
      <w:bookmarkStart w:id="390" w:name="_Toc528607262"/>
      <w:bookmarkStart w:id="391" w:name="_Toc16200"/>
      <w:bookmarkStart w:id="392" w:name="_Toc16675041"/>
      <w:bookmarkStart w:id="393" w:name="_Toc5295"/>
      <w:bookmarkStart w:id="394" w:name="_Toc1595"/>
      <w:bookmarkStart w:id="395" w:name="_Toc527881088"/>
      <w:bookmarkStart w:id="396" w:name="_Toc5068"/>
      <w:r>
        <w:rPr>
          <w:rFonts w:cs="Times New Roman"/>
        </w:rPr>
        <w:t>3.3.2主要</w:t>
      </w:r>
      <w:bookmarkEnd w:id="385"/>
      <w:r>
        <w:rPr>
          <w:rFonts w:cs="Times New Roman"/>
        </w:rPr>
        <w:t>主导性文件</w:t>
      </w:r>
      <w:bookmarkEnd w:id="386"/>
      <w:bookmarkEnd w:id="387"/>
      <w:bookmarkEnd w:id="388"/>
      <w:bookmarkEnd w:id="389"/>
      <w:bookmarkEnd w:id="390"/>
      <w:bookmarkEnd w:id="391"/>
      <w:bookmarkEnd w:id="392"/>
      <w:bookmarkEnd w:id="393"/>
      <w:bookmarkEnd w:id="394"/>
      <w:bookmarkEnd w:id="395"/>
      <w:bookmarkEnd w:id="396"/>
    </w:p>
    <w:p w14:paraId="1B190D3B">
      <w:pPr>
        <w:ind w:left="480" w:hanging="480" w:hangingChars="200"/>
        <w:rPr>
          <w:rFonts w:eastAsia="宋体" w:cs="Times New Roman"/>
          <w:szCs w:val="24"/>
        </w:rPr>
      </w:pPr>
      <w:r>
        <w:rPr>
          <w:rFonts w:eastAsia="宋体" w:cs="Times New Roman"/>
          <w:szCs w:val="24"/>
        </w:rPr>
        <w:t>（1）《国务院关于印发水污染防治行动计划的通知》（国发〔2015〕17号）；</w:t>
      </w:r>
    </w:p>
    <w:p w14:paraId="0E74571F">
      <w:pPr>
        <w:ind w:left="480" w:hanging="480" w:hangingChars="200"/>
        <w:rPr>
          <w:rFonts w:eastAsia="宋体" w:cs="Times New Roman"/>
          <w:szCs w:val="24"/>
        </w:rPr>
      </w:pPr>
      <w:r>
        <w:rPr>
          <w:rFonts w:eastAsia="宋体" w:cs="Times New Roman"/>
          <w:szCs w:val="24"/>
        </w:rPr>
        <w:t>（2）《水利部关于加快推进水生态文明建设工作的意见》（水资源〔2013〕1号）；</w:t>
      </w:r>
    </w:p>
    <w:p w14:paraId="75BED735">
      <w:pPr>
        <w:ind w:left="480" w:hanging="480" w:hangingChars="200"/>
        <w:rPr>
          <w:rFonts w:eastAsia="宋体" w:cs="Times New Roman"/>
          <w:szCs w:val="24"/>
        </w:rPr>
      </w:pPr>
      <w:r>
        <w:rPr>
          <w:rFonts w:eastAsia="宋体" w:cs="Times New Roman"/>
          <w:szCs w:val="24"/>
        </w:rPr>
        <w:t>（3）《水利部关于开展全国水生态文明建设试点工作的通知》（水资源〔2013〕145号）；</w:t>
      </w:r>
    </w:p>
    <w:p w14:paraId="67A593D8">
      <w:pPr>
        <w:ind w:left="480" w:hanging="480" w:hangingChars="200"/>
        <w:rPr>
          <w:rFonts w:eastAsia="宋体" w:cs="Times New Roman"/>
          <w:szCs w:val="24"/>
        </w:rPr>
      </w:pPr>
      <w:r>
        <w:rPr>
          <w:rFonts w:eastAsia="宋体" w:cs="Times New Roman"/>
          <w:szCs w:val="24"/>
        </w:rPr>
        <w:t>（4）《水利部关于加快开展全国水生态文明城市建设试点工作的通知》（水资源函〔2013〕233号）；</w:t>
      </w:r>
    </w:p>
    <w:p w14:paraId="088653EC">
      <w:pPr>
        <w:ind w:left="480" w:hanging="480" w:hangingChars="200"/>
        <w:rPr>
          <w:rFonts w:eastAsia="宋体" w:cs="Times New Roman"/>
          <w:szCs w:val="24"/>
        </w:rPr>
      </w:pPr>
      <w:r>
        <w:rPr>
          <w:rFonts w:eastAsia="宋体" w:cs="Times New Roman"/>
          <w:szCs w:val="24"/>
        </w:rPr>
        <w:t>（5）《中共中央办公厅国务院办公厅印发〈关于全面推行河长制的意见〉的通知》(厅字〔2016〕42号)；</w:t>
      </w:r>
    </w:p>
    <w:p w14:paraId="6FAB23F3">
      <w:pPr>
        <w:ind w:left="480" w:hanging="480" w:hangingChars="200"/>
        <w:rPr>
          <w:rFonts w:eastAsia="宋体" w:cs="Times New Roman"/>
          <w:szCs w:val="24"/>
        </w:rPr>
      </w:pPr>
      <w:r>
        <w:rPr>
          <w:rFonts w:eastAsia="宋体" w:cs="Times New Roman"/>
          <w:szCs w:val="24"/>
        </w:rPr>
        <w:t>（6）《水利部、环境保护部关于印发贯彻落实&lt;关于全面推行河长制的意见&gt;实施方案的函》(水建管〔2016〕449号)；</w:t>
      </w:r>
    </w:p>
    <w:p w14:paraId="58F6C336">
      <w:pPr>
        <w:ind w:left="480" w:hanging="480" w:hangingChars="200"/>
        <w:rPr>
          <w:rFonts w:eastAsia="宋体" w:cs="Times New Roman"/>
          <w:szCs w:val="24"/>
        </w:rPr>
      </w:pPr>
      <w:r>
        <w:rPr>
          <w:rFonts w:eastAsia="宋体" w:cs="Times New Roman"/>
          <w:szCs w:val="24"/>
        </w:rPr>
        <w:t>（7）《国务院关于实行最严格水资源管理制度的意见》，国发〔2012〕3号，2012年1月12日；</w:t>
      </w:r>
    </w:p>
    <w:p w14:paraId="60355C5A">
      <w:pPr>
        <w:ind w:left="480" w:hanging="480" w:hangingChars="200"/>
        <w:rPr>
          <w:rFonts w:eastAsia="宋体" w:cs="Times New Roman"/>
          <w:szCs w:val="24"/>
        </w:rPr>
      </w:pPr>
      <w:r>
        <w:rPr>
          <w:rFonts w:eastAsia="宋体" w:cs="Times New Roman"/>
          <w:szCs w:val="24"/>
        </w:rPr>
        <w:t>（8）《广东省人民政府办公厅关于印发广东省实行最严格水资源管理制度考核办法的通知》（粤办函〔2016〕89号）；</w:t>
      </w:r>
    </w:p>
    <w:p w14:paraId="017C4CA3">
      <w:pPr>
        <w:ind w:left="480" w:hanging="480" w:hangingChars="200"/>
        <w:rPr>
          <w:rFonts w:eastAsia="宋体" w:cs="Times New Roman"/>
          <w:szCs w:val="24"/>
        </w:rPr>
      </w:pPr>
      <w:r>
        <w:rPr>
          <w:rFonts w:eastAsia="宋体" w:cs="Times New Roman"/>
          <w:szCs w:val="24"/>
        </w:rPr>
        <w:t>（9）《取水许可和水资源费征收管理条例》（中华人民共和国国务院令第460号）；</w:t>
      </w:r>
    </w:p>
    <w:p w14:paraId="749B316A">
      <w:pPr>
        <w:ind w:left="480" w:hanging="480" w:hangingChars="200"/>
        <w:rPr>
          <w:rFonts w:eastAsia="宋体" w:cs="Times New Roman"/>
          <w:szCs w:val="24"/>
        </w:rPr>
      </w:pPr>
      <w:r>
        <w:rPr>
          <w:rFonts w:eastAsia="宋体" w:cs="Times New Roman"/>
          <w:szCs w:val="24"/>
        </w:rPr>
        <w:t>（10）《水功能区监督管理办法》（水资源〔2017〕101号）；</w:t>
      </w:r>
    </w:p>
    <w:p w14:paraId="655E6E2A">
      <w:pPr>
        <w:ind w:left="480" w:hanging="480" w:hangingChars="200"/>
        <w:rPr>
          <w:rFonts w:eastAsia="宋体" w:cs="Times New Roman"/>
          <w:szCs w:val="24"/>
        </w:rPr>
      </w:pPr>
      <w:r>
        <w:rPr>
          <w:rFonts w:eastAsia="宋体" w:cs="Times New Roman"/>
          <w:szCs w:val="24"/>
        </w:rPr>
        <w:t>（11）《广东省环境保护厅关于印发南粤水更清行动计划（修订本）（2017—2020年）的通知》（粤环〔2017〕28号）；</w:t>
      </w:r>
    </w:p>
    <w:p w14:paraId="1BC058C8">
      <w:pPr>
        <w:ind w:left="480" w:hanging="480" w:hangingChars="200"/>
        <w:rPr>
          <w:rFonts w:eastAsia="宋体" w:cs="Times New Roman"/>
          <w:szCs w:val="24"/>
        </w:rPr>
      </w:pPr>
      <w:r>
        <w:rPr>
          <w:rFonts w:eastAsia="宋体" w:cs="Times New Roman"/>
          <w:szCs w:val="24"/>
        </w:rPr>
        <w:t>（12）《广东省人民政府关于印发广东省水污染防治行动计划实施方案的通知》（粤府〔2015〕131号）；</w:t>
      </w:r>
    </w:p>
    <w:p w14:paraId="13DA05B1">
      <w:pPr>
        <w:ind w:left="480" w:hanging="480" w:hangingChars="200"/>
        <w:rPr>
          <w:rFonts w:eastAsia="宋体" w:cs="Times New Roman"/>
          <w:szCs w:val="24"/>
        </w:rPr>
      </w:pPr>
      <w:r>
        <w:rPr>
          <w:rFonts w:eastAsia="宋体" w:cs="Times New Roman"/>
          <w:szCs w:val="24"/>
        </w:rPr>
        <w:t>（13）《入河排污口监督管理办法》（中华人民共和国水利部令第22号）；</w:t>
      </w:r>
    </w:p>
    <w:p w14:paraId="1F6906D1">
      <w:pPr>
        <w:ind w:left="480" w:hanging="480" w:hangingChars="200"/>
        <w:rPr>
          <w:rFonts w:eastAsia="宋体" w:cs="Times New Roman"/>
          <w:szCs w:val="24"/>
        </w:rPr>
      </w:pPr>
      <w:r>
        <w:rPr>
          <w:rFonts w:eastAsia="宋体" w:cs="Times New Roman"/>
          <w:szCs w:val="24"/>
        </w:rPr>
        <w:t>（14）《关于水生态系统保护与修复的若干意见》（水资源〔2004〕316号）；</w:t>
      </w:r>
    </w:p>
    <w:p w14:paraId="5991ED60">
      <w:pPr>
        <w:ind w:left="480" w:hanging="480" w:hangingChars="200"/>
        <w:rPr>
          <w:rFonts w:eastAsia="宋体" w:cs="Times New Roman"/>
          <w:szCs w:val="24"/>
        </w:rPr>
      </w:pPr>
      <w:r>
        <w:rPr>
          <w:rFonts w:eastAsia="宋体" w:cs="Times New Roman"/>
          <w:szCs w:val="24"/>
        </w:rPr>
        <w:t>（15）《关于做好水生态系统保护与修复试点工作的通知》（水资源〔2007〕150号）；</w:t>
      </w:r>
    </w:p>
    <w:p w14:paraId="0C3FC712">
      <w:pPr>
        <w:ind w:left="480" w:hanging="480" w:hangingChars="200"/>
        <w:rPr>
          <w:rFonts w:eastAsia="宋体" w:cs="Times New Roman"/>
          <w:szCs w:val="24"/>
        </w:rPr>
      </w:pPr>
      <w:r>
        <w:rPr>
          <w:rFonts w:eastAsia="宋体" w:cs="Times New Roman"/>
          <w:szCs w:val="24"/>
        </w:rPr>
        <w:t>（16）《水生态文明城市试点管理办法》；</w:t>
      </w:r>
    </w:p>
    <w:p w14:paraId="55D9232B">
      <w:pPr>
        <w:ind w:left="480" w:hanging="480" w:hangingChars="200"/>
        <w:rPr>
          <w:rFonts w:eastAsia="宋体" w:cs="Times New Roman"/>
          <w:szCs w:val="24"/>
        </w:rPr>
      </w:pPr>
      <w:r>
        <w:rPr>
          <w:rFonts w:eastAsia="宋体" w:cs="Times New Roman"/>
          <w:szCs w:val="24"/>
        </w:rPr>
        <w:t>（17）《中山市水功能区管理办法》（中府〔2008〕96号）；</w:t>
      </w:r>
    </w:p>
    <w:p w14:paraId="06E4F8E8">
      <w:pPr>
        <w:ind w:left="480" w:hanging="480" w:hangingChars="200"/>
        <w:rPr>
          <w:rFonts w:eastAsia="宋体" w:cs="Times New Roman"/>
          <w:szCs w:val="24"/>
        </w:rPr>
      </w:pPr>
      <w:r>
        <w:rPr>
          <w:rFonts w:eastAsia="宋体" w:cs="Times New Roman"/>
          <w:szCs w:val="24"/>
        </w:rPr>
        <w:t>（18）《中山市人民政府关于印发中山市水污染防治行动计划实施方案的通知》（中府〔2016〕34号）；</w:t>
      </w:r>
    </w:p>
    <w:p w14:paraId="41289199">
      <w:pPr>
        <w:ind w:left="480" w:hanging="480" w:hangingChars="200"/>
        <w:rPr>
          <w:rFonts w:eastAsia="宋体" w:cs="Times New Roman"/>
          <w:szCs w:val="24"/>
        </w:rPr>
      </w:pPr>
      <w:r>
        <w:rPr>
          <w:rFonts w:eastAsia="宋体" w:cs="Times New Roman"/>
          <w:szCs w:val="24"/>
        </w:rPr>
        <w:t>（19）《中山市2016-2020年度最严格水资源管理制度考核实施细则》（中水函〔2016〕15号）；</w:t>
      </w:r>
    </w:p>
    <w:p w14:paraId="66B69F09">
      <w:pPr>
        <w:ind w:left="480" w:hanging="480" w:hangingChars="200"/>
        <w:rPr>
          <w:rFonts w:eastAsia="宋体" w:cs="Times New Roman"/>
          <w:szCs w:val="24"/>
        </w:rPr>
      </w:pPr>
      <w:r>
        <w:rPr>
          <w:rFonts w:eastAsia="宋体" w:cs="Times New Roman"/>
          <w:szCs w:val="24"/>
        </w:rPr>
        <w:t>（20）《中山市城市供水管理办法》（中府〔1996〕55号）；</w:t>
      </w:r>
    </w:p>
    <w:p w14:paraId="7521EC56">
      <w:pPr>
        <w:ind w:left="480" w:hanging="480" w:hangingChars="200"/>
        <w:rPr>
          <w:rFonts w:eastAsia="宋体" w:cs="Times New Roman"/>
          <w:szCs w:val="24"/>
        </w:rPr>
      </w:pPr>
      <w:r>
        <w:rPr>
          <w:rFonts w:eastAsia="宋体" w:cs="Times New Roman"/>
          <w:szCs w:val="24"/>
        </w:rPr>
        <w:t>（21）《中山市水资源保护暂行规定》（中府〔2007〕118号）；</w:t>
      </w:r>
    </w:p>
    <w:p w14:paraId="247777DB">
      <w:pPr>
        <w:ind w:left="480" w:hanging="480" w:hangingChars="200"/>
        <w:rPr>
          <w:rFonts w:eastAsia="宋体" w:cs="Times New Roman"/>
          <w:szCs w:val="24"/>
        </w:rPr>
      </w:pPr>
      <w:r>
        <w:rPr>
          <w:rFonts w:eastAsia="宋体" w:cs="Times New Roman"/>
          <w:szCs w:val="24"/>
        </w:rPr>
        <w:t>（22）《水生态文明城市建设评价导则》（SL/Z738-2016）；</w:t>
      </w:r>
    </w:p>
    <w:p w14:paraId="7D256CC4">
      <w:pPr>
        <w:ind w:left="480" w:hanging="480" w:hangingChars="200"/>
        <w:rPr>
          <w:rFonts w:eastAsia="宋体" w:cs="Times New Roman"/>
          <w:szCs w:val="24"/>
        </w:rPr>
      </w:pPr>
      <w:r>
        <w:rPr>
          <w:rFonts w:hint="eastAsia" w:eastAsia="宋体" w:cs="Times New Roman"/>
          <w:szCs w:val="24"/>
        </w:rPr>
        <w:t>（23）《中山市建设项目海绵城市审查指南（试行）》（2018年7月）</w:t>
      </w:r>
    </w:p>
    <w:p w14:paraId="10CB2D14">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4</w:t>
      </w:r>
      <w:r>
        <w:rPr>
          <w:rFonts w:eastAsia="宋体" w:cs="Times New Roman"/>
          <w:szCs w:val="24"/>
        </w:rPr>
        <w:t>）其他相关重要政策与文件。</w:t>
      </w:r>
    </w:p>
    <w:p w14:paraId="6630405C">
      <w:pPr>
        <w:spacing w:line="240" w:lineRule="auto"/>
        <w:ind w:left="480" w:hanging="480" w:hangingChars="200"/>
        <w:rPr>
          <w:rFonts w:eastAsia="宋体" w:cs="Times New Roman"/>
          <w:szCs w:val="24"/>
        </w:rPr>
      </w:pPr>
    </w:p>
    <w:p w14:paraId="25DF0345">
      <w:pPr>
        <w:pStyle w:val="3"/>
        <w:spacing w:before="0" w:after="0" w:line="360" w:lineRule="auto"/>
        <w:rPr>
          <w:rFonts w:cs="Times New Roman"/>
        </w:rPr>
      </w:pPr>
      <w:bookmarkStart w:id="397" w:name="_Toc11777"/>
      <w:bookmarkStart w:id="398" w:name="_Toc15376"/>
      <w:bookmarkStart w:id="399" w:name="_Toc528880295"/>
      <w:bookmarkStart w:id="400" w:name="_Toc16675042"/>
      <w:bookmarkStart w:id="401" w:name="_Toc17750"/>
      <w:bookmarkStart w:id="402" w:name="_Toc16800"/>
      <w:bookmarkStart w:id="403" w:name="_Toc528607263"/>
      <w:bookmarkStart w:id="404" w:name="_Toc526004934"/>
      <w:bookmarkStart w:id="405" w:name="_Toc17482"/>
      <w:bookmarkStart w:id="406" w:name="_Toc527881089"/>
      <w:bookmarkStart w:id="407" w:name="_Toc21748"/>
      <w:r>
        <w:rPr>
          <w:rFonts w:cs="Times New Roman"/>
        </w:rPr>
        <w:t>3.3.3相关规划与技术材料</w:t>
      </w:r>
      <w:bookmarkEnd w:id="397"/>
      <w:bookmarkEnd w:id="398"/>
      <w:bookmarkEnd w:id="399"/>
      <w:bookmarkEnd w:id="400"/>
      <w:bookmarkEnd w:id="401"/>
      <w:bookmarkEnd w:id="402"/>
      <w:bookmarkEnd w:id="403"/>
      <w:bookmarkEnd w:id="404"/>
      <w:bookmarkEnd w:id="405"/>
      <w:bookmarkEnd w:id="406"/>
      <w:bookmarkEnd w:id="407"/>
    </w:p>
    <w:p w14:paraId="4188E67E">
      <w:pPr>
        <w:ind w:left="480" w:hanging="480" w:hangingChars="200"/>
        <w:rPr>
          <w:rFonts w:eastAsia="宋体" w:cs="Times New Roman"/>
          <w:szCs w:val="24"/>
        </w:rPr>
      </w:pPr>
      <w:r>
        <w:rPr>
          <w:rFonts w:eastAsia="宋体" w:cs="Times New Roman"/>
          <w:szCs w:val="24"/>
        </w:rPr>
        <w:t>（1）《全国水生态文明城市评价指标体系》（2013年）；</w:t>
      </w:r>
    </w:p>
    <w:p w14:paraId="0D7D3A59">
      <w:pPr>
        <w:ind w:left="480" w:hanging="480" w:hangingChars="200"/>
        <w:rPr>
          <w:rFonts w:eastAsia="宋体" w:cs="Times New Roman"/>
          <w:szCs w:val="24"/>
        </w:rPr>
      </w:pPr>
      <w:r>
        <w:rPr>
          <w:rFonts w:eastAsia="宋体" w:cs="Times New Roman"/>
          <w:szCs w:val="24"/>
        </w:rPr>
        <w:t>（2）《水利部水生态文明实施方案编制大纲》（2012年）；</w:t>
      </w:r>
    </w:p>
    <w:p w14:paraId="3972327E">
      <w:pPr>
        <w:ind w:left="480" w:hanging="480" w:hangingChars="200"/>
        <w:rPr>
          <w:rFonts w:eastAsia="宋体" w:cs="Times New Roman"/>
          <w:szCs w:val="24"/>
        </w:rPr>
      </w:pPr>
      <w:r>
        <w:rPr>
          <w:rFonts w:eastAsia="宋体" w:cs="Times New Roman"/>
          <w:szCs w:val="24"/>
        </w:rPr>
        <w:t>（3）《水生态文明建设试点实施方案编制大纲》，2013年7月；</w:t>
      </w:r>
    </w:p>
    <w:p w14:paraId="306F7625">
      <w:pPr>
        <w:ind w:left="480" w:hanging="480" w:hangingChars="200"/>
        <w:rPr>
          <w:rFonts w:eastAsia="宋体" w:cs="Times New Roman"/>
          <w:szCs w:val="24"/>
        </w:rPr>
      </w:pPr>
      <w:r>
        <w:rPr>
          <w:rFonts w:eastAsia="宋体" w:cs="Times New Roman"/>
          <w:szCs w:val="24"/>
        </w:rPr>
        <w:t>（4）《广东省水生态文明建设</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规划》（2016年）；</w:t>
      </w:r>
    </w:p>
    <w:p w14:paraId="340B8282">
      <w:pPr>
        <w:ind w:left="480" w:hanging="480" w:hangingChars="200"/>
        <w:rPr>
          <w:rFonts w:eastAsia="宋体" w:cs="Times New Roman"/>
          <w:szCs w:val="24"/>
        </w:rPr>
      </w:pPr>
      <w:r>
        <w:rPr>
          <w:rFonts w:eastAsia="宋体" w:cs="Times New Roman"/>
          <w:szCs w:val="24"/>
        </w:rPr>
        <w:t>（5）《广东省中山市水利发展</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规划报告》（2015年）；</w:t>
      </w:r>
    </w:p>
    <w:p w14:paraId="36E42F29">
      <w:pPr>
        <w:ind w:left="480" w:hanging="480" w:hangingChars="200"/>
        <w:rPr>
          <w:rFonts w:eastAsia="宋体" w:cs="Times New Roman"/>
          <w:szCs w:val="24"/>
        </w:rPr>
      </w:pPr>
      <w:r>
        <w:rPr>
          <w:rFonts w:eastAsia="宋体" w:cs="Times New Roman"/>
          <w:szCs w:val="24"/>
        </w:rPr>
        <w:t>（6）《</w:t>
      </w:r>
      <w:r>
        <w:rPr>
          <w:rFonts w:hint="eastAsia" w:eastAsia="宋体" w:cs="Times New Roman"/>
          <w:szCs w:val="24"/>
        </w:rPr>
        <w:t>中山市生态文明建设规划（修编）（2018-2030年）</w:t>
      </w:r>
      <w:r>
        <w:rPr>
          <w:rFonts w:eastAsia="宋体" w:cs="Times New Roman"/>
          <w:szCs w:val="24"/>
        </w:rPr>
        <w:t>》（201</w:t>
      </w:r>
      <w:r>
        <w:rPr>
          <w:rFonts w:hint="eastAsia" w:eastAsia="宋体" w:cs="Times New Roman"/>
          <w:szCs w:val="24"/>
        </w:rPr>
        <w:t>8</w:t>
      </w:r>
      <w:r>
        <w:rPr>
          <w:rFonts w:eastAsia="宋体" w:cs="Times New Roman"/>
          <w:szCs w:val="24"/>
        </w:rPr>
        <w:t>年）；</w:t>
      </w:r>
    </w:p>
    <w:p w14:paraId="074A84A7">
      <w:pPr>
        <w:ind w:left="480" w:hanging="480" w:hangingChars="200"/>
        <w:rPr>
          <w:rFonts w:eastAsia="宋体" w:cs="Times New Roman"/>
          <w:szCs w:val="24"/>
        </w:rPr>
      </w:pPr>
      <w:r>
        <w:rPr>
          <w:rFonts w:eastAsia="宋体" w:cs="Times New Roman"/>
          <w:szCs w:val="24"/>
        </w:rPr>
        <w:t>（7）《广东省中山市水利现代化建设规划（2011-2020）》；</w:t>
      </w:r>
    </w:p>
    <w:p w14:paraId="5E5C850B">
      <w:pPr>
        <w:ind w:left="480" w:hanging="480" w:hangingChars="200"/>
        <w:rPr>
          <w:rFonts w:eastAsia="宋体" w:cs="Times New Roman"/>
          <w:szCs w:val="24"/>
        </w:rPr>
      </w:pPr>
      <w:r>
        <w:rPr>
          <w:rFonts w:eastAsia="宋体" w:cs="Times New Roman"/>
          <w:szCs w:val="24"/>
        </w:rPr>
        <w:t>（8）《中山市环境保护规划》（2011-2020）；</w:t>
      </w:r>
    </w:p>
    <w:p w14:paraId="5F365BC6">
      <w:pPr>
        <w:ind w:left="480" w:hanging="480" w:hangingChars="200"/>
        <w:rPr>
          <w:rFonts w:eastAsia="宋体" w:cs="Times New Roman"/>
          <w:szCs w:val="24"/>
        </w:rPr>
      </w:pPr>
      <w:r>
        <w:rPr>
          <w:rFonts w:eastAsia="宋体" w:cs="Times New Roman"/>
          <w:szCs w:val="24"/>
        </w:rPr>
        <w:t>（9）《中山市水资源公报》（2016）；</w:t>
      </w:r>
    </w:p>
    <w:p w14:paraId="1A2C0EBD">
      <w:pPr>
        <w:ind w:left="480" w:hanging="480" w:hangingChars="200"/>
        <w:rPr>
          <w:rFonts w:eastAsia="宋体" w:cs="Times New Roman"/>
          <w:szCs w:val="24"/>
        </w:rPr>
      </w:pPr>
      <w:r>
        <w:rPr>
          <w:rFonts w:eastAsia="宋体" w:cs="Times New Roman"/>
          <w:szCs w:val="24"/>
        </w:rPr>
        <w:t>（10）《中山市水资源管理控制规划（2016-2020）》；</w:t>
      </w:r>
    </w:p>
    <w:p w14:paraId="08880D37">
      <w:pPr>
        <w:ind w:left="480" w:hanging="480" w:hangingChars="200"/>
        <w:rPr>
          <w:rFonts w:eastAsia="宋体" w:cs="Times New Roman"/>
          <w:szCs w:val="24"/>
        </w:rPr>
      </w:pPr>
      <w:r>
        <w:rPr>
          <w:rFonts w:eastAsia="宋体" w:cs="Times New Roman"/>
          <w:szCs w:val="24"/>
        </w:rPr>
        <w:t>（11）《中山市节水型社会建设和非常规水资源开发利用规划》（2015）；</w:t>
      </w:r>
    </w:p>
    <w:p w14:paraId="2070D088">
      <w:pPr>
        <w:ind w:left="480" w:hanging="480" w:hangingChars="200"/>
        <w:rPr>
          <w:rFonts w:eastAsia="宋体" w:cs="Times New Roman"/>
          <w:szCs w:val="24"/>
        </w:rPr>
      </w:pPr>
      <w:r>
        <w:rPr>
          <w:rFonts w:eastAsia="宋体" w:cs="Times New Roman"/>
          <w:szCs w:val="24"/>
        </w:rPr>
        <w:t>（12）《中山市2016-2020年度最严格水资源管理制度考核实施细则》；</w:t>
      </w:r>
    </w:p>
    <w:p w14:paraId="19FA91E4">
      <w:pPr>
        <w:ind w:left="480" w:hanging="480" w:hangingChars="200"/>
        <w:rPr>
          <w:rFonts w:eastAsia="宋体" w:cs="Times New Roman"/>
          <w:szCs w:val="24"/>
        </w:rPr>
      </w:pPr>
      <w:r>
        <w:rPr>
          <w:rFonts w:eastAsia="宋体" w:cs="Times New Roman"/>
          <w:szCs w:val="24"/>
        </w:rPr>
        <w:t>（13）《中山市江河流域综合规划》（2012）；</w:t>
      </w:r>
    </w:p>
    <w:p w14:paraId="3F372069">
      <w:pPr>
        <w:ind w:left="480" w:hanging="480" w:hangingChars="200"/>
        <w:rPr>
          <w:rFonts w:eastAsia="宋体" w:cs="Times New Roman"/>
          <w:szCs w:val="24"/>
        </w:rPr>
      </w:pPr>
      <w:r>
        <w:rPr>
          <w:rFonts w:eastAsia="宋体" w:cs="Times New Roman"/>
          <w:szCs w:val="24"/>
        </w:rPr>
        <w:t>（14）《中山市治涝规划》（2015）；</w:t>
      </w:r>
    </w:p>
    <w:p w14:paraId="72582D0F">
      <w:pPr>
        <w:ind w:left="480" w:hanging="480" w:hangingChars="200"/>
        <w:rPr>
          <w:rFonts w:eastAsia="宋体" w:cs="Times New Roman"/>
          <w:szCs w:val="24"/>
        </w:rPr>
      </w:pPr>
      <w:r>
        <w:rPr>
          <w:rFonts w:eastAsia="宋体" w:cs="Times New Roman"/>
          <w:szCs w:val="24"/>
        </w:rPr>
        <w:t>（15）</w:t>
      </w:r>
      <w:r>
        <w:rPr>
          <w:rFonts w:hint="eastAsia" w:eastAsia="宋体" w:cs="Times New Roman"/>
          <w:szCs w:val="24"/>
        </w:rPr>
        <w:t>《中山市城市生态控制线划定规划》（2015）；</w:t>
      </w:r>
    </w:p>
    <w:p w14:paraId="08E92925">
      <w:pPr>
        <w:ind w:left="480" w:hanging="480" w:hangingChars="200"/>
        <w:rPr>
          <w:rFonts w:eastAsia="宋体" w:cs="Times New Roman"/>
          <w:szCs w:val="24"/>
        </w:rPr>
      </w:pPr>
      <w:r>
        <w:rPr>
          <w:rFonts w:eastAsia="宋体" w:cs="Times New Roman"/>
          <w:szCs w:val="24"/>
        </w:rPr>
        <w:t>（16）《中山市</w:t>
      </w:r>
      <w:r>
        <w:rPr>
          <w:rFonts w:hint="eastAsia" w:eastAsia="宋体" w:cs="Times New Roman"/>
          <w:szCs w:val="24"/>
        </w:rPr>
        <w:t>城市总体</w:t>
      </w:r>
      <w:r>
        <w:rPr>
          <w:rFonts w:eastAsia="宋体" w:cs="Times New Roman"/>
          <w:szCs w:val="24"/>
        </w:rPr>
        <w:t>规划（201</w:t>
      </w:r>
      <w:r>
        <w:rPr>
          <w:rFonts w:hint="eastAsia" w:eastAsia="宋体" w:cs="Times New Roman"/>
          <w:szCs w:val="24"/>
        </w:rPr>
        <w:t>0-</w:t>
      </w:r>
      <w:r>
        <w:rPr>
          <w:rFonts w:eastAsia="宋体" w:cs="Times New Roman"/>
          <w:szCs w:val="24"/>
        </w:rPr>
        <w:t>20</w:t>
      </w:r>
      <w:r>
        <w:rPr>
          <w:rFonts w:hint="eastAsia" w:eastAsia="宋体" w:cs="Times New Roman"/>
          <w:szCs w:val="24"/>
        </w:rPr>
        <w:t>2</w:t>
      </w:r>
      <w:r>
        <w:rPr>
          <w:rFonts w:eastAsia="宋体" w:cs="Times New Roman"/>
          <w:szCs w:val="24"/>
        </w:rPr>
        <w:t>0年）》（20</w:t>
      </w:r>
      <w:r>
        <w:rPr>
          <w:rFonts w:hint="eastAsia" w:eastAsia="宋体" w:cs="Times New Roman"/>
          <w:szCs w:val="24"/>
        </w:rPr>
        <w:t>09</w:t>
      </w:r>
      <w:r>
        <w:rPr>
          <w:rFonts w:eastAsia="宋体" w:cs="Times New Roman"/>
          <w:szCs w:val="24"/>
        </w:rPr>
        <w:t>）；</w:t>
      </w:r>
    </w:p>
    <w:p w14:paraId="207023CF">
      <w:pPr>
        <w:ind w:left="480" w:hanging="480" w:hangingChars="200"/>
        <w:rPr>
          <w:rFonts w:eastAsia="宋体" w:cs="Times New Roman"/>
          <w:szCs w:val="24"/>
        </w:rPr>
      </w:pPr>
      <w:r>
        <w:rPr>
          <w:rFonts w:eastAsia="宋体" w:cs="Times New Roman"/>
          <w:szCs w:val="24"/>
        </w:rPr>
        <w:t>（17）《中山市给水工程专项（修编）（2014-2020年）》；</w:t>
      </w:r>
    </w:p>
    <w:p w14:paraId="63F92B90">
      <w:pPr>
        <w:ind w:left="480" w:hanging="480" w:hangingChars="200"/>
        <w:rPr>
          <w:rFonts w:eastAsia="宋体" w:cs="Times New Roman"/>
          <w:szCs w:val="24"/>
        </w:rPr>
      </w:pPr>
      <w:r>
        <w:rPr>
          <w:rFonts w:eastAsia="宋体" w:cs="Times New Roman"/>
          <w:szCs w:val="24"/>
        </w:rPr>
        <w:t>（18）</w:t>
      </w:r>
      <w:r>
        <w:rPr>
          <w:rFonts w:hint="eastAsia" w:eastAsia="宋体" w:cs="Times New Roman"/>
          <w:szCs w:val="24"/>
        </w:rPr>
        <w:t>《中山市城市排水（雨水）防涝综合规划》（2016年）；</w:t>
      </w:r>
    </w:p>
    <w:p w14:paraId="5985D54E">
      <w:pPr>
        <w:ind w:left="480" w:hanging="480" w:hangingChars="200"/>
        <w:rPr>
          <w:rFonts w:eastAsia="宋体" w:cs="Times New Roman"/>
          <w:szCs w:val="24"/>
        </w:rPr>
      </w:pPr>
      <w:r>
        <w:rPr>
          <w:rFonts w:hint="eastAsia" w:eastAsia="宋体" w:cs="Times New Roman"/>
          <w:szCs w:val="24"/>
        </w:rPr>
        <w:t>（19）《中山市水资源综合规划》（2009年）；</w:t>
      </w:r>
    </w:p>
    <w:p w14:paraId="5F89F363">
      <w:pPr>
        <w:ind w:left="480" w:hanging="480" w:hangingChars="200"/>
        <w:rPr>
          <w:szCs w:val="24"/>
        </w:rPr>
      </w:pPr>
      <w:r>
        <w:rPr>
          <w:szCs w:val="24"/>
        </w:rPr>
        <w:t>（</w:t>
      </w:r>
      <w:r>
        <w:rPr>
          <w:rFonts w:hint="eastAsia"/>
          <w:szCs w:val="24"/>
        </w:rPr>
        <w:t>20</w:t>
      </w:r>
      <w:r>
        <w:rPr>
          <w:szCs w:val="24"/>
        </w:rPr>
        <w:t>）</w:t>
      </w:r>
      <w:r>
        <w:rPr>
          <w:rFonts w:hint="eastAsia" w:eastAsia="宋体" w:cs="Times New Roman"/>
          <w:szCs w:val="24"/>
        </w:rPr>
        <w:t>《中山市中顺大围内河河网综合规划》（2015年）；</w:t>
      </w:r>
    </w:p>
    <w:p w14:paraId="4682B424">
      <w:pPr>
        <w:ind w:left="480" w:hanging="480" w:hangingChars="200"/>
        <w:rPr>
          <w:rFonts w:eastAsia="宋体" w:cs="Times New Roman"/>
          <w:szCs w:val="24"/>
        </w:rPr>
      </w:pPr>
      <w:r>
        <w:rPr>
          <w:rFonts w:eastAsia="宋体" w:cs="Times New Roman"/>
          <w:szCs w:val="24"/>
        </w:rPr>
        <w:t>（</w:t>
      </w:r>
      <w:r>
        <w:rPr>
          <w:rFonts w:hint="eastAsia" w:eastAsia="宋体" w:cs="Times New Roman"/>
          <w:szCs w:val="24"/>
        </w:rPr>
        <w:t>21</w:t>
      </w:r>
      <w:r>
        <w:rPr>
          <w:rFonts w:eastAsia="宋体" w:cs="Times New Roman"/>
          <w:szCs w:val="24"/>
        </w:rPr>
        <w:t>）《中山市生态建设与环境保护</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w:t>
      </w:r>
    </w:p>
    <w:p w14:paraId="1B1F66D7">
      <w:pPr>
        <w:ind w:left="480" w:hanging="480" w:hangingChars="200"/>
        <w:rPr>
          <w:rFonts w:eastAsia="宋体" w:cs="Times New Roman"/>
          <w:szCs w:val="24"/>
        </w:rPr>
      </w:pPr>
      <w:r>
        <w:rPr>
          <w:rFonts w:hint="eastAsia" w:eastAsia="宋体" w:cs="Times New Roman"/>
          <w:szCs w:val="24"/>
        </w:rPr>
        <w:t>（22）</w:t>
      </w:r>
      <w:r>
        <w:rPr>
          <w:rFonts w:eastAsia="宋体" w:cs="Times New Roman"/>
          <w:szCs w:val="24"/>
        </w:rPr>
        <w:t>《中山市水土保持规划（2016</w:t>
      </w:r>
      <w:r>
        <w:rPr>
          <w:rFonts w:hint="eastAsia" w:eastAsia="宋体" w:cs="Times New Roman"/>
          <w:szCs w:val="24"/>
        </w:rPr>
        <w:t>-</w:t>
      </w:r>
      <w:r>
        <w:rPr>
          <w:rFonts w:eastAsia="宋体" w:cs="Times New Roman"/>
          <w:szCs w:val="24"/>
        </w:rPr>
        <w:t>2030年）》（2017）；</w:t>
      </w:r>
    </w:p>
    <w:p w14:paraId="51335889">
      <w:pPr>
        <w:ind w:left="480" w:hanging="480" w:hangingChars="200"/>
        <w:rPr>
          <w:rFonts w:eastAsia="宋体" w:cs="Times New Roman"/>
          <w:szCs w:val="24"/>
        </w:rPr>
      </w:pPr>
      <w:r>
        <w:rPr>
          <w:rFonts w:hint="eastAsia" w:cs="Times New Roman"/>
        </w:rPr>
        <w:t>（23）</w:t>
      </w:r>
      <w:r>
        <w:rPr>
          <w:rFonts w:hint="eastAsia" w:eastAsia="宋体" w:cs="Times New Roman"/>
          <w:szCs w:val="24"/>
        </w:rPr>
        <w:t>《中山市海绵城市专项规划</w:t>
      </w:r>
      <w:r>
        <w:rPr>
          <w:rFonts w:eastAsia="宋体" w:cs="Times New Roman"/>
          <w:szCs w:val="24"/>
        </w:rPr>
        <w:t>（2016</w:t>
      </w:r>
      <w:r>
        <w:rPr>
          <w:rFonts w:hint="eastAsia" w:eastAsia="宋体" w:cs="Times New Roman"/>
          <w:szCs w:val="24"/>
        </w:rPr>
        <w:t>-</w:t>
      </w:r>
      <w:r>
        <w:rPr>
          <w:rFonts w:eastAsia="宋体" w:cs="Times New Roman"/>
          <w:szCs w:val="24"/>
        </w:rPr>
        <w:t>20</w:t>
      </w:r>
      <w:r>
        <w:rPr>
          <w:rFonts w:hint="eastAsia" w:eastAsia="宋体" w:cs="Times New Roman"/>
          <w:szCs w:val="24"/>
        </w:rPr>
        <w:t>2</w:t>
      </w:r>
      <w:r>
        <w:rPr>
          <w:rFonts w:eastAsia="宋体" w:cs="Times New Roman"/>
          <w:szCs w:val="24"/>
        </w:rPr>
        <w:t>0年）</w:t>
      </w:r>
      <w:r>
        <w:rPr>
          <w:rFonts w:hint="eastAsia" w:eastAsia="宋体" w:cs="Times New Roman"/>
          <w:szCs w:val="24"/>
        </w:rPr>
        <w:t>》（2017）；</w:t>
      </w:r>
    </w:p>
    <w:p w14:paraId="3FABC92F">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4</w:t>
      </w:r>
      <w:r>
        <w:rPr>
          <w:rFonts w:eastAsia="宋体" w:cs="Times New Roman"/>
          <w:szCs w:val="24"/>
        </w:rPr>
        <w:t>）</w:t>
      </w:r>
      <w:r>
        <w:rPr>
          <w:rFonts w:hint="eastAsia" w:eastAsia="宋体" w:cs="Times New Roman"/>
          <w:szCs w:val="24"/>
        </w:rPr>
        <w:t xml:space="preserve"> </w:t>
      </w:r>
      <w:r>
        <w:rPr>
          <w:rFonts w:hint="eastAsia" w:ascii="宋体" w:hAnsi="宋体"/>
          <w:szCs w:val="24"/>
        </w:rPr>
        <w:t>《中山市水生态文明城市建设规划（201</w:t>
      </w:r>
      <w:r>
        <w:rPr>
          <w:rFonts w:ascii="宋体" w:hAnsi="宋体"/>
          <w:szCs w:val="24"/>
        </w:rPr>
        <w:t>6</w:t>
      </w:r>
      <w:r>
        <w:rPr>
          <w:rFonts w:hint="eastAsia" w:ascii="宋体" w:hAnsi="宋体"/>
          <w:szCs w:val="24"/>
        </w:rPr>
        <w:t>年-2030年）</w:t>
      </w:r>
      <w:r>
        <w:rPr>
          <w:rFonts w:hint="eastAsia" w:eastAsia="宋体" w:cs="Times New Roman"/>
          <w:szCs w:val="24"/>
        </w:rPr>
        <w:t>》</w:t>
      </w:r>
      <w:r>
        <w:rPr>
          <w:rFonts w:hint="eastAsia" w:ascii="宋体" w:hAnsi="宋体"/>
          <w:szCs w:val="24"/>
        </w:rPr>
        <w:t>（送审稿，2018）</w:t>
      </w:r>
    </w:p>
    <w:p w14:paraId="654A65BE">
      <w:pPr>
        <w:ind w:left="480" w:hanging="480" w:hangingChars="200"/>
        <w:rPr>
          <w:rFonts w:eastAsia="宋体" w:cs="Times New Roman"/>
          <w:szCs w:val="24"/>
        </w:rPr>
      </w:pPr>
      <w:r>
        <w:rPr>
          <w:rFonts w:hint="eastAsia" w:eastAsia="宋体" w:cs="Times New Roman"/>
          <w:szCs w:val="24"/>
        </w:rPr>
        <w:t>（25）</w:t>
      </w:r>
      <w:r>
        <w:rPr>
          <w:rFonts w:eastAsia="宋体" w:cs="Times New Roman"/>
          <w:szCs w:val="24"/>
        </w:rPr>
        <w:t>《</w:t>
      </w:r>
      <w:r>
        <w:rPr>
          <w:rFonts w:hint="eastAsia" w:eastAsia="宋体" w:cs="Times New Roman"/>
          <w:szCs w:val="24"/>
        </w:rPr>
        <w:t>中山市市域蓝线规划</w:t>
      </w:r>
      <w:r>
        <w:rPr>
          <w:rFonts w:eastAsia="宋体" w:cs="Times New Roman"/>
          <w:szCs w:val="24"/>
        </w:rPr>
        <w:t>》</w:t>
      </w:r>
      <w:r>
        <w:rPr>
          <w:rFonts w:hint="eastAsia" w:eastAsia="宋体" w:cs="Times New Roman"/>
          <w:szCs w:val="24"/>
        </w:rPr>
        <w:t>（2018）</w:t>
      </w:r>
      <w:r>
        <w:rPr>
          <w:rFonts w:eastAsia="宋体" w:cs="Times New Roman"/>
          <w:szCs w:val="24"/>
        </w:rPr>
        <w:t>；</w:t>
      </w:r>
    </w:p>
    <w:p w14:paraId="2381984A">
      <w:pPr>
        <w:ind w:left="480" w:hanging="480" w:hangingChars="200"/>
        <w:rPr>
          <w:rFonts w:eastAsia="宋体" w:cs="Times New Roman"/>
          <w:szCs w:val="24"/>
        </w:rPr>
      </w:pPr>
      <w:r>
        <w:rPr>
          <w:rFonts w:hint="eastAsia" w:eastAsia="宋体" w:cs="Times New Roman"/>
          <w:szCs w:val="24"/>
        </w:rPr>
        <w:t>（26） 《中山市城市总体规划（2011-2020年）中心城区用地规划图（2017年8月）》；</w:t>
      </w:r>
    </w:p>
    <w:p w14:paraId="369F0DE4">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7</w:t>
      </w:r>
      <w:r>
        <w:rPr>
          <w:rFonts w:eastAsia="宋体" w:cs="Times New Roman"/>
          <w:szCs w:val="24"/>
        </w:rPr>
        <w:t>）《中山市</w:t>
      </w:r>
      <w:r>
        <w:rPr>
          <w:rFonts w:hint="eastAsia" w:eastAsia="宋体" w:cs="Times New Roman"/>
          <w:szCs w:val="24"/>
        </w:rPr>
        <w:t>西区</w:t>
      </w:r>
      <w:r>
        <w:rPr>
          <w:rFonts w:eastAsia="宋体" w:cs="Times New Roman"/>
          <w:szCs w:val="24"/>
        </w:rPr>
        <w:t>土地利用总体规划（2010-2020年）调整完善方案》（2017）；</w:t>
      </w:r>
    </w:p>
    <w:p w14:paraId="0D887A48">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8</w:t>
      </w:r>
      <w:r>
        <w:rPr>
          <w:rFonts w:eastAsia="宋体" w:cs="Times New Roman"/>
          <w:szCs w:val="24"/>
        </w:rPr>
        <w:t>）</w:t>
      </w:r>
      <w:r>
        <w:rPr>
          <w:rFonts w:hint="eastAsia" w:eastAsia="宋体" w:cs="Times New Roman"/>
          <w:szCs w:val="24"/>
        </w:rPr>
        <w:t>《中山市西区沙朗西片区控制性详细规划》；</w:t>
      </w:r>
    </w:p>
    <w:p w14:paraId="45CF2014">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9</w:t>
      </w:r>
      <w:r>
        <w:rPr>
          <w:rFonts w:eastAsia="宋体" w:cs="Times New Roman"/>
          <w:szCs w:val="24"/>
        </w:rPr>
        <w:t>）</w:t>
      </w:r>
      <w:r>
        <w:rPr>
          <w:rFonts w:hint="eastAsia" w:eastAsia="宋体" w:cs="Times New Roman"/>
          <w:szCs w:val="24"/>
        </w:rPr>
        <w:t>《中山市西区沙朗西片区210201单元控制性详细规划（2018）》；</w:t>
      </w:r>
    </w:p>
    <w:p w14:paraId="5D46DA06">
      <w:pPr>
        <w:ind w:left="480" w:hanging="480" w:hangingChars="200"/>
        <w:rPr>
          <w:rFonts w:eastAsia="宋体" w:cs="Times New Roman"/>
          <w:szCs w:val="24"/>
        </w:rPr>
      </w:pPr>
      <w:r>
        <w:rPr>
          <w:rFonts w:hint="eastAsia" w:eastAsia="宋体" w:cs="Times New Roman"/>
          <w:szCs w:val="24"/>
        </w:rPr>
        <w:t>（30）《中山市西区沙朗东片区控制性详细规划》；</w:t>
      </w:r>
    </w:p>
    <w:p w14:paraId="4E7D0B25">
      <w:pPr>
        <w:ind w:left="480" w:hanging="480" w:hangingChars="200"/>
        <w:rPr>
          <w:rFonts w:eastAsia="宋体" w:cs="Times New Roman"/>
          <w:szCs w:val="24"/>
        </w:rPr>
      </w:pPr>
      <w:r>
        <w:rPr>
          <w:rFonts w:hint="eastAsia" w:eastAsia="宋体" w:cs="Times New Roman"/>
          <w:szCs w:val="24"/>
        </w:rPr>
        <w:t>（31）《中山市西区彩虹片区控制性详细规划调整》；</w:t>
      </w:r>
    </w:p>
    <w:p w14:paraId="57BC8D7D">
      <w:pPr>
        <w:ind w:left="480" w:hanging="480" w:hangingChars="200"/>
        <w:rPr>
          <w:rFonts w:eastAsia="宋体" w:cs="Times New Roman"/>
          <w:szCs w:val="24"/>
        </w:rPr>
      </w:pPr>
      <w:r>
        <w:rPr>
          <w:rFonts w:hint="eastAsia" w:eastAsia="宋体" w:cs="Times New Roman"/>
          <w:szCs w:val="24"/>
        </w:rPr>
        <w:t>（32）《中山市西区旧城区长洲与岐江公园片区控制性详细规划》；</w:t>
      </w:r>
    </w:p>
    <w:p w14:paraId="757DB5A0">
      <w:pPr>
        <w:ind w:left="480" w:hanging="480" w:hangingChars="200"/>
        <w:rPr>
          <w:rFonts w:eastAsia="宋体" w:cs="Times New Roman"/>
          <w:szCs w:val="24"/>
        </w:rPr>
      </w:pPr>
      <w:r>
        <w:rPr>
          <w:rFonts w:hint="eastAsia" w:eastAsia="宋体" w:cs="Times New Roman"/>
          <w:szCs w:val="24"/>
        </w:rPr>
        <w:t>（33）《中山市西区富华道南片区（首期）控制性详细规划调整（2015年）》；</w:t>
      </w:r>
    </w:p>
    <w:p w14:paraId="734BEA26">
      <w:pPr>
        <w:ind w:left="480" w:hanging="480" w:hangingChars="200"/>
        <w:rPr>
          <w:rFonts w:eastAsia="宋体" w:cs="Times New Roman"/>
          <w:szCs w:val="24"/>
        </w:rPr>
      </w:pPr>
      <w:r>
        <w:rPr>
          <w:rFonts w:hint="eastAsia" w:eastAsia="宋体" w:cs="Times New Roman"/>
          <w:szCs w:val="24"/>
        </w:rPr>
        <w:t>（34）《中山市西区翠景片区控制性详细规划》；</w:t>
      </w:r>
    </w:p>
    <w:p w14:paraId="457F5849">
      <w:pPr>
        <w:ind w:left="480" w:hanging="480" w:hangingChars="200"/>
        <w:rPr>
          <w:rFonts w:eastAsia="宋体" w:cs="Times New Roman"/>
          <w:szCs w:val="24"/>
        </w:rPr>
      </w:pPr>
      <w:r>
        <w:rPr>
          <w:rFonts w:hint="eastAsia" w:eastAsia="宋体" w:cs="Times New Roman"/>
          <w:szCs w:val="24"/>
        </w:rPr>
        <w:t>（35）《中山市中心城区马山片区（西区服务综合改革试验区）控制性详细规划》；</w:t>
      </w:r>
    </w:p>
    <w:p w14:paraId="60221B22">
      <w:pPr>
        <w:ind w:left="480" w:hanging="480" w:hangingChars="200"/>
        <w:rPr>
          <w:rFonts w:eastAsia="宋体" w:cs="Times New Roman"/>
          <w:szCs w:val="24"/>
        </w:rPr>
      </w:pPr>
      <w:r>
        <w:rPr>
          <w:rFonts w:eastAsia="宋体" w:cs="Times New Roman"/>
          <w:szCs w:val="24"/>
        </w:rPr>
        <w:t>（</w:t>
      </w:r>
      <w:r>
        <w:rPr>
          <w:rFonts w:hint="eastAsia" w:eastAsia="宋体" w:cs="Times New Roman"/>
          <w:szCs w:val="24"/>
        </w:rPr>
        <w:t>36</w:t>
      </w:r>
      <w:r>
        <w:rPr>
          <w:rFonts w:eastAsia="宋体" w:cs="Times New Roman"/>
          <w:szCs w:val="24"/>
        </w:rPr>
        <w:t>）《</w:t>
      </w:r>
      <w:r>
        <w:rPr>
          <w:rFonts w:hint="eastAsia" w:eastAsia="宋体" w:cs="Times New Roman"/>
          <w:szCs w:val="24"/>
        </w:rPr>
        <w:t>中山市西区国民经济和社会发展第十三个五年规划纲要</w:t>
      </w:r>
      <w:r>
        <w:rPr>
          <w:rFonts w:eastAsia="宋体" w:cs="Times New Roman"/>
          <w:szCs w:val="24"/>
        </w:rPr>
        <w:t>》（2016）；</w:t>
      </w:r>
    </w:p>
    <w:p w14:paraId="1EDA9B67">
      <w:pPr>
        <w:ind w:left="480" w:hanging="480" w:hangingChars="200"/>
        <w:rPr>
          <w:rFonts w:eastAsia="宋体" w:cs="Times New Roman"/>
          <w:szCs w:val="24"/>
        </w:rPr>
      </w:pPr>
      <w:r>
        <w:rPr>
          <w:rFonts w:hint="eastAsia" w:eastAsia="宋体" w:cs="Times New Roman"/>
          <w:szCs w:val="24"/>
        </w:rPr>
        <w:t>（37）</w:t>
      </w:r>
      <w:r>
        <w:rPr>
          <w:rFonts w:eastAsia="宋体" w:cs="Times New Roman"/>
          <w:szCs w:val="24"/>
        </w:rPr>
        <w:t>中山市和</w:t>
      </w:r>
      <w:r>
        <w:rPr>
          <w:rFonts w:hint="eastAsia" w:eastAsia="宋体" w:cs="Times New Roman"/>
          <w:szCs w:val="24"/>
        </w:rPr>
        <w:t>西区</w:t>
      </w:r>
      <w:r>
        <w:rPr>
          <w:rFonts w:eastAsia="宋体" w:cs="Times New Roman"/>
          <w:szCs w:val="24"/>
        </w:rPr>
        <w:t>相关规划报告成果</w:t>
      </w:r>
      <w:r>
        <w:rPr>
          <w:rFonts w:hint="eastAsia" w:eastAsia="宋体" w:cs="Times New Roman"/>
          <w:szCs w:val="24"/>
        </w:rPr>
        <w:t>；</w:t>
      </w:r>
    </w:p>
    <w:p w14:paraId="31404F23">
      <w:pPr>
        <w:ind w:left="480" w:hanging="480" w:hangingChars="200"/>
        <w:rPr>
          <w:rFonts w:eastAsia="宋体" w:cs="Times New Roman"/>
          <w:szCs w:val="24"/>
        </w:rPr>
      </w:pPr>
      <w:r>
        <w:rPr>
          <w:rFonts w:hint="eastAsia" w:eastAsia="宋体" w:cs="Times New Roman"/>
          <w:szCs w:val="24"/>
        </w:rPr>
        <w:t>（38）</w:t>
      </w:r>
      <w:r>
        <w:rPr>
          <w:rFonts w:eastAsia="宋体" w:cs="Times New Roman"/>
          <w:szCs w:val="24"/>
        </w:rPr>
        <w:t>其他相关规划报告与技术材料成果。</w:t>
      </w:r>
    </w:p>
    <w:p w14:paraId="2027994C">
      <w:pPr>
        <w:pStyle w:val="4"/>
        <w:spacing w:before="0" w:after="0" w:line="360" w:lineRule="auto"/>
        <w:rPr>
          <w:rFonts w:cs="Times New Roman"/>
        </w:rPr>
      </w:pPr>
      <w:bookmarkStart w:id="408" w:name="_Toc16675043"/>
      <w:bookmarkStart w:id="409" w:name="_Toc528607264"/>
      <w:r>
        <w:rPr>
          <w:rFonts w:cs="Times New Roman"/>
        </w:rPr>
        <w:t>3.4规划目标</w:t>
      </w:r>
      <w:bookmarkEnd w:id="408"/>
      <w:bookmarkEnd w:id="409"/>
    </w:p>
    <w:p w14:paraId="6C0511C5">
      <w:pPr>
        <w:pStyle w:val="3"/>
        <w:spacing w:before="0" w:after="0" w:line="360" w:lineRule="auto"/>
        <w:rPr>
          <w:rFonts w:cs="Times New Roman"/>
        </w:rPr>
      </w:pPr>
      <w:bookmarkStart w:id="410" w:name="_Toc528880297"/>
      <w:bookmarkStart w:id="411" w:name="_Toc527881091"/>
      <w:bookmarkStart w:id="412" w:name="_Toc22685"/>
      <w:bookmarkStart w:id="413" w:name="_Toc19134"/>
      <w:bookmarkStart w:id="414" w:name="_Toc526004936"/>
      <w:bookmarkStart w:id="415" w:name="_Toc5847"/>
      <w:bookmarkStart w:id="416" w:name="_Toc9752"/>
      <w:bookmarkStart w:id="417" w:name="_Toc14018"/>
      <w:bookmarkStart w:id="418" w:name="_Toc16675044"/>
      <w:bookmarkStart w:id="419" w:name="_Toc20290"/>
      <w:bookmarkStart w:id="420" w:name="_Toc528607265"/>
      <w:r>
        <w:rPr>
          <w:rFonts w:cs="Times New Roman"/>
        </w:rPr>
        <w:t>3.4.1总体目标</w:t>
      </w:r>
      <w:bookmarkEnd w:id="410"/>
      <w:bookmarkEnd w:id="411"/>
      <w:bookmarkEnd w:id="412"/>
      <w:bookmarkEnd w:id="413"/>
      <w:bookmarkEnd w:id="414"/>
      <w:bookmarkEnd w:id="415"/>
      <w:bookmarkEnd w:id="416"/>
      <w:bookmarkEnd w:id="417"/>
      <w:bookmarkEnd w:id="418"/>
      <w:bookmarkEnd w:id="419"/>
      <w:bookmarkEnd w:id="420"/>
    </w:p>
    <w:p w14:paraId="1647C644">
      <w:pPr>
        <w:ind w:firstLine="480"/>
        <w:rPr>
          <w:rFonts w:eastAsia="宋体" w:cs="Times New Roman"/>
          <w:szCs w:val="24"/>
        </w:rPr>
      </w:pPr>
      <w:r>
        <w:rPr>
          <w:rFonts w:eastAsia="宋体" w:cs="Times New Roman"/>
          <w:szCs w:val="24"/>
        </w:rPr>
        <w:t>以国家生态文明建设总体战略和新时期水利工作方针为指导，根据中山市对</w:t>
      </w:r>
      <w:r>
        <w:rPr>
          <w:rFonts w:hint="eastAsia" w:eastAsia="宋体" w:cs="Times New Roman"/>
          <w:szCs w:val="24"/>
        </w:rPr>
        <w:t>西区</w:t>
      </w:r>
      <w:r>
        <w:rPr>
          <w:rFonts w:eastAsia="宋体" w:cs="Times New Roman"/>
          <w:szCs w:val="24"/>
        </w:rPr>
        <w:t>的战略定位，中山市</w:t>
      </w:r>
      <w:r>
        <w:rPr>
          <w:rFonts w:hint="eastAsia" w:eastAsia="宋体" w:cs="Times New Roman"/>
          <w:szCs w:val="24"/>
        </w:rPr>
        <w:t>西区</w:t>
      </w:r>
      <w:r>
        <w:rPr>
          <w:rFonts w:eastAsia="宋体" w:cs="Times New Roman"/>
          <w:szCs w:val="24"/>
        </w:rPr>
        <w:t>将紧紧围绕最严格水资源管理制度、市下达的</w:t>
      </w:r>
      <w:r>
        <w:rPr>
          <w:rFonts w:hint="eastAsia" w:ascii="宋体" w:hAnsi="宋体" w:eastAsia="宋体" w:cs="宋体"/>
          <w:szCs w:val="24"/>
        </w:rPr>
        <w:t>“三条红线”、“四项制度”</w:t>
      </w:r>
      <w:r>
        <w:rPr>
          <w:rFonts w:eastAsia="宋体" w:cs="Times New Roman"/>
          <w:szCs w:val="24"/>
        </w:rPr>
        <w:t>指标、节水型社会建设；供水安全保障与防洪治涝减灾体系建设、主要江河水功能区与社区村落供水源地水质达标要求、水体生态修复与自净能力的修复情况等方面，立足</w:t>
      </w:r>
      <w:r>
        <w:rPr>
          <w:rFonts w:hint="eastAsia" w:eastAsia="宋体" w:cs="Times New Roman"/>
          <w:szCs w:val="24"/>
        </w:rPr>
        <w:t>西区</w:t>
      </w:r>
      <w:r>
        <w:rPr>
          <w:rFonts w:eastAsia="宋体" w:cs="Times New Roman"/>
          <w:szCs w:val="24"/>
        </w:rPr>
        <w:t>经济社会发展全局，充分考虑本地的水安全、水环境、水生态、水资源、水节约、水文化条件，依据</w:t>
      </w:r>
      <w:r>
        <w:rPr>
          <w:rFonts w:hint="eastAsia" w:eastAsia="宋体" w:cs="Times New Roman"/>
          <w:szCs w:val="24"/>
        </w:rPr>
        <w:t>《中山市西区国民经济和社会发展第十三个五年规划纲要（2016年）》、《中山市城市总体规划（2011-2020年）中心城区用地规划图（2017年8月）》</w:t>
      </w:r>
      <w:r>
        <w:rPr>
          <w:rFonts w:cs="Times New Roman"/>
        </w:rPr>
        <w:t>、</w:t>
      </w:r>
      <w:r>
        <w:rPr>
          <w:rFonts w:eastAsia="宋体" w:cs="Times New Roman"/>
          <w:szCs w:val="24"/>
        </w:rPr>
        <w:t>《水生态文明城市建设评价导则》（SL/Z738-2016），确定</w:t>
      </w:r>
      <w:r>
        <w:rPr>
          <w:rFonts w:hint="eastAsia" w:eastAsia="宋体" w:cs="Times New Roman"/>
          <w:szCs w:val="24"/>
        </w:rPr>
        <w:t>西区</w:t>
      </w:r>
      <w:r>
        <w:rPr>
          <w:rFonts w:eastAsia="宋体" w:cs="Times New Roman"/>
          <w:szCs w:val="24"/>
        </w:rPr>
        <w:t>水生态文明建设的水安全、水环境、水生态、水监管、水节约、水文化等指标体系现状，针对现存问题，提出工程措施与非工程措施，进而提出总体布局及重点示范工程项目，以实现</w:t>
      </w:r>
      <w:r>
        <w:rPr>
          <w:rFonts w:hint="eastAsia" w:eastAsia="宋体" w:cs="Times New Roman"/>
          <w:szCs w:val="24"/>
        </w:rPr>
        <w:t>西区</w:t>
      </w:r>
      <w:r>
        <w:rPr>
          <w:rFonts w:eastAsia="宋体" w:cs="Times New Roman"/>
          <w:szCs w:val="24"/>
        </w:rPr>
        <w:t>水生态文明建设的工作目标。基本形成</w:t>
      </w:r>
      <w:r>
        <w:rPr>
          <w:rFonts w:hint="eastAsia" w:eastAsia="宋体" w:cs="Times New Roman"/>
          <w:szCs w:val="24"/>
        </w:rPr>
        <w:t>“</w:t>
      </w:r>
      <w:r>
        <w:rPr>
          <w:rFonts w:eastAsia="宋体" w:cs="Times New Roman"/>
          <w:b/>
          <w:szCs w:val="24"/>
        </w:rPr>
        <w:t>水安全有效保障、水环境总体改善、河流生态自然、水资源配置合理高效、水节约集约高效、水文化优美传承</w:t>
      </w:r>
      <w:r>
        <w:rPr>
          <w:rFonts w:hint="eastAsia" w:eastAsia="宋体" w:cs="Times New Roman"/>
          <w:szCs w:val="24"/>
        </w:rPr>
        <w:t>”</w:t>
      </w:r>
      <w:r>
        <w:rPr>
          <w:rFonts w:eastAsia="宋体" w:cs="Times New Roman"/>
          <w:szCs w:val="24"/>
        </w:rPr>
        <w:t>的岭南水乡生态体系，水生态文明理念深入人心。以</w:t>
      </w:r>
      <w:r>
        <w:rPr>
          <w:rFonts w:hint="eastAsia" w:eastAsia="宋体" w:cs="Times New Roman"/>
          <w:szCs w:val="24"/>
        </w:rPr>
        <w:t>“一核、三区、十廓道”</w:t>
      </w:r>
      <w:r>
        <w:rPr>
          <w:rFonts w:eastAsia="宋体" w:cs="Times New Roman"/>
          <w:szCs w:val="24"/>
        </w:rPr>
        <w:t>水生态文明格局为指引，建设</w:t>
      </w:r>
      <w:r>
        <w:rPr>
          <w:rFonts w:hint="eastAsia" w:eastAsia="宋体" w:cs="Times New Roman"/>
          <w:szCs w:val="24"/>
        </w:rPr>
        <w:t>“</w:t>
      </w:r>
      <w:r>
        <w:rPr>
          <w:rFonts w:eastAsia="宋体" w:cs="Times New Roman"/>
          <w:szCs w:val="24"/>
        </w:rPr>
        <w:t>城在园中，村在景中，人在画中，水美</w:t>
      </w:r>
      <w:r>
        <w:rPr>
          <w:rFonts w:hint="eastAsia" w:eastAsia="宋体" w:cs="Times New Roman"/>
          <w:szCs w:val="24"/>
        </w:rPr>
        <w:t>西区”</w:t>
      </w:r>
      <w:r>
        <w:rPr>
          <w:rFonts w:eastAsia="宋体" w:cs="Times New Roman"/>
          <w:szCs w:val="24"/>
        </w:rPr>
        <w:t>的中山市</w:t>
      </w:r>
      <w:r>
        <w:rPr>
          <w:rFonts w:hint="eastAsia" w:eastAsia="宋体" w:cs="Times New Roman"/>
          <w:szCs w:val="24"/>
        </w:rPr>
        <w:t>中心</w:t>
      </w:r>
      <w:r>
        <w:rPr>
          <w:rFonts w:eastAsia="宋体" w:cs="Times New Roman"/>
          <w:szCs w:val="24"/>
        </w:rPr>
        <w:t>组团生态宜居之镇。</w:t>
      </w:r>
    </w:p>
    <w:p w14:paraId="22228D56">
      <w:pPr>
        <w:ind w:firstLine="480"/>
        <w:rPr>
          <w:rFonts w:eastAsia="宋体" w:cs="Times New Roman"/>
          <w:szCs w:val="24"/>
        </w:rPr>
      </w:pPr>
      <w:r>
        <w:rPr>
          <w:rFonts w:eastAsia="宋体" w:cs="Times New Roman"/>
          <w:szCs w:val="24"/>
        </w:rPr>
        <w:t>为实现</w:t>
      </w:r>
      <w:r>
        <w:rPr>
          <w:rFonts w:hint="eastAsia" w:eastAsia="宋体" w:cs="Times New Roman"/>
          <w:szCs w:val="24"/>
        </w:rPr>
        <w:t>西区</w:t>
      </w:r>
      <w:r>
        <w:rPr>
          <w:rFonts w:eastAsia="宋体" w:cs="Times New Roman"/>
          <w:szCs w:val="24"/>
        </w:rPr>
        <w:t>水生态文明建设要求，完成水生态文明建设的相关指标要求，现提出</w:t>
      </w:r>
      <w:r>
        <w:rPr>
          <w:rFonts w:hint="eastAsia" w:eastAsia="宋体" w:cs="Times New Roman"/>
          <w:szCs w:val="24"/>
        </w:rPr>
        <w:t>西区</w:t>
      </w:r>
      <w:r>
        <w:rPr>
          <w:rFonts w:eastAsia="宋体" w:cs="Times New Roman"/>
          <w:szCs w:val="24"/>
        </w:rPr>
        <w:t>近、</w:t>
      </w:r>
      <w:r>
        <w:rPr>
          <w:rFonts w:hint="eastAsia" w:eastAsia="宋体" w:cs="Times New Roman"/>
          <w:szCs w:val="24"/>
        </w:rPr>
        <w:t>中期、</w:t>
      </w:r>
      <w:r>
        <w:rPr>
          <w:rFonts w:eastAsia="宋体" w:cs="Times New Roman"/>
          <w:szCs w:val="24"/>
        </w:rPr>
        <w:t>远期设计水平年的规划阶段性目标如下。</w:t>
      </w:r>
    </w:p>
    <w:p w14:paraId="5F518813">
      <w:pPr>
        <w:spacing w:line="240" w:lineRule="auto"/>
        <w:ind w:firstLine="720" w:firstLineChars="300"/>
        <w:rPr>
          <w:rFonts w:eastAsia="宋体" w:cs="Times New Roman"/>
          <w:szCs w:val="24"/>
        </w:rPr>
      </w:pPr>
    </w:p>
    <w:p w14:paraId="72AA0475">
      <w:pPr>
        <w:pStyle w:val="3"/>
        <w:spacing w:before="0" w:after="0" w:line="360" w:lineRule="auto"/>
        <w:rPr>
          <w:rFonts w:cs="Times New Roman"/>
        </w:rPr>
      </w:pPr>
      <w:bookmarkStart w:id="421" w:name="_Toc17723"/>
      <w:bookmarkStart w:id="422" w:name="_Toc528607266"/>
      <w:bookmarkStart w:id="423" w:name="_Toc25829"/>
      <w:bookmarkStart w:id="424" w:name="_Toc17212"/>
      <w:bookmarkStart w:id="425" w:name="_Toc523306763"/>
      <w:bookmarkStart w:id="426" w:name="_Toc17848"/>
      <w:bookmarkStart w:id="427" w:name="_Toc528880298"/>
      <w:bookmarkStart w:id="428" w:name="_Toc16675045"/>
      <w:bookmarkStart w:id="429" w:name="_Toc527881092"/>
      <w:bookmarkStart w:id="430" w:name="_Toc401"/>
      <w:bookmarkStart w:id="431" w:name="_Toc5884"/>
      <w:bookmarkStart w:id="432" w:name="_Toc526004937"/>
      <w:r>
        <w:rPr>
          <w:rFonts w:cs="Times New Roman"/>
        </w:rPr>
        <w:t>3.4.2阶段目标</w:t>
      </w:r>
      <w:bookmarkEnd w:id="421"/>
      <w:bookmarkEnd w:id="422"/>
      <w:bookmarkEnd w:id="423"/>
      <w:bookmarkEnd w:id="424"/>
      <w:bookmarkEnd w:id="425"/>
      <w:bookmarkEnd w:id="426"/>
      <w:bookmarkEnd w:id="427"/>
      <w:bookmarkEnd w:id="428"/>
      <w:bookmarkEnd w:id="429"/>
      <w:bookmarkEnd w:id="430"/>
      <w:bookmarkEnd w:id="431"/>
      <w:bookmarkEnd w:id="432"/>
    </w:p>
    <w:p w14:paraId="1E96EF82">
      <w:pPr>
        <w:ind w:firstLine="480"/>
        <w:rPr>
          <w:rFonts w:eastAsia="宋体" w:cs="Times New Roman"/>
          <w:szCs w:val="24"/>
        </w:rPr>
      </w:pPr>
      <w:r>
        <w:rPr>
          <w:rFonts w:eastAsia="宋体" w:cs="Times New Roman"/>
          <w:szCs w:val="24"/>
        </w:rPr>
        <w:t>到2020年，</w:t>
      </w:r>
      <w:r>
        <w:rPr>
          <w:rFonts w:hint="eastAsia" w:eastAsia="宋体" w:cs="Times New Roman"/>
          <w:szCs w:val="24"/>
        </w:rPr>
        <w:t>初步</w:t>
      </w:r>
      <w:r>
        <w:rPr>
          <w:rFonts w:eastAsia="宋体" w:cs="Times New Roman"/>
          <w:szCs w:val="24"/>
        </w:rPr>
        <w:t>完成保障有力的水安全体系建设，饮用水源地水量保障、水质全面达标，</w:t>
      </w:r>
      <w:r>
        <w:rPr>
          <w:rFonts w:hint="eastAsia" w:eastAsia="宋体" w:cs="Times New Roman"/>
          <w:szCs w:val="24"/>
        </w:rPr>
        <w:t>初步</w:t>
      </w:r>
      <w:r>
        <w:rPr>
          <w:rFonts w:eastAsia="宋体" w:cs="Times New Roman"/>
          <w:szCs w:val="24"/>
        </w:rPr>
        <w:t>建立渗蓄净用排一体化的城市内涝防治体系，城市内涝得到基本控制，海绵城市建设取得一定成效；主要河湖水生态系统得到</w:t>
      </w:r>
      <w:r>
        <w:rPr>
          <w:rFonts w:hint="eastAsia" w:eastAsia="宋体" w:cs="Times New Roman"/>
          <w:szCs w:val="24"/>
        </w:rPr>
        <w:t>初步</w:t>
      </w:r>
      <w:r>
        <w:rPr>
          <w:rFonts w:eastAsia="宋体" w:cs="Times New Roman"/>
          <w:szCs w:val="24"/>
        </w:rPr>
        <w:t>保护与修复，人工岸坡中生态岸坡比例不低于4</w:t>
      </w:r>
      <w:r>
        <w:rPr>
          <w:rFonts w:hint="eastAsia" w:eastAsia="宋体" w:cs="Times New Roman"/>
          <w:szCs w:val="24"/>
        </w:rPr>
        <w:t>5</w:t>
      </w:r>
      <w:r>
        <w:rPr>
          <w:rFonts w:eastAsia="宋体" w:cs="Times New Roman"/>
          <w:szCs w:val="24"/>
        </w:rPr>
        <w:t>%，水域与生态空间得到有效保护，主要内河涌生态需水量</w:t>
      </w:r>
      <w:r>
        <w:rPr>
          <w:rFonts w:hint="eastAsia" w:eastAsia="宋体" w:cs="Times New Roman"/>
          <w:szCs w:val="24"/>
        </w:rPr>
        <w:t>初步</w:t>
      </w:r>
      <w:r>
        <w:rPr>
          <w:rFonts w:eastAsia="宋体" w:cs="Times New Roman"/>
          <w:szCs w:val="24"/>
        </w:rPr>
        <w:t>得到满足，水生态恶化趋势得到遏制，</w:t>
      </w:r>
      <w:r>
        <w:rPr>
          <w:rFonts w:hint="eastAsia" w:eastAsia="宋体" w:cs="Times New Roman"/>
          <w:szCs w:val="24"/>
        </w:rPr>
        <w:t>初步</w:t>
      </w:r>
      <w:r>
        <w:rPr>
          <w:rFonts w:eastAsia="宋体" w:cs="Times New Roman"/>
          <w:szCs w:val="24"/>
        </w:rPr>
        <w:t>形成绿色连通的水生态体系；高效全面的截污治污系统</w:t>
      </w:r>
      <w:r>
        <w:rPr>
          <w:rFonts w:hint="eastAsia" w:eastAsia="宋体" w:cs="Times New Roman"/>
          <w:szCs w:val="24"/>
        </w:rPr>
        <w:t>初步</w:t>
      </w:r>
      <w:r>
        <w:rPr>
          <w:rFonts w:eastAsia="宋体" w:cs="Times New Roman"/>
          <w:szCs w:val="24"/>
        </w:rPr>
        <w:t>形成，</w:t>
      </w:r>
      <w:r>
        <w:rPr>
          <w:rFonts w:hint="eastAsia" w:eastAsia="宋体" w:cs="Times New Roman"/>
          <w:szCs w:val="24"/>
        </w:rPr>
        <w:t>城镇</w:t>
      </w:r>
      <w:r>
        <w:rPr>
          <w:rFonts w:eastAsia="宋体" w:cs="Times New Roman"/>
          <w:szCs w:val="24"/>
        </w:rPr>
        <w:t>污水治理率达100%，水功能区入河污染物得到全面控制，重要河湖水功能区全面达标，水功能区水质达标率达到</w:t>
      </w:r>
      <w:r>
        <w:rPr>
          <w:rFonts w:hint="eastAsia" w:eastAsia="宋体" w:cs="Times New Roman"/>
          <w:szCs w:val="24"/>
        </w:rPr>
        <w:t>8</w:t>
      </w:r>
      <w:r>
        <w:rPr>
          <w:rFonts w:eastAsia="宋体" w:cs="Times New Roman"/>
          <w:szCs w:val="24"/>
        </w:rPr>
        <w:t>0%，</w:t>
      </w:r>
      <w:r>
        <w:rPr>
          <w:rFonts w:hint="eastAsia" w:eastAsia="宋体" w:cs="Times New Roman"/>
          <w:szCs w:val="24"/>
        </w:rPr>
        <w:t>不出现</w:t>
      </w:r>
      <w:r>
        <w:rPr>
          <w:rFonts w:eastAsia="宋体" w:cs="Times New Roman"/>
          <w:szCs w:val="24"/>
        </w:rPr>
        <w:t>黑臭水体；节水型社会</w:t>
      </w:r>
      <w:r>
        <w:rPr>
          <w:rFonts w:hint="eastAsia" w:eastAsia="宋体" w:cs="Times New Roman"/>
          <w:szCs w:val="24"/>
        </w:rPr>
        <w:t>初步</w:t>
      </w:r>
      <w:r>
        <w:rPr>
          <w:rFonts w:eastAsia="宋体" w:cs="Times New Roman"/>
          <w:szCs w:val="24"/>
        </w:rPr>
        <w:t>建成，农业节水全面落实，农田灌溉有效利用系数不低于0.64，工业用水重复利用率达到</w:t>
      </w:r>
      <w:r>
        <w:rPr>
          <w:rFonts w:hint="eastAsia" w:eastAsia="宋体" w:cs="Times New Roman"/>
          <w:szCs w:val="24"/>
        </w:rPr>
        <w:t>60</w:t>
      </w:r>
      <w:r>
        <w:rPr>
          <w:rFonts w:eastAsia="宋体" w:cs="Times New Roman"/>
          <w:szCs w:val="24"/>
        </w:rPr>
        <w:t>%，非常规水资源利用率达到</w:t>
      </w:r>
      <w:r>
        <w:rPr>
          <w:rFonts w:hint="eastAsia" w:eastAsia="宋体" w:cs="Times New Roman"/>
          <w:szCs w:val="24"/>
        </w:rPr>
        <w:t>8.33</w:t>
      </w:r>
      <w:r>
        <w:rPr>
          <w:rFonts w:eastAsia="宋体" w:cs="Times New Roman"/>
          <w:szCs w:val="24"/>
        </w:rPr>
        <w:t>%；最严格水资源管理制度</w:t>
      </w:r>
      <w:r>
        <w:rPr>
          <w:rFonts w:hint="eastAsia" w:eastAsia="宋体" w:cs="Times New Roman"/>
          <w:szCs w:val="24"/>
        </w:rPr>
        <w:t>基本</w:t>
      </w:r>
      <w:r>
        <w:rPr>
          <w:rFonts w:eastAsia="宋体" w:cs="Times New Roman"/>
          <w:szCs w:val="24"/>
        </w:rPr>
        <w:t>达标，水资源监控能力达</w:t>
      </w:r>
      <w:r>
        <w:rPr>
          <w:rFonts w:hint="eastAsia" w:eastAsia="宋体" w:cs="Times New Roman"/>
          <w:szCs w:val="24"/>
        </w:rPr>
        <w:t>10</w:t>
      </w:r>
      <w:r>
        <w:rPr>
          <w:rFonts w:eastAsia="宋体" w:cs="Times New Roman"/>
          <w:szCs w:val="24"/>
        </w:rPr>
        <w:t>0%以上，水管理能力与水平全面提升，香山名人与岭南水乡特色水文化与亲水环境建设基本落实。</w:t>
      </w:r>
    </w:p>
    <w:p w14:paraId="6E5D0D25">
      <w:pPr>
        <w:ind w:firstLine="480"/>
        <w:rPr>
          <w:rFonts w:eastAsia="宋体" w:cs="Times New Roman"/>
          <w:szCs w:val="24"/>
        </w:rPr>
      </w:pPr>
      <w:r>
        <w:rPr>
          <w:rFonts w:eastAsia="宋体" w:cs="Times New Roman"/>
          <w:szCs w:val="24"/>
        </w:rPr>
        <w:t>到202</w:t>
      </w:r>
      <w:r>
        <w:rPr>
          <w:rFonts w:hint="eastAsia" w:eastAsia="宋体" w:cs="Times New Roman"/>
          <w:szCs w:val="24"/>
        </w:rPr>
        <w:t>5</w:t>
      </w:r>
      <w:r>
        <w:rPr>
          <w:rFonts w:eastAsia="宋体" w:cs="Times New Roman"/>
          <w:szCs w:val="24"/>
        </w:rPr>
        <w:t>年，基本完成保障有力的水安全体系建设，饮用水源地水量保障、水质全面达标，基本建立渗蓄净用排一体化的城市内涝防治体系，城市内涝得到基本控制，海绵城市建设取得一定成效；主要河湖水生态系统得到基本保护与修复，人工岸坡中生态岸坡比例不低于60%，水域与生态空间得到有效保护，主要内河涌生态需水量基本得到满足，水生态恶化趋势得到遏制，基本形成绿色连通的水生态体系；高效全面的截污治污系统基本形成，</w:t>
      </w:r>
      <w:r>
        <w:rPr>
          <w:rFonts w:hint="eastAsia" w:eastAsia="宋体" w:cs="Times New Roman"/>
          <w:szCs w:val="24"/>
        </w:rPr>
        <w:t>城镇</w:t>
      </w:r>
      <w:r>
        <w:rPr>
          <w:rFonts w:eastAsia="宋体" w:cs="Times New Roman"/>
          <w:szCs w:val="24"/>
        </w:rPr>
        <w:t>污水治理率达100%，水功能区入河污染物得到全面控制，重要河湖水功能区全面达标，水功能区水质达标率达到</w:t>
      </w:r>
      <w:r>
        <w:rPr>
          <w:rFonts w:hint="eastAsia" w:eastAsia="宋体" w:cs="Times New Roman"/>
          <w:szCs w:val="24"/>
        </w:rPr>
        <w:t>95</w:t>
      </w:r>
      <w:r>
        <w:rPr>
          <w:rFonts w:eastAsia="宋体" w:cs="Times New Roman"/>
          <w:szCs w:val="24"/>
        </w:rPr>
        <w:t>%，</w:t>
      </w:r>
      <w:r>
        <w:rPr>
          <w:rFonts w:hint="eastAsia" w:eastAsia="宋体" w:cs="Times New Roman"/>
          <w:szCs w:val="24"/>
        </w:rPr>
        <w:t>不出现</w:t>
      </w:r>
      <w:r>
        <w:rPr>
          <w:rFonts w:eastAsia="宋体" w:cs="Times New Roman"/>
          <w:szCs w:val="24"/>
        </w:rPr>
        <w:t>黑臭水体；节水型社会基本建成，农业节水全面落实，农田灌溉有效利用系数不低于0.65，工业用水重复利用率达到</w:t>
      </w:r>
      <w:r>
        <w:rPr>
          <w:rFonts w:hint="eastAsia" w:eastAsia="宋体" w:cs="Times New Roman"/>
          <w:szCs w:val="24"/>
        </w:rPr>
        <w:t>65</w:t>
      </w:r>
      <w:r>
        <w:rPr>
          <w:rFonts w:eastAsia="宋体" w:cs="Times New Roman"/>
          <w:szCs w:val="24"/>
        </w:rPr>
        <w:t>%，非常规水资源利用率达到</w:t>
      </w:r>
      <w:r>
        <w:rPr>
          <w:rFonts w:hint="eastAsia" w:eastAsia="宋体" w:cs="Times New Roman"/>
          <w:szCs w:val="24"/>
        </w:rPr>
        <w:t>8.8</w:t>
      </w:r>
      <w:r>
        <w:rPr>
          <w:rFonts w:eastAsia="宋体" w:cs="Times New Roman"/>
          <w:szCs w:val="24"/>
        </w:rPr>
        <w:t>%；最严格水资源管理制度全面达标，水资源监控能力达</w:t>
      </w:r>
      <w:r>
        <w:rPr>
          <w:rFonts w:hint="eastAsia" w:eastAsia="宋体" w:cs="Times New Roman"/>
          <w:szCs w:val="24"/>
        </w:rPr>
        <w:t>100</w:t>
      </w:r>
      <w:r>
        <w:rPr>
          <w:rFonts w:eastAsia="宋体" w:cs="Times New Roman"/>
          <w:szCs w:val="24"/>
        </w:rPr>
        <w:t>%以上，水管理能力与水平全面提升，香山名人与岭南水乡特色水文化与亲水环境建设基本落实。</w:t>
      </w:r>
    </w:p>
    <w:p w14:paraId="0468F62A">
      <w:pPr>
        <w:ind w:firstLine="480"/>
        <w:rPr>
          <w:rFonts w:eastAsia="宋体" w:cs="Times New Roman"/>
          <w:szCs w:val="24"/>
        </w:rPr>
      </w:pPr>
      <w:r>
        <w:rPr>
          <w:rFonts w:eastAsia="宋体" w:cs="Times New Roman"/>
          <w:szCs w:val="24"/>
        </w:rPr>
        <w:t>到 2030 年，全面完成保障有力的水安全体系建设，供水量质兼备，实现自来水供水全覆盖；防洪排涝体系全面达标，渗蓄净用排一体化的城市内涝防治体系完全形成，海绵城市建设有效落实，消除内涝隐患；河湖水生态系统得到保护与修复，人工岸坡中生态岸坡比例不低于80%，内河涌生态需水量</w:t>
      </w:r>
      <w:r>
        <w:rPr>
          <w:rFonts w:hint="eastAsia" w:eastAsia="宋体" w:cs="Times New Roman"/>
          <w:szCs w:val="24"/>
        </w:rPr>
        <w:t>全面</w:t>
      </w:r>
      <w:r>
        <w:rPr>
          <w:rFonts w:eastAsia="宋体" w:cs="Times New Roman"/>
          <w:szCs w:val="24"/>
        </w:rPr>
        <w:t>得到满足，基本实现水生态系统良性循环，形成绿色连通的水生态体系；高效全面的截污治污系统进一步完善，</w:t>
      </w:r>
      <w:r>
        <w:rPr>
          <w:rFonts w:hint="eastAsia" w:eastAsia="宋体" w:cs="Times New Roman"/>
          <w:szCs w:val="24"/>
        </w:rPr>
        <w:t>城镇</w:t>
      </w:r>
      <w:r>
        <w:rPr>
          <w:rFonts w:eastAsia="宋体" w:cs="Times New Roman"/>
          <w:szCs w:val="24"/>
        </w:rPr>
        <w:t>污水</w:t>
      </w:r>
      <w:r>
        <w:rPr>
          <w:rFonts w:hint="eastAsia" w:eastAsia="宋体" w:cs="Times New Roman"/>
          <w:szCs w:val="24"/>
        </w:rPr>
        <w:t>全面</w:t>
      </w:r>
      <w:r>
        <w:rPr>
          <w:rFonts w:eastAsia="宋体" w:cs="Times New Roman"/>
          <w:szCs w:val="24"/>
        </w:rPr>
        <w:t>实现全收集全处理，江河湖库水功能区全面达标；节水型社会全面建成，农田灌溉有效利用系数不低于0.67，工业用水重复利用率达到</w:t>
      </w:r>
      <w:r>
        <w:rPr>
          <w:rFonts w:hint="eastAsia" w:eastAsia="宋体" w:cs="Times New Roman"/>
          <w:szCs w:val="24"/>
        </w:rPr>
        <w:t>70</w:t>
      </w:r>
      <w:r>
        <w:rPr>
          <w:rFonts w:eastAsia="宋体" w:cs="Times New Roman"/>
          <w:szCs w:val="24"/>
        </w:rPr>
        <w:t>%，非常规水资源利用率达到</w:t>
      </w:r>
      <w:r>
        <w:rPr>
          <w:rFonts w:hint="eastAsia" w:eastAsia="宋体" w:cs="Times New Roman"/>
          <w:szCs w:val="24"/>
        </w:rPr>
        <w:t>9.43</w:t>
      </w:r>
      <w:r>
        <w:rPr>
          <w:rFonts w:eastAsia="宋体" w:cs="Times New Roman"/>
          <w:szCs w:val="24"/>
        </w:rPr>
        <w:t>%以上；最严格水资源管理制度全面达标，水务现代化管理大数据体系基本建成，水管理能力与水平全面提升，水生态文明理念深入人心，香山名人与岭南水乡特色水文化与亲水环境建设得到全面加强。</w:t>
      </w:r>
    </w:p>
    <w:p w14:paraId="456E6199">
      <w:pPr>
        <w:pStyle w:val="3"/>
        <w:spacing w:before="0" w:after="0" w:line="360" w:lineRule="auto"/>
        <w:rPr>
          <w:rFonts w:cs="Times New Roman"/>
        </w:rPr>
      </w:pPr>
      <w:bookmarkStart w:id="433" w:name="_Toc528607267"/>
      <w:bookmarkStart w:id="434" w:name="_Toc19489"/>
      <w:bookmarkStart w:id="435" w:name="_Toc6471"/>
      <w:bookmarkStart w:id="436" w:name="_Toc16675046"/>
      <w:bookmarkStart w:id="437" w:name="_Toc15471"/>
      <w:bookmarkStart w:id="438" w:name="_Toc15129"/>
      <w:bookmarkStart w:id="439" w:name="_Toc526004938"/>
      <w:bookmarkStart w:id="440" w:name="_Toc14930"/>
      <w:bookmarkStart w:id="441" w:name="_Toc28532"/>
      <w:bookmarkStart w:id="442" w:name="_Toc527881093"/>
      <w:bookmarkStart w:id="443" w:name="_Toc528880299"/>
      <w:r>
        <w:rPr>
          <w:rFonts w:cs="Times New Roman"/>
        </w:rPr>
        <w:t>3.4.3指标体系</w:t>
      </w:r>
      <w:bookmarkEnd w:id="433"/>
      <w:bookmarkEnd w:id="434"/>
      <w:bookmarkEnd w:id="435"/>
      <w:bookmarkEnd w:id="436"/>
      <w:bookmarkEnd w:id="437"/>
      <w:bookmarkEnd w:id="438"/>
      <w:bookmarkEnd w:id="439"/>
      <w:bookmarkEnd w:id="440"/>
      <w:bookmarkEnd w:id="441"/>
      <w:bookmarkEnd w:id="442"/>
      <w:bookmarkEnd w:id="443"/>
    </w:p>
    <w:p w14:paraId="2F2A89BC">
      <w:pPr>
        <w:ind w:firstLine="480"/>
        <w:rPr>
          <w:rFonts w:eastAsia="宋体" w:cs="Times New Roman"/>
          <w:szCs w:val="24"/>
        </w:rPr>
      </w:pPr>
      <w:r>
        <w:rPr>
          <w:rFonts w:eastAsia="宋体" w:cs="Times New Roman"/>
          <w:szCs w:val="24"/>
        </w:rPr>
        <w:t>基于</w:t>
      </w:r>
      <w:r>
        <w:rPr>
          <w:rFonts w:hint="eastAsia" w:eastAsia="宋体" w:cs="Times New Roman"/>
          <w:szCs w:val="24"/>
        </w:rPr>
        <w:t>西区</w:t>
      </w:r>
      <w:r>
        <w:rPr>
          <w:rFonts w:eastAsia="宋体" w:cs="Times New Roman"/>
          <w:szCs w:val="24"/>
        </w:rPr>
        <w:t>水生态文明现状调查评估，根据中山市水生态文明建设发展需求和《水生态文明城市建设评价导则》指引，衔接</w:t>
      </w:r>
      <w:r>
        <w:rPr>
          <w:rFonts w:hint="eastAsia" w:eastAsia="宋体" w:cs="Times New Roman"/>
          <w:szCs w:val="24"/>
        </w:rPr>
        <w:t>、</w:t>
      </w:r>
      <w:r>
        <w:rPr>
          <w:rFonts w:eastAsia="宋体" w:cs="Times New Roman"/>
          <w:szCs w:val="24"/>
        </w:rPr>
        <w:t>《中山市生态文明建设规划（2013-2030）》、《中山市2016-2020年度最严格水资源管理制度考核实施细则》、《中山市城市排水（雨水）防洪综合规划》、《中山市节水型社会建设和非常规水资源开发利用规划》、《中山市海绵城市专项规划》、《中山市给水工程专项规划（修编）（2014~2020年）》、《中山市水利现代化规划》、《中山市城市生态控制线划定规划》、《中山市生态建设与环境保护</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等已有规划，</w:t>
      </w:r>
      <w:r>
        <w:rPr>
          <w:rFonts w:hint="eastAsia" w:eastAsia="宋体" w:cs="Times New Roman"/>
          <w:szCs w:val="24"/>
        </w:rPr>
        <w:t>结合</w:t>
      </w:r>
      <w:r>
        <w:rPr>
          <w:rFonts w:eastAsia="宋体" w:cs="Times New Roman"/>
          <w:szCs w:val="24"/>
        </w:rPr>
        <w:t>《中山市</w:t>
      </w:r>
      <w:r>
        <w:rPr>
          <w:rFonts w:hint="eastAsia" w:eastAsia="宋体" w:cs="Times New Roman"/>
          <w:szCs w:val="24"/>
        </w:rPr>
        <w:t>水</w:t>
      </w:r>
      <w:r>
        <w:rPr>
          <w:rFonts w:eastAsia="宋体" w:cs="Times New Roman"/>
          <w:szCs w:val="24"/>
        </w:rPr>
        <w:t>生态文明建设规划（201</w:t>
      </w:r>
      <w:r>
        <w:rPr>
          <w:rFonts w:hint="eastAsia" w:eastAsia="宋体" w:cs="Times New Roman"/>
          <w:szCs w:val="24"/>
        </w:rPr>
        <w:t>6</w:t>
      </w:r>
      <w:r>
        <w:rPr>
          <w:rFonts w:eastAsia="宋体" w:cs="Times New Roman"/>
          <w:szCs w:val="24"/>
        </w:rPr>
        <w:t>-2030）</w:t>
      </w:r>
      <w:r>
        <w:rPr>
          <w:rFonts w:hint="eastAsia" w:eastAsia="宋体" w:cs="Times New Roman"/>
          <w:szCs w:val="24"/>
        </w:rPr>
        <w:t>送审稿</w:t>
      </w:r>
      <w:r>
        <w:rPr>
          <w:rFonts w:eastAsia="宋体" w:cs="Times New Roman"/>
          <w:szCs w:val="24"/>
        </w:rPr>
        <w:t>》</w:t>
      </w:r>
      <w:r>
        <w:rPr>
          <w:rFonts w:hint="eastAsia" w:eastAsia="宋体" w:cs="Times New Roman"/>
          <w:szCs w:val="24"/>
        </w:rPr>
        <w:t>，</w:t>
      </w:r>
      <w:r>
        <w:rPr>
          <w:rFonts w:eastAsia="宋体" w:cs="Times New Roman"/>
          <w:szCs w:val="24"/>
        </w:rPr>
        <w:t>从水生态文明城市建设六大体系提出可监测、可评价、可实现、可考核的规划建设指标2</w:t>
      </w:r>
      <w:r>
        <w:rPr>
          <w:rFonts w:hint="eastAsia" w:eastAsia="宋体" w:cs="Times New Roman"/>
          <w:szCs w:val="24"/>
        </w:rPr>
        <w:t>3</w:t>
      </w:r>
      <w:r>
        <w:rPr>
          <w:rFonts w:eastAsia="宋体" w:cs="Times New Roman"/>
          <w:szCs w:val="24"/>
        </w:rPr>
        <w:t>项，具体指标见表3-1。</w:t>
      </w:r>
    </w:p>
    <w:p w14:paraId="24C736A4">
      <w:pPr>
        <w:spacing w:line="240" w:lineRule="auto"/>
        <w:ind w:firstLine="480"/>
        <w:rPr>
          <w:rFonts w:eastAsia="宋体" w:cs="Times New Roman"/>
          <w:szCs w:val="24"/>
        </w:rPr>
      </w:pPr>
    </w:p>
    <w:p w14:paraId="012CECF1">
      <w:pPr>
        <w:pStyle w:val="4"/>
        <w:spacing w:before="0" w:after="0" w:line="360" w:lineRule="auto"/>
        <w:rPr>
          <w:rFonts w:cs="Times New Roman"/>
        </w:rPr>
      </w:pPr>
      <w:bookmarkStart w:id="444" w:name="_Toc16675047"/>
      <w:r>
        <w:rPr>
          <w:rFonts w:cs="Times New Roman"/>
        </w:rPr>
        <w:t>3.5总体布局与规划任务</w:t>
      </w:r>
      <w:bookmarkEnd w:id="444"/>
    </w:p>
    <w:p w14:paraId="2FE1184C">
      <w:pPr>
        <w:pStyle w:val="3"/>
        <w:spacing w:before="0" w:after="0" w:line="360" w:lineRule="auto"/>
        <w:rPr>
          <w:rFonts w:cs="Times New Roman"/>
        </w:rPr>
      </w:pPr>
      <w:bookmarkStart w:id="445" w:name="_Toc1322"/>
      <w:bookmarkStart w:id="446" w:name="_Toc32253"/>
      <w:bookmarkStart w:id="447" w:name="_Toc7459"/>
      <w:bookmarkStart w:id="448" w:name="_Toc16675048"/>
      <w:r>
        <w:rPr>
          <w:rFonts w:cs="Times New Roman"/>
        </w:rPr>
        <w:t>3.5.1总体布局</w:t>
      </w:r>
      <w:bookmarkEnd w:id="445"/>
      <w:bookmarkEnd w:id="446"/>
      <w:bookmarkEnd w:id="447"/>
      <w:bookmarkEnd w:id="448"/>
    </w:p>
    <w:p w14:paraId="25C97981">
      <w:pPr>
        <w:ind w:firstLine="480"/>
        <w:rPr>
          <w:rFonts w:eastAsia="宋体" w:cs="Times New Roman"/>
          <w:szCs w:val="24"/>
        </w:rPr>
      </w:pPr>
      <w:r>
        <w:rPr>
          <w:rFonts w:eastAsia="宋体" w:cs="Times New Roman"/>
          <w:szCs w:val="24"/>
        </w:rPr>
        <w:t>立足中山市生态文明建设定位与城市功能定位，衔接</w:t>
      </w:r>
      <w:r>
        <w:rPr>
          <w:rFonts w:hint="eastAsia" w:eastAsia="宋体" w:cs="Times New Roman"/>
          <w:szCs w:val="24"/>
        </w:rPr>
        <w:t>西区</w:t>
      </w:r>
      <w:r>
        <w:rPr>
          <w:rFonts w:eastAsia="宋体" w:cs="Times New Roman"/>
          <w:szCs w:val="24"/>
        </w:rPr>
        <w:t>生态文明建设定位与总体规划城市发展定位，利用</w:t>
      </w:r>
      <w:r>
        <w:rPr>
          <w:rFonts w:hint="eastAsia" w:eastAsia="宋体" w:cs="Times New Roman"/>
          <w:szCs w:val="24"/>
        </w:rPr>
        <w:t>西区</w:t>
      </w:r>
      <w:r>
        <w:rPr>
          <w:rFonts w:eastAsia="宋体" w:cs="Times New Roman"/>
          <w:szCs w:val="24"/>
        </w:rPr>
        <w:t>内河涌纵横交错的水域特征及现代化建设格局，</w:t>
      </w:r>
      <w:r>
        <w:rPr>
          <w:rFonts w:cs="Times New Roman"/>
        </w:rPr>
        <w:t>立足</w:t>
      </w:r>
      <w:r>
        <w:rPr>
          <w:rFonts w:hint="eastAsia" w:cs="Times New Roman"/>
        </w:rPr>
        <w:t>西区</w:t>
      </w:r>
      <w:r>
        <w:rPr>
          <w:rFonts w:cs="Times New Roman"/>
        </w:rPr>
        <w:t>经济社会发展全局，着眼流域整体协调发展和布局，依据</w:t>
      </w:r>
      <w:r>
        <w:rPr>
          <w:rFonts w:hint="eastAsia" w:cs="Times New Roman"/>
        </w:rPr>
        <w:t>西区</w:t>
      </w:r>
      <w:r>
        <w:rPr>
          <w:rFonts w:cs="Times New Roman"/>
        </w:rPr>
        <w:t>不同区域的水资源、水环境和水生态条件，优化生态功能区空间布局，充分发挥水生态文明重点项目带头作用，全面提升水生态文化建设，建设功能完善、协调统一、健康和谐的水生态系统总体格局，走资源节约、环境友好、经济高效、社会和谐、城乡协调发展、互促共进的水生态建设道路，打造具有岭南水乡特色、香山名人文化传承、生态环境良好、充满活力的新型生态城区，为区域水资源水环境水生态的改善奠定良好的基础。根据</w:t>
      </w:r>
      <w:r>
        <w:rPr>
          <w:rFonts w:hint="eastAsia" w:cs="Times New Roman"/>
        </w:rPr>
        <w:t>西区</w:t>
      </w:r>
      <w:r>
        <w:rPr>
          <w:rFonts w:cs="Times New Roman"/>
        </w:rPr>
        <w:t>特点，</w:t>
      </w:r>
      <w:r>
        <w:rPr>
          <w:rFonts w:eastAsia="宋体" w:cs="Times New Roman"/>
          <w:szCs w:val="24"/>
        </w:rPr>
        <w:t>结合水生态文明建设六大体系具体内容，合力打造</w:t>
      </w:r>
      <w:r>
        <w:rPr>
          <w:rFonts w:hint="eastAsia" w:eastAsia="宋体" w:cs="Times New Roman"/>
          <w:szCs w:val="24"/>
        </w:rPr>
        <w:t>“一核、三区、十廓道”</w:t>
      </w:r>
      <w:r>
        <w:rPr>
          <w:rFonts w:eastAsia="宋体" w:cs="Times New Roman"/>
          <w:szCs w:val="24"/>
        </w:rPr>
        <w:t>的水生态文明城市格局，拟定</w:t>
      </w:r>
      <w:r>
        <w:rPr>
          <w:rFonts w:hint="eastAsia" w:eastAsia="宋体" w:cs="Times New Roman"/>
          <w:szCs w:val="24"/>
        </w:rPr>
        <w:t>西区</w:t>
      </w:r>
      <w:r>
        <w:rPr>
          <w:rFonts w:eastAsia="宋体" w:cs="Times New Roman"/>
          <w:szCs w:val="24"/>
        </w:rPr>
        <w:t>水生态文明城市建设总体布局</w:t>
      </w:r>
      <w:r>
        <w:rPr>
          <w:rFonts w:cs="Times New Roman"/>
        </w:rPr>
        <w:t>（如</w:t>
      </w:r>
      <w:r>
        <w:rPr>
          <w:rFonts w:hint="eastAsia" w:cs="Times New Roman"/>
          <w:b/>
          <w:bCs/>
        </w:rPr>
        <w:t>附</w:t>
      </w:r>
      <w:r>
        <w:rPr>
          <w:rFonts w:cs="Times New Roman"/>
          <w:b/>
          <w:bCs/>
        </w:rPr>
        <w:t>图</w:t>
      </w:r>
      <w:r>
        <w:rPr>
          <w:rFonts w:hint="eastAsia" w:cs="Times New Roman"/>
          <w:b/>
          <w:bCs/>
        </w:rPr>
        <w:t>16</w:t>
      </w:r>
      <w:r>
        <w:rPr>
          <w:rFonts w:cs="Times New Roman"/>
        </w:rPr>
        <w:t>）</w:t>
      </w:r>
      <w:r>
        <w:rPr>
          <w:rFonts w:eastAsia="宋体" w:cs="Times New Roman"/>
          <w:szCs w:val="24"/>
        </w:rPr>
        <w:t>。</w:t>
      </w:r>
    </w:p>
    <w:p w14:paraId="7B66C6D8">
      <w:pPr>
        <w:spacing w:line="240" w:lineRule="auto"/>
        <w:ind w:firstLine="0" w:firstLineChars="0"/>
        <w:jc w:val="center"/>
        <w:rPr>
          <w:rFonts w:cs="Times New Roman"/>
          <w:sz w:val="21"/>
        </w:rPr>
      </w:pPr>
      <w:r>
        <w:rPr>
          <w:rFonts w:cs="Times New Roman"/>
          <w:sz w:val="21"/>
        </w:rPr>
        <w:t xml:space="preserve">表3-1 </w:t>
      </w:r>
      <w:r>
        <w:rPr>
          <w:rFonts w:hint="eastAsia" w:cs="Times New Roman"/>
          <w:sz w:val="21"/>
        </w:rPr>
        <w:t>西区</w:t>
      </w:r>
      <w:r>
        <w:rPr>
          <w:rFonts w:cs="Times New Roman"/>
          <w:sz w:val="21"/>
        </w:rPr>
        <w:t>水生态文明建设指标体系</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712"/>
        <w:gridCol w:w="3388"/>
        <w:gridCol w:w="3750"/>
      </w:tblGrid>
      <w:tr w14:paraId="4B284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Align w:val="center"/>
          </w:tcPr>
          <w:p w14:paraId="0DFCBF4D">
            <w:pPr>
              <w:spacing w:line="240" w:lineRule="auto"/>
              <w:ind w:firstLine="0" w:firstLineChars="0"/>
              <w:jc w:val="center"/>
              <w:rPr>
                <w:rFonts w:cs="Times New Roman"/>
                <w:kern w:val="0"/>
                <w:sz w:val="21"/>
              </w:rPr>
            </w:pPr>
            <w:r>
              <w:rPr>
                <w:rFonts w:cs="Times New Roman"/>
                <w:kern w:val="0"/>
                <w:sz w:val="21"/>
              </w:rPr>
              <w:t>类别</w:t>
            </w:r>
          </w:p>
        </w:tc>
        <w:tc>
          <w:tcPr>
            <w:tcW w:w="712" w:type="dxa"/>
            <w:vAlign w:val="center"/>
          </w:tcPr>
          <w:p w14:paraId="34C7B7C2">
            <w:pPr>
              <w:spacing w:line="240" w:lineRule="auto"/>
              <w:ind w:firstLine="0" w:firstLineChars="0"/>
              <w:jc w:val="center"/>
              <w:rPr>
                <w:rFonts w:cs="Times New Roman"/>
                <w:kern w:val="0"/>
                <w:sz w:val="21"/>
              </w:rPr>
            </w:pPr>
            <w:r>
              <w:rPr>
                <w:rFonts w:cs="Times New Roman"/>
                <w:kern w:val="0"/>
                <w:sz w:val="21"/>
              </w:rPr>
              <w:t>序号</w:t>
            </w:r>
          </w:p>
        </w:tc>
        <w:tc>
          <w:tcPr>
            <w:tcW w:w="3388" w:type="dxa"/>
            <w:vAlign w:val="center"/>
          </w:tcPr>
          <w:p w14:paraId="04D33422">
            <w:pPr>
              <w:spacing w:line="240" w:lineRule="auto"/>
              <w:ind w:firstLine="0" w:firstLineChars="0"/>
              <w:jc w:val="center"/>
              <w:rPr>
                <w:rFonts w:cs="Times New Roman"/>
                <w:kern w:val="0"/>
                <w:sz w:val="21"/>
              </w:rPr>
            </w:pPr>
            <w:r>
              <w:rPr>
                <w:rFonts w:cs="Times New Roman"/>
                <w:kern w:val="0"/>
                <w:sz w:val="21"/>
              </w:rPr>
              <w:t>指标</w:t>
            </w:r>
          </w:p>
        </w:tc>
        <w:tc>
          <w:tcPr>
            <w:tcW w:w="3750" w:type="dxa"/>
            <w:vAlign w:val="center"/>
          </w:tcPr>
          <w:p w14:paraId="3BA95487">
            <w:pPr>
              <w:spacing w:line="240" w:lineRule="auto"/>
              <w:ind w:firstLine="0" w:firstLineChars="0"/>
              <w:jc w:val="center"/>
              <w:rPr>
                <w:rFonts w:cs="Times New Roman"/>
                <w:kern w:val="0"/>
                <w:sz w:val="21"/>
              </w:rPr>
            </w:pPr>
            <w:r>
              <w:rPr>
                <w:rFonts w:cs="Times New Roman"/>
                <w:kern w:val="0"/>
                <w:sz w:val="21"/>
              </w:rPr>
              <w:t>指标来源</w:t>
            </w:r>
          </w:p>
        </w:tc>
      </w:tr>
      <w:tr w14:paraId="2E8CC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restart"/>
            <w:vAlign w:val="center"/>
          </w:tcPr>
          <w:p w14:paraId="29B9E3EF">
            <w:pPr>
              <w:spacing w:line="240" w:lineRule="auto"/>
              <w:ind w:firstLine="0" w:firstLineChars="0"/>
              <w:jc w:val="center"/>
              <w:rPr>
                <w:rFonts w:cs="Times New Roman"/>
                <w:kern w:val="0"/>
                <w:sz w:val="21"/>
              </w:rPr>
            </w:pPr>
            <w:r>
              <w:rPr>
                <w:rFonts w:cs="Times New Roman"/>
                <w:kern w:val="0"/>
                <w:sz w:val="21"/>
              </w:rPr>
              <w:t>水</w:t>
            </w:r>
          </w:p>
          <w:p w14:paraId="753B627B">
            <w:pPr>
              <w:spacing w:line="240" w:lineRule="auto"/>
              <w:ind w:firstLine="0" w:firstLineChars="0"/>
              <w:jc w:val="center"/>
              <w:rPr>
                <w:rFonts w:cs="Times New Roman"/>
                <w:kern w:val="0"/>
                <w:sz w:val="21"/>
              </w:rPr>
            </w:pPr>
            <w:r>
              <w:rPr>
                <w:rFonts w:cs="Times New Roman"/>
                <w:kern w:val="0"/>
                <w:sz w:val="21"/>
              </w:rPr>
              <w:t>安</w:t>
            </w:r>
          </w:p>
          <w:p w14:paraId="40954C23">
            <w:pPr>
              <w:spacing w:line="240" w:lineRule="auto"/>
              <w:ind w:firstLine="0" w:firstLineChars="0"/>
              <w:jc w:val="center"/>
              <w:rPr>
                <w:rFonts w:cs="Times New Roman"/>
                <w:kern w:val="0"/>
                <w:sz w:val="21"/>
              </w:rPr>
            </w:pPr>
            <w:r>
              <w:rPr>
                <w:rFonts w:cs="Times New Roman"/>
                <w:kern w:val="0"/>
                <w:sz w:val="21"/>
              </w:rPr>
              <w:t>全</w:t>
            </w:r>
          </w:p>
        </w:tc>
        <w:tc>
          <w:tcPr>
            <w:tcW w:w="712" w:type="dxa"/>
            <w:vAlign w:val="center"/>
          </w:tcPr>
          <w:p w14:paraId="0A09012E">
            <w:pPr>
              <w:spacing w:line="240" w:lineRule="auto"/>
              <w:ind w:firstLine="0" w:firstLineChars="0"/>
              <w:jc w:val="center"/>
              <w:rPr>
                <w:rFonts w:cs="Times New Roman"/>
                <w:kern w:val="0"/>
                <w:sz w:val="21"/>
              </w:rPr>
            </w:pPr>
            <w:r>
              <w:rPr>
                <w:rFonts w:cs="Times New Roman"/>
                <w:kern w:val="0"/>
                <w:sz w:val="21"/>
              </w:rPr>
              <w:t>1</w:t>
            </w:r>
          </w:p>
        </w:tc>
        <w:tc>
          <w:tcPr>
            <w:tcW w:w="3388" w:type="dxa"/>
            <w:vAlign w:val="center"/>
          </w:tcPr>
          <w:p w14:paraId="7D010AE7">
            <w:pPr>
              <w:spacing w:line="240" w:lineRule="auto"/>
              <w:ind w:firstLine="0" w:firstLineChars="0"/>
              <w:jc w:val="center"/>
              <w:rPr>
                <w:rFonts w:cs="Times New Roman"/>
                <w:kern w:val="0"/>
                <w:sz w:val="21"/>
              </w:rPr>
            </w:pPr>
            <w:r>
              <w:rPr>
                <w:rFonts w:cs="Times New Roman"/>
                <w:kern w:val="0"/>
                <w:sz w:val="21"/>
              </w:rPr>
              <w:t>防洪达标率（%）</w:t>
            </w:r>
          </w:p>
        </w:tc>
        <w:tc>
          <w:tcPr>
            <w:tcW w:w="3750" w:type="dxa"/>
            <w:vMerge w:val="restart"/>
            <w:vAlign w:val="center"/>
          </w:tcPr>
          <w:p w14:paraId="605C713F">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46985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54C3FD80">
            <w:pPr>
              <w:spacing w:line="240" w:lineRule="auto"/>
              <w:ind w:firstLine="0" w:firstLineChars="0"/>
              <w:jc w:val="center"/>
              <w:rPr>
                <w:rFonts w:cs="Times New Roman"/>
                <w:kern w:val="0"/>
                <w:sz w:val="21"/>
              </w:rPr>
            </w:pPr>
          </w:p>
        </w:tc>
        <w:tc>
          <w:tcPr>
            <w:tcW w:w="712" w:type="dxa"/>
            <w:vAlign w:val="center"/>
          </w:tcPr>
          <w:p w14:paraId="33D4CB08">
            <w:pPr>
              <w:spacing w:line="240" w:lineRule="auto"/>
              <w:ind w:firstLine="0" w:firstLineChars="0"/>
              <w:jc w:val="center"/>
              <w:rPr>
                <w:rFonts w:cs="Times New Roman"/>
                <w:kern w:val="0"/>
                <w:sz w:val="21"/>
              </w:rPr>
            </w:pPr>
            <w:r>
              <w:rPr>
                <w:rFonts w:hint="eastAsia" w:cs="Times New Roman"/>
                <w:kern w:val="0"/>
                <w:sz w:val="21"/>
              </w:rPr>
              <w:t>2</w:t>
            </w:r>
          </w:p>
        </w:tc>
        <w:tc>
          <w:tcPr>
            <w:tcW w:w="3388" w:type="dxa"/>
            <w:vAlign w:val="center"/>
          </w:tcPr>
          <w:p w14:paraId="1C708432">
            <w:pPr>
              <w:spacing w:line="240" w:lineRule="auto"/>
              <w:ind w:firstLine="0" w:firstLineChars="0"/>
              <w:jc w:val="center"/>
              <w:rPr>
                <w:rFonts w:cs="Times New Roman"/>
                <w:kern w:val="0"/>
                <w:sz w:val="21"/>
              </w:rPr>
            </w:pPr>
            <w:r>
              <w:rPr>
                <w:rFonts w:cs="Times New Roman"/>
                <w:kern w:val="0"/>
                <w:sz w:val="21"/>
              </w:rPr>
              <w:t>排涝达标率（%）</w:t>
            </w:r>
          </w:p>
        </w:tc>
        <w:tc>
          <w:tcPr>
            <w:tcW w:w="3750" w:type="dxa"/>
            <w:vMerge w:val="continue"/>
            <w:vAlign w:val="center"/>
          </w:tcPr>
          <w:p w14:paraId="5414B7BA">
            <w:pPr>
              <w:spacing w:line="240" w:lineRule="auto"/>
              <w:ind w:firstLine="0" w:firstLineChars="0"/>
              <w:jc w:val="center"/>
              <w:rPr>
                <w:rFonts w:cs="Times New Roman"/>
                <w:kern w:val="0"/>
                <w:sz w:val="21"/>
              </w:rPr>
            </w:pPr>
          </w:p>
        </w:tc>
      </w:tr>
      <w:tr w14:paraId="16110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40C4BA4C">
            <w:pPr>
              <w:spacing w:line="240" w:lineRule="auto"/>
              <w:ind w:firstLine="0" w:firstLineChars="0"/>
              <w:jc w:val="center"/>
              <w:rPr>
                <w:rFonts w:cs="Times New Roman"/>
                <w:kern w:val="0"/>
                <w:sz w:val="21"/>
              </w:rPr>
            </w:pPr>
          </w:p>
        </w:tc>
        <w:tc>
          <w:tcPr>
            <w:tcW w:w="712" w:type="dxa"/>
            <w:vAlign w:val="center"/>
          </w:tcPr>
          <w:p w14:paraId="52427A86">
            <w:pPr>
              <w:spacing w:line="240" w:lineRule="auto"/>
              <w:ind w:firstLine="0" w:firstLineChars="0"/>
              <w:jc w:val="center"/>
              <w:rPr>
                <w:rFonts w:cs="Times New Roman"/>
                <w:kern w:val="0"/>
                <w:sz w:val="21"/>
              </w:rPr>
            </w:pPr>
            <w:r>
              <w:rPr>
                <w:rFonts w:hint="eastAsia" w:cs="Times New Roman"/>
                <w:kern w:val="0"/>
                <w:sz w:val="21"/>
              </w:rPr>
              <w:t>3</w:t>
            </w:r>
          </w:p>
        </w:tc>
        <w:tc>
          <w:tcPr>
            <w:tcW w:w="3388" w:type="dxa"/>
            <w:vAlign w:val="center"/>
          </w:tcPr>
          <w:p w14:paraId="0E21B94E">
            <w:pPr>
              <w:spacing w:line="240" w:lineRule="auto"/>
              <w:ind w:firstLine="0" w:firstLineChars="0"/>
              <w:jc w:val="center"/>
              <w:rPr>
                <w:rFonts w:cs="Times New Roman"/>
                <w:kern w:val="0"/>
                <w:sz w:val="21"/>
              </w:rPr>
            </w:pPr>
            <w:r>
              <w:rPr>
                <w:rFonts w:cs="Times New Roman"/>
                <w:kern w:val="0"/>
                <w:sz w:val="21"/>
              </w:rPr>
              <w:t>降雨滞蓄率（%）</w:t>
            </w:r>
          </w:p>
        </w:tc>
        <w:tc>
          <w:tcPr>
            <w:tcW w:w="3750" w:type="dxa"/>
            <w:vMerge w:val="continue"/>
            <w:vAlign w:val="center"/>
          </w:tcPr>
          <w:p w14:paraId="12A06270">
            <w:pPr>
              <w:spacing w:line="240" w:lineRule="auto"/>
              <w:ind w:firstLine="0" w:firstLineChars="0"/>
              <w:jc w:val="center"/>
              <w:rPr>
                <w:rFonts w:cs="Times New Roman"/>
                <w:kern w:val="0"/>
                <w:sz w:val="21"/>
              </w:rPr>
            </w:pPr>
          </w:p>
        </w:tc>
      </w:tr>
      <w:tr w14:paraId="069AF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678" w:type="dxa"/>
            <w:vMerge w:val="continue"/>
            <w:vAlign w:val="center"/>
          </w:tcPr>
          <w:p w14:paraId="0470E16C">
            <w:pPr>
              <w:spacing w:line="240" w:lineRule="auto"/>
              <w:ind w:firstLine="0" w:firstLineChars="0"/>
              <w:jc w:val="center"/>
              <w:rPr>
                <w:rFonts w:cs="Times New Roman"/>
                <w:kern w:val="0"/>
                <w:sz w:val="21"/>
              </w:rPr>
            </w:pPr>
          </w:p>
        </w:tc>
        <w:tc>
          <w:tcPr>
            <w:tcW w:w="712" w:type="dxa"/>
            <w:vAlign w:val="center"/>
          </w:tcPr>
          <w:p w14:paraId="65D19116">
            <w:pPr>
              <w:spacing w:line="240" w:lineRule="auto"/>
              <w:ind w:firstLine="0" w:firstLineChars="0"/>
              <w:jc w:val="center"/>
              <w:rPr>
                <w:rFonts w:cs="Times New Roman"/>
                <w:kern w:val="0"/>
                <w:sz w:val="21"/>
              </w:rPr>
            </w:pPr>
            <w:r>
              <w:rPr>
                <w:rFonts w:hint="eastAsia" w:cs="Times New Roman"/>
                <w:kern w:val="0"/>
                <w:sz w:val="21"/>
              </w:rPr>
              <w:t>4</w:t>
            </w:r>
          </w:p>
        </w:tc>
        <w:tc>
          <w:tcPr>
            <w:tcW w:w="3388" w:type="dxa"/>
            <w:vAlign w:val="center"/>
          </w:tcPr>
          <w:p w14:paraId="424EA9CE">
            <w:pPr>
              <w:spacing w:line="240" w:lineRule="auto"/>
              <w:ind w:firstLine="0" w:firstLineChars="0"/>
              <w:jc w:val="center"/>
              <w:rPr>
                <w:rFonts w:cs="Times New Roman"/>
                <w:kern w:val="0"/>
                <w:sz w:val="21"/>
              </w:rPr>
            </w:pPr>
            <w:r>
              <w:rPr>
                <w:rFonts w:cs="Times New Roman"/>
                <w:kern w:val="0"/>
                <w:sz w:val="21"/>
              </w:rPr>
              <w:t>自来水普及率（%）</w:t>
            </w:r>
          </w:p>
        </w:tc>
        <w:tc>
          <w:tcPr>
            <w:tcW w:w="3750" w:type="dxa"/>
            <w:vMerge w:val="continue"/>
            <w:vAlign w:val="center"/>
          </w:tcPr>
          <w:p w14:paraId="49D16A76">
            <w:pPr>
              <w:spacing w:line="240" w:lineRule="auto"/>
              <w:ind w:firstLine="0" w:firstLineChars="0"/>
              <w:jc w:val="center"/>
              <w:rPr>
                <w:rFonts w:cs="Times New Roman"/>
                <w:kern w:val="0"/>
                <w:sz w:val="21"/>
              </w:rPr>
            </w:pPr>
          </w:p>
        </w:tc>
      </w:tr>
      <w:tr w14:paraId="61502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678" w:type="dxa"/>
            <w:vMerge w:val="restart"/>
            <w:vAlign w:val="center"/>
          </w:tcPr>
          <w:p w14:paraId="63CB8294">
            <w:pPr>
              <w:spacing w:line="240" w:lineRule="auto"/>
              <w:ind w:firstLine="0" w:firstLineChars="0"/>
              <w:jc w:val="center"/>
              <w:rPr>
                <w:rFonts w:cs="Times New Roman"/>
                <w:kern w:val="0"/>
                <w:sz w:val="21"/>
              </w:rPr>
            </w:pPr>
            <w:r>
              <w:rPr>
                <w:rFonts w:cs="Times New Roman"/>
                <w:kern w:val="0"/>
                <w:sz w:val="21"/>
              </w:rPr>
              <w:t>水</w:t>
            </w:r>
          </w:p>
          <w:p w14:paraId="5602FCB7">
            <w:pPr>
              <w:spacing w:line="240" w:lineRule="auto"/>
              <w:ind w:firstLine="0" w:firstLineChars="0"/>
              <w:jc w:val="center"/>
              <w:rPr>
                <w:rFonts w:cs="Times New Roman"/>
                <w:kern w:val="0"/>
                <w:sz w:val="21"/>
              </w:rPr>
            </w:pPr>
            <w:r>
              <w:rPr>
                <w:rFonts w:cs="Times New Roman"/>
                <w:kern w:val="0"/>
                <w:sz w:val="21"/>
              </w:rPr>
              <w:t>环</w:t>
            </w:r>
          </w:p>
          <w:p w14:paraId="7847E49E">
            <w:pPr>
              <w:spacing w:line="240" w:lineRule="auto"/>
              <w:ind w:firstLine="0" w:firstLineChars="0"/>
              <w:jc w:val="center"/>
              <w:rPr>
                <w:rFonts w:cs="Times New Roman"/>
                <w:kern w:val="0"/>
                <w:sz w:val="21"/>
              </w:rPr>
            </w:pPr>
            <w:r>
              <w:rPr>
                <w:rFonts w:cs="Times New Roman"/>
                <w:kern w:val="0"/>
                <w:sz w:val="21"/>
              </w:rPr>
              <w:t>境</w:t>
            </w:r>
          </w:p>
        </w:tc>
        <w:tc>
          <w:tcPr>
            <w:tcW w:w="712" w:type="dxa"/>
            <w:vAlign w:val="center"/>
          </w:tcPr>
          <w:p w14:paraId="7E41D971">
            <w:pPr>
              <w:spacing w:line="240" w:lineRule="auto"/>
              <w:ind w:firstLine="0" w:firstLineChars="0"/>
              <w:jc w:val="center"/>
              <w:rPr>
                <w:rFonts w:cs="Times New Roman"/>
                <w:kern w:val="0"/>
                <w:sz w:val="21"/>
              </w:rPr>
            </w:pPr>
            <w:r>
              <w:rPr>
                <w:rFonts w:hint="eastAsia" w:cs="Times New Roman"/>
                <w:kern w:val="0"/>
                <w:sz w:val="21"/>
              </w:rPr>
              <w:t>5</w:t>
            </w:r>
          </w:p>
        </w:tc>
        <w:tc>
          <w:tcPr>
            <w:tcW w:w="3388" w:type="dxa"/>
            <w:vAlign w:val="center"/>
          </w:tcPr>
          <w:p w14:paraId="01CD698C">
            <w:pPr>
              <w:spacing w:line="240" w:lineRule="auto"/>
              <w:ind w:firstLine="0" w:firstLineChars="0"/>
              <w:jc w:val="center"/>
              <w:rPr>
                <w:rFonts w:cs="Times New Roman"/>
                <w:kern w:val="0"/>
                <w:sz w:val="21"/>
              </w:rPr>
            </w:pPr>
            <w:r>
              <w:rPr>
                <w:rFonts w:cs="Times New Roman"/>
                <w:kern w:val="0"/>
                <w:sz w:val="21"/>
              </w:rPr>
              <w:t>水功能区水质达标率（%）</w:t>
            </w:r>
          </w:p>
        </w:tc>
        <w:tc>
          <w:tcPr>
            <w:tcW w:w="3750" w:type="dxa"/>
            <w:vAlign w:val="center"/>
          </w:tcPr>
          <w:p w14:paraId="045F9487">
            <w:pPr>
              <w:spacing w:line="240" w:lineRule="auto"/>
              <w:ind w:firstLine="0" w:firstLineChars="0"/>
              <w:jc w:val="center"/>
              <w:rPr>
                <w:rFonts w:cs="Times New Roman"/>
                <w:kern w:val="0"/>
                <w:sz w:val="21"/>
              </w:rPr>
            </w:pPr>
            <w:r>
              <w:rPr>
                <w:rFonts w:cs="Times New Roman"/>
                <w:kern w:val="0"/>
                <w:sz w:val="21"/>
              </w:rPr>
              <w:t>水生态文明城市建设评价导则、水污染防治行动计划</w:t>
            </w:r>
          </w:p>
        </w:tc>
      </w:tr>
      <w:tr w14:paraId="04D86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10E5DDD5">
            <w:pPr>
              <w:spacing w:line="240" w:lineRule="auto"/>
              <w:ind w:firstLine="0" w:firstLineChars="0"/>
              <w:jc w:val="center"/>
              <w:rPr>
                <w:rFonts w:cs="Times New Roman"/>
                <w:kern w:val="0"/>
                <w:sz w:val="21"/>
              </w:rPr>
            </w:pPr>
          </w:p>
        </w:tc>
        <w:tc>
          <w:tcPr>
            <w:tcW w:w="712" w:type="dxa"/>
            <w:vAlign w:val="center"/>
          </w:tcPr>
          <w:p w14:paraId="5CF27BB8">
            <w:pPr>
              <w:spacing w:line="240" w:lineRule="auto"/>
              <w:ind w:firstLine="0" w:firstLineChars="0"/>
              <w:jc w:val="center"/>
              <w:rPr>
                <w:rFonts w:cs="Times New Roman"/>
                <w:kern w:val="0"/>
                <w:sz w:val="21"/>
              </w:rPr>
            </w:pPr>
            <w:r>
              <w:rPr>
                <w:rFonts w:hint="eastAsia" w:cs="Times New Roman"/>
                <w:kern w:val="0"/>
                <w:sz w:val="21"/>
              </w:rPr>
              <w:t>6</w:t>
            </w:r>
          </w:p>
        </w:tc>
        <w:tc>
          <w:tcPr>
            <w:tcW w:w="3388" w:type="dxa"/>
            <w:vAlign w:val="center"/>
          </w:tcPr>
          <w:p w14:paraId="64185766">
            <w:pPr>
              <w:spacing w:line="240" w:lineRule="auto"/>
              <w:ind w:firstLine="0" w:firstLineChars="0"/>
              <w:jc w:val="center"/>
              <w:rPr>
                <w:rFonts w:cs="Times New Roman"/>
                <w:kern w:val="0"/>
                <w:sz w:val="21"/>
              </w:rPr>
            </w:pPr>
            <w:r>
              <w:rPr>
                <w:rFonts w:cs="Times New Roman"/>
                <w:kern w:val="0"/>
                <w:sz w:val="21"/>
              </w:rPr>
              <w:t>废污水达标处理率（%）</w:t>
            </w:r>
          </w:p>
        </w:tc>
        <w:tc>
          <w:tcPr>
            <w:tcW w:w="3750" w:type="dxa"/>
            <w:vMerge w:val="restart"/>
            <w:vAlign w:val="center"/>
          </w:tcPr>
          <w:p w14:paraId="5FC9BE36">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1DE64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0F1C9686">
            <w:pPr>
              <w:spacing w:line="240" w:lineRule="auto"/>
              <w:ind w:firstLine="0" w:firstLineChars="0"/>
              <w:jc w:val="center"/>
              <w:rPr>
                <w:rFonts w:cs="Times New Roman"/>
                <w:kern w:val="0"/>
                <w:sz w:val="21"/>
              </w:rPr>
            </w:pPr>
          </w:p>
        </w:tc>
        <w:tc>
          <w:tcPr>
            <w:tcW w:w="712" w:type="dxa"/>
            <w:vAlign w:val="center"/>
          </w:tcPr>
          <w:p w14:paraId="46542A63">
            <w:pPr>
              <w:spacing w:line="240" w:lineRule="auto"/>
              <w:ind w:firstLine="0" w:firstLineChars="0"/>
              <w:jc w:val="center"/>
              <w:rPr>
                <w:rFonts w:cs="Times New Roman"/>
                <w:kern w:val="0"/>
                <w:sz w:val="21"/>
              </w:rPr>
            </w:pPr>
            <w:r>
              <w:rPr>
                <w:rFonts w:hint="eastAsia" w:cs="Times New Roman"/>
                <w:kern w:val="0"/>
                <w:sz w:val="21"/>
              </w:rPr>
              <w:t>7</w:t>
            </w:r>
          </w:p>
        </w:tc>
        <w:tc>
          <w:tcPr>
            <w:tcW w:w="3388" w:type="dxa"/>
            <w:vAlign w:val="center"/>
          </w:tcPr>
          <w:p w14:paraId="77BB0C3C">
            <w:pPr>
              <w:spacing w:line="240" w:lineRule="auto"/>
              <w:ind w:firstLine="0" w:firstLineChars="0"/>
              <w:jc w:val="center"/>
              <w:rPr>
                <w:rFonts w:cs="Times New Roman"/>
                <w:kern w:val="0"/>
                <w:sz w:val="21"/>
              </w:rPr>
            </w:pPr>
            <w:r>
              <w:rPr>
                <w:rFonts w:cs="Times New Roman"/>
                <w:kern w:val="0"/>
                <w:sz w:val="21"/>
              </w:rPr>
              <w:t>水功能区限制纳污控制率（%）</w:t>
            </w:r>
          </w:p>
        </w:tc>
        <w:tc>
          <w:tcPr>
            <w:tcW w:w="3750" w:type="dxa"/>
            <w:vMerge w:val="continue"/>
            <w:vAlign w:val="center"/>
          </w:tcPr>
          <w:p w14:paraId="109DA645">
            <w:pPr>
              <w:spacing w:line="240" w:lineRule="auto"/>
              <w:ind w:firstLine="0" w:firstLineChars="0"/>
              <w:jc w:val="center"/>
              <w:rPr>
                <w:rFonts w:eastAsia="宋体" w:cs="Times New Roman"/>
                <w:kern w:val="0"/>
                <w:sz w:val="21"/>
              </w:rPr>
            </w:pPr>
          </w:p>
        </w:tc>
      </w:tr>
      <w:tr w14:paraId="3CAB1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restart"/>
            <w:vAlign w:val="center"/>
          </w:tcPr>
          <w:p w14:paraId="7AD447EC">
            <w:pPr>
              <w:spacing w:line="240" w:lineRule="auto"/>
              <w:ind w:firstLine="0" w:firstLineChars="0"/>
              <w:jc w:val="center"/>
              <w:rPr>
                <w:rFonts w:cs="Times New Roman"/>
                <w:kern w:val="0"/>
                <w:sz w:val="21"/>
              </w:rPr>
            </w:pPr>
            <w:r>
              <w:rPr>
                <w:rFonts w:cs="Times New Roman"/>
                <w:kern w:val="0"/>
                <w:sz w:val="21"/>
              </w:rPr>
              <w:t>水</w:t>
            </w:r>
          </w:p>
          <w:p w14:paraId="28DE6EF1">
            <w:pPr>
              <w:spacing w:line="240" w:lineRule="auto"/>
              <w:ind w:firstLine="0" w:firstLineChars="0"/>
              <w:jc w:val="center"/>
              <w:rPr>
                <w:rFonts w:cs="Times New Roman"/>
                <w:kern w:val="0"/>
                <w:sz w:val="21"/>
              </w:rPr>
            </w:pPr>
            <w:r>
              <w:rPr>
                <w:rFonts w:cs="Times New Roman"/>
                <w:kern w:val="0"/>
                <w:sz w:val="21"/>
              </w:rPr>
              <w:t>生</w:t>
            </w:r>
          </w:p>
          <w:p w14:paraId="2A46D91C">
            <w:pPr>
              <w:spacing w:line="240" w:lineRule="auto"/>
              <w:ind w:firstLine="0" w:firstLineChars="0"/>
              <w:jc w:val="center"/>
              <w:rPr>
                <w:rFonts w:cs="Times New Roman"/>
                <w:kern w:val="0"/>
                <w:sz w:val="21"/>
              </w:rPr>
            </w:pPr>
            <w:r>
              <w:rPr>
                <w:rFonts w:cs="Times New Roman"/>
                <w:kern w:val="0"/>
                <w:sz w:val="21"/>
              </w:rPr>
              <w:t>态</w:t>
            </w:r>
          </w:p>
        </w:tc>
        <w:tc>
          <w:tcPr>
            <w:tcW w:w="712" w:type="dxa"/>
            <w:vAlign w:val="center"/>
          </w:tcPr>
          <w:p w14:paraId="1026C6A1">
            <w:pPr>
              <w:spacing w:line="240" w:lineRule="auto"/>
              <w:ind w:firstLine="0" w:firstLineChars="0"/>
              <w:jc w:val="center"/>
              <w:rPr>
                <w:rFonts w:cs="Times New Roman"/>
                <w:kern w:val="0"/>
                <w:sz w:val="21"/>
              </w:rPr>
            </w:pPr>
            <w:r>
              <w:rPr>
                <w:rFonts w:hint="eastAsia" w:cs="Times New Roman"/>
                <w:kern w:val="0"/>
                <w:sz w:val="21"/>
              </w:rPr>
              <w:t>8</w:t>
            </w:r>
          </w:p>
        </w:tc>
        <w:tc>
          <w:tcPr>
            <w:tcW w:w="3388" w:type="dxa"/>
            <w:vAlign w:val="center"/>
          </w:tcPr>
          <w:p w14:paraId="7AAFBE8E">
            <w:pPr>
              <w:spacing w:line="240" w:lineRule="auto"/>
              <w:ind w:firstLine="0" w:firstLineChars="0"/>
              <w:jc w:val="center"/>
              <w:rPr>
                <w:rFonts w:cs="Times New Roman"/>
                <w:kern w:val="0"/>
                <w:sz w:val="21"/>
              </w:rPr>
            </w:pPr>
            <w:r>
              <w:rPr>
                <w:rFonts w:cs="Times New Roman"/>
                <w:kern w:val="0"/>
                <w:sz w:val="21"/>
              </w:rPr>
              <w:t>河湖生态护岸比例（%）</w:t>
            </w:r>
          </w:p>
        </w:tc>
        <w:tc>
          <w:tcPr>
            <w:tcW w:w="3750" w:type="dxa"/>
            <w:vMerge w:val="restart"/>
            <w:vAlign w:val="center"/>
          </w:tcPr>
          <w:p w14:paraId="6DD6028B">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78F23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678" w:type="dxa"/>
            <w:vMerge w:val="continue"/>
            <w:vAlign w:val="center"/>
          </w:tcPr>
          <w:p w14:paraId="2D93E68A">
            <w:pPr>
              <w:spacing w:line="240" w:lineRule="auto"/>
              <w:ind w:firstLine="0" w:firstLineChars="0"/>
              <w:jc w:val="center"/>
              <w:rPr>
                <w:rFonts w:cs="Times New Roman"/>
                <w:kern w:val="0"/>
                <w:sz w:val="21"/>
              </w:rPr>
            </w:pPr>
          </w:p>
        </w:tc>
        <w:tc>
          <w:tcPr>
            <w:tcW w:w="712" w:type="dxa"/>
            <w:vAlign w:val="center"/>
          </w:tcPr>
          <w:p w14:paraId="4BBA52AD">
            <w:pPr>
              <w:spacing w:line="240" w:lineRule="auto"/>
              <w:ind w:firstLine="0" w:firstLineChars="0"/>
              <w:jc w:val="center"/>
              <w:rPr>
                <w:rFonts w:cs="Times New Roman"/>
                <w:kern w:val="0"/>
                <w:sz w:val="21"/>
              </w:rPr>
            </w:pPr>
            <w:r>
              <w:rPr>
                <w:rFonts w:hint="eastAsia" w:cs="Times New Roman"/>
                <w:kern w:val="0"/>
                <w:sz w:val="21"/>
              </w:rPr>
              <w:t>9</w:t>
            </w:r>
          </w:p>
        </w:tc>
        <w:tc>
          <w:tcPr>
            <w:tcW w:w="3388" w:type="dxa"/>
            <w:vAlign w:val="center"/>
          </w:tcPr>
          <w:p w14:paraId="71DEF0ED">
            <w:pPr>
              <w:spacing w:line="240" w:lineRule="auto"/>
              <w:ind w:firstLine="0" w:firstLineChars="0"/>
              <w:jc w:val="center"/>
              <w:rPr>
                <w:rFonts w:eastAsia="宋体" w:cs="Times New Roman"/>
                <w:kern w:val="0"/>
                <w:sz w:val="21"/>
              </w:rPr>
            </w:pPr>
            <w:r>
              <w:rPr>
                <w:rFonts w:cs="Times New Roman"/>
                <w:kern w:val="0"/>
                <w:sz w:val="21"/>
              </w:rPr>
              <w:t>水土流失治理程度（%）</w:t>
            </w:r>
          </w:p>
        </w:tc>
        <w:tc>
          <w:tcPr>
            <w:tcW w:w="3750" w:type="dxa"/>
            <w:vMerge w:val="continue"/>
            <w:vAlign w:val="center"/>
          </w:tcPr>
          <w:p w14:paraId="43A74389">
            <w:pPr>
              <w:spacing w:line="240" w:lineRule="auto"/>
              <w:ind w:firstLine="0" w:firstLineChars="0"/>
              <w:jc w:val="center"/>
              <w:rPr>
                <w:rFonts w:cs="Times New Roman"/>
                <w:kern w:val="0"/>
                <w:sz w:val="21"/>
              </w:rPr>
            </w:pPr>
          </w:p>
        </w:tc>
      </w:tr>
      <w:tr w14:paraId="58F2D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3E8D0313">
            <w:pPr>
              <w:spacing w:line="240" w:lineRule="auto"/>
              <w:ind w:firstLine="0" w:firstLineChars="0"/>
              <w:jc w:val="center"/>
              <w:rPr>
                <w:rFonts w:cs="Times New Roman"/>
                <w:kern w:val="0"/>
                <w:sz w:val="21"/>
              </w:rPr>
            </w:pPr>
          </w:p>
        </w:tc>
        <w:tc>
          <w:tcPr>
            <w:tcW w:w="712" w:type="dxa"/>
            <w:vAlign w:val="center"/>
          </w:tcPr>
          <w:p w14:paraId="7F835D18">
            <w:pPr>
              <w:spacing w:line="240" w:lineRule="auto"/>
              <w:ind w:firstLine="0" w:firstLineChars="0"/>
              <w:jc w:val="center"/>
              <w:rPr>
                <w:rFonts w:cs="Times New Roman"/>
                <w:kern w:val="0"/>
                <w:sz w:val="21"/>
              </w:rPr>
            </w:pPr>
            <w:r>
              <w:rPr>
                <w:rFonts w:hint="eastAsia" w:cs="Times New Roman"/>
                <w:kern w:val="0"/>
                <w:sz w:val="21"/>
              </w:rPr>
              <w:t>10</w:t>
            </w:r>
          </w:p>
        </w:tc>
        <w:tc>
          <w:tcPr>
            <w:tcW w:w="3388" w:type="dxa"/>
            <w:vAlign w:val="center"/>
          </w:tcPr>
          <w:p w14:paraId="58EE5827">
            <w:pPr>
              <w:spacing w:line="240" w:lineRule="auto"/>
              <w:ind w:firstLine="0" w:firstLineChars="0"/>
              <w:jc w:val="center"/>
              <w:rPr>
                <w:rFonts w:cs="Times New Roman"/>
                <w:kern w:val="0"/>
                <w:sz w:val="21"/>
              </w:rPr>
            </w:pPr>
            <w:r>
              <w:rPr>
                <w:rFonts w:hint="eastAsia"/>
                <w:kern w:val="0"/>
                <w:sz w:val="21"/>
              </w:rPr>
              <w:t>建成区透水面积率（%）</w:t>
            </w:r>
          </w:p>
        </w:tc>
        <w:tc>
          <w:tcPr>
            <w:tcW w:w="3750" w:type="dxa"/>
            <w:vMerge w:val="continue"/>
            <w:vAlign w:val="center"/>
          </w:tcPr>
          <w:p w14:paraId="4F327F38">
            <w:pPr>
              <w:spacing w:line="240" w:lineRule="auto"/>
              <w:ind w:firstLine="0" w:firstLineChars="0"/>
              <w:jc w:val="center"/>
              <w:rPr>
                <w:rFonts w:cs="Times New Roman"/>
                <w:kern w:val="0"/>
                <w:sz w:val="21"/>
              </w:rPr>
            </w:pPr>
          </w:p>
        </w:tc>
      </w:tr>
      <w:tr w14:paraId="57BD9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2F726904">
            <w:pPr>
              <w:spacing w:line="240" w:lineRule="auto"/>
              <w:ind w:firstLine="0" w:firstLineChars="0"/>
              <w:jc w:val="center"/>
              <w:rPr>
                <w:rFonts w:cs="Times New Roman"/>
                <w:kern w:val="0"/>
                <w:sz w:val="21"/>
              </w:rPr>
            </w:pPr>
          </w:p>
        </w:tc>
        <w:tc>
          <w:tcPr>
            <w:tcW w:w="712" w:type="dxa"/>
            <w:vAlign w:val="center"/>
          </w:tcPr>
          <w:p w14:paraId="2EA4AB28">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1</w:t>
            </w:r>
          </w:p>
        </w:tc>
        <w:tc>
          <w:tcPr>
            <w:tcW w:w="3388" w:type="dxa"/>
            <w:vAlign w:val="center"/>
          </w:tcPr>
          <w:p w14:paraId="2B884618">
            <w:pPr>
              <w:spacing w:line="240" w:lineRule="auto"/>
              <w:ind w:firstLine="0" w:firstLineChars="0"/>
              <w:jc w:val="center"/>
              <w:rPr>
                <w:rFonts w:cs="Times New Roman"/>
                <w:kern w:val="0"/>
                <w:sz w:val="21"/>
              </w:rPr>
            </w:pPr>
            <w:r>
              <w:rPr>
                <w:rFonts w:cs="Times New Roman"/>
                <w:kern w:val="0"/>
                <w:sz w:val="21"/>
              </w:rPr>
              <w:t>水域面积率（%）</w:t>
            </w:r>
          </w:p>
        </w:tc>
        <w:tc>
          <w:tcPr>
            <w:tcW w:w="3750" w:type="dxa"/>
            <w:vAlign w:val="center"/>
          </w:tcPr>
          <w:p w14:paraId="3F550A3F">
            <w:pPr>
              <w:spacing w:line="240" w:lineRule="auto"/>
              <w:ind w:firstLine="0" w:firstLineChars="0"/>
              <w:jc w:val="center"/>
              <w:rPr>
                <w:rFonts w:cs="Times New Roman"/>
                <w:kern w:val="0"/>
                <w:sz w:val="21"/>
              </w:rPr>
            </w:pPr>
            <w:r>
              <w:rPr>
                <w:rFonts w:cs="Times New Roman"/>
                <w:kern w:val="0"/>
                <w:sz w:val="21"/>
              </w:rPr>
              <w:t>中山市城市排水（雨水）防洪综合规划</w:t>
            </w:r>
          </w:p>
        </w:tc>
      </w:tr>
      <w:tr w14:paraId="69107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restart"/>
            <w:vAlign w:val="center"/>
          </w:tcPr>
          <w:p w14:paraId="31EAFC95">
            <w:pPr>
              <w:spacing w:line="240" w:lineRule="auto"/>
              <w:ind w:firstLine="0" w:firstLineChars="0"/>
              <w:jc w:val="center"/>
              <w:rPr>
                <w:rFonts w:cs="Times New Roman"/>
                <w:kern w:val="0"/>
                <w:sz w:val="21"/>
              </w:rPr>
            </w:pPr>
            <w:r>
              <w:rPr>
                <w:rFonts w:cs="Times New Roman"/>
                <w:kern w:val="0"/>
                <w:sz w:val="21"/>
              </w:rPr>
              <w:t>水</w:t>
            </w:r>
          </w:p>
          <w:p w14:paraId="20017D87">
            <w:pPr>
              <w:spacing w:line="240" w:lineRule="auto"/>
              <w:ind w:firstLine="0" w:firstLineChars="0"/>
              <w:jc w:val="center"/>
              <w:rPr>
                <w:rFonts w:cs="Times New Roman"/>
                <w:kern w:val="0"/>
                <w:sz w:val="21"/>
              </w:rPr>
            </w:pPr>
            <w:r>
              <w:rPr>
                <w:rFonts w:cs="Times New Roman"/>
                <w:kern w:val="0"/>
                <w:sz w:val="21"/>
              </w:rPr>
              <w:t>监</w:t>
            </w:r>
          </w:p>
          <w:p w14:paraId="228856D0">
            <w:pPr>
              <w:spacing w:line="240" w:lineRule="auto"/>
              <w:ind w:firstLine="0" w:firstLineChars="0"/>
              <w:jc w:val="center"/>
              <w:rPr>
                <w:rFonts w:cs="Times New Roman"/>
                <w:kern w:val="0"/>
                <w:sz w:val="21"/>
              </w:rPr>
            </w:pPr>
            <w:r>
              <w:rPr>
                <w:rFonts w:cs="Times New Roman"/>
                <w:kern w:val="0"/>
                <w:sz w:val="21"/>
              </w:rPr>
              <w:t>管</w:t>
            </w:r>
          </w:p>
        </w:tc>
        <w:tc>
          <w:tcPr>
            <w:tcW w:w="712" w:type="dxa"/>
            <w:vAlign w:val="center"/>
          </w:tcPr>
          <w:p w14:paraId="0765C56C">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2</w:t>
            </w:r>
          </w:p>
        </w:tc>
        <w:tc>
          <w:tcPr>
            <w:tcW w:w="3388" w:type="dxa"/>
            <w:vAlign w:val="center"/>
          </w:tcPr>
          <w:p w14:paraId="16EE97E6">
            <w:pPr>
              <w:spacing w:line="240" w:lineRule="auto"/>
              <w:ind w:firstLine="0" w:firstLineChars="0"/>
              <w:jc w:val="center"/>
              <w:rPr>
                <w:rFonts w:cs="Times New Roman"/>
                <w:kern w:val="0"/>
                <w:sz w:val="21"/>
              </w:rPr>
            </w:pPr>
            <w:r>
              <w:rPr>
                <w:rFonts w:cs="Times New Roman"/>
                <w:kern w:val="0"/>
                <w:sz w:val="21"/>
              </w:rPr>
              <w:t>用水总量控制达标情况</w:t>
            </w:r>
          </w:p>
        </w:tc>
        <w:tc>
          <w:tcPr>
            <w:tcW w:w="3750" w:type="dxa"/>
            <w:vAlign w:val="center"/>
          </w:tcPr>
          <w:p w14:paraId="72B448F2">
            <w:pPr>
              <w:spacing w:line="240" w:lineRule="auto"/>
              <w:ind w:firstLine="0" w:firstLineChars="0"/>
              <w:jc w:val="center"/>
              <w:rPr>
                <w:rFonts w:cs="Times New Roman"/>
                <w:kern w:val="0"/>
                <w:sz w:val="21"/>
              </w:rPr>
            </w:pPr>
            <w:r>
              <w:rPr>
                <w:rFonts w:cs="Times New Roman"/>
                <w:kern w:val="0"/>
                <w:sz w:val="21"/>
              </w:rPr>
              <w:t>最严格水资源考核</w:t>
            </w:r>
          </w:p>
        </w:tc>
      </w:tr>
      <w:tr w14:paraId="4D105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49B10AB0">
            <w:pPr>
              <w:spacing w:line="240" w:lineRule="auto"/>
              <w:ind w:firstLine="0" w:firstLineChars="0"/>
              <w:jc w:val="center"/>
              <w:rPr>
                <w:rFonts w:cs="Times New Roman"/>
                <w:kern w:val="0"/>
                <w:sz w:val="21"/>
              </w:rPr>
            </w:pPr>
          </w:p>
        </w:tc>
        <w:tc>
          <w:tcPr>
            <w:tcW w:w="712" w:type="dxa"/>
            <w:vAlign w:val="center"/>
          </w:tcPr>
          <w:p w14:paraId="45F344E6">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3</w:t>
            </w:r>
          </w:p>
        </w:tc>
        <w:tc>
          <w:tcPr>
            <w:tcW w:w="3388" w:type="dxa"/>
            <w:vAlign w:val="center"/>
          </w:tcPr>
          <w:p w14:paraId="71CB7C81">
            <w:pPr>
              <w:spacing w:line="240" w:lineRule="auto"/>
              <w:ind w:firstLine="0" w:firstLineChars="0"/>
              <w:jc w:val="center"/>
              <w:rPr>
                <w:rFonts w:cs="Times New Roman"/>
                <w:kern w:val="0"/>
                <w:sz w:val="21"/>
              </w:rPr>
            </w:pPr>
            <w:r>
              <w:rPr>
                <w:rFonts w:cs="Times New Roman"/>
                <w:kern w:val="0"/>
                <w:sz w:val="21"/>
              </w:rPr>
              <w:t>水资源监控管理能力指数</w:t>
            </w:r>
          </w:p>
        </w:tc>
        <w:tc>
          <w:tcPr>
            <w:tcW w:w="3750" w:type="dxa"/>
            <w:vMerge w:val="restart"/>
            <w:vAlign w:val="center"/>
          </w:tcPr>
          <w:p w14:paraId="435EE70E">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7B13A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1C70959E">
            <w:pPr>
              <w:spacing w:line="240" w:lineRule="auto"/>
              <w:ind w:firstLine="0" w:firstLineChars="0"/>
              <w:jc w:val="center"/>
              <w:rPr>
                <w:rFonts w:cs="Times New Roman"/>
                <w:kern w:val="0"/>
                <w:sz w:val="21"/>
              </w:rPr>
            </w:pPr>
          </w:p>
        </w:tc>
        <w:tc>
          <w:tcPr>
            <w:tcW w:w="712" w:type="dxa"/>
            <w:vAlign w:val="center"/>
          </w:tcPr>
          <w:p w14:paraId="32CB3240">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4</w:t>
            </w:r>
          </w:p>
        </w:tc>
        <w:tc>
          <w:tcPr>
            <w:tcW w:w="3388" w:type="dxa"/>
            <w:vAlign w:val="center"/>
          </w:tcPr>
          <w:p w14:paraId="5B4743A7">
            <w:pPr>
              <w:spacing w:line="240" w:lineRule="auto"/>
              <w:ind w:firstLine="0" w:firstLineChars="0"/>
              <w:jc w:val="center"/>
              <w:rPr>
                <w:rFonts w:cs="Times New Roman"/>
                <w:kern w:val="0"/>
                <w:sz w:val="21"/>
              </w:rPr>
            </w:pPr>
            <w:r>
              <w:rPr>
                <w:rFonts w:cs="Times New Roman"/>
                <w:kern w:val="0"/>
                <w:sz w:val="21"/>
              </w:rPr>
              <w:t>水生态文明建设重视度</w:t>
            </w:r>
          </w:p>
        </w:tc>
        <w:tc>
          <w:tcPr>
            <w:tcW w:w="3750" w:type="dxa"/>
            <w:vMerge w:val="continue"/>
            <w:vAlign w:val="center"/>
          </w:tcPr>
          <w:p w14:paraId="5784FCD4">
            <w:pPr>
              <w:spacing w:line="240" w:lineRule="auto"/>
              <w:ind w:firstLine="0" w:firstLineChars="0"/>
              <w:jc w:val="center"/>
              <w:rPr>
                <w:rFonts w:cs="Times New Roman"/>
                <w:kern w:val="0"/>
                <w:sz w:val="21"/>
              </w:rPr>
            </w:pPr>
          </w:p>
        </w:tc>
      </w:tr>
      <w:tr w14:paraId="2EEF6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restart"/>
            <w:vAlign w:val="center"/>
          </w:tcPr>
          <w:p w14:paraId="2118F9A2">
            <w:pPr>
              <w:spacing w:line="240" w:lineRule="auto"/>
              <w:ind w:firstLine="0" w:firstLineChars="0"/>
              <w:jc w:val="center"/>
              <w:rPr>
                <w:rFonts w:cs="Times New Roman"/>
                <w:kern w:val="0"/>
                <w:sz w:val="21"/>
              </w:rPr>
            </w:pPr>
            <w:r>
              <w:rPr>
                <w:rFonts w:cs="Times New Roman"/>
                <w:kern w:val="0"/>
                <w:sz w:val="21"/>
              </w:rPr>
              <w:t>水</w:t>
            </w:r>
          </w:p>
          <w:p w14:paraId="7D7B568B">
            <w:pPr>
              <w:spacing w:line="240" w:lineRule="auto"/>
              <w:ind w:firstLine="0" w:firstLineChars="0"/>
              <w:jc w:val="center"/>
              <w:rPr>
                <w:rFonts w:cs="Times New Roman"/>
                <w:kern w:val="0"/>
                <w:sz w:val="21"/>
              </w:rPr>
            </w:pPr>
            <w:r>
              <w:rPr>
                <w:rFonts w:cs="Times New Roman"/>
                <w:kern w:val="0"/>
                <w:sz w:val="21"/>
              </w:rPr>
              <w:t>节</w:t>
            </w:r>
          </w:p>
          <w:p w14:paraId="0564D974">
            <w:pPr>
              <w:spacing w:line="240" w:lineRule="auto"/>
              <w:ind w:firstLine="0" w:firstLineChars="0"/>
              <w:jc w:val="center"/>
              <w:rPr>
                <w:rFonts w:cs="Times New Roman"/>
                <w:kern w:val="0"/>
                <w:sz w:val="21"/>
              </w:rPr>
            </w:pPr>
            <w:r>
              <w:rPr>
                <w:rFonts w:cs="Times New Roman"/>
                <w:kern w:val="0"/>
                <w:sz w:val="21"/>
              </w:rPr>
              <w:t>约</w:t>
            </w:r>
          </w:p>
        </w:tc>
        <w:tc>
          <w:tcPr>
            <w:tcW w:w="712" w:type="dxa"/>
            <w:vAlign w:val="center"/>
          </w:tcPr>
          <w:p w14:paraId="66652BCE">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5</w:t>
            </w:r>
          </w:p>
        </w:tc>
        <w:tc>
          <w:tcPr>
            <w:tcW w:w="3388" w:type="dxa"/>
            <w:vAlign w:val="center"/>
          </w:tcPr>
          <w:p w14:paraId="1A3E5E57">
            <w:pPr>
              <w:spacing w:line="240" w:lineRule="auto"/>
              <w:ind w:firstLine="0" w:firstLineChars="0"/>
              <w:jc w:val="center"/>
              <w:rPr>
                <w:rFonts w:cs="Times New Roman"/>
                <w:kern w:val="0"/>
                <w:sz w:val="21"/>
              </w:rPr>
            </w:pPr>
            <w:r>
              <w:rPr>
                <w:rFonts w:cs="Times New Roman"/>
                <w:kern w:val="0"/>
                <w:sz w:val="21"/>
              </w:rPr>
              <w:t>万元工业增加值用水量(m</w:t>
            </w:r>
            <w:r>
              <w:rPr>
                <w:rFonts w:cs="Times New Roman"/>
                <w:kern w:val="0"/>
                <w:sz w:val="21"/>
                <w:vertAlign w:val="superscript"/>
              </w:rPr>
              <w:t>3</w:t>
            </w:r>
            <w:r>
              <w:rPr>
                <w:rFonts w:cs="Times New Roman"/>
                <w:kern w:val="0"/>
                <w:sz w:val="21"/>
              </w:rPr>
              <w:t>)</w:t>
            </w:r>
          </w:p>
        </w:tc>
        <w:tc>
          <w:tcPr>
            <w:tcW w:w="3750" w:type="dxa"/>
            <w:vMerge w:val="restart"/>
            <w:vAlign w:val="center"/>
          </w:tcPr>
          <w:p w14:paraId="3C662156">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3AEC8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4393B90A">
            <w:pPr>
              <w:spacing w:line="240" w:lineRule="auto"/>
              <w:ind w:firstLine="0" w:firstLineChars="0"/>
              <w:jc w:val="center"/>
              <w:rPr>
                <w:rFonts w:cs="Times New Roman"/>
                <w:kern w:val="0"/>
                <w:sz w:val="21"/>
              </w:rPr>
            </w:pPr>
          </w:p>
        </w:tc>
        <w:tc>
          <w:tcPr>
            <w:tcW w:w="712" w:type="dxa"/>
            <w:vAlign w:val="center"/>
          </w:tcPr>
          <w:p w14:paraId="45DEC943">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6</w:t>
            </w:r>
          </w:p>
        </w:tc>
        <w:tc>
          <w:tcPr>
            <w:tcW w:w="3388" w:type="dxa"/>
            <w:vAlign w:val="center"/>
          </w:tcPr>
          <w:p w14:paraId="76FC423B">
            <w:pPr>
              <w:spacing w:line="240" w:lineRule="auto"/>
              <w:ind w:firstLine="0" w:firstLineChars="0"/>
              <w:jc w:val="center"/>
              <w:rPr>
                <w:rFonts w:cs="Times New Roman"/>
                <w:kern w:val="0"/>
                <w:sz w:val="21"/>
              </w:rPr>
            </w:pPr>
            <w:r>
              <w:rPr>
                <w:rFonts w:cs="Times New Roman"/>
                <w:kern w:val="0"/>
                <w:sz w:val="21"/>
              </w:rPr>
              <w:t>农田灌溉水有效利用系数</w:t>
            </w:r>
          </w:p>
        </w:tc>
        <w:tc>
          <w:tcPr>
            <w:tcW w:w="3750" w:type="dxa"/>
            <w:vMerge w:val="continue"/>
            <w:vAlign w:val="center"/>
          </w:tcPr>
          <w:p w14:paraId="4930BE6B">
            <w:pPr>
              <w:spacing w:line="240" w:lineRule="auto"/>
              <w:ind w:firstLine="0" w:firstLineChars="0"/>
              <w:jc w:val="center"/>
              <w:rPr>
                <w:rFonts w:cs="Times New Roman"/>
                <w:kern w:val="0"/>
                <w:sz w:val="21"/>
              </w:rPr>
            </w:pPr>
          </w:p>
        </w:tc>
      </w:tr>
      <w:tr w14:paraId="098C0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25FBD8BB">
            <w:pPr>
              <w:spacing w:line="240" w:lineRule="auto"/>
              <w:ind w:firstLine="0" w:firstLineChars="0"/>
              <w:jc w:val="center"/>
              <w:rPr>
                <w:rFonts w:cs="Times New Roman"/>
                <w:kern w:val="0"/>
                <w:sz w:val="21"/>
              </w:rPr>
            </w:pPr>
          </w:p>
        </w:tc>
        <w:tc>
          <w:tcPr>
            <w:tcW w:w="712" w:type="dxa"/>
            <w:vAlign w:val="center"/>
          </w:tcPr>
          <w:p w14:paraId="629D5F13">
            <w:pPr>
              <w:spacing w:line="240" w:lineRule="auto"/>
              <w:ind w:firstLine="0" w:firstLineChars="0"/>
              <w:jc w:val="center"/>
              <w:rPr>
                <w:rFonts w:cs="Times New Roman"/>
                <w:kern w:val="0"/>
                <w:sz w:val="21"/>
              </w:rPr>
            </w:pPr>
            <w:r>
              <w:rPr>
                <w:rFonts w:hint="eastAsia" w:cs="Times New Roman"/>
                <w:kern w:val="0"/>
                <w:sz w:val="21"/>
              </w:rPr>
              <w:t>17</w:t>
            </w:r>
          </w:p>
        </w:tc>
        <w:tc>
          <w:tcPr>
            <w:tcW w:w="3388" w:type="dxa"/>
            <w:vAlign w:val="center"/>
          </w:tcPr>
          <w:p w14:paraId="0D073BF2">
            <w:pPr>
              <w:spacing w:line="240" w:lineRule="auto"/>
              <w:ind w:firstLine="0" w:firstLineChars="0"/>
              <w:jc w:val="center"/>
              <w:rPr>
                <w:rFonts w:cs="Times New Roman"/>
                <w:kern w:val="0"/>
                <w:sz w:val="21"/>
              </w:rPr>
            </w:pPr>
            <w:r>
              <w:rPr>
                <w:rFonts w:cs="Times New Roman"/>
                <w:kern w:val="0"/>
                <w:sz w:val="21"/>
              </w:rPr>
              <w:t>生活节水器具普及率（%）</w:t>
            </w:r>
          </w:p>
        </w:tc>
        <w:tc>
          <w:tcPr>
            <w:tcW w:w="3750" w:type="dxa"/>
            <w:vMerge w:val="continue"/>
            <w:vAlign w:val="center"/>
          </w:tcPr>
          <w:p w14:paraId="4EC54D00">
            <w:pPr>
              <w:spacing w:line="240" w:lineRule="auto"/>
              <w:ind w:firstLine="0" w:firstLineChars="0"/>
              <w:jc w:val="center"/>
              <w:rPr>
                <w:rFonts w:cs="Times New Roman"/>
                <w:kern w:val="0"/>
                <w:sz w:val="21"/>
              </w:rPr>
            </w:pPr>
          </w:p>
        </w:tc>
      </w:tr>
      <w:tr w14:paraId="7A7F8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6572D294">
            <w:pPr>
              <w:spacing w:line="240" w:lineRule="auto"/>
              <w:ind w:firstLine="0" w:firstLineChars="0"/>
              <w:jc w:val="center"/>
              <w:rPr>
                <w:rFonts w:cs="Times New Roman"/>
                <w:kern w:val="0"/>
                <w:sz w:val="21"/>
              </w:rPr>
            </w:pPr>
          </w:p>
        </w:tc>
        <w:tc>
          <w:tcPr>
            <w:tcW w:w="712" w:type="dxa"/>
            <w:vAlign w:val="center"/>
          </w:tcPr>
          <w:p w14:paraId="45DBAB72">
            <w:pPr>
              <w:spacing w:line="240" w:lineRule="auto"/>
              <w:ind w:firstLine="0" w:firstLineChars="0"/>
              <w:jc w:val="center"/>
              <w:rPr>
                <w:rFonts w:cs="Times New Roman"/>
                <w:kern w:val="0"/>
                <w:sz w:val="21"/>
              </w:rPr>
            </w:pPr>
            <w:r>
              <w:rPr>
                <w:rFonts w:hint="eastAsia" w:cs="Times New Roman"/>
                <w:kern w:val="0"/>
                <w:sz w:val="21"/>
              </w:rPr>
              <w:t>18</w:t>
            </w:r>
          </w:p>
        </w:tc>
        <w:tc>
          <w:tcPr>
            <w:tcW w:w="3388" w:type="dxa"/>
            <w:vAlign w:val="center"/>
          </w:tcPr>
          <w:p w14:paraId="22DA9684">
            <w:pPr>
              <w:spacing w:line="240" w:lineRule="auto"/>
              <w:ind w:firstLine="0" w:firstLineChars="0"/>
              <w:jc w:val="center"/>
              <w:rPr>
                <w:rFonts w:cs="Times New Roman"/>
                <w:kern w:val="0"/>
                <w:sz w:val="21"/>
              </w:rPr>
            </w:pPr>
            <w:r>
              <w:rPr>
                <w:rFonts w:cs="Times New Roman"/>
                <w:kern w:val="0"/>
                <w:sz w:val="21"/>
              </w:rPr>
              <w:t>公共供水管网漏损率(%)</w:t>
            </w:r>
          </w:p>
        </w:tc>
        <w:tc>
          <w:tcPr>
            <w:tcW w:w="3750" w:type="dxa"/>
            <w:vMerge w:val="continue"/>
            <w:vAlign w:val="center"/>
          </w:tcPr>
          <w:p w14:paraId="07A8FA5D">
            <w:pPr>
              <w:spacing w:line="240" w:lineRule="auto"/>
              <w:ind w:firstLine="0" w:firstLineChars="0"/>
              <w:jc w:val="center"/>
              <w:rPr>
                <w:rFonts w:cs="Times New Roman"/>
                <w:kern w:val="0"/>
                <w:sz w:val="21"/>
              </w:rPr>
            </w:pPr>
          </w:p>
        </w:tc>
      </w:tr>
      <w:tr w14:paraId="101F3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0E600164">
            <w:pPr>
              <w:spacing w:line="240" w:lineRule="auto"/>
              <w:ind w:firstLine="0" w:firstLineChars="0"/>
              <w:jc w:val="center"/>
              <w:rPr>
                <w:rFonts w:cs="Times New Roman"/>
                <w:kern w:val="0"/>
                <w:sz w:val="21"/>
              </w:rPr>
            </w:pPr>
          </w:p>
        </w:tc>
        <w:tc>
          <w:tcPr>
            <w:tcW w:w="712" w:type="dxa"/>
            <w:vAlign w:val="center"/>
          </w:tcPr>
          <w:p w14:paraId="5DA2A3E1">
            <w:pPr>
              <w:spacing w:line="240" w:lineRule="auto"/>
              <w:ind w:firstLine="0" w:firstLineChars="0"/>
              <w:jc w:val="center"/>
              <w:rPr>
                <w:rFonts w:cs="Times New Roman"/>
                <w:kern w:val="0"/>
                <w:sz w:val="21"/>
              </w:rPr>
            </w:pPr>
            <w:r>
              <w:rPr>
                <w:rFonts w:hint="eastAsia" w:cs="Times New Roman"/>
                <w:kern w:val="0"/>
                <w:sz w:val="21"/>
              </w:rPr>
              <w:t>19</w:t>
            </w:r>
          </w:p>
        </w:tc>
        <w:tc>
          <w:tcPr>
            <w:tcW w:w="3388" w:type="dxa"/>
            <w:vAlign w:val="center"/>
          </w:tcPr>
          <w:p w14:paraId="7D11282B">
            <w:pPr>
              <w:spacing w:line="240" w:lineRule="auto"/>
              <w:ind w:firstLine="0" w:firstLineChars="0"/>
              <w:jc w:val="center"/>
              <w:rPr>
                <w:rFonts w:cs="Times New Roman"/>
                <w:kern w:val="0"/>
                <w:sz w:val="21"/>
              </w:rPr>
            </w:pPr>
            <w:r>
              <w:rPr>
                <w:rFonts w:cs="Times New Roman"/>
                <w:kern w:val="0"/>
                <w:sz w:val="21"/>
              </w:rPr>
              <w:t>工业用水重复利用率（%）</w:t>
            </w:r>
          </w:p>
        </w:tc>
        <w:tc>
          <w:tcPr>
            <w:tcW w:w="3750" w:type="dxa"/>
            <w:vMerge w:val="restart"/>
            <w:vAlign w:val="center"/>
          </w:tcPr>
          <w:p w14:paraId="1E89021C">
            <w:pPr>
              <w:spacing w:line="240" w:lineRule="auto"/>
              <w:ind w:firstLine="0" w:firstLineChars="0"/>
              <w:jc w:val="center"/>
              <w:rPr>
                <w:rFonts w:cs="Times New Roman"/>
                <w:kern w:val="0"/>
                <w:sz w:val="21"/>
              </w:rPr>
            </w:pPr>
            <w:r>
              <w:rPr>
                <w:rFonts w:cs="Times New Roman"/>
                <w:kern w:val="0"/>
                <w:sz w:val="21"/>
              </w:rPr>
              <w:t>节水型社会建设</w:t>
            </w:r>
          </w:p>
        </w:tc>
      </w:tr>
      <w:tr w14:paraId="12650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49A51606">
            <w:pPr>
              <w:spacing w:line="240" w:lineRule="auto"/>
              <w:ind w:firstLine="0" w:firstLineChars="0"/>
              <w:jc w:val="center"/>
              <w:rPr>
                <w:rFonts w:cs="Times New Roman"/>
                <w:kern w:val="0"/>
                <w:sz w:val="21"/>
              </w:rPr>
            </w:pPr>
          </w:p>
        </w:tc>
        <w:tc>
          <w:tcPr>
            <w:tcW w:w="712" w:type="dxa"/>
            <w:vAlign w:val="center"/>
          </w:tcPr>
          <w:p w14:paraId="3906CA4E">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0</w:t>
            </w:r>
          </w:p>
        </w:tc>
        <w:tc>
          <w:tcPr>
            <w:tcW w:w="3388" w:type="dxa"/>
            <w:vAlign w:val="center"/>
          </w:tcPr>
          <w:p w14:paraId="66CB0F11">
            <w:pPr>
              <w:spacing w:line="240" w:lineRule="auto"/>
              <w:ind w:firstLine="0" w:firstLineChars="0"/>
              <w:jc w:val="center"/>
              <w:rPr>
                <w:rFonts w:cs="Times New Roman"/>
                <w:kern w:val="0"/>
                <w:sz w:val="21"/>
              </w:rPr>
            </w:pPr>
            <w:r>
              <w:rPr>
                <w:rFonts w:hint="eastAsia" w:cs="Times New Roman"/>
                <w:kern w:val="0"/>
                <w:sz w:val="21"/>
              </w:rPr>
              <w:t>非常规水资源利用率</w:t>
            </w:r>
            <w:r>
              <w:rPr>
                <w:rFonts w:cs="Times New Roman"/>
                <w:kern w:val="0"/>
                <w:sz w:val="21"/>
              </w:rPr>
              <w:t>（%）</w:t>
            </w:r>
          </w:p>
        </w:tc>
        <w:tc>
          <w:tcPr>
            <w:tcW w:w="3750" w:type="dxa"/>
            <w:vMerge w:val="continue"/>
            <w:vAlign w:val="center"/>
          </w:tcPr>
          <w:p w14:paraId="128CD1B8">
            <w:pPr>
              <w:spacing w:line="240" w:lineRule="auto"/>
              <w:ind w:firstLine="0" w:firstLineChars="0"/>
              <w:jc w:val="center"/>
              <w:rPr>
                <w:rFonts w:cs="Times New Roman"/>
                <w:kern w:val="0"/>
                <w:sz w:val="21"/>
              </w:rPr>
            </w:pPr>
          </w:p>
        </w:tc>
      </w:tr>
      <w:tr w14:paraId="03A9D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restart"/>
            <w:vAlign w:val="center"/>
          </w:tcPr>
          <w:p w14:paraId="5A90882B">
            <w:pPr>
              <w:spacing w:line="240" w:lineRule="auto"/>
              <w:ind w:firstLine="0" w:firstLineChars="0"/>
              <w:jc w:val="center"/>
              <w:rPr>
                <w:rFonts w:cs="Times New Roman"/>
                <w:kern w:val="0"/>
                <w:sz w:val="21"/>
              </w:rPr>
            </w:pPr>
            <w:r>
              <w:rPr>
                <w:rFonts w:cs="Times New Roman"/>
                <w:kern w:val="0"/>
                <w:sz w:val="21"/>
              </w:rPr>
              <w:t>水</w:t>
            </w:r>
          </w:p>
          <w:p w14:paraId="58BBB554">
            <w:pPr>
              <w:spacing w:line="240" w:lineRule="auto"/>
              <w:ind w:firstLine="0" w:firstLineChars="0"/>
              <w:jc w:val="center"/>
              <w:rPr>
                <w:rFonts w:cs="Times New Roman"/>
                <w:kern w:val="0"/>
                <w:sz w:val="21"/>
              </w:rPr>
            </w:pPr>
            <w:r>
              <w:rPr>
                <w:rFonts w:cs="Times New Roman"/>
                <w:kern w:val="0"/>
                <w:sz w:val="21"/>
              </w:rPr>
              <w:t>文</w:t>
            </w:r>
          </w:p>
          <w:p w14:paraId="12BD5A7F">
            <w:pPr>
              <w:spacing w:line="240" w:lineRule="auto"/>
              <w:ind w:firstLine="0" w:firstLineChars="0"/>
              <w:jc w:val="center"/>
              <w:rPr>
                <w:rFonts w:cs="Times New Roman"/>
                <w:kern w:val="0"/>
                <w:sz w:val="21"/>
              </w:rPr>
            </w:pPr>
            <w:r>
              <w:rPr>
                <w:rFonts w:cs="Times New Roman"/>
                <w:kern w:val="0"/>
                <w:sz w:val="21"/>
              </w:rPr>
              <w:t>化</w:t>
            </w:r>
          </w:p>
        </w:tc>
        <w:tc>
          <w:tcPr>
            <w:tcW w:w="712" w:type="dxa"/>
            <w:vAlign w:val="center"/>
          </w:tcPr>
          <w:p w14:paraId="4FAFE936">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1</w:t>
            </w:r>
          </w:p>
        </w:tc>
        <w:tc>
          <w:tcPr>
            <w:tcW w:w="3388" w:type="dxa"/>
            <w:vAlign w:val="center"/>
          </w:tcPr>
          <w:p w14:paraId="01658487">
            <w:pPr>
              <w:spacing w:line="240" w:lineRule="auto"/>
              <w:ind w:firstLine="0" w:firstLineChars="0"/>
              <w:jc w:val="center"/>
              <w:rPr>
                <w:rFonts w:cs="Times New Roman"/>
                <w:kern w:val="0"/>
                <w:sz w:val="21"/>
              </w:rPr>
            </w:pPr>
            <w:r>
              <w:rPr>
                <w:rFonts w:cs="Times New Roman"/>
                <w:kern w:val="0"/>
                <w:sz w:val="21"/>
              </w:rPr>
              <w:t>水文化宣传教育载体数量（个）</w:t>
            </w:r>
          </w:p>
        </w:tc>
        <w:tc>
          <w:tcPr>
            <w:tcW w:w="3750" w:type="dxa"/>
            <w:vMerge w:val="restart"/>
            <w:vAlign w:val="center"/>
          </w:tcPr>
          <w:p w14:paraId="573CFE1D">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3BE82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74D8FCBC">
            <w:pPr>
              <w:spacing w:line="240" w:lineRule="auto"/>
              <w:ind w:firstLine="0" w:firstLineChars="0"/>
              <w:jc w:val="center"/>
              <w:rPr>
                <w:rFonts w:cs="Times New Roman"/>
                <w:kern w:val="0"/>
                <w:sz w:val="21"/>
              </w:rPr>
            </w:pPr>
          </w:p>
        </w:tc>
        <w:tc>
          <w:tcPr>
            <w:tcW w:w="712" w:type="dxa"/>
            <w:vAlign w:val="center"/>
          </w:tcPr>
          <w:p w14:paraId="4664C3DD">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2</w:t>
            </w:r>
          </w:p>
        </w:tc>
        <w:tc>
          <w:tcPr>
            <w:tcW w:w="3388" w:type="dxa"/>
            <w:vAlign w:val="center"/>
          </w:tcPr>
          <w:p w14:paraId="303DCA24">
            <w:pPr>
              <w:spacing w:line="240" w:lineRule="auto"/>
              <w:ind w:firstLine="0" w:firstLineChars="0"/>
              <w:jc w:val="center"/>
              <w:rPr>
                <w:rFonts w:cs="Times New Roman"/>
                <w:kern w:val="0"/>
                <w:sz w:val="21"/>
              </w:rPr>
            </w:pPr>
            <w:r>
              <w:rPr>
                <w:rFonts w:cs="Times New Roman"/>
                <w:kern w:val="0"/>
                <w:sz w:val="21"/>
              </w:rPr>
              <w:t>水生态文明建设公众认知度（%）</w:t>
            </w:r>
          </w:p>
        </w:tc>
        <w:tc>
          <w:tcPr>
            <w:tcW w:w="3750" w:type="dxa"/>
            <w:vMerge w:val="continue"/>
            <w:vAlign w:val="center"/>
          </w:tcPr>
          <w:p w14:paraId="26FA67E3">
            <w:pPr>
              <w:spacing w:line="240" w:lineRule="auto"/>
              <w:ind w:firstLine="0" w:firstLineChars="0"/>
              <w:jc w:val="center"/>
              <w:rPr>
                <w:rFonts w:cs="Times New Roman"/>
                <w:kern w:val="0"/>
                <w:sz w:val="21"/>
              </w:rPr>
            </w:pPr>
          </w:p>
        </w:tc>
      </w:tr>
      <w:tr w14:paraId="76938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28E3DA43">
            <w:pPr>
              <w:spacing w:line="240" w:lineRule="auto"/>
              <w:ind w:firstLine="0" w:firstLineChars="0"/>
              <w:jc w:val="center"/>
              <w:rPr>
                <w:rFonts w:cs="Times New Roman"/>
                <w:kern w:val="0"/>
                <w:sz w:val="21"/>
              </w:rPr>
            </w:pPr>
          </w:p>
        </w:tc>
        <w:tc>
          <w:tcPr>
            <w:tcW w:w="712" w:type="dxa"/>
            <w:vAlign w:val="center"/>
          </w:tcPr>
          <w:p w14:paraId="13E21079">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3</w:t>
            </w:r>
          </w:p>
        </w:tc>
        <w:tc>
          <w:tcPr>
            <w:tcW w:w="3388" w:type="dxa"/>
            <w:vAlign w:val="center"/>
          </w:tcPr>
          <w:p w14:paraId="2A42AEDA">
            <w:pPr>
              <w:spacing w:line="240" w:lineRule="auto"/>
              <w:ind w:firstLine="0" w:firstLineChars="0"/>
              <w:jc w:val="center"/>
              <w:rPr>
                <w:rFonts w:cs="Times New Roman"/>
                <w:kern w:val="0"/>
                <w:sz w:val="21"/>
              </w:rPr>
            </w:pPr>
            <w:r>
              <w:rPr>
                <w:rFonts w:cs="Times New Roman"/>
                <w:kern w:val="0"/>
                <w:sz w:val="21"/>
              </w:rPr>
              <w:t>水生态环境质量公众满意度（%）</w:t>
            </w:r>
          </w:p>
        </w:tc>
        <w:tc>
          <w:tcPr>
            <w:tcW w:w="3750" w:type="dxa"/>
            <w:vMerge w:val="continue"/>
            <w:vAlign w:val="center"/>
          </w:tcPr>
          <w:p w14:paraId="036A7358">
            <w:pPr>
              <w:spacing w:line="240" w:lineRule="auto"/>
              <w:ind w:firstLine="0" w:firstLineChars="0"/>
              <w:jc w:val="center"/>
              <w:rPr>
                <w:rFonts w:cs="Times New Roman"/>
                <w:kern w:val="0"/>
                <w:sz w:val="21"/>
              </w:rPr>
            </w:pPr>
          </w:p>
        </w:tc>
      </w:tr>
    </w:tbl>
    <w:p w14:paraId="1EF0CF70">
      <w:pPr>
        <w:spacing w:line="240" w:lineRule="auto"/>
        <w:ind w:firstLine="0" w:firstLineChars="0"/>
        <w:jc w:val="center"/>
        <w:rPr>
          <w:rFonts w:cs="Times New Roman"/>
          <w:sz w:val="18"/>
          <w:szCs w:val="18"/>
        </w:rPr>
      </w:pPr>
    </w:p>
    <w:p w14:paraId="36CE0256">
      <w:pPr>
        <w:ind w:firstLine="482"/>
        <w:rPr>
          <w:rFonts w:eastAsia="宋体" w:cs="Times New Roman"/>
          <w:b/>
          <w:szCs w:val="24"/>
        </w:rPr>
      </w:pPr>
      <w:r>
        <w:rPr>
          <w:rFonts w:eastAsia="宋体" w:cs="Times New Roman"/>
          <w:b/>
          <w:szCs w:val="24"/>
        </w:rPr>
        <w:t>（1）</w:t>
      </w:r>
      <w:r>
        <w:rPr>
          <w:rFonts w:hint="eastAsia" w:eastAsia="宋体" w:cs="Times New Roman"/>
          <w:b/>
          <w:szCs w:val="24"/>
        </w:rPr>
        <w:t>一</w:t>
      </w:r>
      <w:r>
        <w:rPr>
          <w:rFonts w:eastAsia="宋体" w:cs="Times New Roman"/>
          <w:b/>
          <w:szCs w:val="24"/>
        </w:rPr>
        <w:t>核</w:t>
      </w:r>
    </w:p>
    <w:p w14:paraId="59364AF1">
      <w:pPr>
        <w:ind w:firstLine="480"/>
        <w:rPr>
          <w:rFonts w:cs="Times New Roman"/>
        </w:rPr>
      </w:pPr>
      <w:r>
        <w:rPr>
          <w:rFonts w:hint="eastAsia" w:cs="Times New Roman"/>
        </w:rPr>
        <w:t>“一核”指服务业综合改革试验区核心。服务业综合改革试验区核心指按照产业集聚区与生活配套区统筹建设、主导产业与配套产业协调发展的思路，大力发展生产性服务业，优化提升生活性服务业，整合现有酒店、饮食、旅游、中医健康等资源，推动建设现代化酒店集聚区、高端商务办公集聚区、电子商务集聚区、标志性文化休闲区、旅游集散中心，建成辐射能力强劲、服务水平最佳的现代服务业制高点，成为“商务西区”的核心支撑点和第三产业发展的龙头，成为中山城市RBD的核心功能区。</w:t>
      </w:r>
      <w:r>
        <w:rPr>
          <w:rFonts w:hint="eastAsia" w:eastAsia="宋体" w:cs="Times New Roman"/>
          <w:szCs w:val="24"/>
        </w:rPr>
        <w:t>提升西区服务业</w:t>
      </w:r>
      <w:r>
        <w:rPr>
          <w:rFonts w:hint="eastAsia" w:cs="Times New Roman"/>
        </w:rPr>
        <w:t>综合改革试验区核心</w:t>
      </w:r>
      <w:r>
        <w:rPr>
          <w:rFonts w:hint="eastAsia" w:eastAsia="宋体" w:cs="Times New Roman"/>
          <w:szCs w:val="24"/>
        </w:rPr>
        <w:t>的“居”的环境。以截污治污、水环境综合整治、河涌水系连通和水系景观打造为建设重点，分阶段实施内河涌水环境治理与水环境治理与水生态修复工程，提升宜居环境，展现绿色生态、小桥流水、江河连通的岭南水乡特色</w:t>
      </w:r>
      <w:r>
        <w:rPr>
          <w:rFonts w:eastAsia="宋体" w:cs="Times New Roman"/>
          <w:szCs w:val="24"/>
        </w:rPr>
        <w:t>。</w:t>
      </w:r>
    </w:p>
    <w:p w14:paraId="2019EA46">
      <w:pPr>
        <w:ind w:firstLine="482"/>
        <w:rPr>
          <w:rFonts w:eastAsia="宋体" w:cs="Times New Roman"/>
          <w:b/>
          <w:szCs w:val="24"/>
        </w:rPr>
      </w:pPr>
      <w:r>
        <w:rPr>
          <w:rFonts w:eastAsia="宋体" w:cs="Times New Roman"/>
          <w:b/>
          <w:szCs w:val="24"/>
        </w:rPr>
        <w:t>（2）</w:t>
      </w:r>
      <w:r>
        <w:rPr>
          <w:rFonts w:hint="eastAsia" w:eastAsia="宋体" w:cs="Times New Roman"/>
          <w:b/>
        </w:rPr>
        <w:t>三区</w:t>
      </w:r>
    </w:p>
    <w:p w14:paraId="3950DEEB">
      <w:pPr>
        <w:ind w:firstLine="480"/>
        <w:rPr>
          <w:rFonts w:cs="Times New Roman" w:asciiTheme="minorEastAsia" w:hAnsiTheme="minorEastAsia"/>
        </w:rPr>
      </w:pPr>
      <w:r>
        <w:rPr>
          <w:rFonts w:hint="eastAsia" w:cs="Times New Roman" w:asciiTheme="minorEastAsia" w:hAnsiTheme="minorEastAsia"/>
        </w:rPr>
        <w:t>“三区”指西北部石特涌现代农业基地、东北部悦生涌渔业养殖基地和南部的彩虹绿洲公园，即西北部生态功能片区、东北部生态功能片区和彩虹绿洲公园生态功能片区。</w:t>
      </w:r>
      <w:r>
        <w:rPr>
          <w:rFonts w:hint="eastAsia" w:eastAsia="宋体" w:cs="Times New Roman"/>
          <w:szCs w:val="24"/>
        </w:rPr>
        <w:t>保障西</w:t>
      </w:r>
      <w:r>
        <w:rPr>
          <w:rFonts w:hint="eastAsia" w:cs="Times New Roman" w:asciiTheme="minorEastAsia" w:hAnsiTheme="minorEastAsia"/>
        </w:rPr>
        <w:t>北部生态功能片区、东北部生态功能片区和彩虹绿洲公园生态功能片区</w:t>
      </w:r>
      <w:r>
        <w:rPr>
          <w:rFonts w:hint="eastAsia" w:eastAsia="宋体" w:cs="Times New Roman"/>
          <w:szCs w:val="24"/>
        </w:rPr>
        <w:t>绿核水源涵养区“源”的功能。重点开展西区西</w:t>
      </w:r>
      <w:r>
        <w:rPr>
          <w:rFonts w:hint="eastAsia" w:cs="Times New Roman" w:asciiTheme="minorEastAsia" w:hAnsiTheme="minorEastAsia"/>
        </w:rPr>
        <w:t>北部生态功能片区、东北部生态功能片区和彩虹绿洲公园生态功能片区</w:t>
      </w:r>
      <w:r>
        <w:rPr>
          <w:rFonts w:hint="eastAsia" w:eastAsia="宋体" w:cs="Times New Roman"/>
          <w:szCs w:val="24"/>
        </w:rPr>
        <w:t>生态屏障保护区建设，维护现有植被和自然生态系统，控制面源污染，实施生态修复与水土流失治理，加强水源涵养，维护良好的水循环条件与水生态功能。</w:t>
      </w:r>
    </w:p>
    <w:p w14:paraId="5624BCAB">
      <w:pPr>
        <w:ind w:firstLine="482"/>
        <w:rPr>
          <w:rFonts w:cs="Times New Roman"/>
          <w:b/>
        </w:rPr>
      </w:pPr>
      <w:r>
        <w:rPr>
          <w:rFonts w:eastAsia="宋体" w:cs="Times New Roman"/>
          <w:b/>
          <w:szCs w:val="24"/>
        </w:rPr>
        <w:t>（3）</w:t>
      </w:r>
      <w:r>
        <w:rPr>
          <w:rFonts w:hint="eastAsia" w:eastAsia="宋体" w:cs="Times New Roman"/>
          <w:b/>
          <w:szCs w:val="24"/>
        </w:rPr>
        <w:t>十</w:t>
      </w:r>
      <w:r>
        <w:rPr>
          <w:rFonts w:cs="Times New Roman"/>
          <w:b/>
        </w:rPr>
        <w:t>廓道</w:t>
      </w:r>
    </w:p>
    <w:p w14:paraId="495CC321">
      <w:pPr>
        <w:ind w:firstLine="480"/>
        <w:rPr>
          <w:rFonts w:eastAsia="宋体" w:cs="Times New Roman"/>
          <w:szCs w:val="24"/>
        </w:rPr>
      </w:pPr>
      <w:r>
        <w:rPr>
          <w:rFonts w:hint="eastAsia" w:cs="Times New Roman" w:asciiTheme="minorEastAsia" w:hAnsiTheme="minorEastAsia"/>
        </w:rPr>
        <w:t>“十廓道”指岐江河、西河涌、后山新开涌、南六涌、沙朗新开涌、狮滘河、沙朗涌、石特涌、十六顷涌、悦生涌等水道生态保护带。</w:t>
      </w:r>
      <w:r>
        <w:rPr>
          <w:rFonts w:hint="eastAsia" w:eastAsia="宋体" w:cs="Times New Roman"/>
          <w:szCs w:val="24"/>
        </w:rPr>
        <w:t>重点实施西区境内的</w:t>
      </w:r>
      <w:r>
        <w:rPr>
          <w:rFonts w:hint="eastAsia" w:cs="Times New Roman" w:asciiTheme="minorEastAsia" w:hAnsiTheme="minorEastAsia"/>
        </w:rPr>
        <w:t>岐江河、西河涌、狮滘河、沙朗涌、石特涌、十六顷涌、悦生涌</w:t>
      </w:r>
      <w:r>
        <w:rPr>
          <w:rFonts w:hint="eastAsia" w:eastAsia="宋体" w:cs="Times New Roman"/>
          <w:szCs w:val="24"/>
        </w:rPr>
        <w:t>等的重要河涌河流水污染治理、水生态修复及生态保护带构建，保护生态多样性，发挥湿地对生态环境的保育功能，净化入河水质。同时，通过堤防达标加固，险段根治等达到防洪减灾的作用。形成供排有序、水体流动、置换灵活、健康优美、生态多样、河网连通的“平安绿色生态”水网。</w:t>
      </w:r>
    </w:p>
    <w:p w14:paraId="2D07C495">
      <w:pPr>
        <w:spacing w:line="240" w:lineRule="auto"/>
        <w:ind w:firstLine="480"/>
        <w:rPr>
          <w:rFonts w:eastAsia="宋体" w:cs="Times New Roman"/>
          <w:szCs w:val="24"/>
        </w:rPr>
      </w:pPr>
    </w:p>
    <w:p w14:paraId="7EC14067">
      <w:pPr>
        <w:pStyle w:val="3"/>
        <w:spacing w:before="0" w:after="0" w:line="360" w:lineRule="auto"/>
        <w:rPr>
          <w:rFonts w:cs="Times New Roman"/>
        </w:rPr>
      </w:pPr>
      <w:bookmarkStart w:id="449" w:name="_Toc16675049"/>
      <w:bookmarkStart w:id="450" w:name="_Toc528880302"/>
      <w:bookmarkStart w:id="451" w:name="_Toc16624"/>
      <w:bookmarkStart w:id="452" w:name="_Toc7347"/>
      <w:bookmarkStart w:id="453" w:name="_Toc527881096"/>
      <w:bookmarkStart w:id="454" w:name="_Toc7970"/>
      <w:bookmarkStart w:id="455" w:name="_Toc526004941"/>
      <w:bookmarkStart w:id="456" w:name="_Toc528607270"/>
      <w:bookmarkStart w:id="457" w:name="_Toc21116"/>
      <w:bookmarkStart w:id="458" w:name="_Toc20547"/>
      <w:bookmarkStart w:id="459" w:name="_Toc18441"/>
      <w:r>
        <w:rPr>
          <w:rFonts w:cs="Times New Roman"/>
        </w:rPr>
        <w:t>3.5.2主要任务</w:t>
      </w:r>
      <w:bookmarkEnd w:id="449"/>
      <w:bookmarkEnd w:id="450"/>
      <w:bookmarkEnd w:id="451"/>
      <w:bookmarkEnd w:id="452"/>
      <w:bookmarkEnd w:id="453"/>
      <w:bookmarkEnd w:id="454"/>
      <w:bookmarkEnd w:id="455"/>
      <w:bookmarkEnd w:id="456"/>
      <w:bookmarkEnd w:id="457"/>
      <w:bookmarkEnd w:id="458"/>
      <w:bookmarkEnd w:id="459"/>
    </w:p>
    <w:p w14:paraId="277CB39D">
      <w:pPr>
        <w:ind w:firstLine="480"/>
        <w:rPr>
          <w:rFonts w:eastAsia="宋体" w:cs="Times New Roman"/>
          <w:szCs w:val="24"/>
        </w:rPr>
      </w:pPr>
      <w:r>
        <w:rPr>
          <w:rFonts w:eastAsia="宋体" w:cs="Times New Roman"/>
          <w:szCs w:val="24"/>
        </w:rPr>
        <w:t>本次规划以规划总体布局和</w:t>
      </w:r>
      <w:r>
        <w:rPr>
          <w:rFonts w:hint="eastAsia" w:eastAsia="宋体" w:cs="Times New Roman"/>
          <w:szCs w:val="24"/>
        </w:rPr>
        <w:t>西区</w:t>
      </w:r>
      <w:r>
        <w:rPr>
          <w:rFonts w:eastAsia="宋体" w:cs="Times New Roman"/>
          <w:szCs w:val="24"/>
        </w:rPr>
        <w:t>生态文明建设定位与总体规划城市发展定位为基础和主要依据，紧密结合</w:t>
      </w:r>
      <w:r>
        <w:rPr>
          <w:rFonts w:hint="eastAsia" w:eastAsia="宋体" w:cs="Times New Roman"/>
          <w:szCs w:val="24"/>
        </w:rPr>
        <w:t>《广东省最严格水资源管理制度》、</w:t>
      </w:r>
      <w:r>
        <w:rPr>
          <w:rFonts w:eastAsia="宋体" w:cs="Times New Roman"/>
          <w:szCs w:val="24"/>
        </w:rPr>
        <w:t>《中山市海绵城市专项规划》</w:t>
      </w:r>
      <w:r>
        <w:rPr>
          <w:rFonts w:hint="eastAsia" w:eastAsia="宋体" w:cs="Times New Roman"/>
          <w:szCs w:val="24"/>
        </w:rPr>
        <w:t>、</w:t>
      </w:r>
      <w:r>
        <w:rPr>
          <w:rFonts w:eastAsia="宋体" w:cs="Times New Roman"/>
          <w:szCs w:val="24"/>
        </w:rPr>
        <w:t>《中山市生态文明建设规划（2013-2030）》、《中山市2016-2020年度最严格水资源管理制度考核实施细则》、《中山市城市生态控制线划定规划》、《中山市生态建设与环境保</w:t>
      </w:r>
      <w:r>
        <w:rPr>
          <w:rFonts w:cs="Times New Roman" w:asciiTheme="minorEastAsia" w:hAnsiTheme="minorEastAsia"/>
          <w:szCs w:val="24"/>
        </w:rPr>
        <w:t>护“十三五”规</w:t>
      </w:r>
      <w:r>
        <w:rPr>
          <w:rFonts w:eastAsia="宋体" w:cs="Times New Roman"/>
          <w:szCs w:val="24"/>
        </w:rPr>
        <w:t>划》、</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等最新规划成果，同时考虑与其他规划相衔接，制定</w:t>
      </w:r>
      <w:r>
        <w:rPr>
          <w:rFonts w:hint="eastAsia" w:eastAsia="宋体" w:cs="Times New Roman"/>
          <w:szCs w:val="24"/>
        </w:rPr>
        <w:t>西区</w:t>
      </w:r>
      <w:r>
        <w:rPr>
          <w:rFonts w:eastAsia="宋体" w:cs="Times New Roman"/>
          <w:szCs w:val="24"/>
        </w:rPr>
        <w:t>水生态文明建设的主要任务。</w:t>
      </w:r>
    </w:p>
    <w:p w14:paraId="344BD3A9">
      <w:pPr>
        <w:pStyle w:val="5"/>
      </w:pPr>
      <w:r>
        <w:t>3.5.2.1构建稳固保障的水安全体系</w:t>
      </w:r>
    </w:p>
    <w:p w14:paraId="63E91FBC">
      <w:pPr>
        <w:ind w:firstLine="0" w:firstLineChars="0"/>
        <w:rPr>
          <w:rFonts w:eastAsia="宋体" w:cs="Times New Roman"/>
          <w:szCs w:val="24"/>
        </w:rPr>
      </w:pPr>
      <w:r>
        <w:rPr>
          <w:rFonts w:eastAsia="宋体" w:cs="Times New Roman"/>
          <w:szCs w:val="24"/>
        </w:rPr>
        <w:t xml:space="preserve">     加快供水保障工程建设，科学调配区域水资源，推广节水技术，加强饮用水水源地保护，推进相关调水工程建设，提高</w:t>
      </w:r>
      <w:r>
        <w:rPr>
          <w:rFonts w:hint="eastAsia" w:eastAsia="宋体" w:cs="Times New Roman"/>
          <w:szCs w:val="24"/>
        </w:rPr>
        <w:t>西区</w:t>
      </w:r>
      <w:r>
        <w:rPr>
          <w:rFonts w:eastAsia="宋体" w:cs="Times New Roman"/>
          <w:szCs w:val="24"/>
        </w:rPr>
        <w:t>咸潮期间的供水能力，进一步推广中水回用工程。建立</w:t>
      </w:r>
      <w:r>
        <w:rPr>
          <w:rFonts w:hint="eastAsia" w:eastAsia="宋体" w:cs="Times New Roman"/>
          <w:szCs w:val="24"/>
        </w:rPr>
        <w:t>西区</w:t>
      </w:r>
      <w:r>
        <w:rPr>
          <w:rFonts w:eastAsia="宋体" w:cs="Times New Roman"/>
          <w:szCs w:val="24"/>
        </w:rPr>
        <w:t>饮用水源突发性水污染事件监测、预警、快速响应的综合系统平台。纳入互联网+水务建设。</w:t>
      </w:r>
    </w:p>
    <w:p w14:paraId="3013391D">
      <w:pPr>
        <w:ind w:firstLine="480" w:firstLineChars="0"/>
        <w:rPr>
          <w:rFonts w:eastAsia="宋体" w:cs="Times New Roman"/>
          <w:szCs w:val="24"/>
        </w:rPr>
      </w:pPr>
      <w:r>
        <w:rPr>
          <w:rFonts w:eastAsia="宋体" w:cs="Times New Roman"/>
          <w:szCs w:val="24"/>
        </w:rPr>
        <w:t>进一步完善</w:t>
      </w:r>
      <w:r>
        <w:rPr>
          <w:rFonts w:hint="eastAsia" w:eastAsia="宋体" w:cs="Times New Roman"/>
          <w:szCs w:val="24"/>
        </w:rPr>
        <w:t>西区</w:t>
      </w:r>
      <w:r>
        <w:rPr>
          <w:rFonts w:eastAsia="宋体" w:cs="Times New Roman"/>
          <w:szCs w:val="24"/>
        </w:rPr>
        <w:t>防洪减灾体系，加强防洪保安和城乡内涝整治工程建设，立足于提高堤防抗御洪（潮）水的能力，加大河道允许泄量，按照自排为主、电排为辅的原则合理增加电排进行建设</w:t>
      </w:r>
      <w:r>
        <w:rPr>
          <w:rFonts w:cs="Times New Roman" w:asciiTheme="minorEastAsia" w:hAnsiTheme="minorEastAsia"/>
          <w:szCs w:val="24"/>
        </w:rPr>
        <w:t>。遵照“以泄为主”的防洪排涝方针，以“挡”、“泄”、“蓄”的工程措施和非工程措施组成</w:t>
      </w:r>
      <w:r>
        <w:rPr>
          <w:rFonts w:hint="eastAsia" w:cs="Times New Roman" w:asciiTheme="minorEastAsia" w:hAnsiTheme="minorEastAsia"/>
          <w:szCs w:val="24"/>
        </w:rPr>
        <w:t>西区</w:t>
      </w:r>
      <w:r>
        <w:rPr>
          <w:rFonts w:cs="Times New Roman" w:asciiTheme="minorEastAsia" w:hAnsiTheme="minorEastAsia"/>
          <w:szCs w:val="24"/>
        </w:rPr>
        <w:t>防洪排涝</w:t>
      </w:r>
      <w:r>
        <w:rPr>
          <w:rFonts w:eastAsia="宋体" w:cs="Times New Roman"/>
          <w:szCs w:val="24"/>
        </w:rPr>
        <w:t>体系的整体架构。在完善传统防洪工程的基础上，推进海绵城市建设，消减城市雨洪量，提高城市对雨洪的调蓄能力。</w:t>
      </w:r>
    </w:p>
    <w:p w14:paraId="28D939E1">
      <w:pPr>
        <w:pStyle w:val="5"/>
      </w:pPr>
      <w:r>
        <w:t>3.5.2.2构建健康持续的水环境体系</w:t>
      </w:r>
    </w:p>
    <w:p w14:paraId="6CB98A0A">
      <w:pPr>
        <w:ind w:firstLine="0" w:firstLineChars="0"/>
        <w:rPr>
          <w:rFonts w:eastAsia="宋体" w:cs="Times New Roman"/>
          <w:szCs w:val="24"/>
        </w:rPr>
      </w:pPr>
      <w:r>
        <w:rPr>
          <w:rFonts w:eastAsia="宋体" w:cs="Times New Roman"/>
          <w:szCs w:val="24"/>
        </w:rPr>
        <w:t xml:space="preserve">    全面推进河涌水环境综合治理，开展入河污染源调查，通过拦污截污工程、河滨景观工程，初雨拦截或蓄水池处理工程等陆地水污染防治体系建设，结合内河涌清淤、原位修复、河湖连通、生态岸坡建设、活水体系建设以及其他水生态修复等，改善河涌水体水质恶化现象，保护河涌水环境。</w:t>
      </w:r>
    </w:p>
    <w:p w14:paraId="4EAB5D28">
      <w:pPr>
        <w:ind w:firstLine="480" w:firstLineChars="0"/>
        <w:rPr>
          <w:rFonts w:eastAsia="宋体" w:cs="Times New Roman"/>
          <w:szCs w:val="24"/>
        </w:rPr>
      </w:pPr>
      <w:r>
        <w:rPr>
          <w:rFonts w:eastAsia="宋体" w:cs="Times New Roman"/>
          <w:szCs w:val="24"/>
        </w:rPr>
        <w:t>继续推进雨污分流工程、污水处理厂扩建、升级改造工程建设，建立和完善城市污水处理系统，加强工业污染源和面源污染源的综合整治，制定污水厂淤泥生态处置与尾水综合利用工程方案，建设严格、有效地水污染防治体系。</w:t>
      </w:r>
    </w:p>
    <w:p w14:paraId="462364AE">
      <w:pPr>
        <w:ind w:firstLine="480" w:firstLineChars="0"/>
        <w:rPr>
          <w:rFonts w:eastAsia="宋体" w:cs="Times New Roman"/>
          <w:szCs w:val="24"/>
        </w:rPr>
      </w:pPr>
      <w:r>
        <w:rPr>
          <w:rFonts w:eastAsia="宋体" w:cs="Times New Roman"/>
          <w:szCs w:val="24"/>
        </w:rPr>
        <w:t>推进</w:t>
      </w:r>
      <w:r>
        <w:rPr>
          <w:rFonts w:hint="eastAsia" w:eastAsia="宋体" w:cs="Times New Roman"/>
          <w:szCs w:val="24"/>
        </w:rPr>
        <w:t>社区</w:t>
      </w:r>
      <w:r>
        <w:rPr>
          <w:rFonts w:eastAsia="宋体" w:cs="Times New Roman"/>
          <w:szCs w:val="24"/>
        </w:rPr>
        <w:t>水环境综合整治，对</w:t>
      </w:r>
      <w:r>
        <w:rPr>
          <w:rFonts w:hint="eastAsia" w:eastAsia="宋体" w:cs="Times New Roman"/>
          <w:szCs w:val="24"/>
        </w:rPr>
        <w:t>社区</w:t>
      </w:r>
      <w:r>
        <w:rPr>
          <w:rFonts w:eastAsia="宋体" w:cs="Times New Roman"/>
          <w:szCs w:val="24"/>
        </w:rPr>
        <w:t>污水、生活垃圾、</w:t>
      </w:r>
      <w:r>
        <w:rPr>
          <w:rFonts w:hint="eastAsia" w:eastAsia="宋体" w:cs="Times New Roman"/>
          <w:szCs w:val="24"/>
        </w:rPr>
        <w:t>农业</w:t>
      </w:r>
      <w:r>
        <w:rPr>
          <w:rFonts w:eastAsia="宋体" w:cs="Times New Roman"/>
          <w:szCs w:val="24"/>
        </w:rPr>
        <w:t>面源等提出整治方案，促进美丽</w:t>
      </w:r>
      <w:r>
        <w:rPr>
          <w:rFonts w:hint="eastAsia" w:eastAsia="宋体" w:cs="Times New Roman"/>
          <w:szCs w:val="24"/>
        </w:rPr>
        <w:t>社区</w:t>
      </w:r>
      <w:r>
        <w:rPr>
          <w:rFonts w:eastAsia="宋体" w:cs="Times New Roman"/>
          <w:szCs w:val="24"/>
        </w:rPr>
        <w:t>、生态</w:t>
      </w:r>
      <w:r>
        <w:rPr>
          <w:rFonts w:hint="eastAsia" w:eastAsia="宋体" w:cs="Times New Roman"/>
          <w:szCs w:val="24"/>
        </w:rPr>
        <w:t>社区</w:t>
      </w:r>
      <w:r>
        <w:rPr>
          <w:rFonts w:eastAsia="宋体" w:cs="Times New Roman"/>
          <w:szCs w:val="24"/>
        </w:rPr>
        <w:t>建设。</w:t>
      </w:r>
    </w:p>
    <w:p w14:paraId="7309580B">
      <w:pPr>
        <w:pStyle w:val="5"/>
      </w:pPr>
      <w:r>
        <w:t>3.5.2.3构建通畅活力的水生态体系</w:t>
      </w:r>
    </w:p>
    <w:p w14:paraId="64219D24">
      <w:pPr>
        <w:ind w:firstLine="480"/>
        <w:rPr>
          <w:rFonts w:eastAsia="宋体" w:cs="Times New Roman"/>
          <w:szCs w:val="24"/>
        </w:rPr>
      </w:pPr>
      <w:r>
        <w:rPr>
          <w:rFonts w:eastAsia="宋体" w:cs="Times New Roman"/>
          <w:szCs w:val="24"/>
        </w:rPr>
        <w:t>加强</w:t>
      </w:r>
      <w:r>
        <w:rPr>
          <w:rFonts w:hint="eastAsia" w:eastAsia="宋体" w:cs="Times New Roman"/>
          <w:szCs w:val="24"/>
        </w:rPr>
        <w:t>西区</w:t>
      </w:r>
      <w:r>
        <w:rPr>
          <w:rFonts w:eastAsia="宋体" w:cs="Times New Roman"/>
          <w:szCs w:val="24"/>
        </w:rPr>
        <w:t>水土流失治理、水生态系统保护和修复，推进河湖连通，加强湿地保护与建设，加强水土保持，控制水土流失，建设水源涵养林，打造健康活力的水生态体系。落实完善</w:t>
      </w:r>
      <w:r>
        <w:rPr>
          <w:rFonts w:hint="eastAsia" w:eastAsia="宋体" w:cs="Times New Roman"/>
          <w:szCs w:val="24"/>
        </w:rPr>
        <w:t>西区</w:t>
      </w:r>
      <w:r>
        <w:rPr>
          <w:rFonts w:eastAsia="宋体" w:cs="Times New Roman"/>
          <w:szCs w:val="24"/>
        </w:rPr>
        <w:t xml:space="preserve">生态补偿工作，逐步由目前的生态公益林、耕地推广至饮用水源地的保护。  </w:t>
      </w:r>
    </w:p>
    <w:p w14:paraId="3452343B">
      <w:pPr>
        <w:pStyle w:val="5"/>
      </w:pPr>
      <w:r>
        <w:t>3.5.2.4构建科学有效的水监管体系</w:t>
      </w:r>
    </w:p>
    <w:p w14:paraId="0AB09831">
      <w:pPr>
        <w:ind w:firstLine="0" w:firstLineChars="0"/>
        <w:rPr>
          <w:rFonts w:eastAsia="宋体" w:cs="Times New Roman"/>
          <w:szCs w:val="24"/>
        </w:rPr>
      </w:pPr>
      <w:r>
        <w:rPr>
          <w:rFonts w:eastAsia="宋体" w:cs="Times New Roman"/>
          <w:szCs w:val="24"/>
        </w:rPr>
        <w:t xml:space="preserve">     结合中山市最严格水资源管理制度要求，以落实最严格水资源管理制度为核心，推进互联网+水务的水务一体化、信息化建设，建立水资源保护协调机制，落实河长制实施方案，</w:t>
      </w:r>
      <w:r>
        <w:rPr>
          <w:rFonts w:cs="Times New Roman" w:asciiTheme="minorEastAsia" w:hAnsiTheme="minorEastAsia"/>
          <w:szCs w:val="24"/>
        </w:rPr>
        <w:t>进一步完善“河长制”，制定“一河一策”工作方案，不断强化用水总量、用水效率与水功能区纳污能力及污染物分时段减排控制管理，倒</w:t>
      </w:r>
      <w:r>
        <w:rPr>
          <w:rFonts w:eastAsia="宋体" w:cs="Times New Roman"/>
          <w:szCs w:val="24"/>
        </w:rPr>
        <w:t>逼经济、社会、产业转型升级；加强水资源、水环境、水生态监控能力建设，根据计划用水管理需求推进计划用水信息化系统建设，实行水资源有偿使用制，推进水权交易体系建设；建立水资源资产负债表，落实完善中山市</w:t>
      </w:r>
      <w:r>
        <w:rPr>
          <w:rFonts w:hint="eastAsia" w:eastAsia="宋体" w:cs="Times New Roman"/>
          <w:szCs w:val="24"/>
        </w:rPr>
        <w:t>西区</w:t>
      </w:r>
      <w:r>
        <w:rPr>
          <w:rFonts w:eastAsia="宋体" w:cs="Times New Roman"/>
          <w:szCs w:val="24"/>
        </w:rPr>
        <w:t>生态补偿工作</w:t>
      </w:r>
      <w:r>
        <w:rPr>
          <w:rFonts w:hint="eastAsia" w:eastAsia="宋体" w:cs="Times New Roman"/>
          <w:szCs w:val="24"/>
        </w:rPr>
        <w:t>，</w:t>
      </w:r>
      <w:r>
        <w:rPr>
          <w:rFonts w:eastAsia="宋体" w:cs="Times New Roman"/>
          <w:szCs w:val="24"/>
        </w:rPr>
        <w:t xml:space="preserve">建设科学高效的水监管体系。                                                                                                                                                                                                                                                    </w:t>
      </w:r>
    </w:p>
    <w:p w14:paraId="07E979EF">
      <w:pPr>
        <w:pStyle w:val="5"/>
      </w:pPr>
      <w:r>
        <w:t>3.5.2.5推进集约高效的水节约体系建设</w:t>
      </w:r>
    </w:p>
    <w:p w14:paraId="0EA0621A">
      <w:pPr>
        <w:ind w:firstLine="480"/>
        <w:rPr>
          <w:rFonts w:eastAsia="宋体" w:cs="Times New Roman"/>
          <w:sz w:val="21"/>
        </w:rPr>
      </w:pPr>
      <w:r>
        <w:rPr>
          <w:rFonts w:eastAsia="宋体" w:cs="Times New Roman"/>
          <w:szCs w:val="24"/>
        </w:rPr>
        <w:t xml:space="preserve"> 以建设节水型城市为目标，通过加强工业节水，建设工业节水示范项目，推广工业企业节水技术；推进供水管网改造、供水管网网监测、节水器具推广和节水型社区、节水型学校、节水型单位建设，建设生活节水型示范工程，强化生活节水；优化农业种植结构，发展现代高效农业，建设高效灌溉节水工程，发展高效节水农业；充分利用</w:t>
      </w:r>
      <w:r>
        <w:rPr>
          <w:rFonts w:hint="eastAsia" w:eastAsia="宋体" w:cs="Times New Roman"/>
          <w:szCs w:val="24"/>
        </w:rPr>
        <w:t>西区</w:t>
      </w:r>
      <w:r>
        <w:rPr>
          <w:rFonts w:eastAsia="宋体" w:cs="Times New Roman"/>
          <w:szCs w:val="24"/>
        </w:rPr>
        <w:t>雨水与中水，加强非常规水资源利用，全面建设集约高效的水节约体系。</w:t>
      </w:r>
    </w:p>
    <w:p w14:paraId="49443B84">
      <w:pPr>
        <w:pStyle w:val="5"/>
      </w:pPr>
      <w:r>
        <w:t>3.5.2.6实现香山特色的水文化体系</w:t>
      </w:r>
    </w:p>
    <w:p w14:paraId="03789C02">
      <w:pPr>
        <w:ind w:firstLine="480"/>
        <w:rPr>
          <w:rFonts w:eastAsia="宋体" w:cs="Times New Roman"/>
          <w:szCs w:val="24"/>
        </w:rPr>
      </w:pPr>
      <w:r>
        <w:rPr>
          <w:rFonts w:eastAsia="宋体" w:cs="Times New Roman"/>
          <w:szCs w:val="24"/>
        </w:rPr>
        <w:t>通过生态旅游休闲地、水生态文化园区、自然保护区、湿地、绿色旅游胜地、生态园治水工程、水乡新城和特色村落的建设，深入挖掘、彰显、传承香山名人、岭南水文化，同时深化水生态文明的宣传教育，推动全民亲水、爱水、惜水、护水，营造一个村湖交融、人水和谐的生态宜居环境。</w:t>
      </w:r>
    </w:p>
    <w:p w14:paraId="1728C09F">
      <w:pPr>
        <w:ind w:firstLine="480"/>
        <w:rPr>
          <w:rFonts w:eastAsia="宋体" w:cs="Times New Roman"/>
          <w:szCs w:val="24"/>
        </w:rPr>
        <w:sectPr>
          <w:pgSz w:w="11906" w:h="16838"/>
          <w:pgMar w:top="1440" w:right="1797" w:bottom="1440" w:left="1797" w:header="851" w:footer="992" w:gutter="0"/>
          <w:cols w:space="425" w:num="1"/>
          <w:docGrid w:type="linesAndChars" w:linePitch="326" w:charSpace="0"/>
        </w:sectPr>
      </w:pPr>
    </w:p>
    <w:p w14:paraId="58C89236">
      <w:pPr>
        <w:pStyle w:val="2"/>
        <w:widowControl/>
        <w:spacing w:before="0" w:after="0" w:line="360" w:lineRule="auto"/>
        <w:rPr>
          <w:rFonts w:cs="Times New Roman"/>
        </w:rPr>
      </w:pPr>
      <w:bookmarkStart w:id="460" w:name="_Toc528607271"/>
      <w:bookmarkStart w:id="461" w:name="_Toc16675050"/>
      <w:r>
        <w:rPr>
          <w:rFonts w:cs="Times New Roman"/>
        </w:rPr>
        <w:t xml:space="preserve">4 </w:t>
      </w:r>
      <w:r>
        <w:rPr>
          <w:rFonts w:hint="eastAsia" w:cs="Times New Roman"/>
        </w:rPr>
        <w:t>西区水生态文明建设指标体系</w:t>
      </w:r>
      <w:bookmarkEnd w:id="460"/>
      <w:bookmarkEnd w:id="461"/>
    </w:p>
    <w:p w14:paraId="438A294E">
      <w:pPr>
        <w:pStyle w:val="4"/>
        <w:widowControl/>
        <w:spacing w:before="0" w:after="0" w:line="360" w:lineRule="auto"/>
        <w:rPr>
          <w:rFonts w:cs="Times New Roman"/>
        </w:rPr>
      </w:pPr>
      <w:bookmarkStart w:id="462" w:name="_Toc528607272"/>
      <w:bookmarkStart w:id="463" w:name="_Toc16675051"/>
      <w:r>
        <w:rPr>
          <w:rFonts w:cs="Times New Roman"/>
        </w:rPr>
        <w:t>4.1</w:t>
      </w:r>
      <w:r>
        <w:rPr>
          <w:rFonts w:hint="eastAsia" w:cs="Times New Roman"/>
        </w:rPr>
        <w:t>水安全指标体系建设</w:t>
      </w:r>
      <w:bookmarkEnd w:id="462"/>
      <w:bookmarkEnd w:id="463"/>
    </w:p>
    <w:p w14:paraId="11D86463">
      <w:pPr>
        <w:ind w:firstLine="480"/>
        <w:rPr>
          <w:rFonts w:cs="Times New Roman"/>
        </w:rPr>
      </w:pPr>
      <w:r>
        <w:rPr>
          <w:rFonts w:hint="eastAsia" w:eastAsia="宋体" w:cs="Times New Roman"/>
          <w:lang w:bidi="ar"/>
        </w:rPr>
        <w:t>水安全评价主要评估区域防洪排涝与饮水安全保障程度，包括防洪达标率、排涝达标率、降雨滞蓄率、自来水普及率</w:t>
      </w:r>
      <w:r>
        <w:rPr>
          <w:rFonts w:eastAsia="宋体" w:cs="Times New Roman"/>
          <w:lang w:bidi="ar"/>
        </w:rPr>
        <w:t>4</w:t>
      </w:r>
      <w:r>
        <w:rPr>
          <w:rFonts w:hint="eastAsia" w:eastAsia="宋体" w:cs="Times New Roman"/>
          <w:lang w:bidi="ar"/>
        </w:rPr>
        <w:t>项通用指标。其中集中式饮用水水源地指实际供水人口大于</w:t>
      </w:r>
      <w:r>
        <w:rPr>
          <w:rFonts w:eastAsia="宋体" w:cs="Times New Roman"/>
          <w:lang w:bidi="ar"/>
        </w:rPr>
        <w:t>1000</w:t>
      </w:r>
      <w:r>
        <w:rPr>
          <w:rFonts w:hint="eastAsia" w:eastAsia="宋体" w:cs="Times New Roman"/>
          <w:lang w:bidi="ar"/>
        </w:rPr>
        <w:t>人的水源地。</w:t>
      </w:r>
    </w:p>
    <w:p w14:paraId="3DB30837">
      <w:pPr>
        <w:pStyle w:val="3"/>
        <w:widowControl/>
        <w:spacing w:before="0" w:after="0" w:line="360" w:lineRule="auto"/>
        <w:rPr>
          <w:rFonts w:cs="Times New Roman"/>
        </w:rPr>
      </w:pPr>
      <w:bookmarkStart w:id="464" w:name="_Toc29581"/>
      <w:bookmarkStart w:id="465" w:name="_Toc523306808"/>
      <w:bookmarkStart w:id="466" w:name="_Toc526004944"/>
      <w:bookmarkStart w:id="467" w:name="_Toc528607273"/>
      <w:bookmarkStart w:id="468" w:name="_Toc527881099"/>
      <w:bookmarkStart w:id="469" w:name="_Toc17583"/>
      <w:bookmarkStart w:id="470" w:name="_Toc21023"/>
      <w:bookmarkStart w:id="471" w:name="_Toc18198"/>
      <w:bookmarkStart w:id="472" w:name="_Toc5092"/>
      <w:bookmarkStart w:id="473" w:name="_Toc11431"/>
      <w:bookmarkStart w:id="474" w:name="_Toc528880305"/>
      <w:bookmarkStart w:id="475" w:name="_Toc16675052"/>
      <w:r>
        <w:rPr>
          <w:rFonts w:cs="Times New Roman"/>
        </w:rPr>
        <w:t>4.1.1</w:t>
      </w:r>
      <w:r>
        <w:rPr>
          <w:rFonts w:hint="eastAsia" w:cs="Times New Roman"/>
        </w:rPr>
        <w:t>防洪达标率</w:t>
      </w:r>
      <w:bookmarkEnd w:id="464"/>
      <w:bookmarkEnd w:id="465"/>
      <w:bookmarkEnd w:id="466"/>
      <w:bookmarkEnd w:id="467"/>
      <w:bookmarkEnd w:id="468"/>
      <w:bookmarkEnd w:id="469"/>
      <w:bookmarkEnd w:id="470"/>
      <w:bookmarkEnd w:id="471"/>
      <w:bookmarkEnd w:id="472"/>
      <w:bookmarkEnd w:id="473"/>
      <w:bookmarkEnd w:id="474"/>
      <w:bookmarkEnd w:id="475"/>
    </w:p>
    <w:p w14:paraId="476BE7F8">
      <w:pPr>
        <w:ind w:firstLine="480"/>
        <w:jc w:val="left"/>
        <w:rPr>
          <w:rFonts w:eastAsia="宋体" w:cs="Times New Roman"/>
          <w:sz w:val="18"/>
          <w:szCs w:val="18"/>
        </w:rPr>
      </w:pPr>
      <w:r>
        <w:rPr>
          <w:rFonts w:hint="eastAsia" w:eastAsia="宋体" w:cs="Times New Roman"/>
          <w:lang w:bidi="ar"/>
        </w:rPr>
        <w:t>防洪堤达标率指</w:t>
      </w:r>
      <w:r>
        <w:rPr>
          <w:rFonts w:hint="eastAsia" w:ascii="宋体" w:hAnsi="宋体" w:eastAsia="宋体" w:cs="Times New Roman"/>
          <w:szCs w:val="24"/>
        </w:rPr>
        <w:t>防洪堤达标率指防洪堤防达到相关规划要求防洪标准的长度与现有及规划堤防总长度的比值</w:t>
      </w:r>
      <w:r>
        <w:rPr>
          <w:rFonts w:hint="eastAsia" w:eastAsia="宋体" w:cs="Times New Roman"/>
          <w:b/>
          <w:bCs/>
          <w:szCs w:val="24"/>
          <w:lang w:bidi="ar"/>
        </w:rPr>
        <w:t>（具体计算公式见附录1）</w:t>
      </w:r>
      <w:r>
        <w:rPr>
          <w:rFonts w:hint="eastAsia" w:eastAsia="宋体" w:cs="Times New Roman"/>
          <w:lang w:bidi="ar"/>
        </w:rPr>
        <w:t>。</w:t>
      </w:r>
    </w:p>
    <w:p w14:paraId="516852F0">
      <w:pPr>
        <w:ind w:firstLine="480"/>
        <w:rPr>
          <w:rFonts w:cs="Times New Roman"/>
          <w:color w:val="FF0000"/>
          <w:szCs w:val="28"/>
        </w:rPr>
      </w:pPr>
      <w:r>
        <w:rPr>
          <w:rFonts w:hint="eastAsia" w:eastAsia="宋体" w:cs="Times New Roman"/>
          <w:lang w:bidi="ar"/>
        </w:rPr>
        <w:t>西区防洪（潮）工程体系主要堤防和水闸构成。西区堤防属于中顺大围堤防的一部分，目前镇内主要防洪堤围为中顺大围，防洪标准达到了100年一遇。内河涌的堤防防洪设计标准为20年一遇，达到要求。因此西区的防洪堤达标率为</w:t>
      </w:r>
      <w:r>
        <w:rPr>
          <w:rFonts w:eastAsia="宋体" w:cs="Times New Roman"/>
          <w:lang w:bidi="ar"/>
        </w:rPr>
        <w:t>100%</w:t>
      </w:r>
      <w:r>
        <w:rPr>
          <w:rFonts w:hint="eastAsia" w:eastAsia="宋体" w:cs="Times New Roman"/>
          <w:lang w:bidi="ar"/>
        </w:rPr>
        <w:t>。</w:t>
      </w:r>
      <w:r>
        <w:rPr>
          <w:rFonts w:hint="eastAsia" w:eastAsia="宋体" w:cs="Times New Roman"/>
          <w:szCs w:val="24"/>
          <w:lang w:bidi="ar"/>
        </w:rPr>
        <w:t>根据《中山市城市排水（雨水）防洪综合规划》，</w:t>
      </w:r>
      <w:r>
        <w:rPr>
          <w:rFonts w:eastAsia="宋体" w:cs="Times New Roman"/>
          <w:szCs w:val="24"/>
          <w:lang w:bidi="ar"/>
        </w:rPr>
        <w:t>2020</w:t>
      </w:r>
      <w:r>
        <w:rPr>
          <w:rFonts w:hint="eastAsia" w:eastAsia="宋体" w:cs="Times New Roman"/>
          <w:szCs w:val="24"/>
          <w:lang w:bidi="ar"/>
        </w:rPr>
        <w:t>年西区</w:t>
      </w:r>
      <w:r>
        <w:rPr>
          <w:rFonts w:hint="eastAsia" w:eastAsia="宋体" w:cs="Times New Roman"/>
          <w:lang w:bidi="ar"/>
        </w:rPr>
        <w:t>城市防洪达标率规划目标值为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w:t>
      </w:r>
      <w:r>
        <w:rPr>
          <w:rFonts w:hint="eastAsia" w:eastAsia="宋体" w:cs="Times New Roman"/>
          <w:lang w:bidi="ar"/>
        </w:rPr>
        <w:t>城市防洪达标率规划目标值为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年西区城市防洪达标率规划目标值为</w:t>
      </w:r>
      <w:r>
        <w:rPr>
          <w:rFonts w:eastAsia="宋体" w:cs="Times New Roman"/>
          <w:szCs w:val="24"/>
          <w:lang w:bidi="ar"/>
        </w:rPr>
        <w:t>100%</w:t>
      </w:r>
      <w:r>
        <w:rPr>
          <w:rFonts w:hint="eastAsia" w:eastAsia="宋体" w:cs="Times New Roman"/>
          <w:szCs w:val="24"/>
          <w:lang w:bidi="ar"/>
        </w:rPr>
        <w:t>（见表</w:t>
      </w:r>
      <w:r>
        <w:rPr>
          <w:rFonts w:eastAsia="宋体" w:cs="Times New Roman"/>
          <w:szCs w:val="24"/>
          <w:lang w:bidi="ar"/>
        </w:rPr>
        <w:t>4-1</w:t>
      </w:r>
      <w:r>
        <w:rPr>
          <w:rFonts w:hint="eastAsia" w:eastAsia="宋体" w:cs="Times New Roman"/>
          <w:szCs w:val="24"/>
          <w:lang w:bidi="ar"/>
        </w:rPr>
        <w:t>）。</w:t>
      </w:r>
    </w:p>
    <w:p w14:paraId="412E6FA7">
      <w:pPr>
        <w:ind w:firstLine="480"/>
        <w:rPr>
          <w:rFonts w:cs="Times New Roman"/>
          <w:szCs w:val="28"/>
        </w:rPr>
      </w:pPr>
      <w:r>
        <w:rPr>
          <w:rFonts w:hint="eastAsia" w:cs="Times New Roman"/>
          <w:szCs w:val="28"/>
        </w:rPr>
        <w:t>西区水闸共有6座，设计过闸流量总量为113.67m</w:t>
      </w:r>
      <w:r>
        <w:rPr>
          <w:rFonts w:hint="eastAsia" w:cs="Times New Roman"/>
          <w:szCs w:val="28"/>
          <w:vertAlign w:val="superscript"/>
        </w:rPr>
        <w:t>3</w:t>
      </w:r>
      <w:r>
        <w:rPr>
          <w:rFonts w:hint="eastAsia" w:cs="Times New Roman"/>
          <w:szCs w:val="28"/>
        </w:rPr>
        <w:t>/s，水闸总长度/宽度为35.76m。其中沙朗新开涌水闸为V级设计标准，翠朗水闸的设计标准均为30年一遇，其他水闸4座设计标准均为20年一遇。</w:t>
      </w:r>
    </w:p>
    <w:p w14:paraId="2C06FCCD">
      <w:pPr>
        <w:ind w:firstLine="480"/>
        <w:rPr>
          <w:rFonts w:eastAsia="宋体" w:cs="Times New Roman"/>
          <w:szCs w:val="24"/>
          <w:lang w:bidi="ar"/>
        </w:rPr>
      </w:pPr>
      <w:r>
        <w:rPr>
          <w:rFonts w:hint="eastAsia" w:eastAsia="宋体" w:cs="Times New Roman"/>
          <w:szCs w:val="24"/>
          <w:lang w:bidi="ar"/>
        </w:rPr>
        <w:t>西区应结合中山市的</w:t>
      </w:r>
      <w:r>
        <w:rPr>
          <w:rFonts w:hint="eastAsia" w:eastAsia="宋体" w:cs="Times New Roman"/>
          <w:lang w:bidi="ar"/>
        </w:rPr>
        <w:t>城市防洪排涝总体规划、</w:t>
      </w:r>
      <w:r>
        <w:rPr>
          <w:rFonts w:hint="eastAsia" w:eastAsia="宋体" w:cs="Times New Roman"/>
          <w:szCs w:val="24"/>
          <w:lang w:bidi="ar"/>
        </w:rPr>
        <w:t>西区防洪排涝设施、内河涌整治工程及雨水管网建设的实际情况，加固境内防洪堤防工程，对围堤浇注混凝土路面。重新检测与加固年限较长的水闸的闸体结构，使其满足安全性要求，重新设计不满足设计标准的水闸。同时随着内河涌的改道或拓宽，水闸净宽与河宽相差较大，容易形成排水瓶颈，部分水闸需取消或重建。提高防洪工程的防洪标准，使其达到防洪要求。</w:t>
      </w:r>
    </w:p>
    <w:p w14:paraId="2246A5B0">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4-1  </w:t>
      </w:r>
      <w:r>
        <w:rPr>
          <w:rFonts w:hint="eastAsia" w:eastAsia="宋体" w:cs="Times New Roman"/>
          <w:sz w:val="21"/>
          <w:lang w:bidi="ar"/>
        </w:rPr>
        <w:t>西区城市防洪达标率现状与规划结果</w:t>
      </w:r>
    </w:p>
    <w:tbl>
      <w:tblPr>
        <w:tblStyle w:val="25"/>
        <w:tblW w:w="91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2059"/>
        <w:gridCol w:w="1773"/>
        <w:gridCol w:w="1827"/>
        <w:gridCol w:w="1768"/>
      </w:tblGrid>
      <w:tr w14:paraId="1BA2D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1174A0A3">
            <w:pPr>
              <w:spacing w:line="240" w:lineRule="auto"/>
              <w:ind w:firstLine="0" w:firstLineChars="0"/>
              <w:jc w:val="center"/>
              <w:rPr>
                <w:rFonts w:cs="Times New Roman"/>
                <w:sz w:val="21"/>
              </w:rPr>
            </w:pPr>
            <w:r>
              <w:rPr>
                <w:rFonts w:hint="eastAsia" w:eastAsia="宋体" w:cs="Times New Roman"/>
                <w:sz w:val="21"/>
                <w:lang w:bidi="ar"/>
              </w:rPr>
              <w:t>指标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2891806F">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76B49164">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7914B032">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32BE87E3">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3FA82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440987C3">
            <w:pPr>
              <w:spacing w:line="240" w:lineRule="auto"/>
              <w:ind w:firstLine="0" w:firstLineChars="0"/>
              <w:jc w:val="center"/>
              <w:rPr>
                <w:rFonts w:cs="Times New Roman"/>
                <w:sz w:val="21"/>
              </w:rPr>
            </w:pPr>
            <w:r>
              <w:rPr>
                <w:rFonts w:hint="eastAsia" w:eastAsia="宋体" w:cs="Times New Roman"/>
                <w:kern w:val="0"/>
                <w:sz w:val="21"/>
                <w:lang w:bidi="ar"/>
              </w:rPr>
              <w:t>防洪达标率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0F0F26A0">
            <w:pPr>
              <w:widowControl/>
              <w:spacing w:line="240" w:lineRule="auto"/>
              <w:ind w:firstLine="0" w:firstLineChars="0"/>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425930A3">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0EFD000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5EDE18D8">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44121CEA">
      <w:pPr>
        <w:spacing w:line="240" w:lineRule="auto"/>
        <w:ind w:firstLine="480"/>
        <w:rPr>
          <w:rFonts w:eastAsia="宋体" w:cs="Times New Roman"/>
          <w:szCs w:val="24"/>
          <w:lang w:bidi="ar"/>
        </w:rPr>
      </w:pPr>
    </w:p>
    <w:p w14:paraId="2BF20B9A">
      <w:pPr>
        <w:pStyle w:val="3"/>
        <w:widowControl/>
        <w:spacing w:before="0" w:after="0" w:line="360" w:lineRule="auto"/>
        <w:rPr>
          <w:rFonts w:cs="Times New Roman"/>
        </w:rPr>
      </w:pPr>
      <w:bookmarkStart w:id="476" w:name="_Toc16675053"/>
      <w:r>
        <w:rPr>
          <w:rFonts w:cs="Times New Roman"/>
        </w:rPr>
        <w:t>4.1.</w:t>
      </w:r>
      <w:r>
        <w:rPr>
          <w:rFonts w:hint="eastAsia" w:cs="Times New Roman"/>
        </w:rPr>
        <w:t>2排涝达标率</w:t>
      </w:r>
      <w:bookmarkEnd w:id="476"/>
    </w:p>
    <w:p w14:paraId="3F4C1B1D">
      <w:pPr>
        <w:ind w:firstLine="480"/>
        <w:rPr>
          <w:rFonts w:cs="Times New Roman"/>
        </w:rPr>
      </w:pPr>
      <w:r>
        <w:rPr>
          <w:rFonts w:hint="eastAsia" w:ascii="宋体" w:hAnsi="宋体" w:eastAsia="宋体" w:cs="Times New Roman"/>
          <w:szCs w:val="24"/>
        </w:rPr>
        <w:t>排涝达标率指相关规划明确排涝任务与目标的区域中排涝达标面积与区域总面积的比值</w:t>
      </w:r>
      <w:r>
        <w:rPr>
          <w:rFonts w:hint="eastAsia" w:eastAsia="宋体" w:cs="Times New Roman"/>
          <w:b/>
          <w:bCs/>
          <w:szCs w:val="24"/>
          <w:lang w:bidi="ar"/>
        </w:rPr>
        <w:t>（具体计算公式见附录1）</w:t>
      </w:r>
      <w:r>
        <w:rPr>
          <w:rFonts w:hint="eastAsia" w:eastAsia="宋体" w:cs="Times New Roman"/>
          <w:lang w:bidi="ar"/>
        </w:rPr>
        <w:t>。</w:t>
      </w:r>
    </w:p>
    <w:p w14:paraId="4ABEFF3E">
      <w:pPr>
        <w:ind w:firstLine="480"/>
        <w:rPr>
          <w:rFonts w:cs="Times New Roman"/>
          <w:szCs w:val="24"/>
        </w:rPr>
      </w:pPr>
      <w:r>
        <w:rPr>
          <w:rFonts w:hint="eastAsia" w:eastAsia="宋体" w:cs="Times New Roman"/>
          <w:lang w:bidi="ar"/>
        </w:rPr>
        <w:t>西区排涝工程体系主要河涌、水闸及泵站构成。西区内现有排涝水闸6座，</w:t>
      </w:r>
      <w:r>
        <w:rPr>
          <w:rFonts w:hint="eastAsia" w:eastAsia="宋体" w:cs="Times New Roman"/>
          <w:szCs w:val="28"/>
        </w:rPr>
        <w:t>西区</w:t>
      </w:r>
      <w:r>
        <w:rPr>
          <w:rFonts w:hint="eastAsia" w:cs="Times New Roman"/>
          <w:szCs w:val="28"/>
        </w:rPr>
        <w:t>现有的内排泵站共29宗，总设计灌溉、排涝面积为18858亩，总流量为62.206m</w:t>
      </w:r>
      <w:r>
        <w:rPr>
          <w:rFonts w:hint="eastAsia" w:cs="Times New Roman"/>
          <w:szCs w:val="28"/>
          <w:vertAlign w:val="superscript"/>
        </w:rPr>
        <w:t>3</w:t>
      </w:r>
      <w:r>
        <w:rPr>
          <w:rFonts w:hint="eastAsia" w:cs="Times New Roman"/>
          <w:szCs w:val="28"/>
        </w:rPr>
        <w:t>/s，总装机量为3941kw，</w:t>
      </w:r>
      <w:r>
        <w:rPr>
          <w:rFonts w:hint="eastAsia" w:eastAsia="宋体" w:cs="Times New Roman"/>
          <w:lang w:bidi="ar"/>
        </w:rPr>
        <w:t>但泵站规模仍不足。因此镇区内还受到不同程度的内涝问题，内涝面积约为4.6km</w:t>
      </w:r>
      <w:r>
        <w:rPr>
          <w:rFonts w:eastAsia="宋体" w:cs="Times New Roman"/>
          <w:vertAlign w:val="superscript"/>
          <w:lang w:bidi="ar"/>
        </w:rPr>
        <w:t>2</w:t>
      </w:r>
      <w:r>
        <w:rPr>
          <w:rFonts w:hint="eastAsia" w:eastAsia="宋体" w:cs="Times New Roman"/>
          <w:lang w:bidi="ar"/>
        </w:rPr>
        <w:t>，因此西区的排涝达标面积为20.61km</w:t>
      </w:r>
      <w:r>
        <w:rPr>
          <w:rFonts w:eastAsia="宋体" w:cs="Times New Roman"/>
          <w:vertAlign w:val="superscript"/>
          <w:lang w:bidi="ar"/>
        </w:rPr>
        <w:t>2</w:t>
      </w:r>
      <w:r>
        <w:rPr>
          <w:rFonts w:hint="eastAsia" w:eastAsia="宋体" w:cs="Times New Roman"/>
          <w:lang w:bidi="ar"/>
        </w:rPr>
        <w:t>，西区排涝达标率为81.75%。</w:t>
      </w:r>
      <w:r>
        <w:rPr>
          <w:rFonts w:hint="eastAsia" w:eastAsia="宋体" w:cs="Times New Roman"/>
          <w:szCs w:val="24"/>
          <w:lang w:bidi="ar"/>
        </w:rPr>
        <w:t>根据《中山市城市排水（雨水）防洪综合规划》和《中山市海绵城市专项规划</w:t>
      </w:r>
      <w:r>
        <w:rPr>
          <w:rFonts w:hint="eastAsia" w:eastAsia="宋体" w:cs="Times New Roman"/>
          <w:szCs w:val="28"/>
          <w:lang w:bidi="ar"/>
        </w:rPr>
        <w:t>（</w:t>
      </w:r>
      <w:r>
        <w:rPr>
          <w:rFonts w:eastAsia="宋体" w:cs="Times New Roman"/>
          <w:szCs w:val="28"/>
          <w:lang w:bidi="ar"/>
        </w:rPr>
        <w:t>2016-2020</w:t>
      </w:r>
      <w:r>
        <w:rPr>
          <w:rFonts w:hint="eastAsia" w:eastAsia="宋体" w:cs="Times New Roman"/>
          <w:szCs w:val="28"/>
          <w:lang w:bidi="ar"/>
        </w:rPr>
        <w:t>年）</w:t>
      </w:r>
      <w:r>
        <w:rPr>
          <w:rFonts w:hint="eastAsia" w:eastAsia="宋体" w:cs="Times New Roman"/>
          <w:szCs w:val="24"/>
          <w:lang w:bidi="ar"/>
        </w:rPr>
        <w:t>》，</w:t>
      </w:r>
      <w:r>
        <w:rPr>
          <w:rFonts w:eastAsia="宋体" w:cs="Times New Roman"/>
          <w:szCs w:val="24"/>
          <w:lang w:bidi="ar"/>
        </w:rPr>
        <w:t>2020</w:t>
      </w:r>
      <w:r>
        <w:rPr>
          <w:rFonts w:hint="eastAsia" w:eastAsia="宋体" w:cs="Times New Roman"/>
          <w:szCs w:val="24"/>
          <w:lang w:bidi="ar"/>
        </w:rPr>
        <w:t>年西区</w:t>
      </w:r>
      <w:r>
        <w:rPr>
          <w:rFonts w:hint="eastAsia" w:eastAsia="宋体" w:cs="Times New Roman"/>
          <w:lang w:bidi="ar"/>
        </w:rPr>
        <w:t>城市排涝达标率规划目标值为</w:t>
      </w:r>
      <w:r>
        <w:rPr>
          <w:rFonts w:hint="eastAsia" w:eastAsia="宋体" w:cs="Times New Roman"/>
          <w:szCs w:val="24"/>
          <w:lang w:bidi="ar"/>
        </w:rPr>
        <w:t>100</w:t>
      </w:r>
      <w:r>
        <w:rPr>
          <w:rFonts w:eastAsia="宋体" w:cs="Times New Roman"/>
          <w:szCs w:val="24"/>
          <w:lang w:bidi="ar"/>
        </w:rPr>
        <w:t>%</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w:t>
      </w:r>
      <w:r>
        <w:rPr>
          <w:rFonts w:hint="eastAsia" w:eastAsia="宋体" w:cs="Times New Roman"/>
          <w:lang w:bidi="ar"/>
        </w:rPr>
        <w:t>城市排涝达标率规划目标值为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年西区城市排涝达标率规划目标值为</w:t>
      </w:r>
      <w:r>
        <w:rPr>
          <w:rFonts w:eastAsia="宋体" w:cs="Times New Roman"/>
          <w:szCs w:val="24"/>
          <w:lang w:bidi="ar"/>
        </w:rPr>
        <w:t>100%</w:t>
      </w:r>
      <w:r>
        <w:rPr>
          <w:rFonts w:hint="eastAsia" w:eastAsia="宋体" w:cs="Times New Roman"/>
          <w:szCs w:val="24"/>
          <w:lang w:bidi="ar"/>
        </w:rPr>
        <w:t>（见表</w:t>
      </w:r>
      <w:r>
        <w:rPr>
          <w:rFonts w:eastAsia="宋体" w:cs="Times New Roman"/>
          <w:szCs w:val="24"/>
          <w:lang w:bidi="ar"/>
        </w:rPr>
        <w:t>4-</w:t>
      </w:r>
      <w:r>
        <w:rPr>
          <w:rFonts w:hint="eastAsia" w:eastAsia="宋体" w:cs="Times New Roman"/>
          <w:szCs w:val="24"/>
          <w:lang w:bidi="ar"/>
        </w:rPr>
        <w:t>2）。</w:t>
      </w:r>
      <w:r>
        <w:rPr>
          <w:rFonts w:eastAsia="宋体" w:cs="Times New Roman"/>
          <w:szCs w:val="24"/>
          <w:lang w:bidi="ar"/>
        </w:rPr>
        <w:t xml:space="preserve">  </w:t>
      </w:r>
    </w:p>
    <w:p w14:paraId="7E16810A">
      <w:pPr>
        <w:ind w:firstLine="480"/>
        <w:rPr>
          <w:rFonts w:eastAsia="宋体" w:cs="Times New Roman"/>
          <w:szCs w:val="24"/>
        </w:rPr>
      </w:pPr>
      <w:r>
        <w:rPr>
          <w:rFonts w:hint="eastAsia" w:eastAsia="宋体" w:cs="Times New Roman"/>
          <w:szCs w:val="24"/>
          <w:lang w:bidi="ar"/>
        </w:rPr>
        <w:t>西区应结合中山市的</w:t>
      </w:r>
      <w:r>
        <w:rPr>
          <w:rFonts w:hint="eastAsia" w:eastAsia="宋体" w:cs="Times New Roman"/>
          <w:lang w:bidi="ar"/>
        </w:rPr>
        <w:t>城市防洪排涝总体规划</w:t>
      </w:r>
      <w:r>
        <w:rPr>
          <w:rFonts w:hint="eastAsia" w:eastAsia="宋体" w:cs="Times New Roman"/>
          <w:szCs w:val="24"/>
          <w:lang w:bidi="ar"/>
        </w:rPr>
        <w:t>、西区防洪排涝设施、内河涌整治工程及雨水管网建设的实际情况。随着内河涌的改道或拓宽，水闸净宽与河宽相差较大，容易形成排水瓶颈，部分水闸需取消或重建。加大排涝压力，对规模偏小的排涝泵站重新设计和重建，不断完善排水系统。增加城市绿化用地面积，在新建、改建的道路上使用渗水能力强的渗水砖，以增加地表的渗水性，减少地表径流。在建筑群或小区修建雨水集蓄利用中水系统、雨水渗透系统、屋顶绿化雨水利用系统、生态小区雨水综合利用系统等，可节约自来水，减轻城市排水和处理系统的负荷，减少污染物排放量和改善生态环境等多种效益。修建大型的湖、塘等调蓄水体，延滞汇流时间，调节流量、减少雨水排涝设施的压力，降低排涝设施投资，防止洪涝灾害的发生。</w:t>
      </w:r>
      <w:r>
        <w:rPr>
          <w:rFonts w:hint="eastAsia" w:eastAsia="宋体" w:cs="Times New Roman"/>
          <w:lang w:bidi="ar"/>
        </w:rPr>
        <w:t>将区域内河涌、排涝水闸、排涝泵站、雨污分流管网、雨洪调蓄设施组成排涝体系，以河涌、人工湖、低洼地为调蓄区，在城镇总体规划实施后还可充分利用较低的湿地、绿地、体育运动场等公用场所做为调蓄区。</w:t>
      </w:r>
    </w:p>
    <w:p w14:paraId="39E934BA">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2</w:t>
      </w:r>
      <w:r>
        <w:rPr>
          <w:rFonts w:eastAsia="宋体" w:cs="Times New Roman"/>
          <w:sz w:val="21"/>
          <w:lang w:bidi="ar"/>
        </w:rPr>
        <w:t xml:space="preserve">  </w:t>
      </w:r>
      <w:r>
        <w:rPr>
          <w:rFonts w:hint="eastAsia" w:eastAsia="宋体" w:cs="Times New Roman"/>
          <w:sz w:val="21"/>
          <w:lang w:bidi="ar"/>
        </w:rPr>
        <w:t>西区城市排涝达标率现状与规划结果</w:t>
      </w:r>
    </w:p>
    <w:tbl>
      <w:tblPr>
        <w:tblStyle w:val="25"/>
        <w:tblW w:w="91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2059"/>
        <w:gridCol w:w="1773"/>
        <w:gridCol w:w="1827"/>
        <w:gridCol w:w="1768"/>
      </w:tblGrid>
      <w:tr w14:paraId="24F7C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2F6FEAF3">
            <w:pPr>
              <w:spacing w:line="240" w:lineRule="auto"/>
              <w:ind w:firstLine="0" w:firstLineChars="0"/>
              <w:jc w:val="center"/>
              <w:rPr>
                <w:rFonts w:cs="Times New Roman"/>
                <w:sz w:val="21"/>
              </w:rPr>
            </w:pPr>
            <w:r>
              <w:rPr>
                <w:rFonts w:hint="eastAsia" w:eastAsia="宋体" w:cs="Times New Roman"/>
                <w:sz w:val="21"/>
                <w:lang w:bidi="ar"/>
              </w:rPr>
              <w:t>指标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26E453FE">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0B78640C">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3390CD1D">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757B6860">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09011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2BC6E04D">
            <w:pPr>
              <w:spacing w:line="240" w:lineRule="auto"/>
              <w:ind w:firstLine="0" w:firstLineChars="0"/>
              <w:jc w:val="center"/>
              <w:rPr>
                <w:rFonts w:eastAsia="宋体" w:cs="Times New Roman"/>
                <w:kern w:val="0"/>
                <w:sz w:val="21"/>
                <w:lang w:bidi="ar"/>
              </w:rPr>
            </w:pPr>
            <w:r>
              <w:rPr>
                <w:rFonts w:hint="eastAsia" w:eastAsia="宋体" w:cs="Times New Roman"/>
                <w:kern w:val="0"/>
                <w:sz w:val="21"/>
                <w:lang w:bidi="ar"/>
              </w:rPr>
              <w:t>排涝达标率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7B63A8AF">
            <w:pPr>
              <w:widowControl/>
              <w:spacing w:line="240" w:lineRule="auto"/>
              <w:ind w:firstLine="0" w:firstLineChars="0"/>
              <w:rPr>
                <w:rFonts w:eastAsia="宋体" w:cs="Times New Roman"/>
                <w:kern w:val="0"/>
                <w:sz w:val="21"/>
                <w:lang w:bidi="ar"/>
              </w:rPr>
            </w:pPr>
            <w:r>
              <w:rPr>
                <w:rFonts w:hint="eastAsia" w:eastAsia="宋体" w:cs="Times New Roman"/>
                <w:kern w:val="0"/>
                <w:sz w:val="21"/>
                <w:lang w:bidi="ar"/>
              </w:rPr>
              <w:t>81.75</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0DDF3809">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7CA49140">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3041F5C5">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6B0B8A79">
      <w:pPr>
        <w:spacing w:line="240" w:lineRule="auto"/>
        <w:ind w:firstLine="480"/>
        <w:rPr>
          <w:rFonts w:cs="Times New Roman"/>
        </w:rPr>
      </w:pPr>
      <w:bookmarkStart w:id="477" w:name="_Toc528607274"/>
      <w:bookmarkStart w:id="478" w:name="_Toc527881100"/>
      <w:bookmarkStart w:id="479" w:name="_Toc523306809"/>
      <w:bookmarkStart w:id="480" w:name="_Toc526004945"/>
    </w:p>
    <w:p w14:paraId="5457E63C">
      <w:pPr>
        <w:pStyle w:val="3"/>
        <w:widowControl/>
        <w:spacing w:before="0" w:after="0" w:line="360" w:lineRule="auto"/>
        <w:rPr>
          <w:rFonts w:cs="Times New Roman"/>
        </w:rPr>
      </w:pPr>
      <w:bookmarkStart w:id="481" w:name="_Toc16675054"/>
      <w:bookmarkStart w:id="482" w:name="_Toc18948"/>
      <w:bookmarkStart w:id="483" w:name="_Toc9436"/>
      <w:bookmarkStart w:id="484" w:name="_Toc528880306"/>
      <w:bookmarkStart w:id="485" w:name="_Toc23341"/>
      <w:bookmarkStart w:id="486" w:name="_Toc4487"/>
      <w:bookmarkStart w:id="487" w:name="_Toc19966"/>
      <w:bookmarkStart w:id="488" w:name="_Toc12857"/>
      <w:r>
        <w:rPr>
          <w:rFonts w:cs="Times New Roman"/>
        </w:rPr>
        <w:t>4.1.</w:t>
      </w:r>
      <w:r>
        <w:rPr>
          <w:rFonts w:hint="eastAsia" w:cs="Times New Roman"/>
        </w:rPr>
        <w:t>3降雨滞蓄率</w:t>
      </w:r>
      <w:bookmarkEnd w:id="477"/>
      <w:bookmarkEnd w:id="478"/>
      <w:bookmarkEnd w:id="479"/>
      <w:bookmarkEnd w:id="480"/>
      <w:bookmarkEnd w:id="481"/>
      <w:bookmarkEnd w:id="482"/>
      <w:bookmarkEnd w:id="483"/>
      <w:bookmarkEnd w:id="484"/>
      <w:bookmarkEnd w:id="485"/>
      <w:bookmarkEnd w:id="486"/>
      <w:bookmarkEnd w:id="487"/>
      <w:bookmarkEnd w:id="488"/>
    </w:p>
    <w:p w14:paraId="1CF8C899">
      <w:pPr>
        <w:ind w:firstLine="480"/>
        <w:rPr>
          <w:rFonts w:cs="Times New Roman"/>
        </w:rPr>
      </w:pPr>
      <w:r>
        <w:rPr>
          <w:rFonts w:hint="eastAsia" w:eastAsia="宋体" w:cs="Times New Roman"/>
          <w:lang w:bidi="ar"/>
        </w:rPr>
        <w:t>指中心城区江河湖塘等能够有效滞蓄雨洪的调蓄容积与多年平均降水总量的比值</w:t>
      </w:r>
      <w:r>
        <w:rPr>
          <w:rFonts w:hint="eastAsia" w:eastAsia="宋体" w:cs="Times New Roman"/>
          <w:b/>
          <w:bCs/>
          <w:szCs w:val="24"/>
          <w:lang w:bidi="ar"/>
        </w:rPr>
        <w:t>（具体计算公式见附录1）</w:t>
      </w:r>
      <w:r>
        <w:rPr>
          <w:rFonts w:hint="eastAsia" w:eastAsia="宋体" w:cs="Times New Roman"/>
          <w:lang w:bidi="ar"/>
        </w:rPr>
        <w:t>。西区</w:t>
      </w:r>
      <w:r>
        <w:rPr>
          <w:rFonts w:hint="eastAsia" w:eastAsia="宋体" w:cs="Times New Roman"/>
          <w:szCs w:val="24"/>
          <w:lang w:bidi="ar"/>
        </w:rPr>
        <w:t>地势平坦，是规模相对较小的镇区，其发展中心</w:t>
      </w:r>
      <w:r>
        <w:rPr>
          <w:rFonts w:hint="eastAsia" w:eastAsia="宋体" w:cs="Times New Roman"/>
          <w:lang w:bidi="ar"/>
        </w:rPr>
        <w:t>城区在城镇中心，城镇中心区位于西区的东南部，是现状的西区中心区，该区域配套成熟，集中了镇区的行政、医疗、教育等核心服务职能。</w:t>
      </w:r>
      <w:r>
        <w:rPr>
          <w:rFonts w:hint="eastAsia" w:eastAsia="宋体" w:cs="Times New Roman"/>
          <w:u w:val="dotted"/>
          <w:lang w:bidi="ar"/>
        </w:rPr>
        <w:t>狮滘河</w:t>
      </w:r>
      <w:r>
        <w:rPr>
          <w:rFonts w:hint="eastAsia" w:eastAsia="宋体" w:cs="Times New Roman"/>
          <w:lang w:bidi="ar"/>
        </w:rPr>
        <w:t>、岐江河的部分河段经过，其有效滞蓄雨洪的调蓄容积非常有限，</w:t>
      </w:r>
      <w:r>
        <w:rPr>
          <w:rFonts w:hint="eastAsia" w:eastAsia="宋体" w:cs="Times New Roman"/>
          <w:szCs w:val="28"/>
          <w:lang w:bidi="ar"/>
        </w:rPr>
        <w:t>参考《中山市海绵城市专项规划（</w:t>
      </w:r>
      <w:r>
        <w:rPr>
          <w:rFonts w:eastAsia="宋体" w:cs="Times New Roman"/>
          <w:szCs w:val="28"/>
          <w:lang w:bidi="ar"/>
        </w:rPr>
        <w:t>2016-2020</w:t>
      </w:r>
      <w:r>
        <w:rPr>
          <w:rFonts w:hint="eastAsia" w:eastAsia="宋体" w:cs="Times New Roman"/>
          <w:szCs w:val="28"/>
          <w:lang w:bidi="ar"/>
        </w:rPr>
        <w:t>年）》，中山市</w:t>
      </w:r>
      <w:r>
        <w:rPr>
          <w:rFonts w:eastAsia="宋体" w:cs="Times New Roman"/>
          <w:szCs w:val="28"/>
          <w:lang w:bidi="ar"/>
        </w:rPr>
        <w:t>2015</w:t>
      </w:r>
      <w:r>
        <w:rPr>
          <w:rFonts w:hint="eastAsia" w:eastAsia="宋体" w:cs="Times New Roman"/>
          <w:szCs w:val="28"/>
          <w:lang w:bidi="ar"/>
        </w:rPr>
        <w:t>年能够滞蓄雨洪的调蓄容积为</w:t>
      </w:r>
      <w:r>
        <w:rPr>
          <w:rFonts w:eastAsia="宋体" w:cs="Times New Roman"/>
          <w:szCs w:val="28"/>
          <w:lang w:bidi="ar"/>
        </w:rPr>
        <w:t>31203.4</w:t>
      </w:r>
      <w:r>
        <w:rPr>
          <w:rFonts w:hint="eastAsia" w:eastAsia="宋体" w:cs="Times New Roman"/>
          <w:szCs w:val="28"/>
          <w:lang w:bidi="ar"/>
        </w:rPr>
        <w:t>万</w:t>
      </w:r>
      <w:r>
        <w:rPr>
          <w:rFonts w:eastAsia="宋体" w:cs="Times New Roman"/>
          <w:szCs w:val="28"/>
          <w:lang w:bidi="ar"/>
        </w:rPr>
        <w:t>m</w:t>
      </w:r>
      <w:r>
        <w:rPr>
          <w:rFonts w:eastAsia="宋体" w:cs="Times New Roman"/>
          <w:szCs w:val="28"/>
          <w:vertAlign w:val="superscript"/>
          <w:lang w:bidi="ar"/>
        </w:rPr>
        <w:t>3</w:t>
      </w:r>
      <w:r>
        <w:rPr>
          <w:rFonts w:hint="eastAsia" w:eastAsia="宋体" w:cs="Times New Roman"/>
          <w:szCs w:val="28"/>
          <w:lang w:bidi="ar"/>
        </w:rPr>
        <w:t>，降雨滞蓄率约为</w:t>
      </w:r>
      <w:r>
        <w:rPr>
          <w:rFonts w:eastAsia="宋体" w:cs="Times New Roman"/>
          <w:szCs w:val="28"/>
          <w:lang w:bidi="ar"/>
        </w:rPr>
        <w:t>10%</w:t>
      </w:r>
      <w:r>
        <w:rPr>
          <w:rFonts w:hint="eastAsia" w:eastAsia="宋体" w:cs="Times New Roman"/>
          <w:szCs w:val="28"/>
          <w:lang w:bidi="ar"/>
        </w:rPr>
        <w:t>，由于城市的发展，使得降雨滞蓄空间略有下降，参考中山市降雨滞蓄率，取西区现状降雨滞蓄率约为</w:t>
      </w:r>
      <w:r>
        <w:rPr>
          <w:rFonts w:eastAsia="宋体" w:cs="Times New Roman"/>
          <w:szCs w:val="28"/>
          <w:lang w:bidi="ar"/>
        </w:rPr>
        <w:t>9</w:t>
      </w:r>
      <w:r>
        <w:rPr>
          <w:rFonts w:hint="eastAsia" w:eastAsia="宋体" w:cs="Times New Roman"/>
          <w:szCs w:val="28"/>
          <w:lang w:bidi="ar"/>
        </w:rPr>
        <w:t>.5</w:t>
      </w:r>
      <w:r>
        <w:rPr>
          <w:rFonts w:eastAsia="宋体" w:cs="Times New Roman"/>
          <w:szCs w:val="28"/>
          <w:lang w:bidi="ar"/>
        </w:rPr>
        <w:t>%</w:t>
      </w:r>
      <w:r>
        <w:rPr>
          <w:rFonts w:hint="eastAsia" w:eastAsia="宋体" w:cs="Times New Roman"/>
          <w:szCs w:val="28"/>
          <w:lang w:bidi="ar"/>
        </w:rPr>
        <w:t>。根据《中山市海绵城市专项规划（</w:t>
      </w:r>
      <w:r>
        <w:rPr>
          <w:rFonts w:eastAsia="宋体" w:cs="Times New Roman"/>
          <w:szCs w:val="28"/>
          <w:lang w:bidi="ar"/>
        </w:rPr>
        <w:t>2016-2020</w:t>
      </w:r>
      <w:r>
        <w:rPr>
          <w:rFonts w:hint="eastAsia" w:eastAsia="宋体" w:cs="Times New Roman"/>
          <w:szCs w:val="28"/>
          <w:lang w:bidi="ar"/>
        </w:rPr>
        <w:t>年）》，</w:t>
      </w:r>
      <w:r>
        <w:rPr>
          <w:rFonts w:eastAsia="宋体" w:cs="Times New Roman"/>
          <w:lang w:bidi="ar"/>
        </w:rPr>
        <w:t>2020</w:t>
      </w:r>
      <w:r>
        <w:rPr>
          <w:rFonts w:hint="eastAsia" w:eastAsia="宋体" w:cs="Times New Roman"/>
          <w:lang w:bidi="ar"/>
        </w:rPr>
        <w:t>年西区降雨滞蓄率规划目标值为</w:t>
      </w:r>
      <w:r>
        <w:rPr>
          <w:rFonts w:eastAsia="宋体" w:cs="Times New Roman"/>
          <w:lang w:bidi="ar"/>
        </w:rPr>
        <w:t>10%</w:t>
      </w:r>
      <w:r>
        <w:rPr>
          <w:rFonts w:hint="eastAsia" w:eastAsia="宋体" w:cs="Times New Roman"/>
          <w:lang w:bidi="ar"/>
        </w:rPr>
        <w:t>，</w:t>
      </w:r>
      <w:r>
        <w:rPr>
          <w:rFonts w:eastAsia="宋体" w:cs="Times New Roman"/>
          <w:lang w:bidi="ar"/>
        </w:rPr>
        <w:t>2025</w:t>
      </w:r>
      <w:r>
        <w:rPr>
          <w:rFonts w:hint="eastAsia" w:eastAsia="宋体" w:cs="Times New Roman"/>
          <w:lang w:bidi="ar"/>
        </w:rPr>
        <w:t>年西区降雨滞蓄率规划目标值为</w:t>
      </w:r>
      <w:r>
        <w:rPr>
          <w:rFonts w:eastAsia="宋体" w:cs="Times New Roman"/>
          <w:lang w:bidi="ar"/>
        </w:rPr>
        <w:t>11%</w:t>
      </w:r>
      <w:r>
        <w:rPr>
          <w:rFonts w:hint="eastAsia" w:eastAsia="宋体" w:cs="Times New Roman"/>
          <w:lang w:bidi="ar"/>
        </w:rPr>
        <w:t>，</w:t>
      </w:r>
      <w:r>
        <w:rPr>
          <w:rFonts w:eastAsia="宋体" w:cs="Times New Roman"/>
          <w:lang w:bidi="ar"/>
        </w:rPr>
        <w:t>2030</w:t>
      </w:r>
      <w:r>
        <w:rPr>
          <w:rFonts w:hint="eastAsia" w:eastAsia="宋体" w:cs="Times New Roman"/>
          <w:lang w:bidi="ar"/>
        </w:rPr>
        <w:t>年西区降雨滞蓄率规划目标值为1</w:t>
      </w:r>
      <w:r>
        <w:rPr>
          <w:rFonts w:eastAsia="宋体" w:cs="Times New Roman"/>
          <w:lang w:bidi="ar"/>
        </w:rPr>
        <w:t>2%</w:t>
      </w:r>
      <w:r>
        <w:rPr>
          <w:rFonts w:hint="eastAsia" w:eastAsia="宋体" w:cs="Times New Roman"/>
          <w:lang w:bidi="ar"/>
        </w:rPr>
        <w:t>（见表</w:t>
      </w:r>
      <w:r>
        <w:rPr>
          <w:rFonts w:eastAsia="宋体" w:cs="Times New Roman"/>
          <w:lang w:bidi="ar"/>
        </w:rPr>
        <w:t>4-</w:t>
      </w:r>
      <w:r>
        <w:rPr>
          <w:rFonts w:hint="eastAsia" w:eastAsia="宋体" w:cs="Times New Roman"/>
          <w:lang w:bidi="ar"/>
        </w:rPr>
        <w:t>3），参考海绵城市设计的要求，增加透水面积，增加透水砖铺装、下沉绿地、简易型和复杂型生物滞留设施（如：生物滞留带、雨水花园、生态树池等）、透水水泥和沥青混凝土路面等渗透设施；增加雨水湿地、湿塘等储存设施；增加调节塘、调节池等调节设施；增加植草沟（干式、湿式、转输型）、渗管、渗渠等转输设施；增加植被缓冲带、初期雨水弃流设施（池、井）等截污净化设施，以提高降雨滞蓄率，达到西区规划目标值。</w:t>
      </w:r>
    </w:p>
    <w:p w14:paraId="052CA93E">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3</w:t>
      </w:r>
      <w:r>
        <w:rPr>
          <w:rFonts w:eastAsia="宋体" w:cs="Times New Roman"/>
          <w:sz w:val="21"/>
          <w:lang w:bidi="ar"/>
        </w:rPr>
        <w:t xml:space="preserve">  </w:t>
      </w:r>
      <w:r>
        <w:rPr>
          <w:rFonts w:hint="eastAsia" w:eastAsia="宋体" w:cs="Times New Roman"/>
          <w:sz w:val="21"/>
          <w:lang w:bidi="ar"/>
        </w:rPr>
        <w:t>西区降雨滞蓄率现状与规划结果表</w:t>
      </w:r>
    </w:p>
    <w:tbl>
      <w:tblPr>
        <w:tblStyle w:val="25"/>
        <w:tblW w:w="8979" w:type="dxa"/>
        <w:tblInd w:w="-4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3"/>
        <w:gridCol w:w="1961"/>
        <w:gridCol w:w="1867"/>
        <w:gridCol w:w="1825"/>
        <w:gridCol w:w="1943"/>
      </w:tblGrid>
      <w:tr w14:paraId="6A903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3" w:type="dxa"/>
            <w:tcBorders>
              <w:top w:val="single" w:color="auto" w:sz="4" w:space="0"/>
              <w:left w:val="single" w:color="auto" w:sz="4" w:space="0"/>
              <w:bottom w:val="single" w:color="auto" w:sz="4" w:space="0"/>
              <w:right w:val="single" w:color="auto" w:sz="4" w:space="0"/>
            </w:tcBorders>
            <w:shd w:val="clear" w:color="auto" w:fill="auto"/>
            <w:vAlign w:val="center"/>
          </w:tcPr>
          <w:p w14:paraId="496EC3BD">
            <w:pPr>
              <w:spacing w:line="240" w:lineRule="auto"/>
              <w:ind w:firstLine="0" w:firstLineChars="0"/>
              <w:jc w:val="center"/>
              <w:rPr>
                <w:rFonts w:cs="Times New Roman"/>
                <w:sz w:val="21"/>
              </w:rPr>
            </w:pPr>
            <w:r>
              <w:rPr>
                <w:rFonts w:hint="eastAsia" w:eastAsia="宋体" w:cs="Times New Roman"/>
                <w:sz w:val="21"/>
                <w:lang w:bidi="ar"/>
              </w:rPr>
              <w:t>指标</w:t>
            </w:r>
          </w:p>
        </w:tc>
        <w:tc>
          <w:tcPr>
            <w:tcW w:w="1961" w:type="dxa"/>
            <w:tcBorders>
              <w:top w:val="single" w:color="auto" w:sz="4" w:space="0"/>
              <w:left w:val="single" w:color="auto" w:sz="4" w:space="0"/>
              <w:bottom w:val="single" w:color="auto" w:sz="4" w:space="0"/>
              <w:right w:val="single" w:color="auto" w:sz="4" w:space="0"/>
            </w:tcBorders>
            <w:shd w:val="clear" w:color="auto" w:fill="auto"/>
            <w:vAlign w:val="center"/>
          </w:tcPr>
          <w:p w14:paraId="1F17BF87">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587F34F5">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867" w:type="dxa"/>
            <w:tcBorders>
              <w:top w:val="single" w:color="auto" w:sz="4" w:space="0"/>
              <w:left w:val="single" w:color="auto" w:sz="4" w:space="0"/>
              <w:bottom w:val="single" w:color="auto" w:sz="4" w:space="0"/>
              <w:right w:val="single" w:color="auto" w:sz="4" w:space="0"/>
            </w:tcBorders>
            <w:shd w:val="clear" w:color="auto" w:fill="auto"/>
            <w:vAlign w:val="center"/>
          </w:tcPr>
          <w:p w14:paraId="523589B3">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220B9134">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943" w:type="dxa"/>
            <w:tcBorders>
              <w:top w:val="single" w:color="auto" w:sz="4" w:space="0"/>
              <w:left w:val="single" w:color="auto" w:sz="4" w:space="0"/>
              <w:bottom w:val="single" w:color="auto" w:sz="4" w:space="0"/>
              <w:right w:val="single" w:color="auto" w:sz="4" w:space="0"/>
            </w:tcBorders>
            <w:shd w:val="clear" w:color="auto" w:fill="auto"/>
            <w:vAlign w:val="center"/>
          </w:tcPr>
          <w:p w14:paraId="6D6B3231">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5B8BB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1383" w:type="dxa"/>
            <w:tcBorders>
              <w:top w:val="single" w:color="auto" w:sz="4" w:space="0"/>
              <w:left w:val="single" w:color="auto" w:sz="4" w:space="0"/>
              <w:bottom w:val="single" w:color="auto" w:sz="4" w:space="0"/>
              <w:right w:val="single" w:color="auto" w:sz="4" w:space="0"/>
            </w:tcBorders>
            <w:shd w:val="clear" w:color="auto" w:fill="auto"/>
            <w:vAlign w:val="center"/>
          </w:tcPr>
          <w:p w14:paraId="7567CA35">
            <w:pPr>
              <w:spacing w:line="240" w:lineRule="auto"/>
              <w:ind w:firstLine="0" w:firstLineChars="0"/>
              <w:jc w:val="center"/>
              <w:rPr>
                <w:rFonts w:cs="Times New Roman"/>
                <w:sz w:val="21"/>
              </w:rPr>
            </w:pPr>
            <w:r>
              <w:rPr>
                <w:rFonts w:hint="eastAsia" w:eastAsia="宋体" w:cs="Times New Roman"/>
                <w:kern w:val="0"/>
                <w:sz w:val="21"/>
                <w:lang w:bidi="ar"/>
              </w:rPr>
              <w:t>降雨滞蓄率</w:t>
            </w:r>
          </w:p>
        </w:tc>
        <w:tc>
          <w:tcPr>
            <w:tcW w:w="1961" w:type="dxa"/>
            <w:tcBorders>
              <w:top w:val="single" w:color="auto" w:sz="4" w:space="0"/>
              <w:left w:val="single" w:color="auto" w:sz="4" w:space="0"/>
              <w:bottom w:val="single" w:color="auto" w:sz="4" w:space="0"/>
              <w:right w:val="single" w:color="auto" w:sz="4" w:space="0"/>
            </w:tcBorders>
            <w:shd w:val="clear" w:color="auto" w:fill="auto"/>
            <w:vAlign w:val="center"/>
          </w:tcPr>
          <w:p w14:paraId="1D108B75">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867" w:type="dxa"/>
            <w:tcBorders>
              <w:top w:val="single" w:color="auto" w:sz="4" w:space="0"/>
              <w:left w:val="single" w:color="auto" w:sz="4" w:space="0"/>
              <w:bottom w:val="single" w:color="auto" w:sz="4" w:space="0"/>
              <w:right w:val="single" w:color="auto" w:sz="4" w:space="0"/>
            </w:tcBorders>
            <w:shd w:val="clear" w:color="auto" w:fill="auto"/>
            <w:vAlign w:val="center"/>
          </w:tcPr>
          <w:p w14:paraId="7236C449">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2C9D58FC">
            <w:pPr>
              <w:widowControl/>
              <w:spacing w:line="240" w:lineRule="auto"/>
              <w:ind w:firstLine="0" w:firstLineChars="0"/>
              <w:jc w:val="center"/>
              <w:rPr>
                <w:rFonts w:cs="Times New Roman"/>
                <w:kern w:val="0"/>
                <w:sz w:val="21"/>
              </w:rPr>
            </w:pPr>
            <w:r>
              <w:rPr>
                <w:rFonts w:eastAsia="宋体" w:cs="Times New Roman"/>
                <w:kern w:val="0"/>
                <w:sz w:val="21"/>
                <w:lang w:bidi="ar"/>
              </w:rPr>
              <w:t>11%</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943" w:type="dxa"/>
            <w:tcBorders>
              <w:top w:val="single" w:color="auto" w:sz="4" w:space="0"/>
              <w:left w:val="single" w:color="auto" w:sz="4" w:space="0"/>
              <w:bottom w:val="single" w:color="auto" w:sz="4" w:space="0"/>
              <w:right w:val="single" w:color="auto" w:sz="4" w:space="0"/>
            </w:tcBorders>
            <w:shd w:val="clear" w:color="auto" w:fill="auto"/>
            <w:vAlign w:val="center"/>
          </w:tcPr>
          <w:p w14:paraId="6DFAFD52">
            <w:pPr>
              <w:widowControl/>
              <w:spacing w:line="240" w:lineRule="auto"/>
              <w:ind w:firstLine="0" w:firstLineChars="0"/>
              <w:jc w:val="center"/>
              <w:rPr>
                <w:rFonts w:cs="Times New Roman"/>
                <w:kern w:val="0"/>
                <w:sz w:val="21"/>
              </w:rPr>
            </w:pPr>
            <w:r>
              <w:rPr>
                <w:rFonts w:hint="eastAsia" w:eastAsia="宋体" w:cs="Times New Roman"/>
                <w:kern w:val="0"/>
                <w:sz w:val="21"/>
                <w:lang w:bidi="ar"/>
              </w:rPr>
              <w:t>1</w:t>
            </w:r>
            <w:r>
              <w:rPr>
                <w:rFonts w:eastAsia="宋体" w:cs="Times New Roman"/>
                <w:kern w:val="0"/>
                <w:sz w:val="21"/>
                <w:lang w:bidi="ar"/>
              </w:rPr>
              <w:t>2%</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bl>
    <w:p w14:paraId="2103ACEB">
      <w:pPr>
        <w:spacing w:line="240" w:lineRule="auto"/>
        <w:ind w:firstLine="480"/>
        <w:rPr>
          <w:rFonts w:cs="Times New Roman"/>
        </w:rPr>
      </w:pPr>
    </w:p>
    <w:p w14:paraId="77311432">
      <w:pPr>
        <w:pStyle w:val="3"/>
        <w:widowControl/>
        <w:spacing w:before="0" w:after="0" w:line="360" w:lineRule="auto"/>
        <w:rPr>
          <w:rFonts w:cs="Times New Roman"/>
        </w:rPr>
      </w:pPr>
      <w:bookmarkStart w:id="489" w:name="_Toc2639"/>
      <w:bookmarkStart w:id="490" w:name="_Toc29198"/>
      <w:bookmarkStart w:id="491" w:name="_Toc6312"/>
      <w:bookmarkStart w:id="492" w:name="_Toc528607276"/>
      <w:bookmarkStart w:id="493" w:name="_Toc523306811"/>
      <w:bookmarkStart w:id="494" w:name="_Toc528880308"/>
      <w:bookmarkStart w:id="495" w:name="_Toc526004947"/>
      <w:bookmarkStart w:id="496" w:name="_Toc16675055"/>
      <w:bookmarkStart w:id="497" w:name="_Toc30312"/>
      <w:bookmarkStart w:id="498" w:name="_Toc9090"/>
      <w:bookmarkStart w:id="499" w:name="_Toc527881102"/>
      <w:bookmarkStart w:id="500" w:name="_Toc16502"/>
      <w:r>
        <w:rPr>
          <w:rFonts w:cs="Times New Roman"/>
        </w:rPr>
        <w:t>4.1.</w:t>
      </w:r>
      <w:r>
        <w:rPr>
          <w:rFonts w:hint="eastAsia" w:cs="Times New Roman"/>
        </w:rPr>
        <w:t>4自来水普及率</w:t>
      </w:r>
      <w:bookmarkEnd w:id="489"/>
      <w:bookmarkEnd w:id="490"/>
      <w:bookmarkEnd w:id="491"/>
      <w:bookmarkEnd w:id="492"/>
      <w:bookmarkEnd w:id="493"/>
      <w:bookmarkEnd w:id="494"/>
      <w:bookmarkEnd w:id="495"/>
      <w:bookmarkEnd w:id="496"/>
      <w:bookmarkEnd w:id="497"/>
      <w:bookmarkEnd w:id="498"/>
      <w:bookmarkEnd w:id="499"/>
      <w:bookmarkEnd w:id="500"/>
    </w:p>
    <w:p w14:paraId="5D9E514F">
      <w:pPr>
        <w:ind w:firstLine="422" w:firstLineChars="0"/>
        <w:rPr>
          <w:rFonts w:eastAsia="宋体" w:cs="Times New Roman"/>
          <w:szCs w:val="24"/>
        </w:rPr>
      </w:pPr>
      <w:r>
        <w:rPr>
          <w:rFonts w:hint="eastAsia" w:eastAsia="宋体" w:cs="Times New Roman"/>
          <w:lang w:bidi="ar"/>
        </w:rPr>
        <w:t>指接受公共管网集中供水的人口占常住人口的比例</w:t>
      </w:r>
      <w:r>
        <w:rPr>
          <w:rFonts w:hint="eastAsia" w:eastAsia="宋体" w:cs="Times New Roman"/>
          <w:b/>
          <w:bCs/>
          <w:szCs w:val="24"/>
          <w:lang w:bidi="ar"/>
        </w:rPr>
        <w:t>（具体计算公式见附录1）</w:t>
      </w:r>
      <w:r>
        <w:rPr>
          <w:rFonts w:hint="eastAsia" w:eastAsia="宋体" w:cs="Times New Roman"/>
          <w:lang w:bidi="ar"/>
        </w:rPr>
        <w:t>。根据西区供水公司提供的资料，</w:t>
      </w:r>
      <w:r>
        <w:rPr>
          <w:rFonts w:eastAsia="宋体" w:cs="Times New Roman"/>
          <w:lang w:bidi="ar"/>
        </w:rPr>
        <w:t>2017</w:t>
      </w:r>
      <w:r>
        <w:rPr>
          <w:rFonts w:hint="eastAsia" w:eastAsia="宋体" w:cs="Times New Roman"/>
          <w:lang w:bidi="ar"/>
        </w:rPr>
        <w:t>年</w:t>
      </w:r>
      <w:r>
        <w:rPr>
          <w:rFonts w:hint="eastAsia" w:eastAsia="宋体" w:cs="Times New Roman"/>
          <w:szCs w:val="24"/>
          <w:lang w:bidi="ar"/>
        </w:rPr>
        <w:t>，西区常住人口均接受公共管网集中供水，因此西区自来水普及率为</w:t>
      </w:r>
      <w:r>
        <w:rPr>
          <w:rFonts w:eastAsia="宋体" w:cs="Times New Roman"/>
          <w:szCs w:val="24"/>
          <w:lang w:bidi="ar"/>
        </w:rPr>
        <w:t>100%</w:t>
      </w:r>
      <w:r>
        <w:rPr>
          <w:rFonts w:hint="eastAsia" w:eastAsia="宋体" w:cs="Times New Roman"/>
          <w:szCs w:val="24"/>
          <w:lang w:bidi="ar"/>
        </w:rPr>
        <w:t>。随着西区的经济发展，西区常住人口的供水均来自公共管网集中供给，</w:t>
      </w:r>
      <w:r>
        <w:rPr>
          <w:rFonts w:eastAsia="宋体" w:cs="Times New Roman"/>
          <w:szCs w:val="24"/>
          <w:lang w:bidi="ar"/>
        </w:rPr>
        <w:t>2020</w:t>
      </w:r>
      <w:r>
        <w:rPr>
          <w:rFonts w:hint="eastAsia" w:eastAsia="宋体" w:cs="Times New Roman"/>
          <w:szCs w:val="24"/>
          <w:lang w:bidi="ar"/>
        </w:rPr>
        <w:t>年西区自来水普及率的规划目标值为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年西区自来水普及率的规划目标值为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年西区自来水普及率的规划目标值为</w:t>
      </w:r>
      <w:r>
        <w:rPr>
          <w:rFonts w:eastAsia="宋体" w:cs="Times New Roman"/>
          <w:szCs w:val="24"/>
          <w:lang w:bidi="ar"/>
        </w:rPr>
        <w:t>100%</w:t>
      </w:r>
      <w:r>
        <w:rPr>
          <w:rFonts w:hint="eastAsia" w:eastAsia="宋体" w:cs="Times New Roman"/>
          <w:szCs w:val="24"/>
          <w:lang w:bidi="ar"/>
        </w:rPr>
        <w:t>（表</w:t>
      </w:r>
      <w:r>
        <w:rPr>
          <w:rFonts w:eastAsia="宋体" w:cs="Times New Roman"/>
          <w:szCs w:val="24"/>
          <w:lang w:bidi="ar"/>
        </w:rPr>
        <w:t>4-4</w:t>
      </w:r>
      <w:r>
        <w:rPr>
          <w:rFonts w:hint="eastAsia" w:eastAsia="宋体" w:cs="Times New Roman"/>
          <w:szCs w:val="24"/>
          <w:lang w:bidi="ar"/>
        </w:rPr>
        <w:t>）。</w:t>
      </w:r>
    </w:p>
    <w:p w14:paraId="14B71B82">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4-4  </w:t>
      </w:r>
      <w:r>
        <w:rPr>
          <w:rFonts w:hint="eastAsia" w:eastAsia="宋体" w:cs="Times New Roman"/>
          <w:sz w:val="21"/>
          <w:lang w:bidi="ar"/>
        </w:rPr>
        <w:t>西区自来水普及率现状与规划结果</w:t>
      </w:r>
    </w:p>
    <w:tbl>
      <w:tblPr>
        <w:tblStyle w:val="25"/>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1868"/>
        <w:gridCol w:w="1949"/>
        <w:gridCol w:w="1812"/>
        <w:gridCol w:w="1807"/>
      </w:tblGrid>
      <w:tr w14:paraId="4975E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tcBorders>
              <w:top w:val="single" w:color="auto" w:sz="4" w:space="0"/>
              <w:left w:val="single" w:color="auto" w:sz="4" w:space="0"/>
              <w:bottom w:val="single" w:color="auto" w:sz="4" w:space="0"/>
              <w:right w:val="single" w:color="auto" w:sz="4" w:space="0"/>
            </w:tcBorders>
            <w:shd w:val="clear" w:color="auto" w:fill="auto"/>
            <w:vAlign w:val="center"/>
          </w:tcPr>
          <w:p w14:paraId="5D79F59F">
            <w:pPr>
              <w:spacing w:line="240" w:lineRule="auto"/>
              <w:ind w:firstLine="0" w:firstLineChars="0"/>
              <w:jc w:val="center"/>
              <w:rPr>
                <w:rFonts w:cs="Times New Roman"/>
                <w:sz w:val="21"/>
              </w:rPr>
            </w:pPr>
            <w:r>
              <w:rPr>
                <w:rFonts w:hint="eastAsia" w:eastAsia="宋体" w:cs="Times New Roman"/>
                <w:sz w:val="21"/>
                <w:lang w:bidi="ar"/>
              </w:rPr>
              <w:t>指标</w:t>
            </w:r>
          </w:p>
        </w:tc>
        <w:tc>
          <w:tcPr>
            <w:tcW w:w="1868" w:type="dxa"/>
            <w:tcBorders>
              <w:top w:val="single" w:color="auto" w:sz="4" w:space="0"/>
              <w:left w:val="single" w:color="auto" w:sz="4" w:space="0"/>
              <w:bottom w:val="single" w:color="auto" w:sz="4" w:space="0"/>
              <w:right w:val="single" w:color="auto" w:sz="4" w:space="0"/>
            </w:tcBorders>
            <w:shd w:val="clear" w:color="auto" w:fill="auto"/>
            <w:vAlign w:val="center"/>
          </w:tcPr>
          <w:p w14:paraId="629F714A">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18A8C92C">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949" w:type="dxa"/>
            <w:tcBorders>
              <w:top w:val="single" w:color="auto" w:sz="4" w:space="0"/>
              <w:left w:val="single" w:color="auto" w:sz="4" w:space="0"/>
              <w:bottom w:val="single" w:color="auto" w:sz="4" w:space="0"/>
              <w:right w:val="single" w:color="auto" w:sz="4" w:space="0"/>
            </w:tcBorders>
            <w:shd w:val="clear" w:color="auto" w:fill="auto"/>
            <w:vAlign w:val="center"/>
          </w:tcPr>
          <w:p w14:paraId="01117D35">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05D1A642">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807" w:type="dxa"/>
            <w:tcBorders>
              <w:top w:val="single" w:color="auto" w:sz="4" w:space="0"/>
              <w:left w:val="single" w:color="auto" w:sz="4" w:space="0"/>
              <w:bottom w:val="single" w:color="auto" w:sz="4" w:space="0"/>
              <w:right w:val="single" w:color="auto" w:sz="4" w:space="0"/>
            </w:tcBorders>
            <w:shd w:val="clear" w:color="auto" w:fill="auto"/>
            <w:vAlign w:val="center"/>
          </w:tcPr>
          <w:p w14:paraId="676A0F44">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0207D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083" w:type="dxa"/>
            <w:tcBorders>
              <w:top w:val="single" w:color="auto" w:sz="4" w:space="0"/>
              <w:left w:val="single" w:color="auto" w:sz="4" w:space="0"/>
              <w:bottom w:val="single" w:color="auto" w:sz="4" w:space="0"/>
              <w:right w:val="single" w:color="auto" w:sz="4" w:space="0"/>
            </w:tcBorders>
            <w:shd w:val="clear" w:color="auto" w:fill="auto"/>
            <w:vAlign w:val="center"/>
          </w:tcPr>
          <w:p w14:paraId="72CE3D99">
            <w:pPr>
              <w:spacing w:line="240" w:lineRule="auto"/>
              <w:ind w:firstLine="0" w:firstLineChars="0"/>
              <w:jc w:val="center"/>
              <w:rPr>
                <w:rFonts w:cs="Times New Roman"/>
                <w:sz w:val="21"/>
              </w:rPr>
            </w:pPr>
            <w:r>
              <w:rPr>
                <w:rFonts w:hint="eastAsia" w:eastAsia="宋体" w:cs="Times New Roman"/>
                <w:kern w:val="0"/>
                <w:sz w:val="21"/>
                <w:lang w:bidi="ar"/>
              </w:rPr>
              <w:t>自来水普及率</w:t>
            </w:r>
          </w:p>
        </w:tc>
        <w:tc>
          <w:tcPr>
            <w:tcW w:w="1868" w:type="dxa"/>
            <w:tcBorders>
              <w:top w:val="single" w:color="auto" w:sz="4" w:space="0"/>
              <w:left w:val="single" w:color="auto" w:sz="4" w:space="0"/>
              <w:bottom w:val="single" w:color="auto" w:sz="4" w:space="0"/>
              <w:right w:val="single" w:color="auto" w:sz="4" w:space="0"/>
            </w:tcBorders>
            <w:shd w:val="clear" w:color="auto" w:fill="auto"/>
            <w:vAlign w:val="center"/>
          </w:tcPr>
          <w:p w14:paraId="46546B34">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49" w:type="dxa"/>
            <w:tcBorders>
              <w:top w:val="single" w:color="auto" w:sz="4" w:space="0"/>
              <w:left w:val="single" w:color="auto" w:sz="4" w:space="0"/>
              <w:bottom w:val="single" w:color="auto" w:sz="4" w:space="0"/>
              <w:right w:val="single" w:color="auto" w:sz="4" w:space="0"/>
            </w:tcBorders>
            <w:shd w:val="clear" w:color="auto" w:fill="auto"/>
            <w:vAlign w:val="center"/>
          </w:tcPr>
          <w:p w14:paraId="1EFC3C97">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2008C8EA">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07" w:type="dxa"/>
            <w:tcBorders>
              <w:top w:val="single" w:color="auto" w:sz="4" w:space="0"/>
              <w:left w:val="single" w:color="auto" w:sz="4" w:space="0"/>
              <w:bottom w:val="single" w:color="auto" w:sz="4" w:space="0"/>
              <w:right w:val="single" w:color="auto" w:sz="4" w:space="0"/>
            </w:tcBorders>
            <w:shd w:val="clear" w:color="auto" w:fill="auto"/>
            <w:vAlign w:val="center"/>
          </w:tcPr>
          <w:p w14:paraId="35463AEC">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059263F0">
      <w:pPr>
        <w:spacing w:line="240" w:lineRule="auto"/>
        <w:ind w:firstLine="480"/>
        <w:rPr>
          <w:rFonts w:cs="Times New Roman"/>
        </w:rPr>
      </w:pPr>
    </w:p>
    <w:p w14:paraId="682AA190">
      <w:pPr>
        <w:ind w:firstLine="480"/>
        <w:rPr>
          <w:rFonts w:cs="Times New Roman"/>
        </w:rPr>
      </w:pPr>
      <w:r>
        <w:rPr>
          <w:rFonts w:hint="eastAsia" w:eastAsia="宋体" w:cs="Times New Roman"/>
          <w:lang w:bidi="ar"/>
        </w:rPr>
        <w:t>综上述，西区水安全规划目标结果见表</w:t>
      </w:r>
      <w:r>
        <w:rPr>
          <w:rFonts w:eastAsia="宋体" w:cs="Times New Roman"/>
          <w:lang w:bidi="ar"/>
        </w:rPr>
        <w:t>4-5</w:t>
      </w:r>
      <w:r>
        <w:rPr>
          <w:rFonts w:hint="eastAsia" w:eastAsia="宋体" w:cs="Times New Roman"/>
          <w:lang w:bidi="ar"/>
        </w:rPr>
        <w:t>。防洪达标率、自来水普及率预计在规划水平年内达到目标规划值。但排涝达标率与降雨滞蓄率的现状与规划目标值相差明显，未来应完善城区排水系统，提高区域内河涌的防洪排涝标准，进行沿岸违障清理、堤身灌浆、路面修复、损毁岸坡修复、安全设施建设、水文设施建设等堤围养护工作，提高水闸和泵站的排涝能力；将区域内河涌、排涝水闸、排涝泵站、雨污分流管网、雨洪调蓄设施组成排涝体系，以河涌、人工湖、低洼地为调蓄区，在城镇总体规划实施后还可充分利用较低的湿地、绿地、体育运动场等公用场所</w:t>
      </w:r>
      <w:r>
        <w:rPr>
          <w:rFonts w:hint="eastAsia" w:eastAsia="宋体" w:cs="Times New Roman"/>
          <w:lang w:eastAsia="zh-CN" w:bidi="ar"/>
        </w:rPr>
        <w:t>作为</w:t>
      </w:r>
      <w:r>
        <w:rPr>
          <w:rFonts w:hint="eastAsia" w:eastAsia="宋体" w:cs="Times New Roman"/>
          <w:lang w:bidi="ar"/>
        </w:rPr>
        <w:t>调蓄区。结合中山市海绵城市的建设，抓住机会，增加城区内公园、湿地、植被种植等渗透面积的建设，扩大城区有效滞蓄雨洪的调蓄容积，不断提高防洪排涝达标率与降雨滞蓄率。</w:t>
      </w:r>
    </w:p>
    <w:p w14:paraId="3F4452B0">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4-5  </w:t>
      </w:r>
      <w:r>
        <w:rPr>
          <w:rFonts w:hint="eastAsia" w:eastAsia="宋体" w:cs="Times New Roman"/>
          <w:sz w:val="21"/>
          <w:lang w:bidi="ar"/>
        </w:rPr>
        <w:t>西区水安全规划目标结果</w:t>
      </w:r>
    </w:p>
    <w:tbl>
      <w:tblPr>
        <w:tblStyle w:val="25"/>
        <w:tblW w:w="9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6"/>
        <w:gridCol w:w="2030"/>
        <w:gridCol w:w="1808"/>
        <w:gridCol w:w="1787"/>
        <w:gridCol w:w="1929"/>
      </w:tblGrid>
      <w:tr w14:paraId="363A8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0E26C0AC">
            <w:pPr>
              <w:spacing w:line="240" w:lineRule="auto"/>
              <w:ind w:firstLine="0" w:firstLineChars="0"/>
              <w:jc w:val="center"/>
              <w:rPr>
                <w:rFonts w:cs="Times New Roman"/>
                <w:sz w:val="21"/>
              </w:rPr>
            </w:pPr>
            <w:r>
              <w:rPr>
                <w:rFonts w:hint="eastAsia" w:eastAsia="宋体" w:cs="Times New Roman"/>
                <w:sz w:val="21"/>
                <w:lang w:bidi="ar"/>
              </w:rPr>
              <w:t>指标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456114AF">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1D546995">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486C8CCB">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479DE21D">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6EABC1B7">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6FF0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009B8DD4">
            <w:pPr>
              <w:spacing w:line="240" w:lineRule="auto"/>
              <w:ind w:firstLine="0" w:firstLineChars="0"/>
              <w:jc w:val="center"/>
              <w:rPr>
                <w:rFonts w:cs="Times New Roman"/>
                <w:sz w:val="21"/>
              </w:rPr>
            </w:pPr>
            <w:r>
              <w:rPr>
                <w:rFonts w:hint="eastAsia" w:eastAsia="宋体" w:cs="Times New Roman"/>
                <w:sz w:val="21"/>
                <w:lang w:bidi="ar"/>
              </w:rPr>
              <w:t>防洪达标率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2E5C035C">
            <w:pPr>
              <w:widowControl/>
              <w:spacing w:line="240" w:lineRule="auto"/>
              <w:ind w:firstLine="0" w:firstLineChars="0"/>
              <w:rPr>
                <w:rFonts w:cs="Times New Roman"/>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74244E10">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63C3A6A8">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71067EA7">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0A132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8BFDE15">
            <w:pPr>
              <w:spacing w:line="240" w:lineRule="auto"/>
              <w:ind w:firstLine="0" w:firstLineChars="0"/>
              <w:jc w:val="center"/>
              <w:rPr>
                <w:rFonts w:eastAsia="宋体" w:cs="Times New Roman"/>
                <w:sz w:val="21"/>
                <w:lang w:bidi="ar"/>
              </w:rPr>
            </w:pPr>
            <w:r>
              <w:rPr>
                <w:rFonts w:hint="eastAsia" w:eastAsia="宋体" w:cs="Times New Roman"/>
                <w:sz w:val="21"/>
                <w:lang w:bidi="ar"/>
              </w:rPr>
              <w:t>排涝达标率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22FEFFB1">
            <w:pPr>
              <w:widowControl/>
              <w:spacing w:line="240" w:lineRule="auto"/>
              <w:ind w:firstLine="0" w:firstLineChars="0"/>
              <w:rPr>
                <w:rFonts w:eastAsia="宋体" w:cs="Times New Roman"/>
                <w:kern w:val="0"/>
                <w:sz w:val="21"/>
                <w:lang w:bidi="ar"/>
              </w:rPr>
            </w:pPr>
            <w:r>
              <w:rPr>
                <w:rFonts w:hint="eastAsia" w:eastAsia="宋体" w:cs="Times New Roman"/>
                <w:kern w:val="0"/>
                <w:sz w:val="21"/>
                <w:lang w:bidi="ar"/>
              </w:rPr>
              <w:t>81.75</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53452BF6">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7C5574A8">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5E4C89D1">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41B72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280FC1A">
            <w:pPr>
              <w:spacing w:line="240" w:lineRule="auto"/>
              <w:ind w:firstLine="0" w:firstLineChars="0"/>
              <w:jc w:val="center"/>
              <w:rPr>
                <w:rFonts w:cs="Times New Roman"/>
                <w:sz w:val="21"/>
              </w:rPr>
            </w:pPr>
            <w:r>
              <w:rPr>
                <w:rFonts w:hint="eastAsia" w:eastAsia="宋体" w:cs="Times New Roman"/>
                <w:sz w:val="21"/>
                <w:lang w:bidi="ar"/>
              </w:rPr>
              <w:t>降雨滞蓄率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3F39D98C">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6021DB74">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6E57D145">
            <w:pPr>
              <w:widowControl/>
              <w:spacing w:line="240" w:lineRule="auto"/>
              <w:ind w:firstLine="0" w:firstLineChars="0"/>
              <w:jc w:val="center"/>
              <w:rPr>
                <w:rFonts w:cs="Times New Roman"/>
                <w:kern w:val="0"/>
                <w:sz w:val="21"/>
              </w:rPr>
            </w:pPr>
            <w:r>
              <w:rPr>
                <w:rFonts w:eastAsia="宋体" w:cs="Times New Roman"/>
                <w:kern w:val="0"/>
                <w:sz w:val="21"/>
                <w:lang w:bidi="ar"/>
              </w:rPr>
              <w:t>11%</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067801AD">
            <w:pPr>
              <w:widowControl/>
              <w:spacing w:line="240" w:lineRule="auto"/>
              <w:ind w:firstLine="0" w:firstLineChars="0"/>
              <w:jc w:val="center"/>
              <w:rPr>
                <w:rFonts w:cs="Times New Roman"/>
                <w:kern w:val="0"/>
                <w:sz w:val="21"/>
              </w:rPr>
            </w:pPr>
            <w:r>
              <w:rPr>
                <w:rFonts w:hint="eastAsia" w:eastAsia="宋体" w:cs="Times New Roman"/>
                <w:kern w:val="0"/>
                <w:sz w:val="21"/>
                <w:lang w:bidi="ar"/>
              </w:rPr>
              <w:t>1</w:t>
            </w:r>
            <w:r>
              <w:rPr>
                <w:rFonts w:eastAsia="宋体" w:cs="Times New Roman"/>
                <w:kern w:val="0"/>
                <w:sz w:val="21"/>
                <w:lang w:bidi="ar"/>
              </w:rPr>
              <w:t>2%</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0ED72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04B9FB38">
            <w:pPr>
              <w:spacing w:line="240" w:lineRule="auto"/>
              <w:ind w:firstLine="0" w:firstLineChars="0"/>
              <w:jc w:val="center"/>
              <w:rPr>
                <w:rFonts w:cs="Times New Roman"/>
                <w:kern w:val="0"/>
                <w:sz w:val="21"/>
              </w:rPr>
            </w:pPr>
            <w:r>
              <w:rPr>
                <w:rFonts w:hint="eastAsia" w:eastAsia="宋体" w:cs="Times New Roman"/>
                <w:sz w:val="21"/>
                <w:lang w:bidi="ar"/>
              </w:rPr>
              <w:t>自来水普及率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5D91BB4B">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77AE4DCB">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5BF06CFE">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4B8AC4FD">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409B0CD0">
      <w:pPr>
        <w:spacing w:line="240" w:lineRule="auto"/>
        <w:ind w:firstLine="480"/>
      </w:pPr>
      <w:bookmarkStart w:id="501" w:name="_Toc528607277"/>
    </w:p>
    <w:p w14:paraId="554D5020">
      <w:pPr>
        <w:pStyle w:val="4"/>
        <w:widowControl/>
        <w:spacing w:before="0" w:after="0" w:line="360" w:lineRule="auto"/>
        <w:rPr>
          <w:rFonts w:cs="Times New Roman"/>
        </w:rPr>
      </w:pPr>
      <w:bookmarkStart w:id="502" w:name="_Toc16675056"/>
      <w:r>
        <w:rPr>
          <w:rFonts w:cs="Times New Roman"/>
        </w:rPr>
        <w:t>4.2</w:t>
      </w:r>
      <w:r>
        <w:rPr>
          <w:rFonts w:hint="eastAsia" w:cs="Times New Roman"/>
        </w:rPr>
        <w:t>水环境指标体系建设</w:t>
      </w:r>
      <w:bookmarkEnd w:id="501"/>
      <w:bookmarkEnd w:id="502"/>
    </w:p>
    <w:p w14:paraId="4FFB32D8">
      <w:pPr>
        <w:ind w:firstLine="480"/>
        <w:rPr>
          <w:rFonts w:cs="Times New Roman"/>
          <w:szCs w:val="28"/>
        </w:rPr>
      </w:pPr>
      <w:r>
        <w:rPr>
          <w:rFonts w:hint="eastAsia" w:eastAsia="宋体" w:cs="Times New Roman"/>
          <w:lang w:bidi="ar"/>
        </w:rPr>
        <w:t>水环境评价主要评估区域水环境质量和水污染防治水平，包括水功能区水质达标率、废污水达标处理率、水功能区限制纳污控制率3项通用指标。</w:t>
      </w:r>
    </w:p>
    <w:p w14:paraId="45082BB7">
      <w:pPr>
        <w:pStyle w:val="3"/>
        <w:widowControl/>
        <w:spacing w:before="0" w:after="0" w:line="360" w:lineRule="auto"/>
        <w:rPr>
          <w:rFonts w:cs="Times New Roman"/>
        </w:rPr>
      </w:pPr>
      <w:bookmarkStart w:id="503" w:name="_Toc523306813"/>
      <w:bookmarkStart w:id="504" w:name="_Toc25552"/>
      <w:bookmarkStart w:id="505" w:name="_Toc527881104"/>
      <w:bookmarkStart w:id="506" w:name="_Toc528880310"/>
      <w:bookmarkStart w:id="507" w:name="_Toc23541"/>
      <w:bookmarkStart w:id="508" w:name="_Toc528607278"/>
      <w:bookmarkStart w:id="509" w:name="_Toc23233"/>
      <w:bookmarkStart w:id="510" w:name="_Toc526004949"/>
      <w:bookmarkStart w:id="511" w:name="_Toc14931"/>
      <w:bookmarkStart w:id="512" w:name="_Toc6554"/>
      <w:bookmarkStart w:id="513" w:name="_Toc16675057"/>
      <w:bookmarkStart w:id="514" w:name="_Toc25071"/>
      <w:r>
        <w:rPr>
          <w:rFonts w:cs="Times New Roman"/>
        </w:rPr>
        <w:t>4.2.1</w:t>
      </w:r>
      <w:r>
        <w:rPr>
          <w:rFonts w:hint="eastAsia" w:cs="Times New Roman"/>
        </w:rPr>
        <w:t>水功能区水质达标率</w:t>
      </w:r>
      <w:bookmarkEnd w:id="503"/>
      <w:bookmarkEnd w:id="504"/>
      <w:bookmarkEnd w:id="505"/>
      <w:bookmarkEnd w:id="506"/>
      <w:bookmarkEnd w:id="507"/>
      <w:bookmarkEnd w:id="508"/>
      <w:bookmarkEnd w:id="509"/>
      <w:bookmarkEnd w:id="510"/>
      <w:bookmarkEnd w:id="511"/>
      <w:bookmarkEnd w:id="512"/>
      <w:bookmarkEnd w:id="513"/>
      <w:bookmarkEnd w:id="514"/>
    </w:p>
    <w:p w14:paraId="744B710C">
      <w:pPr>
        <w:ind w:firstLine="480"/>
        <w:rPr>
          <w:rFonts w:eastAsia="宋体" w:cs="Times New Roman"/>
          <w:szCs w:val="24"/>
        </w:rPr>
      </w:pPr>
      <w:r>
        <w:rPr>
          <w:rFonts w:hint="eastAsia" w:eastAsia="宋体" w:cs="Times New Roman"/>
          <w:lang w:bidi="ar"/>
        </w:rPr>
        <w:t>指水质达标水功能区数量比例，水质达标水功能区数量与水功能区总数之比</w:t>
      </w:r>
      <w:r>
        <w:rPr>
          <w:rFonts w:hint="eastAsia" w:eastAsia="宋体" w:cs="Times New Roman"/>
          <w:b/>
          <w:bCs/>
          <w:szCs w:val="24"/>
          <w:lang w:bidi="ar"/>
        </w:rPr>
        <w:t>（具体计算公式见附录1）</w:t>
      </w:r>
      <w:r>
        <w:rPr>
          <w:rFonts w:hint="eastAsia" w:eastAsia="宋体" w:cs="Times New Roman"/>
          <w:lang w:bidi="ar"/>
        </w:rPr>
        <w:t>。</w:t>
      </w:r>
      <w:r>
        <w:rPr>
          <w:rFonts w:hint="eastAsia" w:eastAsia="宋体" w:cs="Times New Roman"/>
          <w:szCs w:val="24"/>
          <w:lang w:bidi="ar"/>
        </w:rPr>
        <w:t>目前西区的河流水功能区有狮滘河、十六顷排灌渠、悦生涌、石特涌、沙朗涌、南八涌、南六涌、岐江河等8个，水功能区水质达标率为0</w:t>
      </w:r>
      <w:r>
        <w:rPr>
          <w:rFonts w:eastAsia="宋体" w:cs="Times New Roman"/>
          <w:szCs w:val="24"/>
          <w:lang w:bidi="ar"/>
        </w:rPr>
        <w:t>%</w:t>
      </w:r>
      <w:r>
        <w:rPr>
          <w:rFonts w:hint="eastAsia" w:eastAsia="宋体" w:cs="Times New Roman"/>
          <w:szCs w:val="24"/>
          <w:lang w:bidi="ar"/>
        </w:rPr>
        <w:t>。根据《中山市</w:t>
      </w:r>
      <w:r>
        <w:rPr>
          <w:rFonts w:eastAsia="宋体" w:cs="Times New Roman"/>
          <w:szCs w:val="24"/>
          <w:lang w:bidi="ar"/>
        </w:rPr>
        <w:t>2016-2020</w:t>
      </w:r>
      <w:r>
        <w:rPr>
          <w:rFonts w:hint="eastAsia" w:eastAsia="宋体" w:cs="Times New Roman"/>
          <w:szCs w:val="24"/>
          <w:lang w:bidi="ar"/>
        </w:rPr>
        <w:t>年度最严格水资源管理制度考核实施细则》要求，</w:t>
      </w:r>
      <w:r>
        <w:rPr>
          <w:rFonts w:eastAsia="宋体" w:cs="Times New Roman"/>
          <w:lang w:bidi="ar"/>
        </w:rPr>
        <w:t>2020</w:t>
      </w:r>
      <w:r>
        <w:rPr>
          <w:rFonts w:hint="eastAsia" w:eastAsia="宋体" w:cs="Times New Roman"/>
          <w:lang w:bidi="ar"/>
        </w:rPr>
        <w:t>年西区水功能区水质达标率的规划目标值为</w:t>
      </w:r>
      <w:r>
        <w:rPr>
          <w:rFonts w:eastAsia="宋体" w:cs="Times New Roman"/>
          <w:lang w:bidi="ar"/>
        </w:rPr>
        <w:t>80%</w:t>
      </w:r>
      <w:r>
        <w:rPr>
          <w:rFonts w:hint="eastAsia" w:eastAsia="宋体" w:cs="Times New Roman"/>
          <w:lang w:bidi="ar"/>
        </w:rPr>
        <w:t>，根据《中山市中顺大围内河河网综合规划》要求，</w:t>
      </w:r>
      <w:r>
        <w:rPr>
          <w:rFonts w:eastAsia="宋体" w:cs="Times New Roman"/>
          <w:lang w:bidi="ar"/>
        </w:rPr>
        <w:t>2025</w:t>
      </w:r>
      <w:r>
        <w:rPr>
          <w:rFonts w:hint="eastAsia" w:eastAsia="宋体" w:cs="Times New Roman"/>
          <w:lang w:bidi="ar"/>
        </w:rPr>
        <w:t>年西区水功能区水质达标率的规划目标值为</w:t>
      </w:r>
      <w:r>
        <w:rPr>
          <w:rFonts w:eastAsia="宋体" w:cs="Times New Roman"/>
          <w:lang w:bidi="ar"/>
        </w:rPr>
        <w:t>95%</w:t>
      </w:r>
      <w:r>
        <w:rPr>
          <w:rFonts w:hint="eastAsia" w:eastAsia="宋体" w:cs="Times New Roman"/>
          <w:lang w:bidi="ar"/>
        </w:rPr>
        <w:t>，</w:t>
      </w:r>
      <w:r>
        <w:rPr>
          <w:rFonts w:eastAsia="宋体" w:cs="Times New Roman"/>
          <w:lang w:bidi="ar"/>
        </w:rPr>
        <w:t>2030</w:t>
      </w:r>
      <w:r>
        <w:rPr>
          <w:rFonts w:hint="eastAsia" w:eastAsia="宋体" w:cs="Times New Roman"/>
          <w:lang w:bidi="ar"/>
        </w:rPr>
        <w:t>年西区水功能区水质达标率的规划目标值为</w:t>
      </w:r>
      <w:r>
        <w:rPr>
          <w:rFonts w:eastAsia="宋体" w:cs="Times New Roman"/>
          <w:lang w:bidi="ar"/>
        </w:rPr>
        <w:t>100%</w:t>
      </w:r>
      <w:r>
        <w:rPr>
          <w:rFonts w:hint="eastAsia" w:eastAsia="宋体" w:cs="Times New Roman"/>
          <w:lang w:bidi="ar"/>
        </w:rPr>
        <w:t>（表</w:t>
      </w:r>
      <w:r>
        <w:rPr>
          <w:rFonts w:eastAsia="宋体" w:cs="Times New Roman"/>
          <w:lang w:bidi="ar"/>
        </w:rPr>
        <w:t>4-6</w:t>
      </w:r>
      <w:r>
        <w:rPr>
          <w:rFonts w:hint="eastAsia" w:eastAsia="宋体" w:cs="Times New Roman"/>
          <w:lang w:bidi="ar"/>
        </w:rPr>
        <w:t>），</w:t>
      </w:r>
      <w:r>
        <w:rPr>
          <w:rFonts w:hint="eastAsia" w:eastAsia="宋体" w:cs="Times New Roman"/>
          <w:szCs w:val="24"/>
          <w:lang w:bidi="ar"/>
        </w:rPr>
        <w:t>为达到规划目标值，应定期监测，防止居民生活污水及生活垃圾随意排入内河涌和企业偷排污水，控制在一定的排污量，使入河排污量不超出其纳污能力范围之内。重点监测防止石特涌、狮滘河、岐江河、悦生涌、十六顷涌等沿河的企业向河涌内直接排污水，对于污染严重河段进行清淤处理。并进一步通过开展内河涌护岸生态整治、曝气复氧、水体原位生态修复、生态浮床、水生物构建、调水补水等水生态修复工程措施。</w:t>
      </w:r>
    </w:p>
    <w:p w14:paraId="55FCF7ED">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4-6  </w:t>
      </w:r>
      <w:r>
        <w:rPr>
          <w:rFonts w:hint="eastAsia" w:eastAsia="宋体" w:cs="Times New Roman"/>
          <w:sz w:val="21"/>
          <w:lang w:bidi="ar"/>
        </w:rPr>
        <w:t>西区水功能区水质达标率现状与规划结果</w:t>
      </w:r>
    </w:p>
    <w:tbl>
      <w:tblPr>
        <w:tblStyle w:val="25"/>
        <w:tblW w:w="8518" w:type="dxa"/>
        <w:jc w:val="center"/>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07"/>
        <w:gridCol w:w="1994"/>
        <w:gridCol w:w="1539"/>
        <w:gridCol w:w="1539"/>
        <w:gridCol w:w="1539"/>
      </w:tblGrid>
      <w:tr w14:paraId="2104F945">
        <w:tblPrEx>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E9CBD">
            <w:pPr>
              <w:spacing w:line="240" w:lineRule="auto"/>
              <w:ind w:firstLine="0" w:firstLineChars="0"/>
              <w:jc w:val="center"/>
              <w:rPr>
                <w:rFonts w:cs="Times New Roman"/>
                <w:sz w:val="21"/>
              </w:rPr>
            </w:pPr>
            <w:r>
              <w:rPr>
                <w:rFonts w:hint="eastAsia" w:eastAsia="宋体" w:cs="Times New Roman"/>
                <w:sz w:val="21"/>
                <w:lang w:bidi="ar"/>
              </w:rPr>
              <w:t>指标</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3B731">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11B0475C">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559F9">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59E18">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89D63">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2664957">
        <w:tblPrEx>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6" w:hRule="atLeast"/>
          <w:jc w:val="center"/>
        </w:trPr>
        <w:tc>
          <w:tcPr>
            <w:tcW w:w="1907" w:type="dxa"/>
            <w:tcBorders>
              <w:top w:val="single" w:color="000000" w:sz="4" w:space="0"/>
              <w:left w:val="single" w:color="000000" w:sz="4" w:space="0"/>
              <w:bottom w:val="single" w:color="auto" w:sz="4" w:space="0"/>
              <w:right w:val="single" w:color="000000" w:sz="4" w:space="0"/>
            </w:tcBorders>
            <w:shd w:val="clear" w:color="auto" w:fill="auto"/>
            <w:vAlign w:val="center"/>
          </w:tcPr>
          <w:p w14:paraId="3CD75A40">
            <w:pPr>
              <w:spacing w:line="240" w:lineRule="auto"/>
              <w:ind w:firstLine="0" w:firstLineChars="0"/>
              <w:jc w:val="center"/>
              <w:rPr>
                <w:rFonts w:cs="Times New Roman"/>
                <w:sz w:val="21"/>
              </w:rPr>
            </w:pPr>
            <w:r>
              <w:rPr>
                <w:rFonts w:hint="eastAsia" w:eastAsia="宋体" w:cs="Times New Roman"/>
                <w:kern w:val="0"/>
                <w:sz w:val="21"/>
                <w:lang w:bidi="ar"/>
              </w:rPr>
              <w:t>水功能区水质达标率</w:t>
            </w:r>
          </w:p>
        </w:tc>
        <w:tc>
          <w:tcPr>
            <w:tcW w:w="1994" w:type="dxa"/>
            <w:tcBorders>
              <w:top w:val="single" w:color="000000" w:sz="4" w:space="0"/>
              <w:left w:val="single" w:color="000000" w:sz="4" w:space="0"/>
              <w:bottom w:val="single" w:color="auto" w:sz="4" w:space="0"/>
              <w:right w:val="single" w:color="000000" w:sz="4" w:space="0"/>
            </w:tcBorders>
            <w:shd w:val="clear" w:color="auto" w:fill="auto"/>
            <w:vAlign w:val="center"/>
          </w:tcPr>
          <w:p w14:paraId="1C4E3695">
            <w:pPr>
              <w:widowControl/>
              <w:spacing w:line="240" w:lineRule="auto"/>
              <w:ind w:firstLine="0" w:firstLineChars="0"/>
              <w:rPr>
                <w:rFonts w:cs="Times New Roman"/>
                <w:kern w:val="0"/>
                <w:sz w:val="21"/>
              </w:rPr>
            </w:pPr>
            <w:r>
              <w:rPr>
                <w:rFonts w:hint="eastAsia" w:eastAsia="宋体" w:cs="Times New Roman"/>
                <w:kern w:val="0"/>
                <w:sz w:val="21"/>
                <w:lang w:bidi="ar"/>
              </w:rPr>
              <w:t>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539" w:type="dxa"/>
            <w:tcBorders>
              <w:top w:val="single" w:color="000000" w:sz="4" w:space="0"/>
              <w:left w:val="single" w:color="000000" w:sz="4" w:space="0"/>
              <w:bottom w:val="single" w:color="auto" w:sz="4" w:space="0"/>
              <w:right w:val="single" w:color="000000" w:sz="4" w:space="0"/>
            </w:tcBorders>
            <w:shd w:val="clear" w:color="auto" w:fill="auto"/>
            <w:vAlign w:val="center"/>
          </w:tcPr>
          <w:p w14:paraId="102D270D">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539" w:type="dxa"/>
            <w:tcBorders>
              <w:top w:val="single" w:color="000000" w:sz="4" w:space="0"/>
              <w:left w:val="single" w:color="000000" w:sz="4" w:space="0"/>
              <w:bottom w:val="single" w:color="auto" w:sz="4" w:space="0"/>
              <w:right w:val="single" w:color="000000" w:sz="4" w:space="0"/>
            </w:tcBorders>
            <w:shd w:val="clear" w:color="auto" w:fill="auto"/>
            <w:vAlign w:val="center"/>
          </w:tcPr>
          <w:p w14:paraId="3801EB6B">
            <w:pPr>
              <w:widowControl/>
              <w:spacing w:line="240" w:lineRule="auto"/>
              <w:ind w:firstLine="0" w:firstLineChars="0"/>
              <w:jc w:val="center"/>
              <w:rPr>
                <w:rFonts w:cs="Times New Roman"/>
                <w:kern w:val="0"/>
                <w:sz w:val="21"/>
              </w:rPr>
            </w:pPr>
            <w:r>
              <w:rPr>
                <w:rFonts w:eastAsia="宋体" w:cs="Times New Roman"/>
                <w:kern w:val="0"/>
                <w:sz w:val="21"/>
                <w:lang w:bidi="ar"/>
              </w:rPr>
              <w:t>95%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539" w:type="dxa"/>
            <w:tcBorders>
              <w:top w:val="single" w:color="000000" w:sz="4" w:space="0"/>
              <w:left w:val="single" w:color="000000" w:sz="4" w:space="0"/>
              <w:bottom w:val="single" w:color="auto" w:sz="4" w:space="0"/>
              <w:right w:val="single" w:color="000000" w:sz="4" w:space="0"/>
            </w:tcBorders>
            <w:shd w:val="clear" w:color="auto" w:fill="auto"/>
            <w:vAlign w:val="center"/>
          </w:tcPr>
          <w:p w14:paraId="6E72D497">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278222F3">
      <w:pPr>
        <w:spacing w:line="240" w:lineRule="auto"/>
        <w:ind w:firstLine="480"/>
        <w:rPr>
          <w:rFonts w:cs="Times New Roman"/>
        </w:rPr>
      </w:pPr>
      <w:bookmarkStart w:id="515" w:name="_Toc523306814"/>
      <w:bookmarkStart w:id="516" w:name="_Toc526004950"/>
      <w:bookmarkStart w:id="517" w:name="_Toc527881105"/>
    </w:p>
    <w:bookmarkEnd w:id="515"/>
    <w:bookmarkEnd w:id="516"/>
    <w:bookmarkEnd w:id="517"/>
    <w:p w14:paraId="297E7958">
      <w:pPr>
        <w:pStyle w:val="3"/>
        <w:widowControl/>
        <w:spacing w:before="0" w:after="0" w:line="360" w:lineRule="auto"/>
        <w:rPr>
          <w:rFonts w:cs="Times New Roman"/>
        </w:rPr>
      </w:pPr>
      <w:bookmarkStart w:id="518" w:name="_Toc528880312"/>
      <w:bookmarkStart w:id="519" w:name="_Toc16675058"/>
      <w:bookmarkStart w:id="520" w:name="_Toc29024"/>
      <w:bookmarkStart w:id="521" w:name="_Toc526004951"/>
      <w:bookmarkStart w:id="522" w:name="_Toc20713"/>
      <w:bookmarkStart w:id="523" w:name="_Toc527881106"/>
      <w:bookmarkStart w:id="524" w:name="_Toc32523"/>
      <w:bookmarkStart w:id="525" w:name="_Toc10990"/>
      <w:bookmarkStart w:id="526" w:name="_Toc528607280"/>
      <w:bookmarkStart w:id="527" w:name="_Toc523306815"/>
      <w:bookmarkStart w:id="528" w:name="_Toc4227"/>
      <w:bookmarkStart w:id="529" w:name="_Toc19306"/>
      <w:r>
        <w:rPr>
          <w:rFonts w:cs="Times New Roman"/>
        </w:rPr>
        <w:t>4.2.</w:t>
      </w:r>
      <w:r>
        <w:rPr>
          <w:rFonts w:hint="eastAsia" w:cs="Times New Roman"/>
        </w:rPr>
        <w:t>2废污水达标处理率</w:t>
      </w:r>
      <w:bookmarkEnd w:id="518"/>
      <w:bookmarkEnd w:id="519"/>
      <w:bookmarkEnd w:id="520"/>
      <w:bookmarkEnd w:id="521"/>
      <w:bookmarkEnd w:id="522"/>
      <w:bookmarkEnd w:id="523"/>
      <w:bookmarkEnd w:id="524"/>
      <w:bookmarkEnd w:id="525"/>
      <w:bookmarkEnd w:id="526"/>
      <w:bookmarkEnd w:id="527"/>
      <w:bookmarkEnd w:id="528"/>
      <w:bookmarkEnd w:id="529"/>
    </w:p>
    <w:p w14:paraId="15999879">
      <w:pPr>
        <w:ind w:firstLine="480"/>
        <w:rPr>
          <w:rFonts w:cs="Times New Roman"/>
        </w:rPr>
      </w:pPr>
      <w:r>
        <w:rPr>
          <w:rFonts w:hint="eastAsia" w:eastAsia="宋体" w:cs="Times New Roman"/>
          <w:lang w:bidi="ar"/>
        </w:rPr>
        <w:t>指城镇居民生活污水和工业废水达标处理量与废污水排放总量的比值。废污水达标处理率指标</w:t>
      </w:r>
      <w:r>
        <w:rPr>
          <w:rFonts w:hint="eastAsia" w:ascii="宋体" w:hAnsi="宋体" w:eastAsia="宋体" w:cs="Times New Roman"/>
          <w:lang w:bidi="ar"/>
        </w:rPr>
        <w:t>的“</w:t>
      </w:r>
      <w:r>
        <w:rPr>
          <w:rFonts w:eastAsia="宋体" w:cs="Times New Roman"/>
          <w:lang w:bidi="ar"/>
        </w:rPr>
        <w:t>I</w:t>
      </w:r>
      <w:r>
        <w:rPr>
          <w:rFonts w:hint="eastAsia" w:ascii="宋体" w:hAnsi="宋体" w:eastAsia="宋体" w:cs="Times New Roman"/>
          <w:lang w:bidi="ar"/>
        </w:rPr>
        <w:t>”级</w:t>
      </w:r>
      <w:r>
        <w:rPr>
          <w:rFonts w:hint="eastAsia" w:eastAsia="宋体" w:cs="Times New Roman"/>
          <w:lang w:bidi="ar"/>
        </w:rPr>
        <w:t>评分标准除应满足</w:t>
      </w:r>
      <w:r>
        <w:rPr>
          <w:rFonts w:eastAsia="宋体" w:cs="Times New Roman"/>
          <w:lang w:bidi="ar"/>
        </w:rPr>
        <w:t>95%</w:t>
      </w:r>
      <w:r>
        <w:rPr>
          <w:rFonts w:hint="eastAsia" w:eastAsia="宋体" w:cs="Times New Roman"/>
          <w:lang w:bidi="ar"/>
        </w:rPr>
        <w:t>以上的指标值要求以外，还需同时满足区域内所有城镇集中式污水处理厂排放标准达到或优于</w:t>
      </w:r>
      <w:r>
        <w:rPr>
          <w:rFonts w:eastAsia="宋体" w:cs="Times New Roman"/>
          <w:lang w:bidi="ar"/>
        </w:rPr>
        <w:t>GB18918</w:t>
      </w:r>
      <w:r>
        <w:rPr>
          <w:rFonts w:hint="eastAsia" w:eastAsia="宋体" w:cs="Times New Roman"/>
          <w:lang w:bidi="ar"/>
        </w:rPr>
        <w:t>的一级</w:t>
      </w:r>
      <w:r>
        <w:rPr>
          <w:rFonts w:eastAsia="宋体" w:cs="Times New Roman"/>
          <w:lang w:bidi="ar"/>
        </w:rPr>
        <w:t>A</w:t>
      </w:r>
      <w:r>
        <w:rPr>
          <w:rFonts w:hint="eastAsia" w:eastAsia="宋体" w:cs="Times New Roman"/>
          <w:lang w:bidi="ar"/>
        </w:rPr>
        <w:t>排放标准，否则</w:t>
      </w:r>
      <w:r>
        <w:rPr>
          <w:rFonts w:hint="eastAsia" w:ascii="宋体" w:hAnsi="宋体" w:eastAsia="宋体" w:cs="Times New Roman"/>
          <w:lang w:bidi="ar"/>
        </w:rPr>
        <w:t>按“</w:t>
      </w:r>
      <w:r>
        <w:rPr>
          <w:rFonts w:eastAsia="宋体" w:cs="Times New Roman"/>
          <w:lang w:bidi="ar"/>
        </w:rPr>
        <w:t>II</w:t>
      </w:r>
      <w:r>
        <w:rPr>
          <w:rFonts w:hint="eastAsia" w:ascii="宋体" w:hAnsi="宋体" w:eastAsia="宋体" w:cs="Times New Roman"/>
          <w:lang w:bidi="ar"/>
        </w:rPr>
        <w:t>”级进</w:t>
      </w:r>
      <w:r>
        <w:rPr>
          <w:rFonts w:hint="eastAsia" w:eastAsia="宋体" w:cs="Times New Roman"/>
          <w:lang w:bidi="ar"/>
        </w:rPr>
        <w:t>行评价</w:t>
      </w:r>
      <w:r>
        <w:rPr>
          <w:rFonts w:hint="eastAsia" w:eastAsia="宋体" w:cs="Times New Roman"/>
          <w:b/>
          <w:bCs/>
          <w:szCs w:val="24"/>
          <w:lang w:bidi="ar"/>
        </w:rPr>
        <w:t>（具体计算公式见附录1）</w:t>
      </w:r>
      <w:r>
        <w:rPr>
          <w:rFonts w:hint="eastAsia" w:eastAsia="宋体" w:cs="Times New Roman"/>
          <w:lang w:bidi="ar"/>
        </w:rPr>
        <w:t>。</w:t>
      </w:r>
    </w:p>
    <w:p w14:paraId="511AC3F2">
      <w:pPr>
        <w:ind w:firstLine="480"/>
        <w:rPr>
          <w:rFonts w:cs="Times New Roman"/>
        </w:rPr>
      </w:pPr>
      <w:r>
        <w:rPr>
          <w:rFonts w:hint="eastAsia" w:eastAsia="宋体" w:cs="Times New Roman"/>
          <w:szCs w:val="24"/>
          <w:lang w:bidi="ar"/>
        </w:rPr>
        <w:t>西区是中山市中心城区，发展前期大部分企业直排污水到河涌，加上居民生活污水及生活垃圾随意排入内河涌。根据西区提供的数据，2017年西区生活污水处理率为90%，西区的工业污水均经处理后达标排放，工业废水达标率为100%，因此2017年西区废污水达标处理率为95%。根据《中山市西区国民经济和社会发展第十三个五年规划纲要（2016年）》，规划2020年全镇生活污</w:t>
      </w:r>
      <w:r>
        <w:rPr>
          <w:rFonts w:eastAsia="宋体" w:cs="Times New Roman"/>
          <w:szCs w:val="24"/>
          <w:lang w:bidi="ar"/>
        </w:rPr>
        <w:t>水处理率达到</w:t>
      </w:r>
      <w:r>
        <w:rPr>
          <w:rFonts w:hint="eastAsia" w:eastAsia="宋体" w:cs="Times New Roman"/>
          <w:szCs w:val="24"/>
          <w:lang w:bidi="ar"/>
        </w:rPr>
        <w:t>10</w:t>
      </w:r>
      <w:r>
        <w:rPr>
          <w:rFonts w:eastAsia="宋体" w:cs="Times New Roman"/>
          <w:szCs w:val="24"/>
          <w:lang w:bidi="ar"/>
        </w:rPr>
        <w:t>0</w:t>
      </w:r>
      <w:r>
        <w:rPr>
          <w:rFonts w:hint="eastAsia" w:eastAsia="宋体" w:cs="Times New Roman"/>
          <w:szCs w:val="24"/>
          <w:lang w:bidi="ar"/>
        </w:rPr>
        <w:t>%</w:t>
      </w:r>
      <w:r>
        <w:rPr>
          <w:rFonts w:eastAsia="宋体" w:cs="Times New Roman"/>
          <w:szCs w:val="24"/>
          <w:lang w:bidi="ar"/>
        </w:rPr>
        <w:t>，</w:t>
      </w:r>
      <w:r>
        <w:rPr>
          <w:rFonts w:hint="eastAsia" w:eastAsia="宋体" w:cs="Times New Roman"/>
          <w:szCs w:val="24"/>
          <w:lang w:bidi="ar"/>
        </w:rPr>
        <w:t>工业污水处理率达到100%。因此</w:t>
      </w:r>
      <w:r>
        <w:rPr>
          <w:rFonts w:eastAsia="宋体" w:cs="Times New Roman"/>
          <w:lang w:bidi="ar"/>
        </w:rPr>
        <w:t>2020</w:t>
      </w:r>
      <w:r>
        <w:rPr>
          <w:rFonts w:hint="eastAsia" w:eastAsia="宋体" w:cs="Times New Roman"/>
          <w:lang w:bidi="ar"/>
        </w:rPr>
        <w:t>年西区废污水达标处理率的规划目标值为100</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年规划目标值为</w:t>
      </w:r>
      <w:r>
        <w:rPr>
          <w:rFonts w:eastAsia="宋体" w:cs="Times New Roman"/>
          <w:lang w:bidi="ar"/>
        </w:rPr>
        <w:t>100%</w:t>
      </w:r>
      <w:r>
        <w:rPr>
          <w:rFonts w:hint="eastAsia" w:eastAsia="宋体" w:cs="Times New Roman"/>
          <w:lang w:bidi="ar"/>
        </w:rPr>
        <w:t>，未全部达到一级</w:t>
      </w:r>
      <w:r>
        <w:rPr>
          <w:rFonts w:eastAsia="宋体" w:cs="Times New Roman"/>
          <w:lang w:bidi="ar"/>
        </w:rPr>
        <w:t>A</w:t>
      </w:r>
      <w:r>
        <w:rPr>
          <w:rFonts w:hint="eastAsia" w:eastAsia="宋体" w:cs="Times New Roman"/>
          <w:lang w:bidi="ar"/>
        </w:rPr>
        <w:t>及以上排放标准，</w:t>
      </w:r>
      <w:r>
        <w:rPr>
          <w:rFonts w:eastAsia="宋体" w:cs="Times New Roman"/>
          <w:lang w:bidi="ar"/>
        </w:rPr>
        <w:t>2030</w:t>
      </w:r>
      <w:r>
        <w:rPr>
          <w:rFonts w:hint="eastAsia" w:eastAsia="宋体" w:cs="Times New Roman"/>
          <w:lang w:bidi="ar"/>
        </w:rPr>
        <w:t>年规划目标值为</w:t>
      </w:r>
      <w:r>
        <w:rPr>
          <w:rFonts w:eastAsia="宋体" w:cs="Times New Roman"/>
          <w:lang w:bidi="ar"/>
        </w:rPr>
        <w:t>100%</w:t>
      </w:r>
      <w:r>
        <w:rPr>
          <w:rFonts w:hint="eastAsia" w:eastAsia="宋体" w:cs="Times New Roman"/>
          <w:lang w:bidi="ar"/>
        </w:rPr>
        <w:t>（表</w:t>
      </w:r>
      <w:r>
        <w:rPr>
          <w:rFonts w:eastAsia="宋体" w:cs="Times New Roman"/>
          <w:lang w:bidi="ar"/>
        </w:rPr>
        <w:t>4-</w:t>
      </w:r>
      <w:r>
        <w:rPr>
          <w:rFonts w:hint="eastAsia" w:eastAsia="宋体" w:cs="Times New Roman"/>
          <w:lang w:bidi="ar"/>
        </w:rPr>
        <w:t>7），且全部达到一级</w:t>
      </w:r>
      <w:r>
        <w:rPr>
          <w:rFonts w:eastAsia="宋体" w:cs="Times New Roman"/>
          <w:lang w:bidi="ar"/>
        </w:rPr>
        <w:t>A</w:t>
      </w:r>
      <w:r>
        <w:rPr>
          <w:rFonts w:hint="eastAsia" w:eastAsia="宋体" w:cs="Times New Roman"/>
          <w:lang w:bidi="ar"/>
        </w:rPr>
        <w:t>及以上排放标准，为达到规划目标值，应对废污水排放量大的企业进行时时监控，保证其排出废污水经过污水处理厂进行处理达标后再排到河涌，必要时关掉耗水量大、废污水排放量大的企业；西区的雨污分流工程建设可减少污水直排河涌的量。</w:t>
      </w:r>
    </w:p>
    <w:p w14:paraId="660D5A43">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7</w:t>
      </w:r>
      <w:r>
        <w:rPr>
          <w:rFonts w:eastAsia="宋体" w:cs="Times New Roman"/>
          <w:sz w:val="21"/>
          <w:lang w:bidi="ar"/>
        </w:rPr>
        <w:t xml:space="preserve">  </w:t>
      </w:r>
      <w:r>
        <w:rPr>
          <w:rFonts w:hint="eastAsia" w:eastAsia="宋体" w:cs="Times New Roman"/>
          <w:sz w:val="21"/>
          <w:lang w:bidi="ar"/>
        </w:rPr>
        <w:t>西区废污水达标处理率现状与规划结果</w:t>
      </w:r>
    </w:p>
    <w:tbl>
      <w:tblPr>
        <w:tblStyle w:val="25"/>
        <w:tblW w:w="86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3"/>
        <w:gridCol w:w="1895"/>
        <w:gridCol w:w="1894"/>
        <w:gridCol w:w="1911"/>
        <w:gridCol w:w="1800"/>
      </w:tblGrid>
      <w:tr w14:paraId="4732B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14:paraId="4A8B5661">
            <w:pPr>
              <w:spacing w:line="240" w:lineRule="auto"/>
              <w:ind w:firstLine="0" w:firstLineChars="0"/>
              <w:jc w:val="center"/>
              <w:rPr>
                <w:rFonts w:cs="Times New Roman"/>
                <w:sz w:val="21"/>
              </w:rPr>
            </w:pPr>
            <w:r>
              <w:rPr>
                <w:rFonts w:hint="eastAsia" w:eastAsia="宋体" w:cs="Times New Roman"/>
                <w:sz w:val="21"/>
                <w:lang w:bidi="ar"/>
              </w:rPr>
              <w:t>指标</w:t>
            </w:r>
          </w:p>
        </w:tc>
        <w:tc>
          <w:tcPr>
            <w:tcW w:w="1895" w:type="dxa"/>
            <w:tcBorders>
              <w:top w:val="single" w:color="auto" w:sz="4" w:space="0"/>
              <w:left w:val="single" w:color="auto" w:sz="4" w:space="0"/>
              <w:bottom w:val="single" w:color="auto" w:sz="4" w:space="0"/>
              <w:right w:val="single" w:color="auto" w:sz="4" w:space="0"/>
            </w:tcBorders>
            <w:shd w:val="clear" w:color="auto" w:fill="auto"/>
            <w:vAlign w:val="center"/>
          </w:tcPr>
          <w:p w14:paraId="16DA9750">
            <w:pPr>
              <w:spacing w:line="240" w:lineRule="auto"/>
              <w:ind w:firstLine="0" w:firstLineChars="0"/>
              <w:jc w:val="center"/>
              <w:rPr>
                <w:rFonts w:cs="Times New Roman"/>
                <w:kern w:val="0"/>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w:t>
            </w:r>
          </w:p>
          <w:p w14:paraId="77FEEA08">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7BED4495">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7C0A9CA4">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272470A4">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76BAF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14:paraId="6D9D2A00">
            <w:pPr>
              <w:spacing w:line="240" w:lineRule="auto"/>
              <w:ind w:firstLine="0" w:firstLineChars="0"/>
              <w:jc w:val="center"/>
              <w:rPr>
                <w:rFonts w:cs="Times New Roman"/>
                <w:sz w:val="21"/>
              </w:rPr>
            </w:pPr>
            <w:r>
              <w:rPr>
                <w:rFonts w:hint="eastAsia" w:eastAsia="宋体" w:cs="Times New Roman"/>
                <w:kern w:val="0"/>
                <w:sz w:val="21"/>
                <w:lang w:bidi="ar"/>
              </w:rPr>
              <w:t>废污水达标处理率</w:t>
            </w:r>
          </w:p>
        </w:tc>
        <w:tc>
          <w:tcPr>
            <w:tcW w:w="1895" w:type="dxa"/>
            <w:tcBorders>
              <w:top w:val="single" w:color="auto" w:sz="4" w:space="0"/>
              <w:left w:val="single" w:color="auto" w:sz="4" w:space="0"/>
              <w:bottom w:val="single" w:color="auto" w:sz="4" w:space="0"/>
              <w:right w:val="single" w:color="auto" w:sz="4" w:space="0"/>
            </w:tcBorders>
            <w:shd w:val="clear" w:color="auto" w:fill="auto"/>
            <w:vAlign w:val="center"/>
          </w:tcPr>
          <w:p w14:paraId="656CA8CB">
            <w:pPr>
              <w:widowControl/>
              <w:spacing w:line="240" w:lineRule="auto"/>
              <w:ind w:firstLine="0" w:firstLineChars="0"/>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、3分、II级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018E725C">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、3分、II级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698E545D">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07A9A94D">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62675016">
      <w:pPr>
        <w:spacing w:line="240" w:lineRule="auto"/>
        <w:ind w:firstLine="480"/>
      </w:pPr>
      <w:bookmarkStart w:id="530" w:name="_Toc28731"/>
      <w:bookmarkStart w:id="531" w:name="_Toc523306801"/>
      <w:bookmarkStart w:id="532" w:name="_Toc528880313"/>
      <w:bookmarkStart w:id="533" w:name="_Toc527881107"/>
      <w:bookmarkStart w:id="534" w:name="_Toc526004954"/>
      <w:bookmarkStart w:id="535" w:name="_Toc19015"/>
      <w:bookmarkStart w:id="536" w:name="_Toc528607281"/>
      <w:bookmarkStart w:id="537" w:name="_Toc5520"/>
    </w:p>
    <w:p w14:paraId="4CC92643">
      <w:pPr>
        <w:pStyle w:val="3"/>
        <w:widowControl/>
        <w:spacing w:before="0" w:after="0" w:line="360" w:lineRule="auto"/>
        <w:rPr>
          <w:rFonts w:cs="Times New Roman"/>
        </w:rPr>
      </w:pPr>
      <w:bookmarkStart w:id="538" w:name="_Toc23194"/>
      <w:bookmarkStart w:id="539" w:name="_Toc19004"/>
      <w:bookmarkStart w:id="540" w:name="_Toc16675059"/>
      <w:bookmarkStart w:id="541" w:name="_Toc32026"/>
      <w:r>
        <w:rPr>
          <w:rFonts w:cs="Times New Roman"/>
        </w:rPr>
        <w:t>4.</w:t>
      </w:r>
      <w:r>
        <w:rPr>
          <w:rFonts w:hint="eastAsia" w:cs="Times New Roman"/>
        </w:rPr>
        <w:t>2</w:t>
      </w:r>
      <w:r>
        <w:rPr>
          <w:rFonts w:cs="Times New Roman"/>
        </w:rPr>
        <w:t>.</w:t>
      </w:r>
      <w:r>
        <w:rPr>
          <w:rFonts w:hint="eastAsia" w:cs="Times New Roman"/>
        </w:rPr>
        <w:t>3水功能区限制纳污控制率</w:t>
      </w:r>
      <w:bookmarkEnd w:id="530"/>
      <w:bookmarkEnd w:id="531"/>
      <w:bookmarkEnd w:id="532"/>
      <w:bookmarkEnd w:id="533"/>
      <w:bookmarkEnd w:id="534"/>
      <w:bookmarkEnd w:id="535"/>
      <w:bookmarkEnd w:id="536"/>
      <w:bookmarkEnd w:id="537"/>
      <w:bookmarkEnd w:id="538"/>
      <w:bookmarkEnd w:id="539"/>
      <w:bookmarkEnd w:id="540"/>
      <w:bookmarkEnd w:id="541"/>
    </w:p>
    <w:p w14:paraId="7412DF10">
      <w:pPr>
        <w:ind w:firstLine="480"/>
        <w:rPr>
          <w:rFonts w:eastAsia="宋体" w:cs="Times New Roman"/>
          <w:szCs w:val="24"/>
        </w:rPr>
      </w:pPr>
      <w:r>
        <w:rPr>
          <w:rFonts w:hint="eastAsia" w:eastAsia="宋体" w:cs="Times New Roman"/>
          <w:szCs w:val="24"/>
          <w:lang w:bidi="ar"/>
        </w:rPr>
        <w:t>指入河排污量在其纳污能力范围之内的水功能区个数占区域水功能区总数的比例</w:t>
      </w:r>
      <w:r>
        <w:rPr>
          <w:rFonts w:hint="eastAsia" w:eastAsia="宋体" w:cs="Times New Roman"/>
          <w:b/>
          <w:bCs/>
          <w:szCs w:val="24"/>
          <w:lang w:bidi="ar"/>
        </w:rPr>
        <w:t>（具体计算公式见附录1）</w:t>
      </w:r>
      <w:r>
        <w:rPr>
          <w:rFonts w:hint="eastAsia" w:eastAsia="宋体" w:cs="Times New Roman"/>
          <w:szCs w:val="24"/>
          <w:lang w:bidi="ar"/>
        </w:rPr>
        <w:t>。</w:t>
      </w:r>
      <w:r>
        <w:rPr>
          <w:rFonts w:hint="eastAsia" w:eastAsia="宋体" w:cs="Times New Roman"/>
          <w:lang w:bidi="ar"/>
        </w:rPr>
        <w:t>目前西区河流水功能区数量为8个，水功能区限制纳污主要考虑COD和氨氮两项指标，只有十六顷排灌渠1个水功能区的COD和氨氮含量达标，十六顷排灌渠的入河排污量在其纳污能力范围之内，</w:t>
      </w:r>
      <w:r>
        <w:rPr>
          <w:rFonts w:hint="eastAsia" w:eastAsia="宋体" w:cs="Times New Roman"/>
          <w:szCs w:val="24"/>
          <w:lang w:bidi="ar"/>
        </w:rPr>
        <w:t>因此西区水功能区限制纳污控制率为12.5</w:t>
      </w:r>
      <w:r>
        <w:rPr>
          <w:rFonts w:eastAsia="宋体" w:cs="Times New Roman"/>
          <w:szCs w:val="24"/>
          <w:lang w:bidi="ar"/>
        </w:rPr>
        <w:t>%</w:t>
      </w:r>
      <w:r>
        <w:rPr>
          <w:rFonts w:hint="eastAsia" w:eastAsia="宋体" w:cs="Times New Roman"/>
          <w:szCs w:val="24"/>
          <w:lang w:bidi="ar"/>
        </w:rPr>
        <w:t>。</w:t>
      </w:r>
      <w:r>
        <w:rPr>
          <w:rFonts w:eastAsia="宋体" w:cs="Times New Roman"/>
          <w:szCs w:val="24"/>
          <w:lang w:bidi="ar"/>
        </w:rPr>
        <w:t>2020</w:t>
      </w:r>
      <w:r>
        <w:rPr>
          <w:rFonts w:hint="eastAsia" w:eastAsia="宋体" w:cs="Times New Roman"/>
          <w:szCs w:val="24"/>
          <w:lang w:bidi="ar"/>
        </w:rPr>
        <w:t>年规划目标值为8</w:t>
      </w:r>
      <w:r>
        <w:rPr>
          <w:rFonts w:eastAsia="宋体" w:cs="Times New Roman"/>
          <w:szCs w:val="24"/>
          <w:lang w:bidi="ar"/>
        </w:rPr>
        <w:t>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年规划目标值为10</w:t>
      </w:r>
      <w:r>
        <w:rPr>
          <w:rFonts w:eastAsia="宋体" w:cs="Times New Roman"/>
          <w:szCs w:val="24"/>
          <w:lang w:bidi="ar"/>
        </w:rPr>
        <w:t>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年规划目标值为</w:t>
      </w:r>
      <w:r>
        <w:rPr>
          <w:rFonts w:eastAsia="宋体" w:cs="Times New Roman"/>
          <w:szCs w:val="24"/>
          <w:lang w:bidi="ar"/>
        </w:rPr>
        <w:t>100%</w:t>
      </w:r>
      <w:r>
        <w:rPr>
          <w:rFonts w:hint="eastAsia" w:eastAsia="宋体" w:cs="Times New Roman"/>
          <w:szCs w:val="24"/>
          <w:lang w:bidi="ar"/>
        </w:rPr>
        <w:t>（表</w:t>
      </w:r>
      <w:r>
        <w:rPr>
          <w:rFonts w:eastAsia="宋体" w:cs="Times New Roman"/>
          <w:szCs w:val="24"/>
          <w:lang w:bidi="ar"/>
        </w:rPr>
        <w:t>4-</w:t>
      </w:r>
      <w:r>
        <w:rPr>
          <w:rFonts w:hint="eastAsia" w:eastAsia="宋体" w:cs="Times New Roman"/>
          <w:szCs w:val="24"/>
          <w:lang w:bidi="ar"/>
        </w:rPr>
        <w:t>8），为达到规划目标值，应定期监测，防止居民生活污水及生活垃圾随意排入内河涌和企业偷排污水，控制在一定的排污量，使入河排污量不超出其纳污能力范围。重点监测防止</w:t>
      </w:r>
      <w:r>
        <w:rPr>
          <w:rFonts w:hint="eastAsia" w:cs="宋体"/>
          <w:szCs w:val="24"/>
          <w:lang w:bidi="ar"/>
        </w:rPr>
        <w:t>石特涌、狮滘河、岐江河、悦生涌、十六顷涌</w:t>
      </w:r>
      <w:r>
        <w:rPr>
          <w:rFonts w:hint="eastAsia" w:eastAsia="宋体" w:cs="Times New Roman"/>
          <w:szCs w:val="24"/>
          <w:lang w:bidi="ar"/>
        </w:rPr>
        <w:t>等沿河企业向河涌内直接排污水，对于污染严重河段进行清淤处理。并进一步通过开展内河涌护岸生态整治、曝气复氧、水体原位生态修复、生态浮床、水生物构建、引水调水等水生态修复工程措施。</w:t>
      </w:r>
    </w:p>
    <w:p w14:paraId="46972DDD">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8</w:t>
      </w:r>
      <w:r>
        <w:rPr>
          <w:rFonts w:eastAsia="宋体" w:cs="Times New Roman"/>
          <w:sz w:val="21"/>
          <w:lang w:bidi="ar"/>
        </w:rPr>
        <w:t xml:space="preserve">  </w:t>
      </w:r>
      <w:r>
        <w:rPr>
          <w:rFonts w:hint="eastAsia" w:eastAsia="宋体" w:cs="Times New Roman"/>
          <w:sz w:val="21"/>
          <w:lang w:bidi="ar"/>
        </w:rPr>
        <w:t>西区水功能区限制纳污控制率现状与规划结果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8"/>
        <w:gridCol w:w="1794"/>
        <w:gridCol w:w="1723"/>
        <w:gridCol w:w="1656"/>
        <w:gridCol w:w="1657"/>
      </w:tblGrid>
      <w:tr w14:paraId="31D32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698" w:type="dxa"/>
            <w:tcBorders>
              <w:top w:val="single" w:color="auto" w:sz="4" w:space="0"/>
              <w:left w:val="single" w:color="auto" w:sz="4" w:space="0"/>
              <w:bottom w:val="single" w:color="auto" w:sz="4" w:space="0"/>
              <w:right w:val="single" w:color="auto" w:sz="4" w:space="0"/>
            </w:tcBorders>
            <w:shd w:val="clear" w:color="auto" w:fill="auto"/>
            <w:vAlign w:val="center"/>
          </w:tcPr>
          <w:p w14:paraId="42EBD37F">
            <w:pPr>
              <w:spacing w:line="240" w:lineRule="auto"/>
              <w:ind w:firstLine="0" w:firstLineChars="0"/>
              <w:jc w:val="center"/>
              <w:rPr>
                <w:rFonts w:cs="Times New Roman"/>
                <w:sz w:val="21"/>
              </w:rPr>
            </w:pPr>
            <w:r>
              <w:rPr>
                <w:rFonts w:hint="eastAsia" w:eastAsia="宋体" w:cs="Times New Roman"/>
                <w:sz w:val="21"/>
                <w:lang w:bidi="ar"/>
              </w:rPr>
              <w:t>指标</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14:paraId="79FE47D8">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14:paraId="54200EA7">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w:t>
            </w:r>
          </w:p>
          <w:p w14:paraId="7FFC093C">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656" w:type="dxa"/>
            <w:tcBorders>
              <w:top w:val="single" w:color="auto" w:sz="4" w:space="0"/>
              <w:left w:val="single" w:color="auto" w:sz="4" w:space="0"/>
              <w:bottom w:val="single" w:color="auto" w:sz="4" w:space="0"/>
              <w:right w:val="single" w:color="auto" w:sz="4" w:space="0"/>
            </w:tcBorders>
            <w:shd w:val="clear" w:color="auto" w:fill="auto"/>
            <w:vAlign w:val="center"/>
          </w:tcPr>
          <w:p w14:paraId="2B3FD690">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w:t>
            </w:r>
          </w:p>
          <w:p w14:paraId="511F4748">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657" w:type="dxa"/>
            <w:tcBorders>
              <w:top w:val="single" w:color="auto" w:sz="4" w:space="0"/>
              <w:left w:val="single" w:color="auto" w:sz="4" w:space="0"/>
              <w:bottom w:val="single" w:color="auto" w:sz="4" w:space="0"/>
              <w:right w:val="single" w:color="auto" w:sz="4" w:space="0"/>
            </w:tcBorders>
            <w:shd w:val="clear" w:color="auto" w:fill="auto"/>
            <w:vAlign w:val="center"/>
          </w:tcPr>
          <w:p w14:paraId="2FDB3260">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w:t>
            </w:r>
          </w:p>
          <w:p w14:paraId="7A4EA878">
            <w:pPr>
              <w:spacing w:line="240" w:lineRule="auto"/>
              <w:ind w:firstLine="0" w:firstLineChars="0"/>
              <w:jc w:val="center"/>
              <w:rPr>
                <w:rFonts w:cs="Times New Roman"/>
                <w:sz w:val="21"/>
              </w:rPr>
            </w:pPr>
            <w:r>
              <w:rPr>
                <w:rFonts w:hint="eastAsia" w:eastAsia="宋体" w:cs="Times New Roman"/>
                <w:sz w:val="21"/>
                <w:lang w:bidi="ar"/>
              </w:rPr>
              <w:t>值与指标分级</w:t>
            </w:r>
          </w:p>
        </w:tc>
      </w:tr>
      <w:tr w14:paraId="25839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1698" w:type="dxa"/>
            <w:tcBorders>
              <w:top w:val="single" w:color="auto" w:sz="4" w:space="0"/>
              <w:left w:val="single" w:color="auto" w:sz="4" w:space="0"/>
              <w:bottom w:val="single" w:color="auto" w:sz="4" w:space="0"/>
              <w:right w:val="single" w:color="auto" w:sz="4" w:space="0"/>
            </w:tcBorders>
            <w:shd w:val="clear" w:color="auto" w:fill="auto"/>
            <w:vAlign w:val="center"/>
          </w:tcPr>
          <w:p w14:paraId="3497FB84">
            <w:pPr>
              <w:spacing w:line="240" w:lineRule="auto"/>
              <w:ind w:firstLine="0" w:firstLineChars="0"/>
              <w:jc w:val="center"/>
              <w:rPr>
                <w:rFonts w:cs="Times New Roman"/>
                <w:sz w:val="21"/>
              </w:rPr>
            </w:pPr>
            <w:r>
              <w:rPr>
                <w:rFonts w:hint="eastAsia" w:eastAsia="宋体" w:cs="Times New Roman"/>
                <w:kern w:val="0"/>
                <w:sz w:val="21"/>
                <w:lang w:bidi="ar"/>
              </w:rPr>
              <w:t>水功能区限制纳污控制率</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14:paraId="06FBC278">
            <w:pPr>
              <w:widowControl/>
              <w:spacing w:line="240" w:lineRule="auto"/>
              <w:ind w:firstLine="0" w:firstLineChars="0"/>
              <w:jc w:val="center"/>
              <w:rPr>
                <w:rFonts w:cs="Times New Roman"/>
                <w:kern w:val="0"/>
                <w:sz w:val="21"/>
              </w:rPr>
            </w:pPr>
            <w:r>
              <w:rPr>
                <w:rFonts w:hint="eastAsia" w:eastAsia="宋体" w:cs="Times New Roman"/>
                <w:kern w:val="0"/>
                <w:sz w:val="21"/>
                <w:lang w:bidi="ar"/>
              </w:rPr>
              <w:t>12.5</w:t>
            </w:r>
            <w:r>
              <w:rPr>
                <w:rFonts w:eastAsia="宋体" w:cs="Times New Roman"/>
                <w:kern w:val="0"/>
                <w:sz w:val="21"/>
                <w:lang w:bidi="ar"/>
              </w:rPr>
              <w:t>%</w:t>
            </w:r>
            <w:r>
              <w:rPr>
                <w:rFonts w:hint="eastAsia" w:eastAsia="宋体" w:cs="Times New Roman"/>
                <w:kern w:val="0"/>
                <w:sz w:val="21"/>
                <w:lang w:bidi="ar"/>
              </w:rPr>
              <w:t>、0、V级</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14:paraId="0D98F7C0">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0%</w:t>
            </w:r>
            <w:r>
              <w:rPr>
                <w:rFonts w:hint="eastAsia" w:eastAsia="宋体" w:cs="Times New Roman"/>
                <w:kern w:val="0"/>
                <w:sz w:val="21"/>
                <w:lang w:bidi="ar"/>
              </w:rPr>
              <w:t>、3、</w:t>
            </w:r>
            <w:r>
              <w:rPr>
                <w:rFonts w:eastAsia="宋体" w:cs="Times New Roman"/>
                <w:kern w:val="0"/>
                <w:sz w:val="21"/>
                <w:lang w:bidi="ar"/>
              </w:rPr>
              <w:t>I</w:t>
            </w:r>
            <w:r>
              <w:rPr>
                <w:rFonts w:hint="eastAsia" w:eastAsia="宋体" w:cs="Times New Roman"/>
                <w:kern w:val="0"/>
                <w:sz w:val="21"/>
                <w:lang w:bidi="ar"/>
              </w:rPr>
              <w:t>I级</w:t>
            </w:r>
          </w:p>
        </w:tc>
        <w:tc>
          <w:tcPr>
            <w:tcW w:w="1656" w:type="dxa"/>
            <w:tcBorders>
              <w:top w:val="single" w:color="auto" w:sz="4" w:space="0"/>
              <w:left w:val="single" w:color="auto" w:sz="4" w:space="0"/>
              <w:bottom w:val="single" w:color="auto" w:sz="4" w:space="0"/>
              <w:right w:val="single" w:color="auto" w:sz="4" w:space="0"/>
            </w:tcBorders>
            <w:shd w:val="clear" w:color="auto" w:fill="auto"/>
            <w:vAlign w:val="center"/>
          </w:tcPr>
          <w:p w14:paraId="2DE880FF">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w:t>
            </w:r>
            <w:r>
              <w:rPr>
                <w:rFonts w:eastAsia="宋体" w:cs="Times New Roman"/>
                <w:kern w:val="0"/>
                <w:sz w:val="21"/>
                <w:lang w:bidi="ar"/>
              </w:rPr>
              <w:t>I</w:t>
            </w:r>
            <w:r>
              <w:rPr>
                <w:rFonts w:hint="eastAsia" w:eastAsia="宋体" w:cs="Times New Roman"/>
                <w:kern w:val="0"/>
                <w:sz w:val="21"/>
                <w:lang w:bidi="ar"/>
              </w:rPr>
              <w:t>级</w:t>
            </w:r>
          </w:p>
        </w:tc>
        <w:tc>
          <w:tcPr>
            <w:tcW w:w="1657" w:type="dxa"/>
            <w:tcBorders>
              <w:top w:val="single" w:color="auto" w:sz="4" w:space="0"/>
              <w:left w:val="single" w:color="auto" w:sz="4" w:space="0"/>
              <w:bottom w:val="single" w:color="auto" w:sz="4" w:space="0"/>
              <w:right w:val="single" w:color="auto" w:sz="4" w:space="0"/>
            </w:tcBorders>
            <w:shd w:val="clear" w:color="auto" w:fill="auto"/>
            <w:vAlign w:val="center"/>
          </w:tcPr>
          <w:p w14:paraId="3D6D2881">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w:t>
            </w:r>
            <w:r>
              <w:rPr>
                <w:rFonts w:eastAsia="宋体" w:cs="Times New Roman"/>
                <w:kern w:val="0"/>
                <w:sz w:val="21"/>
                <w:lang w:bidi="ar"/>
              </w:rPr>
              <w:t>I</w:t>
            </w:r>
            <w:r>
              <w:rPr>
                <w:rFonts w:hint="eastAsia" w:eastAsia="宋体" w:cs="Times New Roman"/>
                <w:kern w:val="0"/>
                <w:sz w:val="21"/>
                <w:lang w:bidi="ar"/>
              </w:rPr>
              <w:t>级</w:t>
            </w:r>
          </w:p>
        </w:tc>
      </w:tr>
    </w:tbl>
    <w:p w14:paraId="7D74359B">
      <w:pPr>
        <w:spacing w:line="240" w:lineRule="auto"/>
        <w:ind w:firstLine="480"/>
        <w:rPr>
          <w:rFonts w:eastAsia="宋体" w:cs="Times New Roman"/>
          <w:szCs w:val="28"/>
          <w:lang w:bidi="ar"/>
        </w:rPr>
      </w:pPr>
    </w:p>
    <w:p w14:paraId="76DF3B9A">
      <w:pPr>
        <w:ind w:firstLine="480"/>
        <w:rPr>
          <w:rFonts w:eastAsia="宋体" w:cs="Times New Roman"/>
          <w:szCs w:val="28"/>
          <w:lang w:bidi="ar"/>
        </w:rPr>
      </w:pPr>
      <w:r>
        <w:rPr>
          <w:rFonts w:hint="eastAsia" w:eastAsia="宋体" w:cs="Times New Roman"/>
          <w:szCs w:val="28"/>
          <w:lang w:bidi="ar"/>
        </w:rPr>
        <w:t>综上述，西区水环境规划目标结果见表</w:t>
      </w:r>
      <w:r>
        <w:rPr>
          <w:rFonts w:eastAsia="宋体" w:cs="Times New Roman"/>
          <w:szCs w:val="28"/>
          <w:lang w:bidi="ar"/>
        </w:rPr>
        <w:t>4-</w:t>
      </w:r>
      <w:r>
        <w:rPr>
          <w:rFonts w:hint="eastAsia" w:eastAsia="宋体" w:cs="Times New Roman"/>
          <w:szCs w:val="28"/>
          <w:lang w:bidi="ar"/>
        </w:rPr>
        <w:t>9，水环境问题是西区水生态文明建设的软肋，西区在水功能区水质达标率、水功能区限制纳污控制率的现状与规划目标值均相差明显。提高境内河涌水质，实时监测</w:t>
      </w:r>
      <w:r>
        <w:rPr>
          <w:rFonts w:hint="eastAsia" w:cs="宋体"/>
          <w:szCs w:val="24"/>
          <w:lang w:bidi="ar"/>
        </w:rPr>
        <w:t>石特涌、狮滘河、岐江河、悦生涌、十六顷涌</w:t>
      </w:r>
      <w:r>
        <w:rPr>
          <w:rFonts w:hint="eastAsia" w:eastAsia="宋体" w:cs="Times New Roman"/>
          <w:szCs w:val="24"/>
          <w:lang w:bidi="ar"/>
        </w:rPr>
        <w:t>等</w:t>
      </w:r>
      <w:r>
        <w:rPr>
          <w:rFonts w:hint="eastAsia" w:eastAsia="宋体" w:cs="Times New Roman"/>
          <w:szCs w:val="28"/>
          <w:lang w:bidi="ar"/>
        </w:rPr>
        <w:t>的水质变化，保障</w:t>
      </w:r>
      <w:r>
        <w:rPr>
          <w:rFonts w:hint="eastAsia" w:cs="宋体"/>
          <w:szCs w:val="24"/>
          <w:lang w:bidi="ar"/>
        </w:rPr>
        <w:t>石特涌、狮滘河、岐江河、悦生涌、十六顷涌</w:t>
      </w:r>
      <w:r>
        <w:rPr>
          <w:rFonts w:hint="eastAsia" w:eastAsia="宋体" w:cs="Times New Roman"/>
          <w:szCs w:val="24"/>
          <w:lang w:bidi="ar"/>
        </w:rPr>
        <w:t>等</w:t>
      </w:r>
      <w:r>
        <w:rPr>
          <w:rFonts w:hint="eastAsia" w:eastAsia="宋体" w:cs="Times New Roman"/>
          <w:szCs w:val="28"/>
          <w:lang w:bidi="ar"/>
        </w:rPr>
        <w:t>上游水质不变差，提升</w:t>
      </w:r>
      <w:r>
        <w:rPr>
          <w:rFonts w:hint="eastAsia" w:cs="宋体"/>
          <w:szCs w:val="24"/>
          <w:lang w:bidi="ar"/>
        </w:rPr>
        <w:t>石特涌、狮滘河、岐江河、悦生涌、十六顷涌</w:t>
      </w:r>
      <w:r>
        <w:rPr>
          <w:rFonts w:hint="eastAsia" w:eastAsia="宋体" w:cs="Times New Roman"/>
          <w:szCs w:val="24"/>
          <w:lang w:bidi="ar"/>
        </w:rPr>
        <w:t>等</w:t>
      </w:r>
      <w:r>
        <w:rPr>
          <w:rFonts w:hint="eastAsia" w:eastAsia="宋体" w:cs="Times New Roman"/>
          <w:szCs w:val="28"/>
          <w:lang w:bidi="ar"/>
        </w:rPr>
        <w:t>的水质，并对废污水经污水处理厂进行达标处理后排放到河涌，以达到规划水平年的目标值。</w:t>
      </w:r>
    </w:p>
    <w:p w14:paraId="614D0329">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9</w:t>
      </w:r>
      <w:r>
        <w:rPr>
          <w:rFonts w:eastAsia="宋体" w:cs="Times New Roman"/>
          <w:sz w:val="21"/>
          <w:lang w:bidi="ar"/>
        </w:rPr>
        <w:t xml:space="preserve">  </w:t>
      </w:r>
      <w:r>
        <w:rPr>
          <w:rFonts w:hint="eastAsia" w:eastAsia="宋体" w:cs="Times New Roman"/>
          <w:sz w:val="21"/>
          <w:lang w:bidi="ar"/>
        </w:rPr>
        <w:t>西区水环境规划目标结果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3"/>
        <w:gridCol w:w="1823"/>
        <w:gridCol w:w="1787"/>
        <w:gridCol w:w="1734"/>
        <w:gridCol w:w="1761"/>
      </w:tblGrid>
      <w:tr w14:paraId="16B29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4F8BC687">
            <w:pPr>
              <w:spacing w:line="240" w:lineRule="auto"/>
              <w:ind w:firstLine="0" w:firstLineChars="0"/>
              <w:jc w:val="center"/>
              <w:rPr>
                <w:rFonts w:cs="Times New Roman"/>
                <w:sz w:val="21"/>
              </w:rPr>
            </w:pPr>
            <w:r>
              <w:rPr>
                <w:rFonts w:hint="eastAsia" w:eastAsia="宋体" w:cs="Times New Roman"/>
                <w:sz w:val="21"/>
                <w:lang w:bidi="ar"/>
              </w:rPr>
              <w:t>指标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AFD90D9">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3F5840E8">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287C2255">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4BC3E632">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B2A3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58CC3670">
            <w:pPr>
              <w:spacing w:line="240" w:lineRule="auto"/>
              <w:ind w:firstLine="0" w:firstLineChars="0"/>
              <w:jc w:val="center"/>
              <w:rPr>
                <w:rFonts w:cs="Times New Roman"/>
                <w:sz w:val="21"/>
              </w:rPr>
            </w:pPr>
            <w:r>
              <w:rPr>
                <w:rFonts w:hint="eastAsia" w:eastAsia="宋体" w:cs="Times New Roman"/>
                <w:sz w:val="21"/>
                <w:lang w:bidi="ar"/>
              </w:rPr>
              <w:t>水功能区水质达标率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0864A0EA">
            <w:pPr>
              <w:widowControl/>
              <w:spacing w:line="240" w:lineRule="auto"/>
              <w:ind w:firstLine="0" w:firstLineChars="0"/>
              <w:jc w:val="center"/>
              <w:rPr>
                <w:rFonts w:cs="Times New Roman"/>
                <w:kern w:val="0"/>
                <w:sz w:val="21"/>
              </w:rPr>
            </w:pPr>
            <w:r>
              <w:rPr>
                <w:rFonts w:hint="eastAsia" w:eastAsia="宋体" w:cs="Times New Roman"/>
                <w:kern w:val="0"/>
                <w:sz w:val="21"/>
                <w:lang w:bidi="ar"/>
              </w:rPr>
              <w:t>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194E7C82">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0577A720">
            <w:pPr>
              <w:widowControl/>
              <w:spacing w:line="240" w:lineRule="auto"/>
              <w:ind w:firstLine="0" w:firstLineChars="0"/>
              <w:jc w:val="center"/>
              <w:rPr>
                <w:rFonts w:cs="Times New Roman"/>
                <w:kern w:val="0"/>
                <w:sz w:val="21"/>
              </w:rPr>
            </w:pPr>
            <w:r>
              <w:rPr>
                <w:rFonts w:eastAsia="宋体" w:cs="Times New Roman"/>
                <w:kern w:val="0"/>
                <w:sz w:val="21"/>
                <w:lang w:bidi="ar"/>
              </w:rPr>
              <w:t>95%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2A942CF5">
            <w:pPr>
              <w:widowControl/>
              <w:spacing w:line="240" w:lineRule="auto"/>
              <w:ind w:firstLine="0" w:firstLineChars="0"/>
              <w:jc w:val="left"/>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28FA8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51EF2A1D">
            <w:pPr>
              <w:spacing w:line="240" w:lineRule="auto"/>
              <w:ind w:firstLine="0" w:firstLineChars="0"/>
              <w:jc w:val="center"/>
              <w:rPr>
                <w:rFonts w:cs="Times New Roman"/>
                <w:sz w:val="21"/>
              </w:rPr>
            </w:pPr>
            <w:r>
              <w:rPr>
                <w:rFonts w:hint="eastAsia" w:eastAsia="宋体" w:cs="Times New Roman"/>
                <w:sz w:val="21"/>
                <w:lang w:bidi="ar"/>
              </w:rPr>
              <w:t>废污水达标处理率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2BE48496">
            <w:pPr>
              <w:widowControl/>
              <w:spacing w:line="240" w:lineRule="auto"/>
              <w:ind w:firstLine="0" w:firstLineChars="0"/>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、3分、II级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15ECF59C">
            <w:pPr>
              <w:widowControl/>
              <w:spacing w:line="240" w:lineRule="auto"/>
              <w:ind w:firstLine="0" w:firstLineChars="0"/>
              <w:jc w:val="left"/>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65ADD3F6">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3E5970C7">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7610B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746E047A">
            <w:pPr>
              <w:spacing w:line="240" w:lineRule="auto"/>
              <w:ind w:firstLine="0" w:firstLineChars="0"/>
              <w:jc w:val="center"/>
              <w:rPr>
                <w:rFonts w:cs="Times New Roman"/>
                <w:sz w:val="21"/>
              </w:rPr>
            </w:pPr>
            <w:r>
              <w:rPr>
                <w:rFonts w:hint="eastAsia" w:eastAsia="宋体" w:cs="Times New Roman"/>
                <w:kern w:val="0"/>
                <w:sz w:val="21"/>
                <w:lang w:bidi="ar"/>
              </w:rPr>
              <w:t>水功能区限制纳污控制率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BEADA85">
            <w:pPr>
              <w:widowControl/>
              <w:spacing w:line="240" w:lineRule="auto"/>
              <w:ind w:firstLine="0" w:firstLineChars="0"/>
              <w:jc w:val="center"/>
              <w:rPr>
                <w:rFonts w:cs="Times New Roman"/>
                <w:kern w:val="0"/>
                <w:sz w:val="21"/>
              </w:rPr>
            </w:pPr>
            <w:r>
              <w:rPr>
                <w:rFonts w:hint="eastAsia" w:eastAsia="宋体" w:cs="Times New Roman"/>
                <w:kern w:val="0"/>
                <w:sz w:val="21"/>
                <w:lang w:bidi="ar"/>
              </w:rPr>
              <w:t>12.5</w:t>
            </w:r>
            <w:r>
              <w:rPr>
                <w:rFonts w:eastAsia="宋体" w:cs="Times New Roman"/>
                <w:kern w:val="0"/>
                <w:sz w:val="21"/>
                <w:lang w:bidi="ar"/>
              </w:rPr>
              <w:t>%</w:t>
            </w:r>
            <w:r>
              <w:rPr>
                <w:rFonts w:hint="eastAsia" w:eastAsia="宋体" w:cs="Times New Roman"/>
                <w:kern w:val="0"/>
                <w:sz w:val="21"/>
                <w:lang w:bidi="ar"/>
              </w:rPr>
              <w:t>、0、V级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3F44C06A">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0%</w:t>
            </w:r>
            <w:r>
              <w:rPr>
                <w:rFonts w:hint="eastAsia" w:eastAsia="宋体" w:cs="Times New Roman"/>
                <w:kern w:val="0"/>
                <w:sz w:val="21"/>
                <w:lang w:bidi="ar"/>
              </w:rPr>
              <w:t>、3、</w:t>
            </w:r>
            <w:r>
              <w:rPr>
                <w:rFonts w:eastAsia="宋体" w:cs="Times New Roman"/>
                <w:kern w:val="0"/>
                <w:sz w:val="21"/>
                <w:lang w:bidi="ar"/>
              </w:rPr>
              <w:t>I</w:t>
            </w:r>
            <w:r>
              <w:rPr>
                <w:rFonts w:hint="eastAsia" w:eastAsia="宋体" w:cs="Times New Roman"/>
                <w:kern w:val="0"/>
                <w:sz w:val="21"/>
                <w:lang w:bidi="ar"/>
              </w:rPr>
              <w:t>I级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18CC9289">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w:t>
            </w:r>
            <w:r>
              <w:rPr>
                <w:rFonts w:eastAsia="宋体" w:cs="Times New Roman"/>
                <w:kern w:val="0"/>
                <w:sz w:val="21"/>
                <w:lang w:bidi="ar"/>
              </w:rPr>
              <w:t>I</w:t>
            </w:r>
            <w:r>
              <w:rPr>
                <w:rFonts w:hint="eastAsia" w:eastAsia="宋体" w:cs="Times New Roman"/>
                <w:kern w:val="0"/>
                <w:sz w:val="21"/>
                <w:lang w:bidi="ar"/>
              </w:rPr>
              <w:t>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0618CE0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w:t>
            </w:r>
            <w:r>
              <w:rPr>
                <w:rFonts w:eastAsia="宋体" w:cs="Times New Roman"/>
                <w:kern w:val="0"/>
                <w:sz w:val="21"/>
                <w:lang w:bidi="ar"/>
              </w:rPr>
              <w:t>I</w:t>
            </w:r>
            <w:r>
              <w:rPr>
                <w:rFonts w:hint="eastAsia" w:eastAsia="宋体" w:cs="Times New Roman"/>
                <w:kern w:val="0"/>
                <w:sz w:val="21"/>
                <w:lang w:bidi="ar"/>
              </w:rPr>
              <w:t>级</w:t>
            </w:r>
          </w:p>
        </w:tc>
      </w:tr>
    </w:tbl>
    <w:p w14:paraId="4E90B0F7">
      <w:pPr>
        <w:spacing w:line="240" w:lineRule="auto"/>
        <w:ind w:firstLine="480"/>
        <w:rPr>
          <w:rFonts w:eastAsia="宋体" w:cs="Times New Roman"/>
          <w:szCs w:val="28"/>
          <w:lang w:bidi="ar"/>
        </w:rPr>
      </w:pPr>
    </w:p>
    <w:p w14:paraId="505F649A">
      <w:pPr>
        <w:pStyle w:val="4"/>
        <w:widowControl/>
        <w:spacing w:before="0" w:after="0" w:line="360" w:lineRule="auto"/>
        <w:rPr>
          <w:rFonts w:cs="Times New Roman"/>
        </w:rPr>
      </w:pPr>
      <w:bookmarkStart w:id="542" w:name="_Toc16675060"/>
      <w:bookmarkStart w:id="543" w:name="_Toc528607282"/>
      <w:r>
        <w:rPr>
          <w:rFonts w:cs="Times New Roman"/>
        </w:rPr>
        <w:t>4.3</w:t>
      </w:r>
      <w:r>
        <w:rPr>
          <w:rFonts w:hint="eastAsia" w:cs="Times New Roman"/>
        </w:rPr>
        <w:t>水生态指标体系建设</w:t>
      </w:r>
      <w:bookmarkEnd w:id="542"/>
      <w:bookmarkEnd w:id="543"/>
    </w:p>
    <w:p w14:paraId="01B3EB89">
      <w:pPr>
        <w:ind w:firstLine="480"/>
        <w:rPr>
          <w:rFonts w:cs="Times New Roman"/>
        </w:rPr>
      </w:pPr>
      <w:r>
        <w:rPr>
          <w:rFonts w:hint="eastAsia" w:eastAsia="宋体" w:cs="Times New Roman"/>
          <w:lang w:bidi="ar"/>
        </w:rPr>
        <w:t>水生态评价主要评估区域水生态系统健康程度，其中有河湖生态护岸比例、水域面积率、水土流失治理程度、建成区透水面积率4项通用指标。</w:t>
      </w:r>
    </w:p>
    <w:p w14:paraId="0B7D2D44">
      <w:pPr>
        <w:pStyle w:val="3"/>
        <w:widowControl/>
        <w:spacing w:before="0" w:after="0" w:line="360" w:lineRule="auto"/>
        <w:rPr>
          <w:rFonts w:cs="Times New Roman"/>
        </w:rPr>
      </w:pPr>
      <w:bookmarkStart w:id="544" w:name="_Toc528607285"/>
      <w:bookmarkStart w:id="545" w:name="_Toc16675061"/>
      <w:bookmarkStart w:id="546" w:name="_Toc5586"/>
      <w:bookmarkStart w:id="547" w:name="_Toc31155"/>
      <w:bookmarkStart w:id="548" w:name="_Toc528880317"/>
      <w:bookmarkStart w:id="549" w:name="_Toc7487"/>
      <w:bookmarkStart w:id="550" w:name="_Toc523306819"/>
      <w:bookmarkStart w:id="551" w:name="_Toc526004957"/>
      <w:bookmarkStart w:id="552" w:name="_Toc3032"/>
      <w:bookmarkStart w:id="553" w:name="_Toc527881111"/>
      <w:bookmarkStart w:id="554" w:name="_Toc28594"/>
      <w:bookmarkStart w:id="555" w:name="_Toc5309"/>
      <w:r>
        <w:rPr>
          <w:rFonts w:cs="Times New Roman"/>
        </w:rPr>
        <w:t>4.3.</w:t>
      </w:r>
      <w:r>
        <w:rPr>
          <w:rFonts w:hint="eastAsia" w:cs="Times New Roman"/>
        </w:rPr>
        <w:t>1河湖生态护岸比例</w:t>
      </w:r>
      <w:bookmarkEnd w:id="544"/>
      <w:bookmarkEnd w:id="545"/>
      <w:bookmarkEnd w:id="546"/>
      <w:bookmarkEnd w:id="547"/>
      <w:bookmarkEnd w:id="548"/>
      <w:bookmarkEnd w:id="549"/>
      <w:bookmarkEnd w:id="550"/>
      <w:bookmarkEnd w:id="551"/>
      <w:bookmarkEnd w:id="552"/>
      <w:bookmarkEnd w:id="553"/>
      <w:bookmarkEnd w:id="554"/>
      <w:bookmarkEnd w:id="555"/>
    </w:p>
    <w:p w14:paraId="07A2FF72">
      <w:pPr>
        <w:ind w:firstLine="480"/>
        <w:jc w:val="left"/>
        <w:rPr>
          <w:rFonts w:eastAsia="宋体" w:cs="Times New Roman"/>
          <w:lang w:bidi="ar"/>
        </w:rPr>
      </w:pPr>
      <w:r>
        <w:rPr>
          <w:rFonts w:hint="eastAsia" w:eastAsia="宋体" w:cs="Times New Roman"/>
          <w:lang w:bidi="ar"/>
        </w:rPr>
        <w:t>指全部人工建设护岸中生态护岸长度所占比例</w:t>
      </w:r>
      <w:r>
        <w:rPr>
          <w:rFonts w:hint="eastAsia" w:eastAsia="宋体" w:cs="Times New Roman"/>
          <w:b/>
          <w:bCs/>
          <w:szCs w:val="24"/>
          <w:lang w:bidi="ar"/>
        </w:rPr>
        <w:t>（具体计算公式见附录1）</w:t>
      </w:r>
      <w:r>
        <w:rPr>
          <w:rFonts w:hint="eastAsia" w:eastAsia="宋体" w:cs="Times New Roman"/>
          <w:lang w:bidi="ar"/>
        </w:rPr>
        <w:t>。根据</w:t>
      </w:r>
      <w:r>
        <w:rPr>
          <w:rFonts w:hint="eastAsia" w:cs="Times New Roman"/>
          <w:szCs w:val="24"/>
        </w:rPr>
        <w:t>《中山市西区国民经济和社会发展第十三个五年规划纲要（2016年）》，西区将推动镇内河涌整治工作，加强河涌两岸环境建设，采用生态护岸措施。</w:t>
      </w:r>
      <w:r>
        <w:rPr>
          <w:rFonts w:hint="eastAsia" w:eastAsia="宋体" w:cs="Times New Roman"/>
          <w:lang w:bidi="ar"/>
        </w:rPr>
        <w:t>西区目前较少对境内的河湖进行生态护岸，河湖生态护岸比例约为</w:t>
      </w:r>
      <w:r>
        <w:rPr>
          <w:rFonts w:eastAsia="宋体" w:cs="Times New Roman"/>
          <w:lang w:bidi="ar"/>
        </w:rPr>
        <w:t>3</w:t>
      </w:r>
      <w:r>
        <w:rPr>
          <w:rFonts w:hint="eastAsia" w:eastAsia="宋体" w:cs="Times New Roman"/>
          <w:lang w:bidi="ar"/>
        </w:rPr>
        <w:t>5</w:t>
      </w:r>
      <w:r>
        <w:rPr>
          <w:rFonts w:eastAsia="宋体" w:cs="Times New Roman"/>
          <w:lang w:bidi="ar"/>
        </w:rPr>
        <w:t>%</w:t>
      </w:r>
      <w:r>
        <w:rPr>
          <w:rFonts w:hint="eastAsia" w:eastAsia="宋体" w:cs="Times New Roman"/>
          <w:lang w:bidi="ar"/>
        </w:rPr>
        <w:t>。</w:t>
      </w:r>
      <w:r>
        <w:rPr>
          <w:rFonts w:eastAsia="宋体" w:cs="Times New Roman"/>
          <w:lang w:bidi="ar"/>
        </w:rPr>
        <w:t>2020</w:t>
      </w:r>
      <w:r>
        <w:rPr>
          <w:rFonts w:hint="eastAsia" w:eastAsia="宋体" w:cs="Times New Roman"/>
          <w:lang w:bidi="ar"/>
        </w:rPr>
        <w:t>年西区河湖生态护岸比例的规划目标值为</w:t>
      </w:r>
      <w:r>
        <w:rPr>
          <w:rFonts w:eastAsia="宋体" w:cs="Times New Roman"/>
          <w:lang w:bidi="ar"/>
        </w:rPr>
        <w:t>4</w:t>
      </w:r>
      <w:r>
        <w:rPr>
          <w:rFonts w:hint="eastAsia" w:eastAsia="宋体" w:cs="Times New Roman"/>
          <w:lang w:bidi="ar"/>
        </w:rPr>
        <w:t>5</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年西区河湖生态护岸比例的规划目标值为</w:t>
      </w:r>
      <w:r>
        <w:rPr>
          <w:rFonts w:eastAsia="宋体" w:cs="Times New Roman"/>
          <w:lang w:bidi="ar"/>
        </w:rPr>
        <w:t>60%</w:t>
      </w:r>
      <w:r>
        <w:rPr>
          <w:rFonts w:hint="eastAsia" w:eastAsia="宋体" w:cs="Times New Roman"/>
          <w:lang w:bidi="ar"/>
        </w:rPr>
        <w:t>，</w:t>
      </w:r>
      <w:r>
        <w:rPr>
          <w:rFonts w:eastAsia="宋体" w:cs="Times New Roman"/>
          <w:lang w:bidi="ar"/>
        </w:rPr>
        <w:t>2030</w:t>
      </w:r>
      <w:r>
        <w:rPr>
          <w:rFonts w:hint="eastAsia" w:eastAsia="宋体" w:cs="Times New Roman"/>
          <w:lang w:bidi="ar"/>
        </w:rPr>
        <w:t>年西区河湖生态护岸比例的规划目标值为</w:t>
      </w:r>
      <w:r>
        <w:rPr>
          <w:rFonts w:eastAsia="宋体" w:cs="Times New Roman"/>
          <w:lang w:bidi="ar"/>
        </w:rPr>
        <w:t>80%</w:t>
      </w:r>
      <w:r>
        <w:rPr>
          <w:rFonts w:hint="eastAsia" w:eastAsia="宋体" w:cs="Times New Roman"/>
          <w:lang w:bidi="ar"/>
        </w:rPr>
        <w:t>（表</w:t>
      </w:r>
      <w:r>
        <w:rPr>
          <w:rFonts w:eastAsia="宋体" w:cs="Times New Roman"/>
          <w:lang w:bidi="ar"/>
        </w:rPr>
        <w:t>4-1</w:t>
      </w:r>
      <w:r>
        <w:rPr>
          <w:rFonts w:hint="eastAsia" w:eastAsia="宋体" w:cs="Times New Roman"/>
          <w:lang w:bidi="ar"/>
        </w:rPr>
        <w:t>0），为达到规划目标值，应对境内的河湖修建生态护岸。</w:t>
      </w:r>
    </w:p>
    <w:p w14:paraId="058FD94D">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0</w:t>
      </w:r>
      <w:r>
        <w:rPr>
          <w:rFonts w:eastAsia="宋体" w:cs="Times New Roman"/>
          <w:sz w:val="21"/>
          <w:lang w:bidi="ar"/>
        </w:rPr>
        <w:t xml:space="preserve">  </w:t>
      </w:r>
      <w:r>
        <w:rPr>
          <w:rFonts w:hint="eastAsia" w:eastAsia="宋体" w:cs="Times New Roman"/>
          <w:sz w:val="21"/>
          <w:lang w:bidi="ar"/>
        </w:rPr>
        <w:t>西区河湖生态护岸比例现状与规划结果</w:t>
      </w:r>
    </w:p>
    <w:tbl>
      <w:tblPr>
        <w:tblStyle w:val="25"/>
        <w:tblW w:w="8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5"/>
        <w:gridCol w:w="1798"/>
        <w:gridCol w:w="1812"/>
        <w:gridCol w:w="1894"/>
        <w:gridCol w:w="1779"/>
      </w:tblGrid>
      <w:tr w14:paraId="74345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235" w:type="dxa"/>
            <w:tcBorders>
              <w:top w:val="single" w:color="auto" w:sz="4" w:space="0"/>
              <w:left w:val="single" w:color="auto" w:sz="4" w:space="0"/>
              <w:bottom w:val="single" w:color="auto" w:sz="4" w:space="0"/>
              <w:right w:val="single" w:color="auto" w:sz="4" w:space="0"/>
            </w:tcBorders>
            <w:shd w:val="clear" w:color="auto" w:fill="auto"/>
            <w:vAlign w:val="center"/>
          </w:tcPr>
          <w:p w14:paraId="7393FCA3">
            <w:pPr>
              <w:spacing w:line="240" w:lineRule="auto"/>
              <w:ind w:firstLine="0" w:firstLineChars="0"/>
              <w:jc w:val="center"/>
              <w:rPr>
                <w:rFonts w:cs="Times New Roman"/>
                <w:sz w:val="21"/>
              </w:rPr>
            </w:pPr>
            <w:r>
              <w:rPr>
                <w:rFonts w:hint="eastAsia" w:eastAsia="宋体" w:cs="Times New Roman"/>
                <w:sz w:val="21"/>
                <w:lang w:bidi="ar"/>
              </w:rPr>
              <w:t>指标</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6747A83F">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年现状值及指标分级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18CFB33A">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42707F36">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40A315E5">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2738A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235" w:type="dxa"/>
            <w:tcBorders>
              <w:top w:val="single" w:color="auto" w:sz="4" w:space="0"/>
              <w:left w:val="single" w:color="auto" w:sz="4" w:space="0"/>
              <w:bottom w:val="single" w:color="auto" w:sz="4" w:space="0"/>
              <w:right w:val="single" w:color="auto" w:sz="4" w:space="0"/>
            </w:tcBorders>
            <w:shd w:val="clear" w:color="auto" w:fill="auto"/>
            <w:vAlign w:val="center"/>
          </w:tcPr>
          <w:p w14:paraId="362EC984">
            <w:pPr>
              <w:spacing w:line="240" w:lineRule="auto"/>
              <w:ind w:firstLine="0" w:firstLineChars="0"/>
              <w:jc w:val="center"/>
              <w:rPr>
                <w:rFonts w:cs="Times New Roman"/>
                <w:sz w:val="21"/>
              </w:rPr>
            </w:pPr>
            <w:r>
              <w:rPr>
                <w:rFonts w:hint="eastAsia" w:eastAsia="宋体" w:cs="Times New Roman"/>
                <w:kern w:val="0"/>
                <w:sz w:val="21"/>
                <w:lang w:bidi="ar"/>
              </w:rPr>
              <w:t>河湖生态护岸比例</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73DC0F2F">
            <w:pPr>
              <w:widowControl/>
              <w:spacing w:line="240" w:lineRule="auto"/>
              <w:ind w:firstLine="0" w:firstLineChars="0"/>
              <w:rPr>
                <w:rFonts w:cs="Times New Roman"/>
                <w:kern w:val="0"/>
                <w:sz w:val="21"/>
              </w:rPr>
            </w:pPr>
            <w:r>
              <w:rPr>
                <w:rFonts w:eastAsia="宋体" w:cs="Times New Roman"/>
                <w:kern w:val="0"/>
                <w:sz w:val="21"/>
                <w:lang w:bidi="ar"/>
              </w:rPr>
              <w:t>3</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30AE62A2">
            <w:pPr>
              <w:widowControl/>
              <w:spacing w:line="240" w:lineRule="auto"/>
              <w:ind w:firstLine="0" w:firstLineChars="0"/>
              <w:jc w:val="center"/>
              <w:rPr>
                <w:rFonts w:cs="Times New Roman"/>
                <w:kern w:val="0"/>
                <w:sz w:val="21"/>
              </w:rPr>
            </w:pPr>
            <w:r>
              <w:rPr>
                <w:rFonts w:eastAsia="宋体" w:cs="Times New Roman"/>
                <w:kern w:val="0"/>
                <w:sz w:val="21"/>
                <w:lang w:bidi="ar"/>
              </w:rPr>
              <w:t>4</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5C15D9B0">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598B4D1A">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bl>
    <w:p w14:paraId="2F9E6FB8">
      <w:pPr>
        <w:spacing w:line="240" w:lineRule="auto"/>
        <w:ind w:firstLine="480"/>
        <w:jc w:val="left"/>
        <w:rPr>
          <w:rFonts w:eastAsia="宋体" w:cs="Times New Roman"/>
          <w:lang w:bidi="ar"/>
        </w:rPr>
      </w:pPr>
    </w:p>
    <w:p w14:paraId="130B4BFC">
      <w:pPr>
        <w:pStyle w:val="3"/>
        <w:widowControl/>
        <w:spacing w:before="0" w:after="0" w:line="360" w:lineRule="auto"/>
        <w:rPr>
          <w:rFonts w:cs="Times New Roman"/>
        </w:rPr>
      </w:pPr>
      <w:bookmarkStart w:id="556" w:name="_Toc527881112"/>
      <w:bookmarkStart w:id="557" w:name="_Toc526004958"/>
      <w:bookmarkStart w:id="558" w:name="_Toc32511"/>
      <w:bookmarkStart w:id="559" w:name="_Toc2429"/>
      <w:bookmarkStart w:id="560" w:name="_Toc16675062"/>
      <w:bookmarkStart w:id="561" w:name="_Toc31125"/>
      <w:bookmarkStart w:id="562" w:name="_Toc16634"/>
      <w:bookmarkStart w:id="563" w:name="_Toc523306820"/>
      <w:bookmarkStart w:id="564" w:name="_Toc528607286"/>
      <w:bookmarkStart w:id="565" w:name="_Toc528880318"/>
      <w:bookmarkStart w:id="566" w:name="_Toc1585"/>
      <w:bookmarkStart w:id="567" w:name="_Toc17368"/>
      <w:r>
        <w:rPr>
          <w:rFonts w:cs="Times New Roman"/>
        </w:rPr>
        <w:t>4.3.</w:t>
      </w:r>
      <w:r>
        <w:rPr>
          <w:rFonts w:hint="eastAsia" w:cs="Times New Roman"/>
        </w:rPr>
        <w:t>2水域面积率</w:t>
      </w:r>
      <w:bookmarkEnd w:id="556"/>
      <w:bookmarkEnd w:id="557"/>
      <w:bookmarkEnd w:id="558"/>
      <w:bookmarkEnd w:id="559"/>
      <w:bookmarkEnd w:id="560"/>
      <w:bookmarkEnd w:id="561"/>
      <w:bookmarkEnd w:id="562"/>
      <w:bookmarkEnd w:id="563"/>
      <w:bookmarkEnd w:id="564"/>
      <w:bookmarkEnd w:id="565"/>
      <w:bookmarkEnd w:id="566"/>
      <w:bookmarkEnd w:id="567"/>
    </w:p>
    <w:p w14:paraId="0233C18E">
      <w:pPr>
        <w:ind w:firstLine="480"/>
        <w:jc w:val="left"/>
        <w:rPr>
          <w:rFonts w:cs="Times New Roman"/>
        </w:rPr>
      </w:pPr>
      <w:r>
        <w:rPr>
          <w:rFonts w:hint="eastAsia" w:eastAsia="宋体" w:cs="Times New Roman"/>
          <w:lang w:bidi="ar"/>
        </w:rPr>
        <w:t>指河湖、水库、湿地、塘洼等水体护堤之内或者最高水位线以下的面积占区域总面积比例，根据计算获得的指标值，按南方和北方分别赋分，其中南方指中长江中下游地区、东南沿海地区、西南地区</w:t>
      </w:r>
      <w:r>
        <w:rPr>
          <w:rFonts w:eastAsia="宋体" w:cs="Times New Roman"/>
          <w:lang w:bidi="ar"/>
        </w:rPr>
        <w:t>3</w:t>
      </w:r>
      <w:r>
        <w:rPr>
          <w:rFonts w:hint="eastAsia" w:eastAsia="宋体" w:cs="Times New Roman"/>
          <w:lang w:bidi="ar"/>
        </w:rPr>
        <w:t>个区域</w:t>
      </w:r>
      <w:r>
        <w:rPr>
          <w:rFonts w:hint="eastAsia" w:eastAsia="宋体" w:cs="Times New Roman"/>
          <w:b/>
          <w:bCs/>
          <w:szCs w:val="24"/>
          <w:lang w:bidi="ar"/>
        </w:rPr>
        <w:t>（具体计算公式见附录1）</w:t>
      </w:r>
      <w:r>
        <w:rPr>
          <w:rFonts w:hint="eastAsia" w:eastAsia="宋体" w:cs="Times New Roman"/>
          <w:lang w:bidi="ar"/>
        </w:rPr>
        <w:t>。</w:t>
      </w:r>
    </w:p>
    <w:p w14:paraId="7C4EFA51">
      <w:pPr>
        <w:ind w:firstLine="480"/>
        <w:rPr>
          <w:rFonts w:eastAsia="宋体" w:cs="Times New Roman"/>
          <w:szCs w:val="24"/>
        </w:rPr>
      </w:pPr>
      <w:r>
        <w:rPr>
          <w:rFonts w:hint="eastAsia" w:eastAsia="宋体" w:cs="Times New Roman"/>
          <w:lang w:bidi="ar"/>
        </w:rPr>
        <w:t>西区区域总面积为25.21</w:t>
      </w:r>
      <w:r>
        <w:rPr>
          <w:rFonts w:eastAsia="宋体" w:cs="Times New Roman"/>
          <w:lang w:bidi="ar"/>
        </w:rPr>
        <w:t xml:space="preserve"> km</w:t>
      </w:r>
      <w:r>
        <w:rPr>
          <w:rFonts w:eastAsia="宋体" w:cs="Times New Roman"/>
          <w:vertAlign w:val="superscript"/>
          <w:lang w:bidi="ar"/>
        </w:rPr>
        <w:t>2</w:t>
      </w:r>
      <w:r>
        <w:rPr>
          <w:rFonts w:hint="eastAsia" w:eastAsia="宋体" w:cs="Times New Roman"/>
          <w:lang w:bidi="ar"/>
        </w:rPr>
        <w:t>，</w:t>
      </w:r>
      <w:r>
        <w:rPr>
          <w:rFonts w:eastAsia="宋体" w:cs="Times New Roman"/>
          <w:szCs w:val="24"/>
        </w:rPr>
        <w:t>根据</w:t>
      </w:r>
      <w:r>
        <w:rPr>
          <w:rFonts w:hint="eastAsia" w:eastAsia="宋体" w:cs="Times New Roman"/>
          <w:szCs w:val="24"/>
        </w:rPr>
        <w:t>《中山市海绵城市专项规划</w:t>
      </w:r>
      <w:r>
        <w:rPr>
          <w:rFonts w:hint="eastAsia" w:eastAsia="宋体" w:cs="宋体"/>
          <w:lang w:bidi="ar"/>
        </w:rPr>
        <w:t>（2016-2030）</w:t>
      </w:r>
      <w:r>
        <w:rPr>
          <w:rFonts w:hint="eastAsia" w:eastAsia="宋体" w:cs="Times New Roman"/>
          <w:szCs w:val="24"/>
        </w:rPr>
        <w:t>》、《中山市水利现代化规划》、《中山市城市生态控制线划定规划》、</w:t>
      </w:r>
      <w:r>
        <w:rPr>
          <w:rFonts w:eastAsia="宋体" w:cs="Times New Roman"/>
          <w:szCs w:val="24"/>
        </w:rPr>
        <w:t>《中山市市域蓝线规划》（201</w:t>
      </w:r>
      <w:r>
        <w:rPr>
          <w:rFonts w:hint="eastAsia" w:eastAsia="宋体" w:cs="Times New Roman"/>
          <w:szCs w:val="24"/>
        </w:rPr>
        <w:t>8</w:t>
      </w:r>
      <w:r>
        <w:rPr>
          <w:rFonts w:eastAsia="宋体" w:cs="Times New Roman"/>
          <w:szCs w:val="24"/>
        </w:rPr>
        <w:t>年）</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，结合遥感影像对水域面积进行估算，2017年</w:t>
      </w:r>
      <w:r>
        <w:rPr>
          <w:rFonts w:hint="eastAsia" w:eastAsia="宋体" w:cs="Times New Roman"/>
          <w:szCs w:val="24"/>
        </w:rPr>
        <w:t>西区</w:t>
      </w:r>
      <w:r>
        <w:rPr>
          <w:rFonts w:eastAsia="宋体" w:cs="Times New Roman"/>
          <w:szCs w:val="24"/>
        </w:rPr>
        <w:t>水域面积约为</w:t>
      </w:r>
      <w:r>
        <w:rPr>
          <w:rFonts w:hint="eastAsia" w:eastAsia="宋体" w:cs="Times New Roman"/>
          <w:szCs w:val="24"/>
        </w:rPr>
        <w:t>1</w:t>
      </w:r>
      <w:r>
        <w:rPr>
          <w:rFonts w:eastAsia="宋体" w:cs="Times New Roman"/>
          <w:szCs w:val="24"/>
        </w:rPr>
        <w:t>.78km</w:t>
      </w:r>
      <w:r>
        <w:rPr>
          <w:rFonts w:eastAsia="宋体" w:cs="Times New Roman"/>
          <w:szCs w:val="24"/>
          <w:vertAlign w:val="superscript"/>
        </w:rPr>
        <w:t>2</w:t>
      </w:r>
      <w:r>
        <w:rPr>
          <w:rFonts w:eastAsia="宋体" w:cs="Times New Roman"/>
          <w:szCs w:val="24"/>
        </w:rPr>
        <w:t>，水域面积率达</w:t>
      </w:r>
      <w:r>
        <w:rPr>
          <w:rFonts w:hint="eastAsia" w:eastAsia="宋体" w:cs="Times New Roman"/>
          <w:szCs w:val="24"/>
        </w:rPr>
        <w:t>7.06</w:t>
      </w:r>
      <w:r>
        <w:rPr>
          <w:rFonts w:eastAsia="宋体" w:cs="Times New Roman"/>
          <w:szCs w:val="24"/>
        </w:rPr>
        <w:t>%</w:t>
      </w:r>
      <w:r>
        <w:rPr>
          <w:rFonts w:hint="eastAsia" w:eastAsia="宋体" w:cs="Times New Roman"/>
          <w:lang w:bidi="ar"/>
        </w:rPr>
        <w:t>。</w:t>
      </w:r>
      <w:r>
        <w:rPr>
          <w:rFonts w:hint="eastAsia" w:eastAsia="宋体" w:cs="宋体"/>
          <w:lang w:bidi="ar"/>
        </w:rPr>
        <w:t>根据《中山市海绵城市专项规划（2016-2030）》要求，</w:t>
      </w:r>
      <w:r>
        <w:rPr>
          <w:rFonts w:eastAsia="宋体" w:cs="Times New Roman"/>
          <w:lang w:bidi="ar"/>
        </w:rPr>
        <w:t>2020</w:t>
      </w:r>
      <w:r>
        <w:rPr>
          <w:rFonts w:hint="eastAsia" w:eastAsia="宋体" w:cs="宋体"/>
          <w:lang w:bidi="ar"/>
        </w:rPr>
        <w:t>年中心城区的城市水面率不低于</w:t>
      </w:r>
      <w:r>
        <w:rPr>
          <w:rFonts w:eastAsia="宋体" w:cs="Times New Roman"/>
          <w:lang w:bidi="ar"/>
        </w:rPr>
        <w:t>8%</w:t>
      </w:r>
      <w:r>
        <w:rPr>
          <w:rFonts w:hint="eastAsia" w:eastAsia="宋体" w:cs="宋体"/>
          <w:lang w:bidi="ar"/>
        </w:rPr>
        <w:t>，</w:t>
      </w:r>
      <w:r>
        <w:rPr>
          <w:rFonts w:eastAsia="宋体" w:cs="Times New Roman"/>
          <w:lang w:bidi="ar"/>
        </w:rPr>
        <w:t>2020</w:t>
      </w:r>
      <w:r>
        <w:rPr>
          <w:rFonts w:hint="eastAsia" w:eastAsia="宋体" w:cs="Times New Roman"/>
          <w:lang w:bidi="ar"/>
        </w:rPr>
        <w:t>年西区水域面积率的规划目标值为8</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年规划目标值为8</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年规划目标值为8</w:t>
      </w:r>
      <w:r>
        <w:rPr>
          <w:rFonts w:eastAsia="宋体" w:cs="Times New Roman"/>
          <w:lang w:bidi="ar"/>
        </w:rPr>
        <w:t>%</w:t>
      </w:r>
      <w:r>
        <w:rPr>
          <w:rFonts w:hint="eastAsia" w:eastAsia="宋体" w:cs="Times New Roman"/>
          <w:lang w:bidi="ar"/>
        </w:rPr>
        <w:t>（表</w:t>
      </w:r>
      <w:r>
        <w:rPr>
          <w:rFonts w:eastAsia="宋体" w:cs="Times New Roman"/>
          <w:lang w:bidi="ar"/>
        </w:rPr>
        <w:t>4-1</w:t>
      </w:r>
      <w:r>
        <w:rPr>
          <w:rFonts w:hint="eastAsia" w:eastAsia="宋体" w:cs="Times New Roman"/>
          <w:lang w:bidi="ar"/>
        </w:rPr>
        <w:t>1），为达到规划目标值，应对区域排水不畅、被侵占（覆盖）严重的河涌，实现揭盖、清障、复涌工程，恢复河涌原来的河道宽度，增加区域水面率，同时与休闲、景观、生态修复相结合，进行生态岸坡与河涌生态修复建设，恢复河涌应有的防洪、排涝、景观、自净与水生物栖息地功能。保护好水体，不缩减河湖、湿地等水域面积，尽量保持水域面积的常年流水，并扩展河湖、湿地等水域面积</w:t>
      </w:r>
      <w:r>
        <w:rPr>
          <w:rFonts w:hint="eastAsia" w:eastAsia="宋体" w:cs="Times New Roman"/>
          <w:szCs w:val="24"/>
          <w:lang w:bidi="ar"/>
        </w:rPr>
        <w:t>，</w:t>
      </w:r>
      <w:r>
        <w:rPr>
          <w:rFonts w:hint="eastAsia" w:eastAsia="宋体" w:cs="Times New Roman"/>
          <w:lang w:bidi="ar"/>
        </w:rPr>
        <w:t>禁止其他建设用地挤占水体区域。</w:t>
      </w:r>
    </w:p>
    <w:p w14:paraId="01A96BA1">
      <w:pPr>
        <w:spacing w:line="240" w:lineRule="auto"/>
        <w:ind w:firstLine="0" w:firstLineChars="0"/>
        <w:jc w:val="center"/>
        <w:rPr>
          <w:rFonts w:cs="Times New Roman"/>
          <w:sz w:val="21"/>
        </w:rPr>
      </w:pPr>
      <w:r>
        <w:rPr>
          <w:rFonts w:eastAsia="宋体" w:cs="Times New Roman"/>
          <w:lang w:bidi="ar"/>
        </w:rPr>
        <w:tab/>
      </w: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1</w:t>
      </w:r>
      <w:r>
        <w:rPr>
          <w:rFonts w:eastAsia="宋体" w:cs="Times New Roman"/>
          <w:sz w:val="21"/>
          <w:lang w:bidi="ar"/>
        </w:rPr>
        <w:t xml:space="preserve">  </w:t>
      </w:r>
      <w:r>
        <w:rPr>
          <w:rFonts w:hint="eastAsia" w:eastAsia="宋体" w:cs="Times New Roman"/>
          <w:sz w:val="21"/>
          <w:lang w:bidi="ar"/>
        </w:rPr>
        <w:t>西区水域面积率现状与规划结果</w:t>
      </w:r>
    </w:p>
    <w:tbl>
      <w:tblPr>
        <w:tblStyle w:val="25"/>
        <w:tblW w:w="88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1975"/>
        <w:gridCol w:w="1793"/>
        <w:gridCol w:w="1862"/>
        <w:gridCol w:w="1784"/>
      </w:tblGrid>
      <w:tr w14:paraId="5809C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398" w:type="dxa"/>
            <w:tcBorders>
              <w:top w:val="single" w:color="auto" w:sz="4" w:space="0"/>
              <w:left w:val="single" w:color="auto" w:sz="4" w:space="0"/>
              <w:bottom w:val="single" w:color="auto" w:sz="4" w:space="0"/>
              <w:right w:val="single" w:color="auto" w:sz="4" w:space="0"/>
            </w:tcBorders>
            <w:shd w:val="clear" w:color="auto" w:fill="auto"/>
            <w:vAlign w:val="center"/>
          </w:tcPr>
          <w:p w14:paraId="4270CC8C">
            <w:pPr>
              <w:spacing w:line="240" w:lineRule="auto"/>
              <w:ind w:firstLine="0" w:firstLineChars="0"/>
              <w:jc w:val="center"/>
              <w:rPr>
                <w:rFonts w:cs="Times New Roman"/>
                <w:sz w:val="21"/>
              </w:rPr>
            </w:pPr>
            <w:r>
              <w:rPr>
                <w:rFonts w:hint="eastAsia" w:eastAsia="宋体" w:cs="Times New Roman"/>
                <w:sz w:val="21"/>
                <w:lang w:bidi="ar"/>
              </w:rPr>
              <w:t>指标</w:t>
            </w:r>
          </w:p>
        </w:tc>
        <w:tc>
          <w:tcPr>
            <w:tcW w:w="1975" w:type="dxa"/>
            <w:tcBorders>
              <w:top w:val="single" w:color="auto" w:sz="4" w:space="0"/>
              <w:left w:val="single" w:color="auto" w:sz="4" w:space="0"/>
              <w:bottom w:val="single" w:color="auto" w:sz="4" w:space="0"/>
              <w:right w:val="single" w:color="auto" w:sz="4" w:space="0"/>
            </w:tcBorders>
            <w:shd w:val="clear" w:color="auto" w:fill="auto"/>
            <w:vAlign w:val="center"/>
          </w:tcPr>
          <w:p w14:paraId="7F8831EE">
            <w:pPr>
              <w:spacing w:line="240" w:lineRule="auto"/>
              <w:ind w:firstLine="0" w:firstLineChars="0"/>
              <w:jc w:val="center"/>
              <w:rPr>
                <w:rFonts w:cs="Times New Roman"/>
                <w:kern w:val="0"/>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w:t>
            </w:r>
          </w:p>
          <w:p w14:paraId="00FA9642">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793" w:type="dxa"/>
            <w:tcBorders>
              <w:top w:val="single" w:color="auto" w:sz="4" w:space="0"/>
              <w:left w:val="single" w:color="auto" w:sz="4" w:space="0"/>
              <w:bottom w:val="single" w:color="auto" w:sz="4" w:space="0"/>
              <w:right w:val="single" w:color="auto" w:sz="4" w:space="0"/>
            </w:tcBorders>
            <w:shd w:val="clear" w:color="auto" w:fill="auto"/>
            <w:vAlign w:val="center"/>
          </w:tcPr>
          <w:p w14:paraId="2DA14445">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62" w:type="dxa"/>
            <w:tcBorders>
              <w:top w:val="single" w:color="auto" w:sz="4" w:space="0"/>
              <w:left w:val="single" w:color="auto" w:sz="4" w:space="0"/>
              <w:bottom w:val="single" w:color="auto" w:sz="4" w:space="0"/>
              <w:right w:val="single" w:color="auto" w:sz="4" w:space="0"/>
            </w:tcBorders>
            <w:shd w:val="clear" w:color="auto" w:fill="auto"/>
            <w:vAlign w:val="center"/>
          </w:tcPr>
          <w:p w14:paraId="5F324DBC">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84" w:type="dxa"/>
            <w:tcBorders>
              <w:top w:val="single" w:color="auto" w:sz="4" w:space="0"/>
              <w:left w:val="single" w:color="auto" w:sz="4" w:space="0"/>
              <w:bottom w:val="single" w:color="auto" w:sz="4" w:space="0"/>
              <w:right w:val="single" w:color="auto" w:sz="4" w:space="0"/>
            </w:tcBorders>
            <w:shd w:val="clear" w:color="auto" w:fill="auto"/>
            <w:vAlign w:val="center"/>
          </w:tcPr>
          <w:p w14:paraId="1507B15B">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0B99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98" w:type="dxa"/>
            <w:tcBorders>
              <w:top w:val="single" w:color="auto" w:sz="4" w:space="0"/>
              <w:left w:val="single" w:color="auto" w:sz="4" w:space="0"/>
              <w:bottom w:val="single" w:color="auto" w:sz="4" w:space="0"/>
              <w:right w:val="single" w:color="auto" w:sz="4" w:space="0"/>
            </w:tcBorders>
            <w:shd w:val="clear" w:color="auto" w:fill="auto"/>
            <w:vAlign w:val="center"/>
          </w:tcPr>
          <w:p w14:paraId="060C15E5">
            <w:pPr>
              <w:spacing w:line="240" w:lineRule="auto"/>
              <w:ind w:firstLine="0" w:firstLineChars="0"/>
              <w:jc w:val="center"/>
              <w:rPr>
                <w:rFonts w:cs="Times New Roman"/>
                <w:sz w:val="21"/>
              </w:rPr>
            </w:pPr>
            <w:r>
              <w:rPr>
                <w:rFonts w:hint="eastAsia" w:eastAsia="宋体" w:cs="Times New Roman"/>
                <w:kern w:val="0"/>
                <w:sz w:val="21"/>
                <w:lang w:bidi="ar"/>
              </w:rPr>
              <w:t>水域面积率</w:t>
            </w:r>
          </w:p>
        </w:tc>
        <w:tc>
          <w:tcPr>
            <w:tcW w:w="1975" w:type="dxa"/>
            <w:tcBorders>
              <w:top w:val="single" w:color="auto" w:sz="4" w:space="0"/>
              <w:left w:val="single" w:color="auto" w:sz="4" w:space="0"/>
              <w:bottom w:val="single" w:color="auto" w:sz="4" w:space="0"/>
              <w:right w:val="single" w:color="auto" w:sz="4" w:space="0"/>
            </w:tcBorders>
            <w:shd w:val="clear" w:color="auto" w:fill="auto"/>
            <w:vAlign w:val="center"/>
          </w:tcPr>
          <w:p w14:paraId="4D63F60F">
            <w:pPr>
              <w:widowControl/>
              <w:spacing w:line="240" w:lineRule="auto"/>
              <w:ind w:firstLine="0" w:firstLineChars="0"/>
              <w:jc w:val="center"/>
              <w:rPr>
                <w:rFonts w:cs="Times New Roman"/>
                <w:kern w:val="0"/>
                <w:sz w:val="21"/>
              </w:rPr>
            </w:pPr>
            <w:r>
              <w:rPr>
                <w:rFonts w:hint="eastAsia" w:eastAsia="宋体" w:cs="Times New Roman"/>
                <w:kern w:val="0"/>
                <w:sz w:val="21"/>
                <w:lang w:bidi="ar"/>
              </w:rPr>
              <w:t>7.06</w:t>
            </w:r>
            <w:r>
              <w:rPr>
                <w:rFonts w:eastAsia="宋体" w:cs="Times New Roman"/>
                <w:kern w:val="0"/>
                <w:sz w:val="21"/>
                <w:lang w:bidi="ar"/>
              </w:rPr>
              <w:t>%</w:t>
            </w:r>
            <w:r>
              <w:rPr>
                <w:rFonts w:hint="eastAsia" w:eastAsia="宋体" w:cs="Times New Roman"/>
                <w:kern w:val="0"/>
                <w:sz w:val="21"/>
                <w:lang w:bidi="ar"/>
              </w:rPr>
              <w:t>、0分、</w:t>
            </w:r>
            <w:r>
              <w:rPr>
                <w:rFonts w:eastAsia="宋体" w:cs="Times New Roman"/>
                <w:kern w:val="0"/>
                <w:sz w:val="21"/>
                <w:lang w:bidi="ar"/>
              </w:rPr>
              <w:t>V</w:t>
            </w:r>
            <w:r>
              <w:rPr>
                <w:rFonts w:hint="eastAsia" w:eastAsia="宋体" w:cs="Times New Roman"/>
                <w:kern w:val="0"/>
                <w:sz w:val="21"/>
                <w:lang w:bidi="ar"/>
              </w:rPr>
              <w:t>级</w:t>
            </w:r>
          </w:p>
        </w:tc>
        <w:tc>
          <w:tcPr>
            <w:tcW w:w="1793" w:type="dxa"/>
            <w:tcBorders>
              <w:top w:val="single" w:color="auto" w:sz="4" w:space="0"/>
              <w:left w:val="single" w:color="auto" w:sz="4" w:space="0"/>
              <w:bottom w:val="single" w:color="auto" w:sz="4" w:space="0"/>
              <w:right w:val="single" w:color="auto" w:sz="4" w:space="0"/>
            </w:tcBorders>
            <w:shd w:val="clear" w:color="auto" w:fill="auto"/>
            <w:vAlign w:val="center"/>
          </w:tcPr>
          <w:p w14:paraId="5D0311EF">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1862" w:type="dxa"/>
            <w:tcBorders>
              <w:top w:val="single" w:color="auto" w:sz="4" w:space="0"/>
              <w:left w:val="single" w:color="auto" w:sz="4" w:space="0"/>
              <w:bottom w:val="single" w:color="auto" w:sz="4" w:space="0"/>
              <w:right w:val="single" w:color="auto" w:sz="4" w:space="0"/>
            </w:tcBorders>
            <w:shd w:val="clear" w:color="auto" w:fill="auto"/>
            <w:vAlign w:val="center"/>
          </w:tcPr>
          <w:p w14:paraId="697C3CB9">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1784" w:type="dxa"/>
            <w:tcBorders>
              <w:top w:val="single" w:color="auto" w:sz="4" w:space="0"/>
              <w:left w:val="single" w:color="auto" w:sz="4" w:space="0"/>
              <w:bottom w:val="single" w:color="auto" w:sz="4" w:space="0"/>
              <w:right w:val="single" w:color="auto" w:sz="4" w:space="0"/>
            </w:tcBorders>
            <w:shd w:val="clear" w:color="auto" w:fill="auto"/>
            <w:vAlign w:val="center"/>
          </w:tcPr>
          <w:p w14:paraId="71FA1090">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bl>
    <w:p w14:paraId="1AD892CF">
      <w:pPr>
        <w:spacing w:line="240" w:lineRule="auto"/>
        <w:ind w:firstLine="480"/>
        <w:jc w:val="left"/>
        <w:rPr>
          <w:rFonts w:cs="Times New Roman"/>
        </w:rPr>
      </w:pPr>
      <w:bookmarkStart w:id="568" w:name="_Toc526004959"/>
      <w:bookmarkStart w:id="569" w:name="_Toc527881113"/>
      <w:bookmarkStart w:id="570" w:name="_Toc523306822"/>
    </w:p>
    <w:p w14:paraId="273A0F0D">
      <w:pPr>
        <w:pStyle w:val="3"/>
        <w:widowControl/>
        <w:spacing w:before="0" w:after="0" w:line="360" w:lineRule="auto"/>
        <w:rPr>
          <w:rFonts w:cs="Times New Roman"/>
        </w:rPr>
      </w:pPr>
      <w:bookmarkStart w:id="571" w:name="_Toc528880319"/>
      <w:bookmarkStart w:id="572" w:name="_Toc5951"/>
      <w:bookmarkStart w:id="573" w:name="_Toc528607287"/>
      <w:bookmarkStart w:id="574" w:name="_Toc10657"/>
      <w:bookmarkStart w:id="575" w:name="_Toc18723"/>
      <w:bookmarkStart w:id="576" w:name="_Toc2439"/>
      <w:bookmarkStart w:id="577" w:name="_Toc16675063"/>
      <w:bookmarkStart w:id="578" w:name="_Toc3694"/>
      <w:bookmarkStart w:id="579" w:name="_Toc1816"/>
      <w:r>
        <w:rPr>
          <w:rFonts w:cs="Times New Roman"/>
        </w:rPr>
        <w:t>4.3.</w:t>
      </w:r>
      <w:r>
        <w:rPr>
          <w:rFonts w:hint="eastAsia" w:cs="Times New Roman"/>
        </w:rPr>
        <w:t>3水土流失治理程度</w:t>
      </w:r>
      <w:bookmarkEnd w:id="568"/>
      <w:bookmarkEnd w:id="569"/>
      <w:bookmarkEnd w:id="570"/>
      <w:bookmarkEnd w:id="571"/>
      <w:bookmarkEnd w:id="572"/>
      <w:bookmarkEnd w:id="573"/>
      <w:bookmarkEnd w:id="574"/>
      <w:bookmarkEnd w:id="575"/>
      <w:bookmarkEnd w:id="576"/>
      <w:bookmarkEnd w:id="577"/>
      <w:bookmarkEnd w:id="578"/>
      <w:bookmarkEnd w:id="579"/>
    </w:p>
    <w:p w14:paraId="4BF00EEB">
      <w:pPr>
        <w:ind w:firstLine="480"/>
        <w:rPr>
          <w:rFonts w:eastAsia="宋体" w:cs="Times New Roman"/>
          <w:szCs w:val="24"/>
          <w:lang w:bidi="ar"/>
        </w:rPr>
      </w:pPr>
      <w:r>
        <w:rPr>
          <w:rFonts w:hint="eastAsia" w:eastAsia="宋体" w:cs="Times New Roman"/>
          <w:lang w:bidi="ar"/>
        </w:rPr>
        <w:t>指水土流失治理面积占区域水土流失总面积的比例</w:t>
      </w:r>
      <w:r>
        <w:rPr>
          <w:rFonts w:hint="eastAsia" w:eastAsia="宋体" w:cs="Times New Roman"/>
          <w:b/>
          <w:bCs/>
          <w:szCs w:val="24"/>
          <w:lang w:bidi="ar"/>
        </w:rPr>
        <w:t>（具体计算公式见附录1）</w:t>
      </w:r>
      <w:r>
        <w:rPr>
          <w:rFonts w:hint="eastAsia" w:eastAsia="宋体" w:cs="Times New Roman"/>
          <w:lang w:bidi="ar"/>
        </w:rPr>
        <w:t>。根据《中山市水土保持规划（</w:t>
      </w:r>
      <w:r>
        <w:rPr>
          <w:rFonts w:eastAsia="宋体" w:cs="Times New Roman"/>
          <w:lang w:bidi="ar"/>
        </w:rPr>
        <w:t>2016-2030</w:t>
      </w:r>
      <w:r>
        <w:rPr>
          <w:rFonts w:hint="eastAsia" w:eastAsia="宋体" w:cs="Times New Roman"/>
          <w:lang w:bidi="ar"/>
        </w:rPr>
        <w:t>）》，西区</w:t>
      </w:r>
      <w:r>
        <w:rPr>
          <w:rFonts w:hint="eastAsia" w:eastAsia="宋体" w:cs="Times New Roman"/>
          <w:szCs w:val="24"/>
          <w:lang w:bidi="ar"/>
        </w:rPr>
        <w:t>水土保持分区属于北部平原水质维护和人居环境维护区，该区的水土流失率约为</w:t>
      </w:r>
      <w:r>
        <w:rPr>
          <w:rFonts w:eastAsia="宋体" w:cs="Times New Roman"/>
          <w:szCs w:val="24"/>
          <w:lang w:bidi="ar"/>
        </w:rPr>
        <w:t>1.70%</w:t>
      </w:r>
      <w:r>
        <w:rPr>
          <w:rFonts w:hint="eastAsia" w:eastAsia="宋体" w:cs="Times New Roman"/>
          <w:szCs w:val="24"/>
          <w:lang w:bidi="ar"/>
        </w:rPr>
        <w:t>，</w:t>
      </w:r>
      <w:r>
        <w:rPr>
          <w:rFonts w:hint="eastAsia" w:eastAsia="宋体"/>
          <w:szCs w:val="28"/>
        </w:rPr>
        <w:t>西区</w:t>
      </w:r>
      <w:r>
        <w:rPr>
          <w:rFonts w:hint="eastAsia"/>
          <w:szCs w:val="28"/>
        </w:rPr>
        <w:t>镇域面积为25.21km</w:t>
      </w:r>
      <w:r>
        <w:rPr>
          <w:rFonts w:hint="eastAsia"/>
          <w:szCs w:val="28"/>
          <w:vertAlign w:val="superscript"/>
        </w:rPr>
        <w:t>2</w:t>
      </w:r>
      <w:r>
        <w:rPr>
          <w:rFonts w:hint="eastAsia"/>
          <w:szCs w:val="28"/>
        </w:rPr>
        <w:t>，由此推测西区的现状水土流失面积约为0.43km</w:t>
      </w:r>
      <w:r>
        <w:rPr>
          <w:rFonts w:hint="eastAsia"/>
          <w:szCs w:val="28"/>
          <w:vertAlign w:val="superscript"/>
        </w:rPr>
        <w:t>2</w:t>
      </w:r>
      <w:r>
        <w:rPr>
          <w:rFonts w:hint="eastAsia"/>
          <w:szCs w:val="28"/>
        </w:rPr>
        <w:t>，根据西区提供的数据，西区治理水土流失面积约为0.38km</w:t>
      </w:r>
      <w:r>
        <w:rPr>
          <w:rFonts w:hint="eastAsia"/>
          <w:szCs w:val="28"/>
          <w:vertAlign w:val="superscript"/>
        </w:rPr>
        <w:t>2</w:t>
      </w:r>
      <w:r>
        <w:rPr>
          <w:rFonts w:hint="eastAsia"/>
          <w:szCs w:val="28"/>
        </w:rPr>
        <w:t>，因此西区水土流失治理程度约为88%</w:t>
      </w:r>
      <w:r>
        <w:rPr>
          <w:rFonts w:hint="eastAsia" w:eastAsia="宋体" w:cs="Times New Roman"/>
          <w:szCs w:val="24"/>
          <w:lang w:bidi="ar"/>
        </w:rPr>
        <w:t>。</w:t>
      </w:r>
      <w:r>
        <w:rPr>
          <w:rFonts w:eastAsia="宋体" w:cs="Times New Roman"/>
          <w:szCs w:val="24"/>
          <w:lang w:bidi="ar"/>
        </w:rPr>
        <w:t>2020</w:t>
      </w:r>
      <w:r>
        <w:rPr>
          <w:rFonts w:hint="eastAsia" w:eastAsia="宋体" w:cs="Times New Roman"/>
          <w:szCs w:val="24"/>
          <w:lang w:bidi="ar"/>
        </w:rPr>
        <w:t>年西区水土流失治理程度的规划目标值为</w:t>
      </w:r>
      <w:r>
        <w:rPr>
          <w:rFonts w:eastAsia="宋体" w:cs="Times New Roman"/>
          <w:szCs w:val="24"/>
          <w:lang w:bidi="ar"/>
        </w:rPr>
        <w:t>9</w:t>
      </w:r>
      <w:r>
        <w:rPr>
          <w:rFonts w:hint="eastAsia" w:eastAsia="宋体" w:cs="Times New Roman"/>
          <w:szCs w:val="24"/>
          <w:lang w:bidi="ar"/>
        </w:rPr>
        <w:t>5</w:t>
      </w:r>
      <w:r>
        <w:rPr>
          <w:rFonts w:eastAsia="宋体" w:cs="Times New Roman"/>
          <w:szCs w:val="24"/>
          <w:lang w:bidi="ar"/>
        </w:rPr>
        <w:t>%</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年西区水土流失治理程度的规划目标值为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年西区水土流失治理程度的规划目标值为</w:t>
      </w:r>
      <w:r>
        <w:rPr>
          <w:rFonts w:eastAsia="宋体" w:cs="Times New Roman"/>
          <w:szCs w:val="24"/>
          <w:lang w:bidi="ar"/>
        </w:rPr>
        <w:t>100%</w:t>
      </w:r>
      <w:r>
        <w:rPr>
          <w:rFonts w:hint="eastAsia" w:eastAsia="宋体" w:cs="Times New Roman"/>
          <w:szCs w:val="24"/>
          <w:lang w:bidi="ar"/>
        </w:rPr>
        <w:t>（表</w:t>
      </w:r>
      <w:r>
        <w:rPr>
          <w:rFonts w:eastAsia="宋体" w:cs="Times New Roman"/>
          <w:szCs w:val="24"/>
          <w:lang w:bidi="ar"/>
        </w:rPr>
        <w:t>4-1</w:t>
      </w:r>
      <w:r>
        <w:rPr>
          <w:rFonts w:hint="eastAsia" w:eastAsia="宋体" w:cs="Times New Roman"/>
          <w:szCs w:val="24"/>
          <w:lang w:bidi="ar"/>
        </w:rPr>
        <w:t>2），为达到规划目标值，应对可能发生的松散斜坡的水土进行治理，特别是具有一定坡度的土质较松软体，要发现一处治理一处，同时做好农业耕地的水土保持工作，以防止水土流失。重点做好弃土弃渣的拦蓄及侵蚀劣地植被恢复，另外特别要及时做好城市扩张、开发区建设和修路等城市化建设引起的土壤侵蚀的治理工作。</w:t>
      </w:r>
    </w:p>
    <w:p w14:paraId="6A6CD5ED">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2</w:t>
      </w:r>
      <w:r>
        <w:rPr>
          <w:rFonts w:eastAsia="宋体" w:cs="Times New Roman"/>
          <w:sz w:val="21"/>
          <w:lang w:bidi="ar"/>
        </w:rPr>
        <w:t xml:space="preserve">  </w:t>
      </w:r>
      <w:r>
        <w:rPr>
          <w:rFonts w:hint="eastAsia" w:eastAsia="宋体" w:cs="Times New Roman"/>
          <w:sz w:val="21"/>
          <w:lang w:bidi="ar"/>
        </w:rPr>
        <w:t>西区水土流失治理程度现状与规划结果</w:t>
      </w:r>
    </w:p>
    <w:tbl>
      <w:tblPr>
        <w:tblStyle w:val="25"/>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5"/>
        <w:gridCol w:w="1840"/>
        <w:gridCol w:w="1799"/>
        <w:gridCol w:w="1936"/>
        <w:gridCol w:w="1779"/>
      </w:tblGrid>
      <w:tr w14:paraId="33D5B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14:paraId="4764438B">
            <w:pPr>
              <w:spacing w:line="240" w:lineRule="auto"/>
              <w:ind w:firstLine="0" w:firstLineChars="0"/>
              <w:jc w:val="center"/>
              <w:rPr>
                <w:rFonts w:cs="Times New Roman"/>
                <w:sz w:val="21"/>
              </w:rPr>
            </w:pPr>
            <w:r>
              <w:rPr>
                <w:rFonts w:hint="eastAsia" w:eastAsia="宋体" w:cs="Times New Roman"/>
                <w:sz w:val="21"/>
                <w:lang w:bidi="ar"/>
              </w:rPr>
              <w:t>指标</w:t>
            </w:r>
          </w:p>
        </w:tc>
        <w:tc>
          <w:tcPr>
            <w:tcW w:w="1840" w:type="dxa"/>
            <w:tcBorders>
              <w:top w:val="single" w:color="auto" w:sz="4" w:space="0"/>
              <w:left w:val="single" w:color="auto" w:sz="4" w:space="0"/>
              <w:bottom w:val="single" w:color="auto" w:sz="4" w:space="0"/>
              <w:right w:val="single" w:color="auto" w:sz="4" w:space="0"/>
            </w:tcBorders>
            <w:shd w:val="clear" w:color="auto" w:fill="auto"/>
            <w:vAlign w:val="center"/>
          </w:tcPr>
          <w:p w14:paraId="7B4B308F">
            <w:pPr>
              <w:spacing w:line="240" w:lineRule="auto"/>
              <w:ind w:firstLine="0" w:firstLineChars="0"/>
              <w:jc w:val="center"/>
              <w:rPr>
                <w:rFonts w:cs="Times New Roman"/>
                <w:kern w:val="0"/>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w:t>
            </w:r>
          </w:p>
          <w:p w14:paraId="27F16004">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7CF849C">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936" w:type="dxa"/>
            <w:tcBorders>
              <w:top w:val="single" w:color="auto" w:sz="4" w:space="0"/>
              <w:left w:val="single" w:color="auto" w:sz="4" w:space="0"/>
              <w:bottom w:val="single" w:color="auto" w:sz="4" w:space="0"/>
              <w:right w:val="single" w:color="auto" w:sz="4" w:space="0"/>
            </w:tcBorders>
            <w:shd w:val="clear" w:color="auto" w:fill="auto"/>
            <w:vAlign w:val="center"/>
          </w:tcPr>
          <w:p w14:paraId="5DB2A187">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4C254061">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DC56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14:paraId="710E8984">
            <w:pPr>
              <w:spacing w:line="240" w:lineRule="auto"/>
              <w:ind w:firstLine="0" w:firstLineChars="0"/>
              <w:jc w:val="center"/>
              <w:rPr>
                <w:rFonts w:cs="Times New Roman"/>
                <w:sz w:val="21"/>
              </w:rPr>
            </w:pPr>
            <w:r>
              <w:rPr>
                <w:rFonts w:hint="eastAsia" w:eastAsia="宋体" w:cs="Times New Roman"/>
                <w:kern w:val="0"/>
                <w:sz w:val="21"/>
                <w:lang w:bidi="ar"/>
              </w:rPr>
              <w:t>水土流失治理程度</w:t>
            </w:r>
          </w:p>
        </w:tc>
        <w:tc>
          <w:tcPr>
            <w:tcW w:w="1840" w:type="dxa"/>
            <w:tcBorders>
              <w:top w:val="single" w:color="auto" w:sz="4" w:space="0"/>
              <w:left w:val="single" w:color="auto" w:sz="4" w:space="0"/>
              <w:bottom w:val="single" w:color="auto" w:sz="4" w:space="0"/>
              <w:right w:val="single" w:color="auto" w:sz="4" w:space="0"/>
            </w:tcBorders>
            <w:shd w:val="clear" w:color="auto" w:fill="auto"/>
            <w:vAlign w:val="center"/>
          </w:tcPr>
          <w:p w14:paraId="23840844">
            <w:pPr>
              <w:widowControl/>
              <w:spacing w:line="240" w:lineRule="auto"/>
              <w:ind w:firstLine="0" w:firstLineChars="0"/>
              <w:rPr>
                <w:rFonts w:cs="Times New Roman"/>
                <w:kern w:val="0"/>
                <w:sz w:val="21"/>
              </w:rPr>
            </w:pPr>
            <w:r>
              <w:rPr>
                <w:rFonts w:hint="eastAsia" w:eastAsia="宋体" w:cs="Times New Roman"/>
                <w:kern w:val="0"/>
                <w:sz w:val="21"/>
                <w:lang w:bidi="ar"/>
              </w:rPr>
              <w:t>88</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分、</w:t>
            </w:r>
            <w:r>
              <w:rPr>
                <w:rFonts w:eastAsia="宋体" w:cs="Times New Roman"/>
                <w:kern w:val="0"/>
                <w:sz w:val="21"/>
                <w:lang w:bidi="ar"/>
              </w:rPr>
              <w:t>II</w:t>
            </w:r>
            <w:r>
              <w:rPr>
                <w:rFonts w:hint="eastAsia" w:eastAsia="宋体" w:cs="Times New Roman"/>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E9C5E4D">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36" w:type="dxa"/>
            <w:tcBorders>
              <w:top w:val="single" w:color="auto" w:sz="4" w:space="0"/>
              <w:left w:val="single" w:color="auto" w:sz="4" w:space="0"/>
              <w:bottom w:val="single" w:color="auto" w:sz="4" w:space="0"/>
              <w:right w:val="single" w:color="auto" w:sz="4" w:space="0"/>
            </w:tcBorders>
            <w:shd w:val="clear" w:color="auto" w:fill="auto"/>
            <w:vAlign w:val="center"/>
          </w:tcPr>
          <w:p w14:paraId="42E5FB61">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7717A55F">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7C9E83BB">
      <w:pPr>
        <w:spacing w:line="240" w:lineRule="auto"/>
        <w:ind w:firstLine="480"/>
        <w:rPr>
          <w:rFonts w:eastAsia="宋体" w:cs="Times New Roman"/>
          <w:szCs w:val="24"/>
          <w:lang w:bidi="ar"/>
        </w:rPr>
      </w:pPr>
    </w:p>
    <w:p w14:paraId="487E92BA">
      <w:pPr>
        <w:pStyle w:val="3"/>
        <w:widowControl/>
        <w:spacing w:before="0" w:after="0" w:line="360" w:lineRule="auto"/>
      </w:pPr>
      <w:bookmarkStart w:id="580" w:name="_Toc15941"/>
      <w:bookmarkStart w:id="581" w:name="_Toc10911"/>
      <w:bookmarkStart w:id="582" w:name="_Toc18800"/>
      <w:bookmarkStart w:id="583" w:name="_Toc22504"/>
      <w:bookmarkStart w:id="584" w:name="_Toc9761"/>
      <w:bookmarkStart w:id="585" w:name="_Toc27033"/>
      <w:bookmarkStart w:id="586" w:name="_Toc28850"/>
      <w:bookmarkStart w:id="587" w:name="_Toc523406037"/>
      <w:bookmarkStart w:id="588" w:name="_Toc16675064"/>
      <w:bookmarkStart w:id="589" w:name="_Toc528880320"/>
      <w:bookmarkStart w:id="590" w:name="_Toc527881114"/>
      <w:bookmarkStart w:id="591" w:name="_Toc3169"/>
      <w:bookmarkStart w:id="592" w:name="_Toc527572517"/>
      <w:bookmarkStart w:id="593" w:name="_Toc528607288"/>
      <w:r>
        <w:t>4.3.</w:t>
      </w:r>
      <w:r>
        <w:rPr>
          <w:rFonts w:hint="eastAsia"/>
        </w:rPr>
        <w:t>4</w:t>
      </w:r>
      <w:r>
        <w:rPr>
          <w:rFonts w:hint="eastAsia" w:cs="黑体"/>
        </w:rPr>
        <w:t>建成区透水面积率</w:t>
      </w:r>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p>
    <w:p w14:paraId="030B6B1F">
      <w:pPr>
        <w:pStyle w:val="79"/>
        <w:widowControl/>
        <w:ind w:firstLine="480"/>
      </w:pPr>
      <w:r>
        <w:rPr>
          <w:rFonts w:hint="eastAsia" w:cs="宋体"/>
        </w:rPr>
        <w:t>指城市建成区绿地、水面和人工增强透水面积占总面积的比值</w:t>
      </w:r>
      <w:r>
        <w:rPr>
          <w:rFonts w:hint="eastAsia"/>
          <w:b/>
          <w:bCs/>
          <w:szCs w:val="24"/>
          <w:lang w:bidi="ar"/>
        </w:rPr>
        <w:t>（具体计算公式见附录1）</w:t>
      </w:r>
      <w:r>
        <w:rPr>
          <w:rFonts w:hint="eastAsia" w:cs="宋体"/>
        </w:rPr>
        <w:t>。根据《中山市西区土地利用总体规划（</w:t>
      </w:r>
      <w:r>
        <w:t>2010-2020</w:t>
      </w:r>
      <w:r>
        <w:rPr>
          <w:rFonts w:hint="eastAsia" w:cs="宋体"/>
        </w:rPr>
        <w:t>）调整完善方案》、</w:t>
      </w:r>
      <w:r>
        <w:rPr>
          <w:rFonts w:hint="eastAsia"/>
          <w:szCs w:val="24"/>
        </w:rPr>
        <w:t>《中山市城市生态控制线划定规划》、《中山市西区国民经济和社会发展第十三个五年规划纲要（2016年）》、《中山市城市总体规划（2011-2020年）中心城区用地规划图（2017年8月）》</w:t>
      </w:r>
      <w:r>
        <w:rPr>
          <w:rFonts w:hint="eastAsia" w:cs="宋体"/>
        </w:rPr>
        <w:t>，西区现在建成区绿地为</w:t>
      </w:r>
      <w:r>
        <w:rPr>
          <w:rFonts w:hint="eastAsia"/>
        </w:rPr>
        <w:t>1.25</w:t>
      </w:r>
      <w:r>
        <w:t>km</w:t>
      </w:r>
      <w:r>
        <w:rPr>
          <w:vertAlign w:val="superscript"/>
        </w:rPr>
        <w:t>2</w:t>
      </w:r>
      <w:r>
        <w:rPr>
          <w:rFonts w:hint="eastAsia" w:cs="宋体"/>
        </w:rPr>
        <w:t>，水面为</w:t>
      </w:r>
      <w:r>
        <w:rPr>
          <w:rFonts w:hint="eastAsia"/>
        </w:rPr>
        <w:t>0.83</w:t>
      </w:r>
      <w:r>
        <w:t>km</w:t>
      </w:r>
      <w:r>
        <w:rPr>
          <w:vertAlign w:val="superscript"/>
        </w:rPr>
        <w:t>2</w:t>
      </w:r>
      <w:r>
        <w:rPr>
          <w:rFonts w:hint="eastAsia" w:cs="宋体"/>
        </w:rPr>
        <w:t>，人工增强透水面积为</w:t>
      </w:r>
      <w:r>
        <w:t>0</w:t>
      </w:r>
      <w:r>
        <w:rPr>
          <w:rFonts w:hint="eastAsia"/>
        </w:rPr>
        <w:t>.03</w:t>
      </w:r>
      <w:r>
        <w:t>km</w:t>
      </w:r>
      <w:r>
        <w:rPr>
          <w:vertAlign w:val="superscript"/>
        </w:rPr>
        <w:t>2</w:t>
      </w:r>
      <w:r>
        <w:rPr>
          <w:rFonts w:hint="eastAsia" w:cs="宋体"/>
        </w:rPr>
        <w:t>，建成区总面积</w:t>
      </w:r>
      <w:r>
        <w:rPr>
          <w:rFonts w:hint="eastAsia"/>
        </w:rPr>
        <w:t>19.47</w:t>
      </w:r>
      <w:r>
        <w:t>km</w:t>
      </w:r>
      <w:r>
        <w:rPr>
          <w:vertAlign w:val="superscript"/>
        </w:rPr>
        <w:t>2</w:t>
      </w:r>
      <w:r>
        <w:rPr>
          <w:rFonts w:hint="eastAsia" w:cs="宋体"/>
        </w:rPr>
        <w:t>，建成区透水面积率为</w:t>
      </w:r>
      <w:r>
        <w:rPr>
          <w:rFonts w:hint="eastAsia"/>
        </w:rPr>
        <w:t>10.84</w:t>
      </w:r>
      <w:r>
        <w:t>%</w:t>
      </w:r>
      <w:r>
        <w:rPr>
          <w:rFonts w:hint="eastAsia" w:cs="宋体"/>
        </w:rPr>
        <w:t>。土地利用调整后，</w:t>
      </w:r>
      <w:r>
        <w:t>2020</w:t>
      </w:r>
      <w:r>
        <w:rPr>
          <w:rFonts w:hint="eastAsia" w:cs="宋体"/>
        </w:rPr>
        <w:t>年西区建成区绿地为</w:t>
      </w:r>
      <w:r>
        <w:t>1.</w:t>
      </w:r>
      <w:r>
        <w:rPr>
          <w:rFonts w:hint="eastAsia"/>
        </w:rPr>
        <w:t>67</w:t>
      </w:r>
      <w:r>
        <w:t>km</w:t>
      </w:r>
      <w:r>
        <w:rPr>
          <w:vertAlign w:val="superscript"/>
        </w:rPr>
        <w:t>2</w:t>
      </w:r>
      <w:r>
        <w:rPr>
          <w:rFonts w:hint="eastAsia" w:cs="宋体"/>
        </w:rPr>
        <w:t>，水面为</w:t>
      </w:r>
      <w:r>
        <w:rPr>
          <w:rFonts w:hint="eastAsia"/>
        </w:rPr>
        <w:t>0</w:t>
      </w:r>
      <w:r>
        <w:t>.</w:t>
      </w:r>
      <w:r>
        <w:rPr>
          <w:rFonts w:hint="eastAsia"/>
        </w:rPr>
        <w:t>83</w:t>
      </w:r>
      <w:r>
        <w:t>km</w:t>
      </w:r>
      <w:r>
        <w:rPr>
          <w:vertAlign w:val="superscript"/>
        </w:rPr>
        <w:t>2</w:t>
      </w:r>
      <w:r>
        <w:rPr>
          <w:rFonts w:hint="eastAsia" w:cs="宋体"/>
        </w:rPr>
        <w:t>，人工增强透水面积为</w:t>
      </w:r>
      <w:r>
        <w:t>0.</w:t>
      </w:r>
      <w:r>
        <w:rPr>
          <w:rFonts w:hint="eastAsia"/>
        </w:rPr>
        <w:t>04</w:t>
      </w:r>
      <w:r>
        <w:t>km</w:t>
      </w:r>
      <w:r>
        <w:rPr>
          <w:vertAlign w:val="superscript"/>
        </w:rPr>
        <w:t>2</w:t>
      </w:r>
      <w:r>
        <w:rPr>
          <w:rFonts w:hint="eastAsia" w:cs="宋体"/>
        </w:rPr>
        <w:t>，建成区总面积</w:t>
      </w:r>
      <w:r>
        <w:rPr>
          <w:rFonts w:hint="eastAsia"/>
        </w:rPr>
        <w:t>18.76</w:t>
      </w:r>
      <w:r>
        <w:t xml:space="preserve"> km</w:t>
      </w:r>
      <w:r>
        <w:rPr>
          <w:vertAlign w:val="superscript"/>
        </w:rPr>
        <w:t>2</w:t>
      </w:r>
      <w:r>
        <w:rPr>
          <w:rFonts w:hint="eastAsia" w:cs="宋体"/>
        </w:rPr>
        <w:t>，建成区透水面积率为</w:t>
      </w:r>
      <w:r>
        <w:rPr>
          <w:rFonts w:hint="eastAsia"/>
        </w:rPr>
        <w:t>13.54</w:t>
      </w:r>
      <w:r>
        <w:t>%</w:t>
      </w:r>
      <w:r>
        <w:rPr>
          <w:rFonts w:hint="eastAsia" w:cs="宋体"/>
        </w:rPr>
        <w:t>。由于按土地利用调整后，建成区的透水面积率过低，因此西区应增加城区内公园、湿地、植被种植等渗透面积的建设，扩大水域面积，到</w:t>
      </w:r>
      <w:r>
        <w:t>2025</w:t>
      </w:r>
      <w:r>
        <w:rPr>
          <w:rFonts w:hint="eastAsia" w:cs="宋体"/>
        </w:rPr>
        <w:t>年建成区透水面积率规划目标值提高到</w:t>
      </w:r>
      <w:r>
        <w:rPr>
          <w:rFonts w:hint="eastAsia"/>
        </w:rPr>
        <w:t>35</w:t>
      </w:r>
      <w:r>
        <w:t>%</w:t>
      </w:r>
      <w:r>
        <w:rPr>
          <w:rFonts w:hint="eastAsia" w:cs="宋体"/>
        </w:rPr>
        <w:t>，</w:t>
      </w:r>
      <w:r>
        <w:t>2030</w:t>
      </w:r>
      <w:r>
        <w:rPr>
          <w:rFonts w:hint="eastAsia" w:cs="宋体"/>
        </w:rPr>
        <w:t>年建成区透水面积率规划目标值提高到</w:t>
      </w:r>
      <w:r>
        <w:rPr>
          <w:rFonts w:hint="eastAsia"/>
        </w:rPr>
        <w:t>5</w:t>
      </w:r>
      <w:r>
        <w:t>0%</w:t>
      </w:r>
      <w:r>
        <w:rPr>
          <w:rFonts w:hint="eastAsia" w:cs="宋体"/>
        </w:rPr>
        <w:t>（表</w:t>
      </w:r>
      <w:r>
        <w:t>4-1</w:t>
      </w:r>
      <w:r>
        <w:rPr>
          <w:rFonts w:hint="eastAsia"/>
        </w:rPr>
        <w:t>3</w:t>
      </w:r>
      <w:r>
        <w:rPr>
          <w:rFonts w:hint="eastAsia" w:cs="宋体"/>
        </w:rPr>
        <w:t>）。</w:t>
      </w:r>
    </w:p>
    <w:p w14:paraId="03E176AB">
      <w:pPr>
        <w:pStyle w:val="79"/>
        <w:widowControl/>
        <w:spacing w:line="240" w:lineRule="auto"/>
        <w:jc w:val="center"/>
        <w:rPr>
          <w:sz w:val="21"/>
        </w:rPr>
      </w:pPr>
      <w:r>
        <w:rPr>
          <w:rFonts w:hint="eastAsia" w:cs="宋体"/>
          <w:sz w:val="21"/>
        </w:rPr>
        <w:t>表</w:t>
      </w:r>
      <w:r>
        <w:rPr>
          <w:sz w:val="21"/>
        </w:rPr>
        <w:t>4-1</w:t>
      </w:r>
      <w:r>
        <w:rPr>
          <w:rFonts w:hint="eastAsia"/>
          <w:sz w:val="21"/>
        </w:rPr>
        <w:t>3</w:t>
      </w:r>
      <w:r>
        <w:rPr>
          <w:sz w:val="21"/>
        </w:rPr>
        <w:t xml:space="preserve">  </w:t>
      </w:r>
      <w:r>
        <w:rPr>
          <w:rFonts w:hint="eastAsia" w:cs="宋体"/>
          <w:sz w:val="21"/>
        </w:rPr>
        <w:t>西区建成区透水面积率现状与规划结果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2186"/>
        <w:gridCol w:w="2014"/>
        <w:gridCol w:w="1493"/>
        <w:gridCol w:w="1578"/>
      </w:tblGrid>
      <w:tr w14:paraId="437AC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257" w:type="dxa"/>
            <w:tcBorders>
              <w:top w:val="single" w:color="auto" w:sz="4" w:space="0"/>
              <w:left w:val="single" w:color="auto" w:sz="4" w:space="0"/>
              <w:bottom w:val="single" w:color="auto" w:sz="4" w:space="0"/>
              <w:right w:val="single" w:color="auto" w:sz="4" w:space="0"/>
            </w:tcBorders>
            <w:shd w:val="clear" w:color="auto" w:fill="auto"/>
            <w:vAlign w:val="center"/>
          </w:tcPr>
          <w:p w14:paraId="2E9853E0">
            <w:pPr>
              <w:spacing w:line="240" w:lineRule="auto"/>
              <w:ind w:firstLine="0" w:firstLineChars="0"/>
              <w:jc w:val="center"/>
              <w:rPr>
                <w:sz w:val="21"/>
              </w:rPr>
            </w:pPr>
            <w:r>
              <w:rPr>
                <w:rFonts w:hint="eastAsia" w:eastAsia="宋体" w:cs="宋体"/>
                <w:sz w:val="21"/>
                <w:lang w:bidi="ar"/>
              </w:rPr>
              <w:t>指标</w:t>
            </w:r>
          </w:p>
        </w:tc>
        <w:tc>
          <w:tcPr>
            <w:tcW w:w="2186" w:type="dxa"/>
            <w:tcBorders>
              <w:top w:val="single" w:color="auto" w:sz="4" w:space="0"/>
              <w:left w:val="single" w:color="auto" w:sz="4" w:space="0"/>
              <w:bottom w:val="single" w:color="auto" w:sz="4" w:space="0"/>
              <w:right w:val="single" w:color="auto" w:sz="4" w:space="0"/>
            </w:tcBorders>
            <w:shd w:val="clear" w:color="auto" w:fill="auto"/>
            <w:vAlign w:val="center"/>
          </w:tcPr>
          <w:p w14:paraId="49913852">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02975B9F">
            <w:pPr>
              <w:spacing w:line="240" w:lineRule="auto"/>
              <w:ind w:firstLine="0" w:firstLineChars="0"/>
              <w:jc w:val="center"/>
              <w:rPr>
                <w:sz w:val="21"/>
              </w:rPr>
            </w:pPr>
            <w:r>
              <w:rPr>
                <w:rFonts w:hint="eastAsia" w:eastAsia="宋体" w:cs="宋体"/>
                <w:sz w:val="21"/>
                <w:lang w:bidi="ar"/>
              </w:rPr>
              <w:t>与指标分级</w:t>
            </w:r>
          </w:p>
        </w:tc>
        <w:tc>
          <w:tcPr>
            <w:tcW w:w="2014" w:type="dxa"/>
            <w:tcBorders>
              <w:top w:val="single" w:color="auto" w:sz="4" w:space="0"/>
              <w:left w:val="single" w:color="auto" w:sz="4" w:space="0"/>
              <w:bottom w:val="single" w:color="auto" w:sz="4" w:space="0"/>
              <w:right w:val="single" w:color="auto" w:sz="4" w:space="0"/>
            </w:tcBorders>
            <w:shd w:val="clear" w:color="auto" w:fill="auto"/>
            <w:vAlign w:val="center"/>
          </w:tcPr>
          <w:p w14:paraId="31E75620">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14:paraId="6227A20A">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578" w:type="dxa"/>
            <w:tcBorders>
              <w:top w:val="single" w:color="auto" w:sz="4" w:space="0"/>
              <w:left w:val="single" w:color="auto" w:sz="4" w:space="0"/>
              <w:bottom w:val="single" w:color="auto" w:sz="4" w:space="0"/>
              <w:right w:val="single" w:color="auto" w:sz="4" w:space="0"/>
            </w:tcBorders>
            <w:shd w:val="clear" w:color="auto" w:fill="auto"/>
            <w:vAlign w:val="center"/>
          </w:tcPr>
          <w:p w14:paraId="5115914E">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05B55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257" w:type="dxa"/>
            <w:tcBorders>
              <w:top w:val="single" w:color="auto" w:sz="4" w:space="0"/>
              <w:left w:val="single" w:color="auto" w:sz="4" w:space="0"/>
              <w:bottom w:val="single" w:color="auto" w:sz="4" w:space="0"/>
              <w:right w:val="single" w:color="auto" w:sz="4" w:space="0"/>
            </w:tcBorders>
            <w:shd w:val="clear" w:color="auto" w:fill="auto"/>
            <w:vAlign w:val="center"/>
          </w:tcPr>
          <w:p w14:paraId="5CACAB31">
            <w:pPr>
              <w:spacing w:line="240" w:lineRule="auto"/>
              <w:ind w:firstLine="0" w:firstLineChars="0"/>
              <w:jc w:val="center"/>
              <w:rPr>
                <w:sz w:val="21"/>
              </w:rPr>
            </w:pPr>
            <w:r>
              <w:rPr>
                <w:rFonts w:hint="eastAsia" w:eastAsia="宋体" w:cs="宋体"/>
                <w:kern w:val="0"/>
                <w:sz w:val="21"/>
                <w:lang w:bidi="ar"/>
              </w:rPr>
              <w:t>建成区透水面积率</w:t>
            </w:r>
          </w:p>
        </w:tc>
        <w:tc>
          <w:tcPr>
            <w:tcW w:w="2186" w:type="dxa"/>
            <w:tcBorders>
              <w:top w:val="single" w:color="auto" w:sz="4" w:space="0"/>
              <w:left w:val="single" w:color="auto" w:sz="4" w:space="0"/>
              <w:bottom w:val="single" w:color="auto" w:sz="4" w:space="0"/>
              <w:right w:val="single" w:color="auto" w:sz="4" w:space="0"/>
            </w:tcBorders>
            <w:shd w:val="clear" w:color="auto" w:fill="auto"/>
            <w:vAlign w:val="center"/>
          </w:tcPr>
          <w:p w14:paraId="019208D7">
            <w:pPr>
              <w:widowControl/>
              <w:spacing w:line="240" w:lineRule="auto"/>
              <w:ind w:firstLine="0" w:firstLineChars="0"/>
              <w:jc w:val="center"/>
              <w:rPr>
                <w:kern w:val="0"/>
                <w:sz w:val="21"/>
              </w:rPr>
            </w:pPr>
            <w:r>
              <w:rPr>
                <w:rFonts w:hint="eastAsia" w:eastAsia="宋体" w:cs="Times New Roman"/>
                <w:kern w:val="0"/>
                <w:sz w:val="21"/>
                <w:lang w:bidi="ar"/>
              </w:rPr>
              <w:t>10.84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14" w:type="dxa"/>
            <w:tcBorders>
              <w:top w:val="single" w:color="auto" w:sz="4" w:space="0"/>
              <w:left w:val="single" w:color="auto" w:sz="4" w:space="0"/>
              <w:bottom w:val="single" w:color="auto" w:sz="4" w:space="0"/>
              <w:right w:val="single" w:color="auto" w:sz="4" w:space="0"/>
            </w:tcBorders>
            <w:shd w:val="clear" w:color="auto" w:fill="auto"/>
            <w:vAlign w:val="center"/>
          </w:tcPr>
          <w:p w14:paraId="6DFCC845">
            <w:pPr>
              <w:widowControl/>
              <w:spacing w:line="240" w:lineRule="auto"/>
              <w:ind w:firstLine="0" w:firstLineChars="0"/>
              <w:jc w:val="center"/>
              <w:rPr>
                <w:kern w:val="0"/>
                <w:sz w:val="21"/>
              </w:rPr>
            </w:pPr>
            <w:r>
              <w:rPr>
                <w:rFonts w:hint="eastAsia" w:eastAsia="宋体" w:cs="Times New Roman"/>
                <w:kern w:val="0"/>
                <w:sz w:val="21"/>
                <w:lang w:bidi="ar"/>
              </w:rPr>
              <w:t>13.54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14:paraId="4DE4FA83">
            <w:pPr>
              <w:widowControl/>
              <w:spacing w:line="240" w:lineRule="auto"/>
              <w:ind w:firstLine="0" w:firstLineChars="0"/>
              <w:jc w:val="center"/>
              <w:rPr>
                <w:kern w:val="0"/>
                <w:sz w:val="21"/>
              </w:rPr>
            </w:pPr>
            <w:r>
              <w:rPr>
                <w:rFonts w:hint="eastAsia" w:eastAsia="宋体" w:cs="Times New Roman"/>
                <w:kern w:val="0"/>
                <w:sz w:val="21"/>
                <w:lang w:bidi="ar"/>
              </w:rPr>
              <w:t>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1578" w:type="dxa"/>
            <w:tcBorders>
              <w:top w:val="single" w:color="auto" w:sz="4" w:space="0"/>
              <w:left w:val="single" w:color="auto" w:sz="4" w:space="0"/>
              <w:bottom w:val="single" w:color="auto" w:sz="4" w:space="0"/>
              <w:right w:val="single" w:color="auto" w:sz="4" w:space="0"/>
            </w:tcBorders>
            <w:shd w:val="clear" w:color="auto" w:fill="auto"/>
            <w:vAlign w:val="center"/>
          </w:tcPr>
          <w:p w14:paraId="72687A15">
            <w:pPr>
              <w:widowControl/>
              <w:spacing w:line="240" w:lineRule="auto"/>
              <w:ind w:firstLine="0" w:firstLineChars="0"/>
              <w:jc w:val="center"/>
              <w:rPr>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4232930F">
      <w:pPr>
        <w:spacing w:line="240" w:lineRule="auto"/>
        <w:ind w:firstLine="480"/>
        <w:jc w:val="left"/>
        <w:rPr>
          <w:rFonts w:cs="Times New Roman"/>
        </w:rPr>
      </w:pPr>
    </w:p>
    <w:p w14:paraId="15EEFA3C">
      <w:pPr>
        <w:ind w:firstLine="480"/>
        <w:jc w:val="left"/>
      </w:pPr>
      <w:r>
        <w:rPr>
          <w:rFonts w:hint="eastAsia" w:eastAsia="宋体" w:cs="Times New Roman"/>
          <w:lang w:bidi="ar"/>
        </w:rPr>
        <w:t>综上述，西区水生态规划目标结果见表</w:t>
      </w:r>
      <w:r>
        <w:rPr>
          <w:rFonts w:eastAsia="宋体" w:cs="Times New Roman"/>
          <w:lang w:bidi="ar"/>
        </w:rPr>
        <w:t>4-1</w:t>
      </w:r>
      <w:r>
        <w:rPr>
          <w:rFonts w:hint="eastAsia" w:eastAsia="宋体" w:cs="Times New Roman"/>
          <w:lang w:bidi="ar"/>
        </w:rPr>
        <w:t>4。</w:t>
      </w:r>
      <w:r>
        <w:rPr>
          <w:rFonts w:hint="eastAsia" w:eastAsia="宋体" w:cs="宋体"/>
          <w:lang w:bidi="ar"/>
        </w:rPr>
        <w:t>河湖生态护岸比例、水域面积率、建成区透水面积率的现状与规划目标值相差明显，应对境内的河流河涌修建生态护岸，加快水系连通工程建设，对可能发生的松散斜坡的水土进行治理，保留水域面积，并在建设中扩大水域空间，从不同的建设用地上增加透水面积用地。</w:t>
      </w:r>
    </w:p>
    <w:p w14:paraId="318DCA04">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4</w:t>
      </w:r>
      <w:r>
        <w:rPr>
          <w:rFonts w:eastAsia="宋体" w:cs="Times New Roman"/>
          <w:sz w:val="21"/>
          <w:lang w:bidi="ar"/>
        </w:rPr>
        <w:t xml:space="preserve">  </w:t>
      </w:r>
      <w:r>
        <w:rPr>
          <w:rFonts w:hint="eastAsia" w:eastAsia="宋体" w:cs="Times New Roman"/>
          <w:sz w:val="21"/>
          <w:lang w:bidi="ar"/>
        </w:rPr>
        <w:t>西区水生态规划目标结果</w:t>
      </w:r>
    </w:p>
    <w:tbl>
      <w:tblPr>
        <w:tblStyle w:val="25"/>
        <w:tblW w:w="10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7"/>
        <w:gridCol w:w="2259"/>
        <w:gridCol w:w="2044"/>
        <w:gridCol w:w="2084"/>
        <w:gridCol w:w="2046"/>
      </w:tblGrid>
      <w:tr w14:paraId="5F9AC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7A6DCE7C">
            <w:pPr>
              <w:spacing w:line="240" w:lineRule="auto"/>
              <w:ind w:firstLine="0" w:firstLineChars="0"/>
              <w:jc w:val="center"/>
              <w:rPr>
                <w:rFonts w:cs="Times New Roman"/>
                <w:sz w:val="21"/>
              </w:rPr>
            </w:pPr>
            <w:r>
              <w:rPr>
                <w:rFonts w:hint="eastAsia" w:eastAsia="宋体" w:cs="Times New Roman"/>
                <w:sz w:val="21"/>
                <w:lang w:bidi="ar"/>
              </w:rPr>
              <w:t>指标</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485BF498">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w:t>
            </w:r>
          </w:p>
          <w:p w14:paraId="240CDA94">
            <w:pPr>
              <w:spacing w:line="240" w:lineRule="auto"/>
              <w:ind w:firstLine="0" w:firstLineChars="0"/>
              <w:jc w:val="center"/>
              <w:rPr>
                <w:rFonts w:cs="Times New Roman"/>
                <w:sz w:val="21"/>
              </w:rPr>
            </w:pPr>
            <w:r>
              <w:rPr>
                <w:rFonts w:hint="eastAsia" w:eastAsia="宋体" w:cs="宋体"/>
                <w:sz w:val="21"/>
                <w:lang w:bidi="ar"/>
              </w:rPr>
              <w:t>与指标分级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6D3C4B89">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宋体"/>
                <w:sz w:val="21"/>
                <w:lang w:bidi="ar"/>
              </w:rPr>
              <w:t>年规划值与指标分级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67755085">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宋体"/>
                <w:sz w:val="21"/>
                <w:lang w:bidi="ar"/>
              </w:rPr>
              <w:t>年规划值与指标分级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0A2F16AB">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宋体"/>
                <w:sz w:val="21"/>
                <w:lang w:bidi="ar"/>
              </w:rPr>
              <w:t>年规划值与指标分级</w:t>
            </w:r>
          </w:p>
        </w:tc>
      </w:tr>
      <w:tr w14:paraId="3C5B9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1228D074">
            <w:pPr>
              <w:spacing w:line="240" w:lineRule="auto"/>
              <w:ind w:firstLine="0" w:firstLineChars="0"/>
              <w:jc w:val="center"/>
              <w:rPr>
                <w:rFonts w:cs="Times New Roman"/>
                <w:sz w:val="21"/>
              </w:rPr>
            </w:pPr>
            <w:r>
              <w:rPr>
                <w:rFonts w:hint="eastAsia" w:eastAsia="宋体" w:cs="Times New Roman"/>
                <w:kern w:val="0"/>
                <w:sz w:val="21"/>
                <w:lang w:bidi="ar"/>
              </w:rPr>
              <w:t>河湖生态护岸比例</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000B7CB4">
            <w:pPr>
              <w:widowControl/>
              <w:spacing w:line="240" w:lineRule="auto"/>
              <w:ind w:firstLine="0" w:firstLineChars="0"/>
              <w:rPr>
                <w:rFonts w:cs="Times New Roman"/>
                <w:kern w:val="0"/>
                <w:sz w:val="21"/>
              </w:rPr>
            </w:pPr>
            <w:r>
              <w:rPr>
                <w:rFonts w:eastAsia="宋体" w:cs="Times New Roman"/>
                <w:kern w:val="0"/>
                <w:sz w:val="21"/>
                <w:lang w:bidi="ar"/>
              </w:rPr>
              <w:t>3</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236DBCA8">
            <w:pPr>
              <w:widowControl/>
              <w:spacing w:line="240" w:lineRule="auto"/>
              <w:ind w:firstLine="0" w:firstLineChars="0"/>
              <w:jc w:val="center"/>
              <w:rPr>
                <w:rFonts w:cs="Times New Roman"/>
                <w:kern w:val="0"/>
                <w:sz w:val="21"/>
              </w:rPr>
            </w:pPr>
            <w:r>
              <w:rPr>
                <w:rFonts w:eastAsia="宋体" w:cs="Times New Roman"/>
                <w:kern w:val="0"/>
                <w:sz w:val="21"/>
                <w:lang w:bidi="ar"/>
              </w:rPr>
              <w:t>4</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14442188">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51E7137F">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5114F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0459D500">
            <w:pPr>
              <w:spacing w:line="240" w:lineRule="auto"/>
              <w:ind w:firstLine="0" w:firstLineChars="0"/>
              <w:jc w:val="center"/>
              <w:rPr>
                <w:rFonts w:cs="Times New Roman"/>
                <w:sz w:val="21"/>
              </w:rPr>
            </w:pPr>
            <w:r>
              <w:rPr>
                <w:rFonts w:hint="eastAsia" w:eastAsia="宋体" w:cs="Times New Roman"/>
                <w:kern w:val="0"/>
                <w:sz w:val="21"/>
                <w:lang w:bidi="ar"/>
              </w:rPr>
              <w:t>水域面积率</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0EB46D2A">
            <w:pPr>
              <w:widowControl/>
              <w:spacing w:line="240" w:lineRule="auto"/>
              <w:ind w:firstLine="0" w:firstLineChars="0"/>
              <w:jc w:val="center"/>
              <w:rPr>
                <w:rFonts w:cs="Times New Roman"/>
                <w:kern w:val="0"/>
                <w:sz w:val="21"/>
              </w:rPr>
            </w:pPr>
            <w:r>
              <w:rPr>
                <w:rFonts w:hint="eastAsia" w:eastAsia="宋体" w:cs="Times New Roman"/>
                <w:kern w:val="0"/>
                <w:sz w:val="21"/>
                <w:lang w:bidi="ar"/>
              </w:rPr>
              <w:t>7.06</w:t>
            </w:r>
            <w:r>
              <w:rPr>
                <w:rFonts w:eastAsia="宋体" w:cs="Times New Roman"/>
                <w:kern w:val="0"/>
                <w:sz w:val="21"/>
                <w:lang w:bidi="ar"/>
              </w:rPr>
              <w:t>%</w:t>
            </w:r>
            <w:r>
              <w:rPr>
                <w:rFonts w:hint="eastAsia" w:eastAsia="宋体" w:cs="Times New Roman"/>
                <w:kern w:val="0"/>
                <w:sz w:val="21"/>
                <w:lang w:bidi="ar"/>
              </w:rPr>
              <w:t>、0分、</w:t>
            </w:r>
            <w:r>
              <w:rPr>
                <w:rFonts w:eastAsia="宋体" w:cs="Times New Roman"/>
                <w:kern w:val="0"/>
                <w:sz w:val="21"/>
                <w:lang w:bidi="ar"/>
              </w:rPr>
              <w:t>V</w:t>
            </w:r>
            <w:r>
              <w:rPr>
                <w:rFonts w:hint="eastAsia" w:eastAsia="宋体" w:cs="Times New Roman"/>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2A1FE858">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0AF7415E">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07CAE5FD">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052B4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2519391C">
            <w:pPr>
              <w:spacing w:line="240" w:lineRule="auto"/>
              <w:ind w:firstLine="0" w:firstLineChars="0"/>
              <w:jc w:val="center"/>
              <w:rPr>
                <w:rFonts w:cs="Times New Roman"/>
                <w:sz w:val="21"/>
              </w:rPr>
            </w:pPr>
            <w:r>
              <w:rPr>
                <w:rFonts w:hint="eastAsia" w:eastAsia="宋体" w:cs="Times New Roman"/>
                <w:kern w:val="0"/>
                <w:sz w:val="21"/>
                <w:lang w:bidi="ar"/>
              </w:rPr>
              <w:t>水土流失治理程度</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544E7182">
            <w:pPr>
              <w:widowControl/>
              <w:spacing w:line="240" w:lineRule="auto"/>
              <w:ind w:firstLine="0" w:firstLineChars="0"/>
              <w:rPr>
                <w:rFonts w:cs="Times New Roman"/>
                <w:kern w:val="0"/>
                <w:sz w:val="21"/>
              </w:rPr>
            </w:pPr>
            <w:r>
              <w:rPr>
                <w:rFonts w:hint="eastAsia" w:eastAsia="宋体" w:cs="Times New Roman"/>
                <w:kern w:val="0"/>
                <w:sz w:val="21"/>
                <w:lang w:bidi="ar"/>
              </w:rPr>
              <w:t>79</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分、</w:t>
            </w:r>
            <w:r>
              <w:rPr>
                <w:rFonts w:eastAsia="宋体" w:cs="Times New Roman"/>
                <w:kern w:val="0"/>
                <w:sz w:val="21"/>
                <w:lang w:bidi="ar"/>
              </w:rPr>
              <w:t>II</w:t>
            </w:r>
            <w:r>
              <w:rPr>
                <w:rFonts w:hint="eastAsia" w:eastAsia="宋体" w:cs="Times New Roman"/>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4CADD47C">
            <w:pPr>
              <w:widowControl/>
              <w:spacing w:line="240" w:lineRule="auto"/>
              <w:ind w:firstLine="0" w:firstLineChars="0"/>
              <w:jc w:val="center"/>
              <w:rPr>
                <w:rFonts w:cs="Times New Roman"/>
                <w:kern w:val="0"/>
                <w:sz w:val="21"/>
              </w:rPr>
            </w:pPr>
            <w:r>
              <w:rPr>
                <w:rFonts w:eastAsia="宋体" w:cs="Times New Roman"/>
                <w:kern w:val="0"/>
                <w:sz w:val="21"/>
                <w:lang w:bidi="ar"/>
              </w:rPr>
              <w:t>90%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43EA015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0279122A">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1DB37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4E6A8DBE">
            <w:pPr>
              <w:spacing w:line="240" w:lineRule="auto"/>
              <w:ind w:firstLine="0" w:firstLineChars="0"/>
              <w:jc w:val="center"/>
              <w:rPr>
                <w:rFonts w:cs="Times New Roman"/>
                <w:kern w:val="0"/>
                <w:sz w:val="21"/>
              </w:rPr>
            </w:pPr>
            <w:r>
              <w:rPr>
                <w:rFonts w:hint="eastAsia" w:eastAsia="宋体" w:cs="宋体"/>
                <w:kern w:val="0"/>
                <w:sz w:val="21"/>
                <w:lang w:bidi="ar"/>
              </w:rPr>
              <w:t>建成区透水面积率</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1B7899D5">
            <w:pPr>
              <w:widowControl/>
              <w:spacing w:line="240" w:lineRule="auto"/>
              <w:ind w:firstLine="0" w:firstLineChars="0"/>
              <w:jc w:val="center"/>
              <w:rPr>
                <w:rFonts w:cs="Times New Roman"/>
                <w:kern w:val="0"/>
                <w:sz w:val="21"/>
              </w:rPr>
            </w:pPr>
            <w:r>
              <w:rPr>
                <w:rFonts w:hint="eastAsia" w:eastAsia="宋体" w:cs="Times New Roman"/>
                <w:kern w:val="0"/>
                <w:sz w:val="21"/>
                <w:lang w:bidi="ar"/>
              </w:rPr>
              <w:t>10.84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4DEF8CF0">
            <w:pPr>
              <w:widowControl/>
              <w:spacing w:line="240" w:lineRule="auto"/>
              <w:ind w:firstLine="0" w:firstLineChars="0"/>
              <w:jc w:val="center"/>
              <w:rPr>
                <w:rFonts w:cs="Times New Roman"/>
                <w:kern w:val="0"/>
                <w:sz w:val="21"/>
              </w:rPr>
            </w:pPr>
            <w:r>
              <w:rPr>
                <w:rFonts w:hint="eastAsia" w:eastAsia="宋体" w:cs="Times New Roman"/>
                <w:kern w:val="0"/>
                <w:sz w:val="21"/>
                <w:lang w:bidi="ar"/>
              </w:rPr>
              <w:t>13.54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63FC9F78">
            <w:pPr>
              <w:widowControl/>
              <w:spacing w:line="240" w:lineRule="auto"/>
              <w:ind w:firstLine="0" w:firstLineChars="0"/>
              <w:jc w:val="center"/>
              <w:rPr>
                <w:rFonts w:cs="Times New Roman"/>
                <w:kern w:val="0"/>
                <w:sz w:val="21"/>
              </w:rPr>
            </w:pPr>
            <w:r>
              <w:rPr>
                <w:rFonts w:hint="eastAsia" w:eastAsia="宋体" w:cs="Times New Roman"/>
                <w:kern w:val="0"/>
                <w:sz w:val="21"/>
                <w:lang w:bidi="ar"/>
              </w:rPr>
              <w:t>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4C7BC929">
            <w:pPr>
              <w:widowControl/>
              <w:spacing w:line="240" w:lineRule="auto"/>
              <w:ind w:firstLine="0" w:firstLineChars="0"/>
              <w:jc w:val="center"/>
              <w:rPr>
                <w:rFonts w:cs="Times New Roman"/>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082920B1">
      <w:pPr>
        <w:widowControl/>
        <w:spacing w:line="240" w:lineRule="auto"/>
        <w:ind w:firstLine="0" w:firstLineChars="0"/>
        <w:jc w:val="left"/>
        <w:rPr>
          <w:rFonts w:cs="Times New Roman"/>
        </w:rPr>
      </w:pPr>
    </w:p>
    <w:p w14:paraId="1E4F7BB5">
      <w:pPr>
        <w:pStyle w:val="4"/>
        <w:widowControl/>
        <w:spacing w:before="0" w:after="0" w:line="360" w:lineRule="auto"/>
        <w:rPr>
          <w:rFonts w:cs="Times New Roman"/>
        </w:rPr>
      </w:pPr>
      <w:bookmarkStart w:id="594" w:name="_Toc528607289"/>
      <w:bookmarkStart w:id="595" w:name="_Toc16675065"/>
      <w:r>
        <w:rPr>
          <w:rFonts w:cs="Times New Roman"/>
        </w:rPr>
        <w:t>4.4</w:t>
      </w:r>
      <w:r>
        <w:rPr>
          <w:rFonts w:hint="eastAsia" w:cs="Times New Roman"/>
        </w:rPr>
        <w:t>水监管指标体系建设</w:t>
      </w:r>
      <w:bookmarkEnd w:id="594"/>
      <w:bookmarkEnd w:id="595"/>
    </w:p>
    <w:p w14:paraId="2D2ADE33">
      <w:pPr>
        <w:ind w:firstLine="480"/>
        <w:rPr>
          <w:rFonts w:cs="Times New Roman"/>
        </w:rPr>
      </w:pPr>
      <w:r>
        <w:rPr>
          <w:rFonts w:hint="eastAsia" w:eastAsia="宋体" w:cs="Times New Roman"/>
          <w:lang w:bidi="ar"/>
        </w:rPr>
        <w:t>依据《全国水生态文明城市评价指标体系》和《中山市西区最严格水资源考核结果》，水监管评价主要评估水资源监控管理能力建设及重要管理制度的落实情况，包括用水总量控制达标情况、水资源监控管理能力指数、水生态文明建设重视度</w:t>
      </w:r>
      <w:r>
        <w:rPr>
          <w:rFonts w:eastAsia="宋体" w:cs="Times New Roman"/>
          <w:lang w:bidi="ar"/>
        </w:rPr>
        <w:t>3</w:t>
      </w:r>
      <w:r>
        <w:rPr>
          <w:rFonts w:hint="eastAsia" w:eastAsia="宋体" w:cs="Times New Roman"/>
          <w:lang w:bidi="ar"/>
        </w:rPr>
        <w:t>项通用指标</w:t>
      </w:r>
      <w:r>
        <w:rPr>
          <w:rFonts w:hint="eastAsia" w:eastAsia="宋体" w:cs="Times New Roman"/>
          <w:b/>
          <w:bCs/>
          <w:szCs w:val="24"/>
          <w:lang w:bidi="ar"/>
        </w:rPr>
        <w:t>（具体计算公式见附录1）</w:t>
      </w:r>
      <w:r>
        <w:rPr>
          <w:rFonts w:hint="eastAsia" w:eastAsia="宋体" w:cs="Times New Roman"/>
          <w:lang w:bidi="ar"/>
        </w:rPr>
        <w:t>。</w:t>
      </w:r>
    </w:p>
    <w:p w14:paraId="010DF521">
      <w:pPr>
        <w:pStyle w:val="3"/>
        <w:widowControl/>
        <w:spacing w:before="0" w:after="0" w:line="360" w:lineRule="auto"/>
        <w:rPr>
          <w:rFonts w:cs="Times New Roman"/>
        </w:rPr>
      </w:pPr>
      <w:bookmarkStart w:id="596" w:name="_Toc16675066"/>
      <w:bookmarkStart w:id="597" w:name="_Toc527881116"/>
      <w:bookmarkStart w:id="598" w:name="_Toc5788"/>
      <w:bookmarkStart w:id="599" w:name="_Toc26311"/>
      <w:bookmarkStart w:id="600" w:name="_Toc528880322"/>
      <w:bookmarkStart w:id="601" w:name="_Toc17726"/>
      <w:bookmarkStart w:id="602" w:name="_Toc526004961"/>
      <w:bookmarkStart w:id="603" w:name="_Toc21287"/>
      <w:bookmarkStart w:id="604" w:name="_Toc7846"/>
      <w:bookmarkStart w:id="605" w:name="_Toc523306798"/>
      <w:bookmarkStart w:id="606" w:name="_Toc3340"/>
      <w:bookmarkStart w:id="607" w:name="_Toc528607290"/>
      <w:r>
        <w:rPr>
          <w:rFonts w:cs="Times New Roman"/>
        </w:rPr>
        <w:t>4.4.1</w:t>
      </w:r>
      <w:r>
        <w:rPr>
          <w:rFonts w:hint="eastAsia" w:cs="Times New Roman"/>
        </w:rPr>
        <w:t>用水总量控制达标情况</w:t>
      </w:r>
      <w:bookmarkEnd w:id="596"/>
      <w:bookmarkEnd w:id="597"/>
      <w:bookmarkEnd w:id="598"/>
      <w:bookmarkEnd w:id="599"/>
      <w:bookmarkEnd w:id="600"/>
      <w:bookmarkEnd w:id="601"/>
      <w:bookmarkEnd w:id="602"/>
      <w:bookmarkEnd w:id="603"/>
      <w:bookmarkEnd w:id="604"/>
      <w:bookmarkEnd w:id="605"/>
      <w:bookmarkEnd w:id="606"/>
      <w:bookmarkEnd w:id="607"/>
    </w:p>
    <w:p w14:paraId="06CDB098">
      <w:pPr>
        <w:ind w:firstLine="480"/>
        <w:rPr>
          <w:rFonts w:cs="Times New Roman"/>
        </w:rPr>
      </w:pPr>
      <w:r>
        <w:rPr>
          <w:rFonts w:hint="eastAsia" w:eastAsia="宋体" w:cs="Times New Roman"/>
          <w:lang w:bidi="ar"/>
        </w:rPr>
        <w:t>根据近三年中山市最严格水资源考核结果，近三年来西区的用水总量均没有超出用水总量控制指标值，且</w:t>
      </w:r>
      <w:r>
        <w:rPr>
          <w:rFonts w:hint="eastAsia" w:eastAsia="宋体" w:cs="Times New Roman"/>
          <w:szCs w:val="24"/>
          <w:lang w:bidi="ar"/>
        </w:rPr>
        <w:t>控制在了目标值之内</w:t>
      </w:r>
      <w:r>
        <w:rPr>
          <w:rFonts w:hint="eastAsia" w:eastAsia="宋体" w:cs="Times New Roman"/>
          <w:lang w:bidi="ar"/>
        </w:rPr>
        <w:t>，此项指标分级为</w:t>
      </w:r>
      <w:r>
        <w:rPr>
          <w:rFonts w:eastAsia="宋体" w:cs="Times New Roman"/>
          <w:lang w:bidi="ar"/>
        </w:rPr>
        <w:t>I</w:t>
      </w:r>
      <w:r>
        <w:rPr>
          <w:rFonts w:hint="eastAsia" w:eastAsia="宋体" w:cs="Times New Roman"/>
          <w:lang w:bidi="ar"/>
        </w:rPr>
        <w:t>级，达标。按照《中山市西区国民经济和社会发展第十三个五年规划纲要（2016年）》、《中山市城市总体规划（2011-2020年）中心城区用地规划图（2017年8月）》展模式和《中山市水资源管理控制规划（2016-2020年）》及《中山市节水型社会建设和非常规水资源开发利用规划》，预测西区工业增加值为56.15亿元，常住人口为10.84万人，根据预测到的经济指标和常住人口，规划至</w:t>
      </w:r>
      <w:r>
        <w:rPr>
          <w:rFonts w:eastAsia="宋体" w:cs="Times New Roman"/>
          <w:lang w:bidi="ar"/>
        </w:rPr>
        <w:t>2020</w:t>
      </w:r>
      <w:r>
        <w:rPr>
          <w:rFonts w:hint="eastAsia" w:eastAsia="宋体" w:cs="Times New Roman"/>
          <w:lang w:bidi="ar"/>
        </w:rPr>
        <w:t>年，西区总需水量共计2525.48万</w:t>
      </w:r>
      <w:r>
        <w:rPr>
          <w:rFonts w:eastAsia="宋体" w:cs="Times New Roman"/>
          <w:lang w:bidi="ar"/>
        </w:rPr>
        <w:t>m³</w:t>
      </w:r>
      <w:r>
        <w:rPr>
          <w:rFonts w:hint="eastAsia" w:eastAsia="宋体" w:cs="Times New Roman"/>
          <w:lang w:bidi="ar"/>
        </w:rPr>
        <w:t>。由于还没有</w:t>
      </w:r>
      <w:r>
        <w:rPr>
          <w:rFonts w:eastAsia="宋体" w:cs="Times New Roman"/>
          <w:lang w:bidi="ar"/>
        </w:rPr>
        <w:t>2025</w:t>
      </w:r>
      <w:r>
        <w:rPr>
          <w:rFonts w:hint="eastAsia" w:eastAsia="宋体" w:cs="Times New Roman"/>
          <w:lang w:bidi="ar"/>
        </w:rPr>
        <w:t>年和</w:t>
      </w:r>
      <w:r>
        <w:rPr>
          <w:rFonts w:eastAsia="宋体" w:cs="Times New Roman"/>
          <w:lang w:bidi="ar"/>
        </w:rPr>
        <w:t>2030</w:t>
      </w:r>
      <w:r>
        <w:rPr>
          <w:rFonts w:hint="eastAsia" w:eastAsia="宋体" w:cs="Times New Roman"/>
          <w:lang w:bidi="ar"/>
        </w:rPr>
        <w:t>年中山市各镇区的用水分配方案，于是这里只预测并规划</w:t>
      </w:r>
      <w:r>
        <w:rPr>
          <w:rFonts w:eastAsia="宋体" w:cs="Times New Roman"/>
          <w:lang w:bidi="ar"/>
        </w:rPr>
        <w:t>2020</w:t>
      </w:r>
      <w:r>
        <w:rPr>
          <w:rFonts w:hint="eastAsia" w:eastAsia="宋体" w:cs="Times New Roman"/>
          <w:lang w:bidi="ar"/>
        </w:rPr>
        <w:t>年的用水总量。</w:t>
      </w:r>
    </w:p>
    <w:p w14:paraId="236C5D1D">
      <w:pPr>
        <w:ind w:firstLine="480"/>
        <w:rPr>
          <w:rFonts w:eastAsia="宋体" w:cs="Times New Roman"/>
          <w:szCs w:val="24"/>
        </w:rPr>
      </w:pPr>
      <w:r>
        <w:rPr>
          <w:rFonts w:hint="eastAsia" w:eastAsia="宋体" w:cs="Times New Roman"/>
          <w:lang w:bidi="ar"/>
        </w:rPr>
        <w:t>根据《中山市</w:t>
      </w:r>
      <w:r>
        <w:rPr>
          <w:rFonts w:eastAsia="宋体" w:cs="Times New Roman"/>
          <w:lang w:bidi="ar"/>
        </w:rPr>
        <w:t>2016~2020</w:t>
      </w:r>
      <w:r>
        <w:rPr>
          <w:rFonts w:hint="eastAsia" w:eastAsia="宋体" w:cs="Times New Roman"/>
          <w:lang w:bidi="ar"/>
        </w:rPr>
        <w:t>年度最严格水资源管理制度考核方案》要求，</w:t>
      </w:r>
      <w:r>
        <w:rPr>
          <w:rFonts w:eastAsia="宋体" w:cs="Times New Roman"/>
          <w:lang w:bidi="ar"/>
        </w:rPr>
        <w:t>2016- 2020</w:t>
      </w:r>
      <w:r>
        <w:rPr>
          <w:rFonts w:hint="eastAsia" w:eastAsia="宋体" w:cs="Times New Roman"/>
          <w:lang w:bidi="ar"/>
        </w:rPr>
        <w:t>年西区用水总量需控制在42</w:t>
      </w:r>
      <w:r>
        <w:rPr>
          <w:rFonts w:eastAsia="宋体" w:cs="Times New Roman"/>
          <w:lang w:bidi="ar"/>
        </w:rPr>
        <w:t>4</w:t>
      </w:r>
      <w:r>
        <w:rPr>
          <w:rFonts w:hint="eastAsia" w:eastAsia="宋体" w:cs="Times New Roman"/>
          <w:lang w:bidi="ar"/>
        </w:rPr>
        <w:t>0万</w:t>
      </w:r>
      <w:r>
        <w:rPr>
          <w:rFonts w:eastAsia="宋体" w:cs="Times New Roman"/>
          <w:lang w:bidi="ar"/>
        </w:rPr>
        <w:t>m³</w:t>
      </w:r>
      <w:r>
        <w:rPr>
          <w:rFonts w:hint="eastAsia" w:eastAsia="宋体" w:cs="Times New Roman"/>
          <w:lang w:bidi="ar"/>
        </w:rPr>
        <w:t>，综合预测结果与考核要求，用水总量未超出控制指标。根据《中山市节水型社会建设和非常规水源开发利用规划》成果显示，西区将大力开展非常规水源的利用，通过提高工业用水重复利用率、污水回用率等提高水资源利用率，提高非常规水源利用量，并</w:t>
      </w:r>
      <w:r>
        <w:rPr>
          <w:rFonts w:hint="eastAsia" w:eastAsia="宋体" w:cs="Times New Roman"/>
          <w:szCs w:val="24"/>
          <w:lang w:bidi="ar"/>
        </w:rPr>
        <w:t>通过调整城镇人均用水定额和万元工业增加值用水量定额</w:t>
      </w:r>
      <w:r>
        <w:rPr>
          <w:rFonts w:hint="eastAsia" w:eastAsia="宋体" w:cs="Times New Roman"/>
          <w:lang w:bidi="ar"/>
        </w:rPr>
        <w:t>。综合各项规划成果来看，以及按目前西区的发展与节水措施的实施，</w:t>
      </w:r>
      <w:r>
        <w:rPr>
          <w:rFonts w:eastAsia="宋体" w:cs="Times New Roman"/>
          <w:lang w:bidi="ar"/>
        </w:rPr>
        <w:t>2020</w:t>
      </w:r>
      <w:r>
        <w:rPr>
          <w:rFonts w:hint="eastAsia" w:eastAsia="宋体" w:cs="Times New Roman"/>
          <w:lang w:bidi="ar"/>
        </w:rPr>
        <w:t>年西区应达到用水总量控制达标要求，此项规划指标分级应达标，</w:t>
      </w:r>
      <w:r>
        <w:rPr>
          <w:rFonts w:eastAsia="宋体" w:cs="Times New Roman"/>
          <w:lang w:bidi="ar"/>
        </w:rPr>
        <w:t>2025</w:t>
      </w:r>
      <w:r>
        <w:rPr>
          <w:rFonts w:hint="eastAsia" w:eastAsia="宋体" w:cs="Times New Roman"/>
          <w:lang w:bidi="ar"/>
        </w:rPr>
        <w:t>年西区应达到用水总量控制达标要求，此项规划指标分级应达标，</w:t>
      </w:r>
      <w:r>
        <w:rPr>
          <w:rFonts w:eastAsia="宋体" w:cs="Times New Roman"/>
          <w:lang w:bidi="ar"/>
        </w:rPr>
        <w:t>2030</w:t>
      </w:r>
      <w:r>
        <w:rPr>
          <w:rFonts w:hint="eastAsia" w:eastAsia="宋体" w:cs="Times New Roman"/>
          <w:lang w:bidi="ar"/>
        </w:rPr>
        <w:t>年西区应达到用水总量控制达标要求，此项规划指标分级应达标，如表</w:t>
      </w:r>
      <w:r>
        <w:rPr>
          <w:rFonts w:eastAsia="宋体" w:cs="Times New Roman"/>
          <w:lang w:bidi="ar"/>
        </w:rPr>
        <w:t>4-1</w:t>
      </w:r>
      <w:r>
        <w:rPr>
          <w:rFonts w:hint="eastAsia" w:eastAsia="宋体" w:cs="Times New Roman"/>
          <w:lang w:bidi="ar"/>
        </w:rPr>
        <w:t>5。</w:t>
      </w:r>
    </w:p>
    <w:p w14:paraId="1D5C8137">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5</w:t>
      </w:r>
      <w:r>
        <w:rPr>
          <w:rFonts w:eastAsia="宋体" w:cs="Times New Roman"/>
          <w:sz w:val="21"/>
          <w:lang w:bidi="ar"/>
        </w:rPr>
        <w:t xml:space="preserve">  </w:t>
      </w:r>
      <w:r>
        <w:rPr>
          <w:rFonts w:hint="eastAsia" w:eastAsia="宋体" w:cs="Times New Roman"/>
          <w:sz w:val="21"/>
          <w:lang w:bidi="ar"/>
        </w:rPr>
        <w:t>西区用水总量控制达标情况现状与规划结果</w:t>
      </w:r>
    </w:p>
    <w:tbl>
      <w:tblPr>
        <w:tblStyle w:val="25"/>
        <w:tblW w:w="8714" w:type="dxa"/>
        <w:jc w:val="center"/>
        <w:tblLayout w:type="fixed"/>
        <w:tblCellMar>
          <w:top w:w="0" w:type="dxa"/>
          <w:left w:w="108" w:type="dxa"/>
          <w:bottom w:w="0" w:type="dxa"/>
          <w:right w:w="108" w:type="dxa"/>
        </w:tblCellMar>
      </w:tblPr>
      <w:tblGrid>
        <w:gridCol w:w="1450"/>
        <w:gridCol w:w="1856"/>
        <w:gridCol w:w="1814"/>
        <w:gridCol w:w="1856"/>
        <w:gridCol w:w="1738"/>
      </w:tblGrid>
      <w:tr w14:paraId="37C4CF20">
        <w:tblPrEx>
          <w:tblCellMar>
            <w:top w:w="0" w:type="dxa"/>
            <w:left w:w="108" w:type="dxa"/>
            <w:bottom w:w="0" w:type="dxa"/>
            <w:right w:w="108" w:type="dxa"/>
          </w:tblCellMar>
        </w:tblPrEx>
        <w:trPr>
          <w:jc w:val="center"/>
        </w:trPr>
        <w:tc>
          <w:tcPr>
            <w:tcW w:w="1450" w:type="dxa"/>
            <w:tcBorders>
              <w:top w:val="single" w:color="auto" w:sz="4" w:space="0"/>
              <w:left w:val="single" w:color="auto" w:sz="4" w:space="0"/>
              <w:bottom w:val="single" w:color="auto" w:sz="4" w:space="0"/>
              <w:right w:val="single" w:color="auto" w:sz="4" w:space="0"/>
            </w:tcBorders>
            <w:shd w:val="clear" w:color="auto" w:fill="auto"/>
            <w:vAlign w:val="center"/>
          </w:tcPr>
          <w:p w14:paraId="29D12D8C">
            <w:pPr>
              <w:spacing w:line="240" w:lineRule="auto"/>
              <w:ind w:firstLine="0" w:firstLineChars="0"/>
              <w:jc w:val="center"/>
              <w:rPr>
                <w:rFonts w:eastAsia="宋体" w:cs="Times New Roman"/>
                <w:sz w:val="21"/>
              </w:rPr>
            </w:pPr>
            <w:r>
              <w:rPr>
                <w:rFonts w:hint="eastAsia" w:eastAsia="宋体" w:cs="Times New Roman"/>
                <w:sz w:val="21"/>
                <w:lang w:bidi="ar"/>
              </w:rPr>
              <w:t>指标</w:t>
            </w:r>
          </w:p>
        </w:tc>
        <w:tc>
          <w:tcPr>
            <w:tcW w:w="1856" w:type="dxa"/>
            <w:tcBorders>
              <w:top w:val="single" w:color="auto" w:sz="4" w:space="0"/>
              <w:left w:val="nil"/>
              <w:bottom w:val="single" w:color="auto" w:sz="4" w:space="0"/>
              <w:right w:val="single" w:color="auto" w:sz="4" w:space="0"/>
            </w:tcBorders>
            <w:shd w:val="clear" w:color="auto" w:fill="auto"/>
            <w:vAlign w:val="center"/>
          </w:tcPr>
          <w:p w14:paraId="74B26FCF">
            <w:pPr>
              <w:spacing w:line="240" w:lineRule="auto"/>
              <w:ind w:firstLine="0" w:firstLineChars="0"/>
              <w:jc w:val="center"/>
              <w:rPr>
                <w:rFonts w:eastAsia="宋体"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814" w:type="dxa"/>
            <w:tcBorders>
              <w:top w:val="single" w:color="auto" w:sz="4" w:space="0"/>
              <w:left w:val="nil"/>
              <w:bottom w:val="single" w:color="auto" w:sz="4" w:space="0"/>
              <w:right w:val="single" w:color="auto" w:sz="4" w:space="0"/>
            </w:tcBorders>
            <w:shd w:val="clear" w:color="auto" w:fill="auto"/>
            <w:vAlign w:val="center"/>
          </w:tcPr>
          <w:p w14:paraId="16D0969F">
            <w:pPr>
              <w:spacing w:line="240" w:lineRule="auto"/>
              <w:ind w:firstLine="0" w:firstLineChars="0"/>
              <w:jc w:val="center"/>
              <w:rPr>
                <w:rFonts w:eastAsia="宋体"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56" w:type="dxa"/>
            <w:tcBorders>
              <w:top w:val="single" w:color="auto" w:sz="4" w:space="0"/>
              <w:left w:val="nil"/>
              <w:bottom w:val="single" w:color="auto" w:sz="4" w:space="0"/>
              <w:right w:val="single" w:color="auto" w:sz="4" w:space="0"/>
            </w:tcBorders>
            <w:shd w:val="clear" w:color="auto" w:fill="auto"/>
            <w:vAlign w:val="center"/>
          </w:tcPr>
          <w:p w14:paraId="6F58B139">
            <w:pPr>
              <w:spacing w:line="240" w:lineRule="auto"/>
              <w:ind w:firstLine="0" w:firstLineChars="0"/>
              <w:jc w:val="center"/>
            </w:pPr>
            <w:r>
              <w:rPr>
                <w:rFonts w:eastAsia="宋体" w:cs="Times New Roman"/>
                <w:sz w:val="21"/>
                <w:lang w:bidi="ar"/>
              </w:rPr>
              <w:t>202</w:t>
            </w:r>
            <w:r>
              <w:rPr>
                <w:rFonts w:hint="eastAsia" w:eastAsia="宋体" w:cs="Times New Roman"/>
                <w:sz w:val="21"/>
                <w:lang w:bidi="ar"/>
              </w:rPr>
              <w:t>5年规划值与指标分级</w:t>
            </w:r>
          </w:p>
        </w:tc>
        <w:tc>
          <w:tcPr>
            <w:tcW w:w="1738" w:type="dxa"/>
            <w:tcBorders>
              <w:top w:val="single" w:color="auto" w:sz="4" w:space="0"/>
              <w:left w:val="nil"/>
              <w:bottom w:val="single" w:color="auto" w:sz="4" w:space="0"/>
              <w:right w:val="single" w:color="auto" w:sz="4" w:space="0"/>
            </w:tcBorders>
            <w:shd w:val="clear" w:color="auto" w:fill="auto"/>
          </w:tcPr>
          <w:p w14:paraId="56FF59B8">
            <w:pPr>
              <w:spacing w:line="240" w:lineRule="auto"/>
              <w:ind w:firstLine="0" w:firstLineChars="0"/>
              <w:jc w:val="center"/>
              <w:rPr>
                <w:rFonts w:eastAsia="宋体"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6E7E3F43">
        <w:tblPrEx>
          <w:tblCellMar>
            <w:top w:w="0" w:type="dxa"/>
            <w:left w:w="108" w:type="dxa"/>
            <w:bottom w:w="0" w:type="dxa"/>
            <w:right w:w="108" w:type="dxa"/>
          </w:tblCellMar>
        </w:tblPrEx>
        <w:trPr>
          <w:trHeight w:val="383" w:hRule="atLeast"/>
          <w:jc w:val="center"/>
        </w:trPr>
        <w:tc>
          <w:tcPr>
            <w:tcW w:w="1450" w:type="dxa"/>
            <w:tcBorders>
              <w:top w:val="single" w:color="auto" w:sz="4" w:space="0"/>
              <w:left w:val="single" w:color="auto" w:sz="4" w:space="0"/>
              <w:bottom w:val="single" w:color="auto" w:sz="4" w:space="0"/>
              <w:right w:val="single" w:color="auto" w:sz="4" w:space="0"/>
            </w:tcBorders>
            <w:shd w:val="clear" w:color="auto" w:fill="auto"/>
            <w:vAlign w:val="center"/>
          </w:tcPr>
          <w:p w14:paraId="46894EBA">
            <w:pPr>
              <w:spacing w:line="240" w:lineRule="auto"/>
              <w:ind w:firstLine="0" w:firstLineChars="0"/>
              <w:jc w:val="center"/>
              <w:rPr>
                <w:rFonts w:eastAsia="宋体" w:cs="Times New Roman"/>
                <w:sz w:val="21"/>
              </w:rPr>
            </w:pPr>
            <w:r>
              <w:rPr>
                <w:rFonts w:hint="eastAsia" w:eastAsia="宋体" w:cs="Times New Roman"/>
                <w:kern w:val="0"/>
                <w:sz w:val="21"/>
                <w:lang w:bidi="ar"/>
              </w:rPr>
              <w:t>用水总量控制达标情况</w:t>
            </w:r>
          </w:p>
        </w:tc>
        <w:tc>
          <w:tcPr>
            <w:tcW w:w="1856" w:type="dxa"/>
            <w:tcBorders>
              <w:top w:val="single" w:color="auto" w:sz="4" w:space="0"/>
              <w:left w:val="nil"/>
              <w:bottom w:val="single" w:color="auto" w:sz="4" w:space="0"/>
              <w:right w:val="single" w:color="auto" w:sz="4" w:space="0"/>
            </w:tcBorders>
            <w:shd w:val="clear" w:color="auto" w:fill="auto"/>
            <w:vAlign w:val="center"/>
          </w:tcPr>
          <w:p w14:paraId="0806C35D">
            <w:pPr>
              <w:widowControl/>
              <w:spacing w:line="240" w:lineRule="auto"/>
              <w:ind w:firstLine="0" w:firstLineChars="0"/>
              <w:jc w:val="center"/>
              <w:rPr>
                <w:rFonts w:eastAsia="宋体" w:cs="Times New Roman"/>
                <w:kern w:val="0"/>
                <w:sz w:val="21"/>
              </w:rP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14" w:type="dxa"/>
            <w:tcBorders>
              <w:top w:val="single" w:color="auto" w:sz="4" w:space="0"/>
              <w:left w:val="nil"/>
              <w:bottom w:val="single" w:color="auto" w:sz="4" w:space="0"/>
              <w:right w:val="single" w:color="auto" w:sz="4" w:space="0"/>
            </w:tcBorders>
            <w:shd w:val="clear" w:color="auto" w:fill="auto"/>
            <w:vAlign w:val="center"/>
          </w:tcPr>
          <w:p w14:paraId="62CF6170">
            <w:pPr>
              <w:widowControl/>
              <w:spacing w:line="240" w:lineRule="auto"/>
              <w:ind w:firstLine="0" w:firstLineChars="0"/>
              <w:jc w:val="center"/>
              <w:rPr>
                <w:rFonts w:eastAsia="宋体" w:cs="Times New Roman"/>
                <w:kern w:val="0"/>
                <w:sz w:val="21"/>
              </w:rP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56" w:type="dxa"/>
            <w:tcBorders>
              <w:top w:val="single" w:color="auto" w:sz="4" w:space="0"/>
              <w:left w:val="nil"/>
              <w:bottom w:val="single" w:color="auto" w:sz="4" w:space="0"/>
              <w:right w:val="single" w:color="auto" w:sz="4" w:space="0"/>
            </w:tcBorders>
            <w:shd w:val="clear" w:color="auto" w:fill="auto"/>
            <w:vAlign w:val="center"/>
          </w:tcPr>
          <w:p w14:paraId="277A2824">
            <w:pPr>
              <w:widowControl/>
              <w:spacing w:line="240" w:lineRule="auto"/>
              <w:ind w:firstLine="0" w:firstLineChars="0"/>
              <w:jc w:val="cente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38" w:type="dxa"/>
            <w:tcBorders>
              <w:top w:val="single" w:color="auto" w:sz="4" w:space="0"/>
              <w:left w:val="nil"/>
              <w:bottom w:val="single" w:color="auto" w:sz="4" w:space="0"/>
              <w:right w:val="single" w:color="auto" w:sz="4" w:space="0"/>
            </w:tcBorders>
            <w:shd w:val="clear" w:color="auto" w:fill="auto"/>
          </w:tcPr>
          <w:p w14:paraId="42737509">
            <w:pPr>
              <w:widowControl/>
              <w:spacing w:before="163" w:beforeLines="50" w:line="240" w:lineRule="auto"/>
              <w:ind w:firstLine="0" w:firstLineChars="0"/>
              <w:jc w:val="center"/>
              <w:rPr>
                <w:rFonts w:eastAsia="宋体" w:cs="Times New Roman"/>
                <w:kern w:val="0"/>
                <w:sz w:val="21"/>
              </w:rP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47124F28">
      <w:pPr>
        <w:spacing w:line="240" w:lineRule="auto"/>
        <w:ind w:firstLine="480"/>
        <w:rPr>
          <w:rFonts w:cs="Times New Roman"/>
        </w:rPr>
      </w:pPr>
    </w:p>
    <w:p w14:paraId="51F3298B">
      <w:pPr>
        <w:pStyle w:val="3"/>
        <w:widowControl/>
        <w:spacing w:before="0" w:after="0" w:line="360" w:lineRule="auto"/>
        <w:rPr>
          <w:rFonts w:cs="Times New Roman"/>
        </w:rPr>
      </w:pPr>
      <w:bookmarkStart w:id="608" w:name="_Toc16675067"/>
      <w:bookmarkStart w:id="609" w:name="_Toc526004962"/>
      <w:bookmarkStart w:id="610" w:name="_Toc528880323"/>
      <w:bookmarkStart w:id="611" w:name="_Toc528607291"/>
      <w:bookmarkStart w:id="612" w:name="_Toc29329"/>
      <w:bookmarkStart w:id="613" w:name="_Toc20922"/>
      <w:bookmarkStart w:id="614" w:name="_Toc523306799"/>
      <w:bookmarkStart w:id="615" w:name="_Toc20813"/>
      <w:bookmarkStart w:id="616" w:name="_Toc527881117"/>
      <w:bookmarkStart w:id="617" w:name="_Toc23410"/>
      <w:bookmarkStart w:id="618" w:name="_Toc7452"/>
      <w:bookmarkStart w:id="619" w:name="_Toc31779"/>
      <w:r>
        <w:rPr>
          <w:rFonts w:cs="Times New Roman"/>
        </w:rPr>
        <w:t>4.4.2</w:t>
      </w:r>
      <w:r>
        <w:rPr>
          <w:rFonts w:hint="eastAsia" w:cs="Times New Roman"/>
        </w:rPr>
        <w:t>水资源监控管理能力指数</w:t>
      </w:r>
      <w:bookmarkEnd w:id="608"/>
      <w:bookmarkEnd w:id="609"/>
      <w:bookmarkEnd w:id="610"/>
      <w:bookmarkEnd w:id="611"/>
      <w:bookmarkEnd w:id="612"/>
      <w:bookmarkEnd w:id="613"/>
      <w:bookmarkEnd w:id="614"/>
      <w:bookmarkEnd w:id="615"/>
      <w:bookmarkEnd w:id="616"/>
      <w:bookmarkEnd w:id="617"/>
      <w:bookmarkEnd w:id="618"/>
      <w:bookmarkEnd w:id="619"/>
    </w:p>
    <w:p w14:paraId="676B88BC">
      <w:pPr>
        <w:ind w:firstLine="480"/>
        <w:rPr>
          <w:rFonts w:eastAsia="宋体" w:cs="Times New Roman"/>
          <w:szCs w:val="24"/>
        </w:rPr>
      </w:pPr>
      <w:r>
        <w:rPr>
          <w:rFonts w:hint="eastAsia" w:eastAsia="宋体" w:cs="Times New Roman"/>
          <w:szCs w:val="24"/>
          <w:lang w:bidi="ar"/>
        </w:rPr>
        <w:t>水资源监控能力指数由取用水计量率、水功能区水质监测率、入河排污口监测率</w:t>
      </w:r>
      <w:r>
        <w:rPr>
          <w:rFonts w:eastAsia="宋体" w:cs="Times New Roman"/>
          <w:szCs w:val="24"/>
          <w:lang w:bidi="ar"/>
        </w:rPr>
        <w:t>3</w:t>
      </w:r>
      <w:r>
        <w:rPr>
          <w:rFonts w:hint="eastAsia" w:eastAsia="宋体" w:cs="Times New Roman"/>
          <w:szCs w:val="24"/>
          <w:lang w:bidi="ar"/>
        </w:rPr>
        <w:t>项子指标分别评分后，取其平均值作为该项指标评分</w:t>
      </w:r>
      <w:r>
        <w:rPr>
          <w:rFonts w:hint="eastAsia" w:eastAsia="宋体" w:cs="Times New Roman"/>
          <w:b/>
          <w:bCs/>
          <w:szCs w:val="24"/>
          <w:lang w:bidi="ar"/>
        </w:rPr>
        <w:t>（具体计算公式见附录1）</w:t>
      </w:r>
      <w:r>
        <w:rPr>
          <w:rFonts w:hint="eastAsia" w:eastAsia="宋体" w:cs="Times New Roman"/>
          <w:szCs w:val="24"/>
          <w:lang w:bidi="ar"/>
        </w:rPr>
        <w:t>。西区</w:t>
      </w:r>
      <w:r>
        <w:rPr>
          <w:rFonts w:eastAsia="宋体" w:cs="Times New Roman"/>
          <w:szCs w:val="24"/>
          <w:lang w:bidi="ar"/>
        </w:rPr>
        <w:t>2017</w:t>
      </w:r>
      <w:r>
        <w:rPr>
          <w:rFonts w:hint="eastAsia" w:eastAsia="宋体" w:cs="Times New Roman"/>
          <w:szCs w:val="24"/>
          <w:lang w:bidi="ar"/>
        </w:rPr>
        <w:t>年对镇区的用水均进行了统计，其取用水计量率为</w:t>
      </w:r>
      <w:r>
        <w:rPr>
          <w:rFonts w:eastAsia="宋体" w:cs="Times New Roman"/>
          <w:szCs w:val="24"/>
          <w:lang w:bidi="ar"/>
        </w:rPr>
        <w:t>100%</w:t>
      </w:r>
      <w:r>
        <w:rPr>
          <w:rFonts w:hint="eastAsia" w:eastAsia="宋体" w:cs="Times New Roman"/>
          <w:szCs w:val="24"/>
          <w:lang w:bidi="ar"/>
        </w:rPr>
        <w:t>。用水计量率是根据实测数据统计的用水量占区域用水总量的比例，西区</w:t>
      </w:r>
      <w:r>
        <w:rPr>
          <w:rFonts w:eastAsia="宋体" w:cs="Times New Roman"/>
          <w:szCs w:val="24"/>
          <w:lang w:bidi="ar"/>
        </w:rPr>
        <w:t>2017</w:t>
      </w:r>
      <w:r>
        <w:rPr>
          <w:rFonts w:hint="eastAsia" w:eastAsia="宋体" w:cs="Times New Roman"/>
          <w:szCs w:val="24"/>
          <w:lang w:bidi="ar"/>
        </w:rPr>
        <w:t>年的用水计量率为</w:t>
      </w:r>
      <w:r>
        <w:rPr>
          <w:rFonts w:eastAsia="宋体" w:cs="Times New Roman"/>
          <w:szCs w:val="24"/>
          <w:lang w:bidi="ar"/>
        </w:rPr>
        <w:t>100%</w:t>
      </w:r>
      <w:r>
        <w:rPr>
          <w:rFonts w:hint="eastAsia" w:eastAsia="宋体" w:cs="Times New Roman"/>
          <w:szCs w:val="24"/>
          <w:lang w:bidi="ar"/>
        </w:rPr>
        <w:t>。</w:t>
      </w:r>
    </w:p>
    <w:p w14:paraId="4967B078">
      <w:pPr>
        <w:ind w:firstLine="480"/>
        <w:rPr>
          <w:rFonts w:cs="Times New Roman"/>
        </w:rPr>
      </w:pPr>
      <w:r>
        <w:rPr>
          <w:rFonts w:hint="eastAsia" w:eastAsia="宋体" w:cs="Times New Roman"/>
          <w:szCs w:val="24"/>
          <w:lang w:bidi="ar"/>
        </w:rPr>
        <w:t>依据西区已有的经济发展和人口增长速度，以及供水管网的完善程度，结合中山市最严格水资源控制指标，</w:t>
      </w:r>
      <w:r>
        <w:rPr>
          <w:rFonts w:eastAsia="宋体" w:cs="Times New Roman"/>
          <w:szCs w:val="24"/>
          <w:lang w:bidi="ar"/>
        </w:rPr>
        <w:t>2020</w:t>
      </w:r>
      <w:r>
        <w:rPr>
          <w:rFonts w:hint="eastAsia" w:eastAsia="宋体" w:cs="Times New Roman"/>
          <w:szCs w:val="24"/>
          <w:lang w:bidi="ar"/>
        </w:rPr>
        <w:t>年西区用水计量率为</w:t>
      </w:r>
      <w:r>
        <w:rPr>
          <w:rFonts w:eastAsia="宋体" w:cs="Times New Roman"/>
          <w:szCs w:val="24"/>
          <w:lang w:bidi="ar"/>
        </w:rPr>
        <w:t>100%</w:t>
      </w:r>
      <w:r>
        <w:rPr>
          <w:rFonts w:hint="eastAsia" w:eastAsia="宋体" w:cs="Times New Roman"/>
          <w:szCs w:val="24"/>
          <w:lang w:bidi="ar"/>
        </w:rPr>
        <w:t>，根据中山市</w:t>
      </w:r>
      <w:r>
        <w:rPr>
          <w:rFonts w:eastAsia="宋体" w:cs="Times New Roman"/>
          <w:szCs w:val="24"/>
          <w:lang w:bidi="ar"/>
        </w:rPr>
        <w:t>2020</w:t>
      </w:r>
      <w:r>
        <w:rPr>
          <w:rFonts w:hint="eastAsia" w:eastAsia="宋体" w:cs="Times New Roman"/>
          <w:szCs w:val="24"/>
          <w:lang w:bidi="ar"/>
        </w:rPr>
        <w:t>年西区取用水计量率达到</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年西区取用水计量率达到</w:t>
      </w:r>
      <w:r>
        <w:rPr>
          <w:rFonts w:eastAsia="宋体" w:cs="Times New Roman"/>
          <w:szCs w:val="24"/>
          <w:lang w:bidi="ar"/>
        </w:rPr>
        <w:t>100%</w:t>
      </w:r>
      <w:r>
        <w:rPr>
          <w:rFonts w:hint="eastAsia" w:eastAsia="宋体" w:cs="Times New Roman"/>
          <w:szCs w:val="24"/>
          <w:lang w:bidi="ar"/>
        </w:rPr>
        <w:t>，预测</w:t>
      </w:r>
      <w:r>
        <w:rPr>
          <w:rFonts w:eastAsia="宋体" w:cs="Times New Roman"/>
          <w:szCs w:val="24"/>
          <w:lang w:bidi="ar"/>
        </w:rPr>
        <w:t>2030</w:t>
      </w:r>
      <w:r>
        <w:rPr>
          <w:rFonts w:hint="eastAsia" w:eastAsia="宋体" w:cs="Times New Roman"/>
          <w:szCs w:val="24"/>
          <w:lang w:bidi="ar"/>
        </w:rPr>
        <w:t>年规划目标值应为</w:t>
      </w:r>
      <w:r>
        <w:rPr>
          <w:rFonts w:eastAsia="宋体" w:cs="Times New Roman"/>
          <w:szCs w:val="24"/>
          <w:lang w:bidi="ar"/>
        </w:rPr>
        <w:t>100 %</w:t>
      </w:r>
    </w:p>
    <w:p w14:paraId="4F33218B">
      <w:pPr>
        <w:ind w:firstLine="480"/>
        <w:rPr>
          <w:rFonts w:cs="Times New Roman"/>
        </w:rPr>
      </w:pPr>
      <w:r>
        <w:rPr>
          <w:rFonts w:hint="eastAsia" w:eastAsia="宋体" w:cs="Times New Roman"/>
          <w:lang w:bidi="ar"/>
        </w:rPr>
        <w:t>水功能区水质监测率指国家或省级人民政府批复的水功能区中，按水质监测规范要求定期开展水质监测评价的水功能区数量比例</w:t>
      </w:r>
      <w:r>
        <w:rPr>
          <w:rFonts w:hint="eastAsia" w:eastAsia="宋体" w:cs="Times New Roman"/>
          <w:b/>
          <w:bCs/>
          <w:szCs w:val="24"/>
          <w:lang w:bidi="ar"/>
        </w:rPr>
        <w:t>（具体计算公式见附录1）</w:t>
      </w:r>
      <w:r>
        <w:rPr>
          <w:rFonts w:hint="eastAsia" w:eastAsia="宋体" w:cs="Times New Roman"/>
          <w:lang w:bidi="ar"/>
        </w:rPr>
        <w:t>。西区属于中山市的镇区，因此不存在国家或省级人民政府批复的水功能区，</w:t>
      </w:r>
      <w:r>
        <w:rPr>
          <w:rFonts w:hint="eastAsia" w:eastAsia="宋体" w:cs="Times New Roman"/>
          <w:szCs w:val="24"/>
          <w:lang w:bidi="ar"/>
        </w:rPr>
        <w:t>目前西区入河排污口实施监测的数量无相关统计资料，本次按有排污许可的入河排污口数量与入河排污口总量的比值替代，后期西区将加强入河排污口的监督力度。</w:t>
      </w:r>
      <w:r>
        <w:rPr>
          <w:rFonts w:eastAsia="宋体" w:cs="Times New Roman"/>
          <w:szCs w:val="24"/>
          <w:lang w:bidi="ar"/>
        </w:rPr>
        <w:t>2017</w:t>
      </w:r>
      <w:r>
        <w:rPr>
          <w:rFonts w:hint="eastAsia" w:eastAsia="宋体" w:cs="Times New Roman"/>
          <w:szCs w:val="24"/>
          <w:lang w:bidi="ar"/>
        </w:rPr>
        <w:t>年西区全部是市政排水口，没有厂企直接排污口，因此入河排污口监测率按1</w:t>
      </w:r>
      <w:r>
        <w:rPr>
          <w:rFonts w:eastAsia="宋体" w:cs="Times New Roman"/>
          <w:szCs w:val="24"/>
          <w:lang w:bidi="ar"/>
        </w:rPr>
        <w:t>00</w:t>
      </w:r>
      <w:r>
        <w:rPr>
          <w:rFonts w:hint="eastAsia" w:eastAsia="宋体" w:cs="Times New Roman"/>
          <w:szCs w:val="24"/>
          <w:lang w:bidi="ar"/>
        </w:rPr>
        <w:t>%取值</w:t>
      </w:r>
      <w:r>
        <w:rPr>
          <w:rFonts w:hint="eastAsia" w:eastAsia="宋体" w:cs="Times New Roman"/>
          <w:lang w:bidi="ar"/>
        </w:rPr>
        <w:t>。因此</w:t>
      </w:r>
      <w:r>
        <w:rPr>
          <w:rFonts w:eastAsia="宋体" w:cs="Times New Roman"/>
          <w:lang w:bidi="ar"/>
        </w:rPr>
        <w:t>2020</w:t>
      </w:r>
      <w:r>
        <w:rPr>
          <w:rFonts w:hint="eastAsia" w:eastAsia="宋体" w:cs="Times New Roman"/>
          <w:lang w:bidi="ar"/>
        </w:rPr>
        <w:t>年西区应将入河排污口调查清楚，加强入河排污口监测，按照监测规范要求开展在线、定期或监督性监测入河排污口，争取达到10</w:t>
      </w:r>
      <w:r>
        <w:rPr>
          <w:rFonts w:eastAsia="宋体" w:cs="Times New Roman"/>
          <w:lang w:bidi="ar"/>
        </w:rPr>
        <w:t>%</w:t>
      </w:r>
      <w:r>
        <w:rPr>
          <w:rFonts w:hint="eastAsia" w:eastAsia="宋体" w:cs="Times New Roman"/>
          <w:lang w:bidi="ar"/>
        </w:rPr>
        <w:t>的监测率。</w:t>
      </w:r>
      <w:r>
        <w:rPr>
          <w:rFonts w:eastAsia="宋体" w:cs="Times New Roman"/>
          <w:lang w:bidi="ar"/>
        </w:rPr>
        <w:t>2025</w:t>
      </w:r>
      <w:r>
        <w:rPr>
          <w:rFonts w:hint="eastAsia" w:eastAsia="宋体" w:cs="Times New Roman"/>
          <w:lang w:bidi="ar"/>
        </w:rPr>
        <w:t>年争取达到6</w:t>
      </w:r>
      <w:r>
        <w:rPr>
          <w:rFonts w:eastAsia="宋体" w:cs="Times New Roman"/>
          <w:lang w:bidi="ar"/>
        </w:rPr>
        <w:t>0%</w:t>
      </w:r>
      <w:r>
        <w:rPr>
          <w:rFonts w:hint="eastAsia" w:eastAsia="宋体" w:cs="Times New Roman"/>
          <w:lang w:bidi="ar"/>
        </w:rPr>
        <w:t>的监测率，</w:t>
      </w:r>
      <w:r>
        <w:rPr>
          <w:rFonts w:eastAsia="宋体" w:cs="Times New Roman"/>
          <w:lang w:bidi="ar"/>
        </w:rPr>
        <w:t>2030</w:t>
      </w:r>
      <w:r>
        <w:rPr>
          <w:rFonts w:hint="eastAsia" w:eastAsia="宋体" w:cs="Times New Roman"/>
          <w:lang w:bidi="ar"/>
        </w:rPr>
        <w:t>年争取达到9</w:t>
      </w:r>
      <w:r>
        <w:rPr>
          <w:rFonts w:eastAsia="宋体" w:cs="Times New Roman"/>
          <w:lang w:bidi="ar"/>
        </w:rPr>
        <w:t>0%</w:t>
      </w:r>
      <w:r>
        <w:rPr>
          <w:rFonts w:hint="eastAsia" w:eastAsia="宋体" w:cs="Times New Roman"/>
          <w:lang w:bidi="ar"/>
        </w:rPr>
        <w:t>的监测率，</w:t>
      </w:r>
      <w:r>
        <w:rPr>
          <w:rFonts w:hint="eastAsia" w:eastAsia="宋体" w:cs="Times New Roman"/>
          <w:szCs w:val="24"/>
          <w:lang w:bidi="ar"/>
        </w:rPr>
        <w:t>根据中山市水务局《关于加快开展全市黑臭（未达标）水体摸底排查工作的函》要求，</w:t>
      </w:r>
      <w:r>
        <w:rPr>
          <w:rFonts w:eastAsia="宋体" w:cs="Times New Roman"/>
          <w:szCs w:val="24"/>
          <w:lang w:bidi="ar"/>
        </w:rPr>
        <w:t>2020</w:t>
      </w:r>
      <w:r>
        <w:rPr>
          <w:rFonts w:hint="eastAsia" w:eastAsia="宋体" w:cs="Times New Roman"/>
          <w:szCs w:val="24"/>
          <w:lang w:bidi="ar"/>
        </w:rPr>
        <w:t>年、</w:t>
      </w:r>
      <w:r>
        <w:rPr>
          <w:rFonts w:eastAsia="宋体" w:cs="Times New Roman"/>
          <w:szCs w:val="24"/>
          <w:lang w:bidi="ar"/>
        </w:rPr>
        <w:t>2025</w:t>
      </w:r>
      <w:r>
        <w:rPr>
          <w:rFonts w:hint="eastAsia" w:eastAsia="宋体" w:cs="Times New Roman"/>
          <w:szCs w:val="24"/>
          <w:lang w:bidi="ar"/>
        </w:rPr>
        <w:t>年以及</w:t>
      </w:r>
      <w:r>
        <w:rPr>
          <w:rFonts w:eastAsia="宋体" w:cs="Times New Roman"/>
          <w:szCs w:val="24"/>
          <w:lang w:bidi="ar"/>
        </w:rPr>
        <w:t>2030</w:t>
      </w:r>
      <w:r>
        <w:rPr>
          <w:rFonts w:hint="eastAsia" w:eastAsia="宋体" w:cs="Times New Roman"/>
          <w:szCs w:val="24"/>
          <w:lang w:bidi="ar"/>
        </w:rPr>
        <w:t>年西区水功能区水质监测率达到</w:t>
      </w:r>
      <w:r>
        <w:rPr>
          <w:rFonts w:eastAsia="宋体" w:cs="Times New Roman"/>
          <w:szCs w:val="24"/>
          <w:lang w:bidi="ar"/>
        </w:rPr>
        <w:t>100%</w:t>
      </w:r>
      <w:r>
        <w:rPr>
          <w:rFonts w:hint="eastAsia" w:eastAsia="宋体" w:cs="Times New Roman"/>
          <w:szCs w:val="24"/>
          <w:lang w:bidi="ar"/>
        </w:rPr>
        <w:t>，因此</w:t>
      </w:r>
      <w:r>
        <w:rPr>
          <w:rFonts w:eastAsia="宋体" w:cs="Times New Roman"/>
          <w:lang w:bidi="ar"/>
        </w:rPr>
        <w:t>2020</w:t>
      </w:r>
      <w:r>
        <w:rPr>
          <w:rFonts w:hint="eastAsia" w:eastAsia="宋体" w:cs="Times New Roman"/>
          <w:lang w:bidi="ar"/>
        </w:rPr>
        <w:t>年西区水资源监控管理能力指数规划目标值为77</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年西区水资源监控管理能力指数规划目标值为</w:t>
      </w:r>
      <w:r>
        <w:rPr>
          <w:rFonts w:eastAsia="宋体" w:cs="Times New Roman"/>
          <w:lang w:bidi="ar"/>
        </w:rPr>
        <w:t>8</w:t>
      </w:r>
      <w:r>
        <w:rPr>
          <w:rFonts w:hint="eastAsia" w:eastAsia="宋体" w:cs="Times New Roman"/>
          <w:lang w:bidi="ar"/>
        </w:rPr>
        <w:t>7</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年西区水资源监控管理能力指数规划目标值为</w:t>
      </w:r>
      <w:r>
        <w:rPr>
          <w:rFonts w:eastAsia="宋体" w:cs="Times New Roman"/>
          <w:lang w:bidi="ar"/>
        </w:rPr>
        <w:t>9</w:t>
      </w:r>
      <w:r>
        <w:rPr>
          <w:rFonts w:hint="eastAsia" w:eastAsia="宋体" w:cs="Times New Roman"/>
          <w:lang w:bidi="ar"/>
        </w:rPr>
        <w:t>7</w:t>
      </w:r>
      <w:r>
        <w:rPr>
          <w:rFonts w:eastAsia="宋体" w:cs="Times New Roman"/>
          <w:lang w:bidi="ar"/>
        </w:rPr>
        <w:t>%</w:t>
      </w:r>
      <w:r>
        <w:rPr>
          <w:rFonts w:hint="eastAsia" w:eastAsia="宋体" w:cs="Times New Roman"/>
          <w:lang w:bidi="ar"/>
        </w:rPr>
        <w:t>，具体见表</w:t>
      </w:r>
      <w:r>
        <w:rPr>
          <w:rFonts w:eastAsia="宋体" w:cs="Times New Roman"/>
          <w:lang w:bidi="ar"/>
        </w:rPr>
        <w:t>4-1</w:t>
      </w:r>
      <w:r>
        <w:rPr>
          <w:rFonts w:hint="eastAsia" w:eastAsia="宋体" w:cs="Times New Roman"/>
          <w:lang w:bidi="ar"/>
        </w:rPr>
        <w:t>6。</w:t>
      </w:r>
    </w:p>
    <w:p w14:paraId="19BBE22E">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6</w:t>
      </w:r>
      <w:r>
        <w:rPr>
          <w:rFonts w:eastAsia="宋体" w:cs="Times New Roman"/>
          <w:sz w:val="21"/>
          <w:lang w:bidi="ar"/>
        </w:rPr>
        <w:t xml:space="preserve"> </w:t>
      </w:r>
      <w:r>
        <w:rPr>
          <w:rFonts w:hint="eastAsia" w:eastAsia="宋体" w:cs="Times New Roman"/>
          <w:sz w:val="21"/>
          <w:lang w:bidi="ar"/>
        </w:rPr>
        <w:t>西区水资源监控管理能力指数各项指标的现状与规划值</w:t>
      </w:r>
    </w:p>
    <w:tbl>
      <w:tblPr>
        <w:tblStyle w:val="25"/>
        <w:tblW w:w="104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6"/>
        <w:gridCol w:w="2120"/>
        <w:gridCol w:w="1913"/>
        <w:gridCol w:w="2013"/>
        <w:gridCol w:w="1830"/>
      </w:tblGrid>
      <w:tr w14:paraId="76CCC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39C3634E">
            <w:pPr>
              <w:spacing w:line="240" w:lineRule="auto"/>
              <w:ind w:firstLine="0" w:firstLineChars="0"/>
              <w:jc w:val="center"/>
              <w:rPr>
                <w:rFonts w:cs="Times New Roman"/>
                <w:sz w:val="21"/>
              </w:rPr>
            </w:pPr>
            <w:r>
              <w:rPr>
                <w:rFonts w:hint="eastAsia" w:eastAsia="宋体" w:cs="Times New Roman"/>
                <w:sz w:val="21"/>
                <w:lang w:bidi="ar"/>
              </w:rPr>
              <w:t>指标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40E3A4B0">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34850B4F">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443E4558">
            <w:pPr>
              <w:spacing w:line="240" w:lineRule="auto"/>
              <w:ind w:firstLine="0" w:firstLineChars="0"/>
              <w:jc w:val="center"/>
            </w:pPr>
            <w:r>
              <w:rPr>
                <w:rFonts w:eastAsia="宋体" w:cs="Times New Roman"/>
                <w:sz w:val="21"/>
                <w:lang w:bidi="ar"/>
              </w:rPr>
              <w:t>2025</w:t>
            </w:r>
            <w:r>
              <w:rPr>
                <w:rFonts w:hint="eastAsia" w:eastAsia="宋体" w:cs="Times New Roman"/>
                <w:sz w:val="21"/>
                <w:lang w:bidi="ar"/>
              </w:rPr>
              <w:t>年规划值与指标分级</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259FFE24">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159CB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4C1D7649">
            <w:pPr>
              <w:widowControl/>
              <w:spacing w:line="240" w:lineRule="auto"/>
              <w:ind w:firstLine="0" w:firstLineChars="0"/>
              <w:jc w:val="center"/>
              <w:rPr>
                <w:rFonts w:cs="Times New Roman"/>
                <w:kern w:val="0"/>
                <w:sz w:val="21"/>
              </w:rPr>
            </w:pPr>
            <w:r>
              <w:rPr>
                <w:rFonts w:hint="eastAsia" w:eastAsia="宋体" w:cs="Times New Roman"/>
                <w:kern w:val="0"/>
                <w:sz w:val="21"/>
                <w:lang w:bidi="ar"/>
              </w:rPr>
              <w:t>取用水计量率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538FC580">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eastAsia="宋体" w:cs="Times New Roman"/>
                <w:sz w:val="21"/>
                <w:lang w:bidi="ar"/>
              </w:rPr>
              <w:t>%</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57F9E728">
            <w:pPr>
              <w:spacing w:line="240" w:lineRule="auto"/>
              <w:ind w:firstLine="0" w:firstLineChars="0"/>
              <w:jc w:val="center"/>
              <w:rPr>
                <w:rFonts w:cs="Times New Roman"/>
                <w:sz w:val="21"/>
              </w:rPr>
            </w:pPr>
            <w:r>
              <w:rPr>
                <w:rFonts w:eastAsia="宋体" w:cs="Times New Roman"/>
                <w:sz w:val="21"/>
                <w:lang w:bidi="ar"/>
              </w:rPr>
              <w:t>100%</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0F140E9B">
            <w:pPr>
              <w:spacing w:line="240" w:lineRule="auto"/>
              <w:ind w:firstLine="0" w:firstLineChars="0"/>
              <w:jc w:val="center"/>
            </w:pPr>
            <w:r>
              <w:rPr>
                <w:rFonts w:eastAsia="宋体" w:cs="Times New Roman"/>
                <w:sz w:val="21"/>
                <w:lang w:bidi="ar"/>
              </w:rPr>
              <w:t>100%</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78474529">
            <w:pPr>
              <w:spacing w:line="240" w:lineRule="auto"/>
              <w:ind w:firstLine="0" w:firstLineChars="0"/>
              <w:jc w:val="center"/>
              <w:rPr>
                <w:rFonts w:cs="Times New Roman"/>
                <w:sz w:val="21"/>
              </w:rPr>
            </w:pPr>
            <w:r>
              <w:rPr>
                <w:rFonts w:eastAsia="宋体" w:cs="Times New Roman"/>
                <w:sz w:val="21"/>
                <w:lang w:bidi="ar"/>
              </w:rPr>
              <w:t>100%</w:t>
            </w:r>
          </w:p>
        </w:tc>
      </w:tr>
      <w:tr w14:paraId="36ED9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30364523">
            <w:pPr>
              <w:widowControl/>
              <w:spacing w:line="240" w:lineRule="auto"/>
              <w:ind w:firstLine="0" w:firstLineChars="0"/>
              <w:jc w:val="center"/>
              <w:rPr>
                <w:rFonts w:cs="Times New Roman"/>
                <w:kern w:val="0"/>
                <w:sz w:val="21"/>
              </w:rPr>
            </w:pPr>
            <w:r>
              <w:rPr>
                <w:rFonts w:hint="eastAsia" w:eastAsia="宋体" w:cs="Times New Roman"/>
                <w:kern w:val="0"/>
                <w:sz w:val="21"/>
                <w:lang w:bidi="ar"/>
              </w:rPr>
              <w:t>水功能区水质监测率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2AB654C6">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eastAsia="宋体" w:cs="Times New Roman"/>
                <w:sz w:val="21"/>
                <w:lang w:bidi="ar"/>
              </w:rPr>
              <w:t>%</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4CE79772">
            <w:pPr>
              <w:spacing w:line="240" w:lineRule="auto"/>
              <w:ind w:firstLine="0" w:firstLineChars="0"/>
              <w:jc w:val="center"/>
              <w:rPr>
                <w:rFonts w:cs="Times New Roman"/>
                <w:sz w:val="21"/>
              </w:rPr>
            </w:pPr>
            <w:r>
              <w:rPr>
                <w:rFonts w:eastAsia="宋体" w:cs="Times New Roman"/>
                <w:sz w:val="21"/>
                <w:lang w:bidi="ar"/>
              </w:rPr>
              <w:t>100%</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1D4DA1A7">
            <w:pPr>
              <w:spacing w:line="240" w:lineRule="auto"/>
              <w:ind w:firstLine="0" w:firstLineChars="0"/>
              <w:jc w:val="center"/>
            </w:pPr>
            <w:r>
              <w:rPr>
                <w:rFonts w:eastAsia="宋体" w:cs="Times New Roman"/>
                <w:sz w:val="21"/>
                <w:lang w:bidi="ar"/>
              </w:rPr>
              <w:t>100%</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0D9FB3DA">
            <w:pPr>
              <w:spacing w:line="240" w:lineRule="auto"/>
              <w:ind w:firstLine="0" w:firstLineChars="0"/>
              <w:jc w:val="center"/>
              <w:rPr>
                <w:rFonts w:cs="Times New Roman"/>
                <w:sz w:val="21"/>
              </w:rPr>
            </w:pPr>
            <w:r>
              <w:rPr>
                <w:rFonts w:eastAsia="宋体" w:cs="Times New Roman"/>
                <w:sz w:val="21"/>
                <w:lang w:bidi="ar"/>
              </w:rPr>
              <w:t>100%</w:t>
            </w:r>
          </w:p>
        </w:tc>
      </w:tr>
      <w:tr w14:paraId="58B6D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4C3A7809">
            <w:pPr>
              <w:widowControl/>
              <w:spacing w:line="240" w:lineRule="auto"/>
              <w:ind w:firstLine="0" w:firstLineChars="0"/>
              <w:jc w:val="center"/>
              <w:rPr>
                <w:rFonts w:cs="Times New Roman"/>
                <w:kern w:val="0"/>
                <w:sz w:val="21"/>
              </w:rPr>
            </w:pPr>
            <w:r>
              <w:rPr>
                <w:rFonts w:hint="eastAsia" w:eastAsia="宋体" w:cs="Times New Roman"/>
                <w:kern w:val="0"/>
                <w:sz w:val="21"/>
                <w:lang w:bidi="ar"/>
              </w:rPr>
              <w:t>入河排污口监测率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180F7A90">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0</w:t>
            </w:r>
            <w:r>
              <w:rPr>
                <w:rFonts w:eastAsia="宋体" w:cs="Times New Roman"/>
                <w:sz w:val="21"/>
                <w:lang w:bidi="ar"/>
              </w:rPr>
              <w:t>%</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36AB0A29">
            <w:pPr>
              <w:spacing w:line="240" w:lineRule="auto"/>
              <w:ind w:firstLine="0" w:firstLineChars="0"/>
              <w:jc w:val="center"/>
              <w:rPr>
                <w:rFonts w:cs="Times New Roman"/>
                <w:sz w:val="21"/>
              </w:rPr>
            </w:pPr>
            <w:r>
              <w:rPr>
                <w:rFonts w:hint="eastAsia" w:eastAsia="宋体" w:cs="Times New Roman"/>
                <w:sz w:val="21"/>
                <w:lang w:bidi="ar"/>
              </w:rPr>
              <w:t>1</w:t>
            </w:r>
            <w:r>
              <w:rPr>
                <w:rFonts w:eastAsia="宋体" w:cs="Times New Roman"/>
                <w:sz w:val="21"/>
                <w:lang w:bidi="ar"/>
              </w:rPr>
              <w:t>00%</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1FC903E0">
            <w:pPr>
              <w:spacing w:line="240" w:lineRule="auto"/>
              <w:ind w:firstLine="0" w:firstLineChars="0"/>
              <w:jc w:val="center"/>
            </w:pPr>
            <w:r>
              <w:rPr>
                <w:rFonts w:eastAsia="宋体" w:cs="Times New Roman"/>
                <w:sz w:val="21"/>
                <w:lang w:bidi="ar"/>
              </w:rPr>
              <w:t>100%</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2B95505B">
            <w:pPr>
              <w:spacing w:line="240" w:lineRule="auto"/>
              <w:ind w:firstLine="0" w:firstLineChars="0"/>
              <w:jc w:val="center"/>
              <w:rPr>
                <w:rFonts w:cs="Times New Roman"/>
                <w:sz w:val="21"/>
              </w:rPr>
            </w:pPr>
            <w:r>
              <w:rPr>
                <w:rFonts w:eastAsia="宋体" w:cs="Times New Roman"/>
                <w:sz w:val="21"/>
                <w:lang w:bidi="ar"/>
              </w:rPr>
              <w:t>100%</w:t>
            </w:r>
          </w:p>
        </w:tc>
      </w:tr>
      <w:tr w14:paraId="1494F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2353CEC6">
            <w:pPr>
              <w:widowControl/>
              <w:spacing w:line="240" w:lineRule="auto"/>
              <w:ind w:firstLine="0" w:firstLineChars="0"/>
              <w:jc w:val="center"/>
              <w:rPr>
                <w:rFonts w:cs="Times New Roman"/>
                <w:kern w:val="0"/>
                <w:sz w:val="21"/>
              </w:rPr>
            </w:pPr>
            <w:r>
              <w:rPr>
                <w:rFonts w:hint="eastAsia" w:eastAsia="宋体" w:cs="Times New Roman"/>
                <w:b/>
                <w:kern w:val="0"/>
                <w:sz w:val="21"/>
                <w:lang w:bidi="ar"/>
              </w:rPr>
              <w:t>水资源监控管理能力指数</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2A8C54BE">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7899D121">
            <w:pPr>
              <w:widowControl/>
              <w:spacing w:line="240" w:lineRule="auto"/>
              <w:ind w:firstLine="0" w:firstLineChars="0"/>
              <w:jc w:val="center"/>
              <w:rPr>
                <w:rFonts w:cs="Times New Roman"/>
                <w:sz w:val="21"/>
              </w:rPr>
            </w:pPr>
            <w:r>
              <w:rPr>
                <w:rFonts w:eastAsia="宋体" w:cs="Times New Roman"/>
                <w:kern w:val="0"/>
                <w:sz w:val="21"/>
                <w:lang w:bidi="ar"/>
              </w:rPr>
              <w:t>10</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13" w:type="dxa"/>
            <w:tcBorders>
              <w:top w:val="single" w:color="auto" w:sz="4" w:space="0"/>
              <w:left w:val="single" w:color="auto" w:sz="4" w:space="0"/>
              <w:bottom w:val="single" w:color="auto" w:sz="4" w:space="0"/>
              <w:right w:val="single" w:color="auto" w:sz="4" w:space="0"/>
            </w:tcBorders>
            <w:shd w:val="clear" w:color="auto" w:fill="auto"/>
            <w:vAlign w:val="center"/>
          </w:tcPr>
          <w:p w14:paraId="53AD9844">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30" w:type="dxa"/>
            <w:tcBorders>
              <w:top w:val="single" w:color="auto" w:sz="4" w:space="0"/>
              <w:left w:val="single" w:color="auto" w:sz="4" w:space="0"/>
              <w:bottom w:val="single" w:color="auto" w:sz="4" w:space="0"/>
              <w:right w:val="single" w:color="auto" w:sz="4" w:space="0"/>
            </w:tcBorders>
            <w:shd w:val="clear" w:color="auto" w:fill="auto"/>
            <w:vAlign w:val="center"/>
          </w:tcPr>
          <w:p w14:paraId="4B00C092">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509404A4">
      <w:pPr>
        <w:spacing w:line="240" w:lineRule="auto"/>
        <w:ind w:firstLine="480"/>
        <w:rPr>
          <w:rFonts w:cs="Times New Roman"/>
        </w:rPr>
      </w:pPr>
      <w:bookmarkStart w:id="620" w:name="_Toc528880324"/>
      <w:bookmarkStart w:id="621" w:name="_Toc23422"/>
      <w:bookmarkStart w:id="622" w:name="_Toc527881118"/>
      <w:bookmarkStart w:id="623" w:name="_Toc528607292"/>
      <w:bookmarkStart w:id="624" w:name="_Toc526004963"/>
      <w:bookmarkStart w:id="625" w:name="_Toc523306800"/>
    </w:p>
    <w:p w14:paraId="485D526A">
      <w:pPr>
        <w:pStyle w:val="3"/>
        <w:widowControl/>
        <w:spacing w:before="0" w:after="0" w:line="360" w:lineRule="auto"/>
        <w:rPr>
          <w:rFonts w:cs="Times New Roman"/>
        </w:rPr>
      </w:pPr>
      <w:bookmarkStart w:id="626" w:name="_Toc23021"/>
      <w:bookmarkStart w:id="627" w:name="_Toc18767"/>
      <w:bookmarkStart w:id="628" w:name="_Toc16675068"/>
      <w:bookmarkStart w:id="629" w:name="_Toc3309"/>
      <w:bookmarkStart w:id="630" w:name="_Toc5930"/>
      <w:bookmarkStart w:id="631" w:name="_Toc8386"/>
      <w:r>
        <w:rPr>
          <w:rFonts w:cs="Times New Roman"/>
        </w:rPr>
        <w:t>4.4.3</w:t>
      </w:r>
      <w:r>
        <w:rPr>
          <w:rFonts w:hint="eastAsia" w:cs="Times New Roman"/>
        </w:rPr>
        <w:t>水生态文明建设重视度</w:t>
      </w:r>
      <w:bookmarkEnd w:id="620"/>
      <w:bookmarkEnd w:id="621"/>
      <w:bookmarkEnd w:id="622"/>
      <w:bookmarkEnd w:id="623"/>
      <w:bookmarkEnd w:id="624"/>
      <w:bookmarkEnd w:id="625"/>
      <w:bookmarkEnd w:id="626"/>
      <w:bookmarkEnd w:id="627"/>
      <w:bookmarkEnd w:id="628"/>
      <w:bookmarkEnd w:id="629"/>
      <w:bookmarkEnd w:id="630"/>
      <w:bookmarkEnd w:id="631"/>
    </w:p>
    <w:p w14:paraId="1F467590">
      <w:pPr>
        <w:ind w:firstLine="480"/>
        <w:rPr>
          <w:rFonts w:eastAsia="宋体" w:cs="Times New Roman"/>
          <w:lang w:bidi="ar"/>
        </w:rPr>
      </w:pPr>
      <w:r>
        <w:rPr>
          <w:rFonts w:hint="eastAsia" w:eastAsia="宋体" w:cs="Times New Roman"/>
          <w:lang w:bidi="ar"/>
        </w:rPr>
        <w:t>代表政府部门对水生态文明建设的重视程度</w:t>
      </w:r>
      <w:r>
        <w:rPr>
          <w:rFonts w:hint="eastAsia" w:eastAsia="宋体" w:cs="Times New Roman"/>
          <w:b/>
          <w:bCs/>
          <w:szCs w:val="24"/>
          <w:lang w:bidi="ar"/>
        </w:rPr>
        <w:t>（具体计算公式见附录1）</w:t>
      </w:r>
      <w:r>
        <w:rPr>
          <w:rFonts w:hint="eastAsia" w:eastAsia="宋体" w:cs="Times New Roman"/>
          <w:lang w:bidi="ar"/>
        </w:rPr>
        <w:t>。西区在水生态文明建设处于刚起步阶段，目前对于水生态文明建设相关工作重视度较低，水生态文明建设重视度为</w:t>
      </w:r>
      <w:r>
        <w:rPr>
          <w:rFonts w:eastAsia="宋体" w:cs="Times New Roman"/>
          <w:lang w:bidi="ar"/>
        </w:rPr>
        <w:t>5%</w:t>
      </w:r>
      <w:r>
        <w:rPr>
          <w:rFonts w:hint="eastAsia" w:eastAsia="宋体" w:cs="Times New Roman"/>
          <w:lang w:bidi="ar"/>
        </w:rPr>
        <w:t>。但越来越重视水生态文明建设的各项工作，因此</w:t>
      </w:r>
      <w:r>
        <w:rPr>
          <w:rFonts w:eastAsia="宋体" w:cs="Times New Roman"/>
          <w:lang w:bidi="ar"/>
        </w:rPr>
        <w:t>2020</w:t>
      </w:r>
      <w:r>
        <w:rPr>
          <w:rFonts w:hint="eastAsia" w:eastAsia="宋体" w:cs="Times New Roman"/>
          <w:lang w:bidi="ar"/>
        </w:rPr>
        <w:t>年西区水生态文明建设重视度目标规划值为</w:t>
      </w:r>
      <w:r>
        <w:rPr>
          <w:rFonts w:eastAsia="宋体" w:cs="Times New Roman"/>
          <w:lang w:bidi="ar"/>
        </w:rPr>
        <w:t>8%</w:t>
      </w:r>
      <w:r>
        <w:rPr>
          <w:rFonts w:hint="eastAsia" w:eastAsia="宋体" w:cs="Times New Roman"/>
          <w:lang w:bidi="ar"/>
        </w:rPr>
        <w:t>，</w:t>
      </w:r>
      <w:r>
        <w:rPr>
          <w:rFonts w:eastAsia="宋体" w:cs="Times New Roman"/>
          <w:lang w:bidi="ar"/>
        </w:rPr>
        <w:t>2025</w:t>
      </w:r>
      <w:r>
        <w:rPr>
          <w:rFonts w:hint="eastAsia" w:eastAsia="宋体" w:cs="Times New Roman"/>
          <w:lang w:bidi="ar"/>
        </w:rPr>
        <w:t>年目标规划值为</w:t>
      </w:r>
      <w:r>
        <w:rPr>
          <w:rFonts w:eastAsia="宋体" w:cs="Times New Roman"/>
          <w:lang w:bidi="ar"/>
        </w:rPr>
        <w:t>12%</w:t>
      </w:r>
      <w:r>
        <w:rPr>
          <w:rFonts w:hint="eastAsia" w:eastAsia="宋体" w:cs="Times New Roman"/>
          <w:lang w:bidi="ar"/>
        </w:rPr>
        <w:t>，</w:t>
      </w:r>
      <w:r>
        <w:rPr>
          <w:rFonts w:eastAsia="宋体" w:cs="Times New Roman"/>
          <w:lang w:bidi="ar"/>
        </w:rPr>
        <w:t>2030</w:t>
      </w:r>
      <w:r>
        <w:rPr>
          <w:rFonts w:hint="eastAsia" w:eastAsia="宋体" w:cs="Times New Roman"/>
          <w:lang w:bidi="ar"/>
        </w:rPr>
        <w:t>年西区水生态文明建设重视度目标规划值为</w:t>
      </w:r>
      <w:r>
        <w:rPr>
          <w:rFonts w:eastAsia="宋体" w:cs="Times New Roman"/>
          <w:lang w:bidi="ar"/>
        </w:rPr>
        <w:t>15%</w:t>
      </w:r>
      <w:r>
        <w:rPr>
          <w:rFonts w:hint="eastAsia" w:eastAsia="宋体" w:cs="Times New Roman"/>
          <w:lang w:bidi="ar"/>
        </w:rPr>
        <w:t>（见表</w:t>
      </w:r>
      <w:r>
        <w:rPr>
          <w:rFonts w:eastAsia="宋体" w:cs="Times New Roman"/>
          <w:lang w:bidi="ar"/>
        </w:rPr>
        <w:t>4-</w:t>
      </w:r>
      <w:r>
        <w:rPr>
          <w:rFonts w:hint="eastAsia" w:eastAsia="宋体" w:cs="Times New Roman"/>
          <w:lang w:bidi="ar"/>
        </w:rPr>
        <w:t>17）。</w:t>
      </w:r>
    </w:p>
    <w:p w14:paraId="2C70F498">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17</w:t>
      </w:r>
      <w:r>
        <w:rPr>
          <w:rFonts w:eastAsia="宋体" w:cs="Times New Roman"/>
          <w:sz w:val="21"/>
          <w:lang w:bidi="ar"/>
        </w:rPr>
        <w:t xml:space="preserve">  </w:t>
      </w:r>
      <w:r>
        <w:rPr>
          <w:rFonts w:hint="eastAsia" w:eastAsia="宋体" w:cs="Times New Roman"/>
          <w:sz w:val="21"/>
          <w:lang w:bidi="ar"/>
        </w:rPr>
        <w:t>西区水生态文明建设重视度现状与规划结果</w:t>
      </w:r>
    </w:p>
    <w:tbl>
      <w:tblPr>
        <w:tblStyle w:val="25"/>
        <w:tblW w:w="8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1866"/>
        <w:gridCol w:w="1826"/>
        <w:gridCol w:w="1866"/>
        <w:gridCol w:w="1669"/>
      </w:tblGrid>
      <w:tr w14:paraId="76C69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90" w:type="dxa"/>
            <w:tcBorders>
              <w:top w:val="single" w:color="auto" w:sz="4" w:space="0"/>
              <w:left w:val="single" w:color="auto" w:sz="4" w:space="0"/>
              <w:bottom w:val="single" w:color="auto" w:sz="4" w:space="0"/>
              <w:right w:val="single" w:color="auto" w:sz="4" w:space="0"/>
            </w:tcBorders>
            <w:shd w:val="clear" w:color="auto" w:fill="auto"/>
            <w:vAlign w:val="center"/>
          </w:tcPr>
          <w:p w14:paraId="157E1E06">
            <w:pPr>
              <w:spacing w:line="240" w:lineRule="auto"/>
              <w:ind w:firstLine="0" w:firstLineChars="0"/>
              <w:jc w:val="center"/>
              <w:rPr>
                <w:sz w:val="21"/>
              </w:rPr>
            </w:pPr>
            <w:r>
              <w:rPr>
                <w:rFonts w:hint="eastAsia" w:eastAsia="宋体" w:cs="宋体"/>
                <w:sz w:val="21"/>
                <w:lang w:bidi="ar"/>
              </w:rPr>
              <w:t>指标</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7AFBE1EE">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w:t>
            </w:r>
            <w:r>
              <w:rPr>
                <w:rFonts w:hint="eastAsia" w:eastAsia="宋体" w:cs="宋体"/>
                <w:kern w:val="0"/>
                <w:sz w:val="21"/>
                <w:lang w:bidi="ar"/>
              </w:rPr>
              <w:t>现状值与</w:t>
            </w:r>
            <w:r>
              <w:rPr>
                <w:rFonts w:hint="eastAsia" w:eastAsia="宋体" w:cs="宋体"/>
                <w:sz w:val="21"/>
                <w:lang w:bidi="ar"/>
              </w:rPr>
              <w:t>指标分级</w:t>
            </w:r>
          </w:p>
        </w:tc>
        <w:tc>
          <w:tcPr>
            <w:tcW w:w="1826" w:type="dxa"/>
            <w:tcBorders>
              <w:top w:val="single" w:color="auto" w:sz="4" w:space="0"/>
              <w:left w:val="single" w:color="auto" w:sz="4" w:space="0"/>
              <w:bottom w:val="single" w:color="auto" w:sz="4" w:space="0"/>
              <w:right w:val="single" w:color="auto" w:sz="4" w:space="0"/>
            </w:tcBorders>
            <w:shd w:val="clear" w:color="auto" w:fill="auto"/>
            <w:vAlign w:val="center"/>
          </w:tcPr>
          <w:p w14:paraId="3660A2B4">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405783F1">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669" w:type="dxa"/>
            <w:tcBorders>
              <w:top w:val="single" w:color="auto" w:sz="4" w:space="0"/>
              <w:left w:val="single" w:color="auto" w:sz="4" w:space="0"/>
              <w:bottom w:val="single" w:color="auto" w:sz="4" w:space="0"/>
              <w:right w:val="single" w:color="auto" w:sz="4" w:space="0"/>
            </w:tcBorders>
            <w:shd w:val="clear" w:color="auto" w:fill="auto"/>
            <w:vAlign w:val="center"/>
          </w:tcPr>
          <w:p w14:paraId="3198EAB6">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6743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290" w:type="dxa"/>
            <w:tcBorders>
              <w:top w:val="single" w:color="auto" w:sz="4" w:space="0"/>
              <w:left w:val="single" w:color="auto" w:sz="4" w:space="0"/>
              <w:bottom w:val="single" w:color="auto" w:sz="4" w:space="0"/>
              <w:right w:val="single" w:color="auto" w:sz="4" w:space="0"/>
            </w:tcBorders>
            <w:shd w:val="clear" w:color="auto" w:fill="auto"/>
            <w:vAlign w:val="center"/>
          </w:tcPr>
          <w:p w14:paraId="12D9AD90">
            <w:pPr>
              <w:spacing w:line="240" w:lineRule="auto"/>
              <w:ind w:firstLine="0" w:firstLineChars="0"/>
              <w:jc w:val="center"/>
              <w:rPr>
                <w:sz w:val="21"/>
              </w:rPr>
            </w:pPr>
            <w:r>
              <w:rPr>
                <w:rFonts w:hint="eastAsia" w:eastAsia="宋体" w:cs="宋体"/>
                <w:kern w:val="0"/>
                <w:sz w:val="21"/>
                <w:lang w:bidi="ar"/>
              </w:rPr>
              <w:t>水生态文明建设重视度</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1C64EBC4">
            <w:pPr>
              <w:widowControl/>
              <w:spacing w:line="240" w:lineRule="auto"/>
              <w:ind w:firstLine="0" w:firstLineChars="0"/>
              <w:jc w:val="center"/>
              <w:rPr>
                <w:kern w:val="0"/>
                <w:sz w:val="21"/>
              </w:rPr>
            </w:pP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sz w:val="21"/>
                <w:lang w:bidi="ar"/>
              </w:rPr>
              <w:t>III</w:t>
            </w:r>
            <w:r>
              <w:rPr>
                <w:rFonts w:hint="eastAsia" w:eastAsia="宋体" w:cs="宋体"/>
                <w:kern w:val="0"/>
                <w:sz w:val="21"/>
                <w:lang w:bidi="ar"/>
              </w:rPr>
              <w:t>级</w:t>
            </w:r>
          </w:p>
        </w:tc>
        <w:tc>
          <w:tcPr>
            <w:tcW w:w="1826" w:type="dxa"/>
            <w:tcBorders>
              <w:top w:val="single" w:color="auto" w:sz="4" w:space="0"/>
              <w:left w:val="single" w:color="auto" w:sz="4" w:space="0"/>
              <w:bottom w:val="single" w:color="auto" w:sz="4" w:space="0"/>
              <w:right w:val="single" w:color="auto" w:sz="4" w:space="0"/>
            </w:tcBorders>
            <w:shd w:val="clear" w:color="auto" w:fill="auto"/>
            <w:vAlign w:val="center"/>
          </w:tcPr>
          <w:p w14:paraId="280215B1">
            <w:pPr>
              <w:widowControl/>
              <w:spacing w:line="240" w:lineRule="auto"/>
              <w:ind w:firstLine="0" w:firstLineChars="0"/>
              <w:jc w:val="center"/>
              <w:rPr>
                <w:kern w:val="0"/>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37AAF9B6">
            <w:pPr>
              <w:widowControl/>
              <w:spacing w:line="240" w:lineRule="auto"/>
              <w:ind w:firstLine="0" w:firstLineChars="0"/>
              <w:jc w:val="center"/>
              <w:rPr>
                <w:kern w:val="0"/>
                <w:sz w:val="21"/>
              </w:rPr>
            </w:pPr>
            <w:r>
              <w:rPr>
                <w:rFonts w:eastAsia="宋体" w:cs="Times New Roman"/>
                <w:kern w:val="0"/>
                <w:sz w:val="21"/>
                <w:lang w:bidi="ar"/>
              </w:rPr>
              <w:t>12%</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669" w:type="dxa"/>
            <w:tcBorders>
              <w:top w:val="single" w:color="auto" w:sz="4" w:space="0"/>
              <w:left w:val="single" w:color="auto" w:sz="4" w:space="0"/>
              <w:bottom w:val="single" w:color="auto" w:sz="4" w:space="0"/>
              <w:right w:val="single" w:color="auto" w:sz="4" w:space="0"/>
            </w:tcBorders>
            <w:shd w:val="clear" w:color="auto" w:fill="auto"/>
            <w:vAlign w:val="center"/>
          </w:tcPr>
          <w:p w14:paraId="67A36CAC">
            <w:pPr>
              <w:widowControl/>
              <w:spacing w:line="240" w:lineRule="auto"/>
              <w:ind w:firstLine="0" w:firstLineChars="0"/>
              <w:jc w:val="center"/>
              <w:rPr>
                <w:kern w:val="0"/>
                <w:sz w:val="21"/>
              </w:rPr>
            </w:pPr>
            <w:r>
              <w:rPr>
                <w:rFonts w:eastAsia="宋体" w:cs="Times New Roman"/>
                <w:kern w:val="0"/>
                <w:sz w:val="21"/>
                <w:lang w:bidi="ar"/>
              </w:rPr>
              <w:t>15%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171537FB">
      <w:pPr>
        <w:spacing w:line="240" w:lineRule="auto"/>
        <w:ind w:firstLine="480"/>
        <w:rPr>
          <w:rFonts w:cs="Times New Roman"/>
        </w:rPr>
      </w:pPr>
    </w:p>
    <w:p w14:paraId="570A0176">
      <w:pPr>
        <w:ind w:firstLine="480"/>
        <w:rPr>
          <w:rFonts w:eastAsia="宋体" w:cs="Times New Roman"/>
          <w:lang w:bidi="ar"/>
        </w:rPr>
      </w:pPr>
      <w:r>
        <w:rPr>
          <w:rFonts w:hint="eastAsia" w:eastAsia="宋体" w:cs="Times New Roman"/>
          <w:lang w:bidi="ar"/>
        </w:rPr>
        <w:t>综上述，西区水监管规划目标结果见表</w:t>
      </w:r>
      <w:r>
        <w:rPr>
          <w:rFonts w:eastAsia="宋体" w:cs="Times New Roman"/>
          <w:lang w:bidi="ar"/>
        </w:rPr>
        <w:t>4-</w:t>
      </w:r>
      <w:r>
        <w:rPr>
          <w:rFonts w:hint="eastAsia" w:eastAsia="宋体" w:cs="Times New Roman"/>
          <w:lang w:bidi="ar"/>
        </w:rPr>
        <w:t>18。西区在水资源监控能力指数、水生态文明建设重视度方面需进一步加强力度，结合水功能区限制纳污管理，以水功能区纳污限排监控为主，不断完善水环境监控基础设施建设，建立系统的水环境监测站网，不断扩大在线监测设施比例，实现水环境质量的在线动态监测，其它一般水功能区，建立日常巡测机制的水功能区比例需达全镇水功能区的</w:t>
      </w:r>
      <w:r>
        <w:rPr>
          <w:rFonts w:eastAsia="宋体" w:cs="Times New Roman"/>
          <w:lang w:bidi="ar"/>
        </w:rPr>
        <w:t>90%</w:t>
      </w:r>
      <w:r>
        <w:rPr>
          <w:rFonts w:hint="eastAsia" w:eastAsia="宋体" w:cs="Times New Roman"/>
          <w:lang w:bidi="ar"/>
        </w:rPr>
        <w:t>以上。远期应实现全镇水功能区的水质巡测，并定期发布水功能区评价测评成果。全面掌握入河排污口的数量及其地理位置、规模、规划及批复情况，并逐步将入河排污口普查登记和</w:t>
      </w:r>
      <w:r>
        <w:rPr>
          <w:rFonts w:hint="eastAsia" w:eastAsia="宋体" w:cs="Times New Roman"/>
          <w:lang w:eastAsia="zh-CN" w:bidi="ar"/>
        </w:rPr>
        <w:t>台账</w:t>
      </w:r>
      <w:r>
        <w:rPr>
          <w:rFonts w:hint="eastAsia" w:eastAsia="宋体" w:cs="Times New Roman"/>
          <w:lang w:bidi="ar"/>
        </w:rPr>
        <w:t>工作日常化、规范化；进一步规范各入河排污口设置。对各入河排污口实施定期监测，对重点污染源排污口及污水处理厂排放口实施在线实时监测，并定期公布各排污口的排污量、污染物质浓度等信息；对区域入河排污口的设置进行统一的审批，完善入河排放的监控管理。到期不达到排污控制目标的不予发排污许可证。不断完善水资源监控能力指数中的指标入河排污口监测率和水生态文明建设相关工作考核建设等工作。</w:t>
      </w:r>
    </w:p>
    <w:p w14:paraId="79A3C716">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18</w:t>
      </w:r>
      <w:r>
        <w:rPr>
          <w:rFonts w:eastAsia="宋体" w:cs="Times New Roman"/>
          <w:sz w:val="21"/>
          <w:lang w:bidi="ar"/>
        </w:rPr>
        <w:t xml:space="preserve">  </w:t>
      </w:r>
      <w:r>
        <w:rPr>
          <w:rFonts w:hint="eastAsia" w:eastAsia="宋体" w:cs="Times New Roman"/>
          <w:sz w:val="21"/>
          <w:lang w:bidi="ar"/>
        </w:rPr>
        <w:t>西区水监管规划目标结果</w:t>
      </w:r>
    </w:p>
    <w:tbl>
      <w:tblPr>
        <w:tblStyle w:val="25"/>
        <w:tblW w:w="88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2106"/>
        <w:gridCol w:w="1816"/>
        <w:gridCol w:w="1848"/>
        <w:gridCol w:w="1673"/>
      </w:tblGrid>
      <w:tr w14:paraId="6E131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57043C30">
            <w:pPr>
              <w:spacing w:line="240" w:lineRule="auto"/>
              <w:ind w:firstLine="0" w:firstLineChars="0"/>
              <w:jc w:val="center"/>
              <w:rPr>
                <w:sz w:val="21"/>
              </w:rPr>
            </w:pPr>
            <w:r>
              <w:rPr>
                <w:rFonts w:hint="eastAsia" w:eastAsia="宋体" w:cs="宋体"/>
                <w:sz w:val="21"/>
                <w:lang w:bidi="ar"/>
              </w:rPr>
              <w:t>指标</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1BCC46FF">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年现状值与指标分值</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7BDE4D82">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w:t>
            </w:r>
          </w:p>
          <w:p w14:paraId="2C28D172">
            <w:pPr>
              <w:spacing w:line="240" w:lineRule="auto"/>
              <w:ind w:firstLine="0" w:firstLineChars="0"/>
              <w:jc w:val="center"/>
              <w:rPr>
                <w:sz w:val="21"/>
              </w:rPr>
            </w:pPr>
            <w:r>
              <w:rPr>
                <w:rFonts w:hint="eastAsia" w:eastAsia="宋体" w:cs="宋体"/>
                <w:sz w:val="21"/>
                <w:lang w:bidi="ar"/>
              </w:rPr>
              <w:t>与指标分值</w:t>
            </w:r>
          </w:p>
        </w:tc>
        <w:tc>
          <w:tcPr>
            <w:tcW w:w="1848" w:type="dxa"/>
            <w:tcBorders>
              <w:top w:val="single" w:color="auto" w:sz="4" w:space="0"/>
              <w:left w:val="single" w:color="auto" w:sz="4" w:space="0"/>
              <w:bottom w:val="single" w:color="auto" w:sz="4" w:space="0"/>
              <w:right w:val="single" w:color="auto" w:sz="4" w:space="0"/>
            </w:tcBorders>
            <w:shd w:val="clear" w:color="auto" w:fill="auto"/>
          </w:tcPr>
          <w:p w14:paraId="06323BFF">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w:t>
            </w:r>
          </w:p>
          <w:p w14:paraId="6CB79631">
            <w:pPr>
              <w:spacing w:line="240" w:lineRule="auto"/>
              <w:ind w:firstLine="0" w:firstLineChars="0"/>
              <w:jc w:val="center"/>
              <w:rPr>
                <w:sz w:val="21"/>
              </w:rPr>
            </w:pPr>
            <w:r>
              <w:rPr>
                <w:rFonts w:hint="eastAsia" w:eastAsia="宋体" w:cs="宋体"/>
                <w:sz w:val="21"/>
                <w:lang w:bidi="ar"/>
              </w:rPr>
              <w:t>与指标分值</w:t>
            </w:r>
          </w:p>
        </w:tc>
        <w:tc>
          <w:tcPr>
            <w:tcW w:w="1673" w:type="dxa"/>
            <w:tcBorders>
              <w:top w:val="single" w:color="auto" w:sz="4" w:space="0"/>
              <w:left w:val="single" w:color="auto" w:sz="4" w:space="0"/>
              <w:bottom w:val="single" w:color="auto" w:sz="4" w:space="0"/>
              <w:right w:val="single" w:color="auto" w:sz="4" w:space="0"/>
            </w:tcBorders>
            <w:shd w:val="clear" w:color="auto" w:fill="auto"/>
          </w:tcPr>
          <w:p w14:paraId="181CA02B">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w:t>
            </w:r>
          </w:p>
          <w:p w14:paraId="3D3DD056">
            <w:pPr>
              <w:spacing w:line="240" w:lineRule="auto"/>
              <w:ind w:firstLine="0" w:firstLineChars="0"/>
              <w:jc w:val="center"/>
              <w:rPr>
                <w:sz w:val="21"/>
              </w:rPr>
            </w:pPr>
            <w:r>
              <w:rPr>
                <w:rFonts w:hint="eastAsia" w:eastAsia="宋体" w:cs="宋体"/>
                <w:sz w:val="21"/>
                <w:lang w:bidi="ar"/>
              </w:rPr>
              <w:t>与指标分值</w:t>
            </w:r>
          </w:p>
        </w:tc>
      </w:tr>
      <w:tr w14:paraId="5A002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41F41F9B">
            <w:pPr>
              <w:spacing w:line="240" w:lineRule="auto"/>
              <w:ind w:firstLine="0" w:firstLineChars="0"/>
              <w:jc w:val="center"/>
              <w:rPr>
                <w:sz w:val="21"/>
              </w:rPr>
            </w:pPr>
            <w:r>
              <w:rPr>
                <w:rFonts w:hint="eastAsia" w:eastAsia="宋体" w:cs="宋体"/>
                <w:kern w:val="0"/>
                <w:sz w:val="21"/>
                <w:lang w:bidi="ar"/>
              </w:rPr>
              <w:t>用水总量控制达标情况</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1A1508E5">
            <w:pPr>
              <w:widowControl/>
              <w:spacing w:line="240" w:lineRule="auto"/>
              <w:ind w:firstLine="0" w:firstLineChars="0"/>
              <w:jc w:val="center"/>
              <w:rPr>
                <w:kern w:val="0"/>
                <w:sz w:val="21"/>
              </w:rPr>
            </w:pPr>
            <w:r>
              <w:rPr>
                <w:rFonts w:hint="eastAsia" w:eastAsia="宋体" w:cs="宋体"/>
                <w:kern w:val="0"/>
                <w:sz w:val="21"/>
                <w:lang w:bidi="ar"/>
              </w:rPr>
              <w:t>达标、</w:t>
            </w:r>
            <w:r>
              <w:rPr>
                <w:rFonts w:eastAsia="宋体" w:cs="Times New Roman"/>
                <w:kern w:val="0"/>
                <w:sz w:val="21"/>
                <w:lang w:bidi="ar"/>
              </w:rPr>
              <w:t>4</w:t>
            </w:r>
            <w:r>
              <w:rPr>
                <w:rFonts w:hint="eastAsia" w:eastAsia="宋体" w:cs="宋体"/>
                <w:kern w:val="0"/>
                <w:sz w:val="21"/>
                <w:lang w:bidi="ar"/>
              </w:rPr>
              <w:t>、</w:t>
            </w:r>
            <w:r>
              <w:rPr>
                <w:rFonts w:eastAsia="宋体" w:cs="Times New Roman"/>
                <w:kern w:val="0"/>
                <w:sz w:val="21"/>
                <w:lang w:bidi="ar"/>
              </w:rPr>
              <w:t>I</w:t>
            </w:r>
            <w:r>
              <w:rPr>
                <w:rFonts w:hint="eastAsia" w:eastAsia="宋体" w:cs="宋体"/>
                <w:kern w:val="0"/>
                <w:sz w:val="21"/>
                <w:lang w:bidi="ar"/>
              </w:rPr>
              <w:t>级</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3E6EBD6F">
            <w:pPr>
              <w:spacing w:line="240" w:lineRule="auto"/>
              <w:ind w:firstLine="0" w:firstLineChars="0"/>
              <w:jc w:val="center"/>
              <w:rPr>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1848" w:type="dxa"/>
            <w:tcBorders>
              <w:top w:val="single" w:color="auto" w:sz="4" w:space="0"/>
              <w:left w:val="single" w:color="auto" w:sz="4" w:space="0"/>
              <w:bottom w:val="single" w:color="auto" w:sz="4" w:space="0"/>
              <w:right w:val="single" w:color="auto" w:sz="4" w:space="0"/>
            </w:tcBorders>
            <w:shd w:val="clear" w:color="auto" w:fill="auto"/>
          </w:tcPr>
          <w:p w14:paraId="2D494FA5">
            <w:pPr>
              <w:spacing w:line="480" w:lineRule="auto"/>
              <w:ind w:firstLine="0" w:firstLineChars="0"/>
              <w:jc w:val="center"/>
              <w:rPr>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1673" w:type="dxa"/>
            <w:tcBorders>
              <w:top w:val="single" w:color="auto" w:sz="4" w:space="0"/>
              <w:left w:val="single" w:color="auto" w:sz="4" w:space="0"/>
              <w:bottom w:val="single" w:color="auto" w:sz="4" w:space="0"/>
              <w:right w:val="single" w:color="auto" w:sz="4" w:space="0"/>
            </w:tcBorders>
            <w:shd w:val="clear" w:color="auto" w:fill="auto"/>
          </w:tcPr>
          <w:p w14:paraId="1F49A147">
            <w:pPr>
              <w:spacing w:line="480" w:lineRule="auto"/>
              <w:ind w:firstLine="0" w:firstLineChars="0"/>
              <w:jc w:val="center"/>
              <w:rPr>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r>
      <w:tr w14:paraId="03C7E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76485371">
            <w:pPr>
              <w:spacing w:line="240" w:lineRule="auto"/>
              <w:ind w:firstLine="0" w:firstLineChars="0"/>
              <w:jc w:val="center"/>
              <w:rPr>
                <w:sz w:val="21"/>
              </w:rPr>
            </w:pPr>
            <w:r>
              <w:rPr>
                <w:rFonts w:hint="eastAsia" w:eastAsia="宋体" w:cs="宋体"/>
                <w:kern w:val="0"/>
                <w:sz w:val="21"/>
                <w:lang w:bidi="ar"/>
              </w:rPr>
              <w:t>水资源监控能力指数</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09D60C0C">
            <w:pPr>
              <w:widowControl/>
              <w:spacing w:line="240" w:lineRule="auto"/>
              <w:ind w:firstLine="0" w:firstLineChars="0"/>
              <w:jc w:val="center"/>
              <w:rPr>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58429656">
            <w:pPr>
              <w:widowControl/>
              <w:spacing w:line="240" w:lineRule="auto"/>
              <w:ind w:firstLine="0" w:firstLineChars="0"/>
              <w:jc w:val="center"/>
              <w:rPr>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48" w:type="dxa"/>
            <w:tcBorders>
              <w:top w:val="single" w:color="auto" w:sz="4" w:space="0"/>
              <w:left w:val="single" w:color="auto" w:sz="4" w:space="0"/>
              <w:bottom w:val="single" w:color="auto" w:sz="4" w:space="0"/>
              <w:right w:val="single" w:color="auto" w:sz="4" w:space="0"/>
            </w:tcBorders>
            <w:shd w:val="clear" w:color="auto" w:fill="auto"/>
            <w:vAlign w:val="center"/>
          </w:tcPr>
          <w:p w14:paraId="729DB85A">
            <w:pPr>
              <w:widowControl/>
              <w:spacing w:line="240" w:lineRule="auto"/>
              <w:ind w:firstLine="0" w:firstLineChars="0"/>
              <w:jc w:val="center"/>
              <w:rPr>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673" w:type="dxa"/>
            <w:tcBorders>
              <w:top w:val="single" w:color="auto" w:sz="4" w:space="0"/>
              <w:left w:val="single" w:color="auto" w:sz="4" w:space="0"/>
              <w:bottom w:val="single" w:color="auto" w:sz="4" w:space="0"/>
              <w:right w:val="single" w:color="auto" w:sz="4" w:space="0"/>
            </w:tcBorders>
            <w:shd w:val="clear" w:color="auto" w:fill="auto"/>
            <w:vAlign w:val="center"/>
          </w:tcPr>
          <w:p w14:paraId="4E288813">
            <w:pPr>
              <w:widowControl/>
              <w:spacing w:line="240" w:lineRule="auto"/>
              <w:ind w:firstLine="0" w:firstLineChars="0"/>
              <w:jc w:val="center"/>
              <w:rPr>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7F26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32FD8C73">
            <w:pPr>
              <w:spacing w:line="240" w:lineRule="auto"/>
              <w:ind w:firstLine="0" w:firstLineChars="0"/>
              <w:jc w:val="center"/>
              <w:rPr>
                <w:sz w:val="21"/>
              </w:rPr>
            </w:pPr>
            <w:r>
              <w:rPr>
                <w:rFonts w:hint="eastAsia" w:eastAsia="宋体" w:cs="宋体"/>
                <w:kern w:val="0"/>
                <w:sz w:val="21"/>
                <w:lang w:bidi="ar"/>
              </w:rPr>
              <w:t>水生态文明建设重视度</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1114A818">
            <w:pPr>
              <w:widowControl/>
              <w:spacing w:line="240" w:lineRule="auto"/>
              <w:ind w:firstLine="0" w:firstLineChars="0"/>
              <w:jc w:val="center"/>
              <w:rPr>
                <w:kern w:val="0"/>
                <w:sz w:val="21"/>
              </w:rPr>
            </w:pP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sz w:val="21"/>
                <w:lang w:bidi="ar"/>
              </w:rPr>
              <w:t>III</w:t>
            </w:r>
            <w:r>
              <w:rPr>
                <w:rFonts w:hint="eastAsia" w:eastAsia="宋体" w:cs="宋体"/>
                <w:kern w:val="0"/>
                <w:sz w:val="21"/>
                <w:lang w:bidi="ar"/>
              </w:rPr>
              <w:t>级</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11640F5A">
            <w:pPr>
              <w:widowControl/>
              <w:spacing w:line="240" w:lineRule="auto"/>
              <w:ind w:firstLine="0" w:firstLineChars="0"/>
              <w:jc w:val="center"/>
              <w:rPr>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848" w:type="dxa"/>
            <w:tcBorders>
              <w:top w:val="single" w:color="auto" w:sz="4" w:space="0"/>
              <w:left w:val="single" w:color="auto" w:sz="4" w:space="0"/>
              <w:bottom w:val="single" w:color="auto" w:sz="4" w:space="0"/>
              <w:right w:val="single" w:color="auto" w:sz="4" w:space="0"/>
            </w:tcBorders>
            <w:shd w:val="clear" w:color="auto" w:fill="auto"/>
            <w:vAlign w:val="center"/>
          </w:tcPr>
          <w:p w14:paraId="458375EE">
            <w:pPr>
              <w:widowControl/>
              <w:spacing w:line="240" w:lineRule="auto"/>
              <w:ind w:firstLine="0" w:firstLineChars="0"/>
              <w:jc w:val="center"/>
              <w:rPr>
                <w:sz w:val="21"/>
              </w:rPr>
            </w:pPr>
            <w:r>
              <w:rPr>
                <w:rFonts w:eastAsia="宋体" w:cs="Times New Roman"/>
                <w:kern w:val="0"/>
                <w:sz w:val="21"/>
                <w:lang w:bidi="ar"/>
              </w:rPr>
              <w:t>12%</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673" w:type="dxa"/>
            <w:tcBorders>
              <w:top w:val="single" w:color="auto" w:sz="4" w:space="0"/>
              <w:left w:val="single" w:color="auto" w:sz="4" w:space="0"/>
              <w:bottom w:val="single" w:color="auto" w:sz="4" w:space="0"/>
              <w:right w:val="single" w:color="auto" w:sz="4" w:space="0"/>
            </w:tcBorders>
            <w:shd w:val="clear" w:color="auto" w:fill="auto"/>
            <w:vAlign w:val="center"/>
          </w:tcPr>
          <w:p w14:paraId="7CBF603A">
            <w:pPr>
              <w:widowControl/>
              <w:spacing w:line="240" w:lineRule="auto"/>
              <w:ind w:firstLine="0" w:firstLineChars="0"/>
              <w:jc w:val="center"/>
              <w:rPr>
                <w:sz w:val="21"/>
              </w:rPr>
            </w:pPr>
            <w:r>
              <w:rPr>
                <w:rFonts w:eastAsia="宋体" w:cs="Times New Roman"/>
                <w:kern w:val="0"/>
                <w:sz w:val="21"/>
                <w:lang w:bidi="ar"/>
              </w:rPr>
              <w:t>15%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3CD5104C">
      <w:pPr>
        <w:spacing w:line="240" w:lineRule="auto"/>
        <w:ind w:firstLine="480"/>
      </w:pPr>
      <w:bookmarkStart w:id="632" w:name="_Toc528607293"/>
    </w:p>
    <w:p w14:paraId="447151FE">
      <w:pPr>
        <w:pStyle w:val="4"/>
        <w:widowControl/>
        <w:spacing w:before="0" w:after="0" w:line="360" w:lineRule="auto"/>
        <w:rPr>
          <w:rFonts w:cs="Times New Roman"/>
        </w:rPr>
      </w:pPr>
      <w:bookmarkStart w:id="633" w:name="_Toc16675069"/>
      <w:r>
        <w:rPr>
          <w:rFonts w:cs="Times New Roman"/>
        </w:rPr>
        <w:t>4.5</w:t>
      </w:r>
      <w:r>
        <w:rPr>
          <w:rFonts w:hint="eastAsia" w:cs="Times New Roman"/>
        </w:rPr>
        <w:t>水节约指标体系建设</w:t>
      </w:r>
      <w:bookmarkEnd w:id="632"/>
      <w:bookmarkEnd w:id="633"/>
    </w:p>
    <w:p w14:paraId="5D955376">
      <w:pPr>
        <w:ind w:firstLine="480"/>
        <w:rPr>
          <w:rFonts w:cs="Times New Roman"/>
          <w:szCs w:val="28"/>
        </w:rPr>
      </w:pPr>
      <w:r>
        <w:rPr>
          <w:rFonts w:hint="eastAsia" w:eastAsia="宋体" w:cs="Times New Roman"/>
          <w:lang w:bidi="ar"/>
        </w:rPr>
        <w:t>水节约评价主要评估工业、农业、生活用水和公共供水的水资源节约程度及效率水平，包括万元工业增加值用水量相对值、农田灌溉水有效利用系数、生活节水器具普及率、公共供水管网漏损率、工业用水重复利用率、非常规水资源利用率6项通用指标。</w:t>
      </w:r>
    </w:p>
    <w:p w14:paraId="78AC95DB">
      <w:pPr>
        <w:pStyle w:val="3"/>
        <w:widowControl/>
        <w:spacing w:before="0" w:after="0" w:line="360" w:lineRule="auto"/>
        <w:rPr>
          <w:rFonts w:cs="Times New Roman"/>
        </w:rPr>
      </w:pPr>
      <w:bookmarkStart w:id="634" w:name="_Toc28433"/>
      <w:bookmarkStart w:id="635" w:name="_Toc528880326"/>
      <w:bookmarkStart w:id="636" w:name="_Toc9220"/>
      <w:bookmarkStart w:id="637" w:name="_Toc528607294"/>
      <w:bookmarkStart w:id="638" w:name="_Toc527881120"/>
      <w:bookmarkStart w:id="639" w:name="_Toc1929"/>
      <w:bookmarkStart w:id="640" w:name="_Toc4178"/>
      <w:bookmarkStart w:id="641" w:name="_Toc24888"/>
      <w:bookmarkStart w:id="642" w:name="_Toc526004965"/>
      <w:bookmarkStart w:id="643" w:name="_Toc16675070"/>
      <w:bookmarkStart w:id="644" w:name="_Toc7087"/>
      <w:bookmarkStart w:id="645" w:name="_Toc523306803"/>
      <w:r>
        <w:rPr>
          <w:rFonts w:cs="Times New Roman"/>
        </w:rPr>
        <w:t>4.5.1</w:t>
      </w:r>
      <w:r>
        <w:rPr>
          <w:rFonts w:hint="eastAsia" w:cs="Times New Roman"/>
        </w:rPr>
        <w:t>万元工业增加值用水量相对值</w:t>
      </w:r>
      <w:bookmarkEnd w:id="634"/>
      <w:bookmarkEnd w:id="635"/>
      <w:bookmarkEnd w:id="636"/>
      <w:bookmarkEnd w:id="637"/>
      <w:bookmarkEnd w:id="638"/>
      <w:bookmarkEnd w:id="639"/>
      <w:bookmarkEnd w:id="640"/>
      <w:bookmarkEnd w:id="641"/>
      <w:bookmarkEnd w:id="642"/>
      <w:bookmarkEnd w:id="643"/>
      <w:bookmarkEnd w:id="644"/>
      <w:bookmarkEnd w:id="645"/>
    </w:p>
    <w:p w14:paraId="3D4502B1">
      <w:pPr>
        <w:ind w:firstLine="480"/>
        <w:rPr>
          <w:rFonts w:cs="Times New Roman"/>
        </w:rPr>
      </w:pPr>
      <w:r>
        <w:rPr>
          <w:rFonts w:hint="eastAsia" w:eastAsia="宋体" w:cs="Times New Roman"/>
          <w:lang w:bidi="ar"/>
        </w:rPr>
        <w:t>指区域万元工业增加值用水量（采用当年价计算）与当年全国万元工业增加值用水量的比值</w:t>
      </w:r>
      <w:r>
        <w:rPr>
          <w:rFonts w:hint="eastAsia" w:eastAsia="宋体" w:cs="Times New Roman"/>
          <w:b/>
          <w:bCs/>
          <w:szCs w:val="24"/>
          <w:lang w:bidi="ar"/>
        </w:rPr>
        <w:t>（具体计算公式见附录1）</w:t>
      </w:r>
      <w:r>
        <w:rPr>
          <w:rFonts w:hint="eastAsia" w:eastAsia="宋体" w:cs="Times New Roman"/>
          <w:lang w:bidi="ar"/>
        </w:rPr>
        <w:t>。根据中山市水务局提供的工业用水量和西区经信局提供的经济数据，得到西区</w:t>
      </w:r>
      <w:r>
        <w:rPr>
          <w:rFonts w:eastAsia="宋体" w:cs="Times New Roman"/>
          <w:lang w:bidi="ar"/>
        </w:rPr>
        <w:t>2017</w:t>
      </w:r>
      <w:r>
        <w:rPr>
          <w:rFonts w:hint="eastAsia" w:eastAsia="宋体" w:cs="Times New Roman"/>
          <w:lang w:bidi="ar"/>
        </w:rPr>
        <w:t>年度工业用水量为372.0万</w:t>
      </w:r>
      <w:r>
        <w:rPr>
          <w:rFonts w:eastAsia="宋体" w:cs="Times New Roman"/>
          <w:lang w:bidi="ar"/>
        </w:rPr>
        <w:t>m</w:t>
      </w:r>
      <w:r>
        <w:rPr>
          <w:rFonts w:eastAsia="宋体" w:cs="Times New Roman"/>
          <w:vertAlign w:val="superscript"/>
          <w:lang w:bidi="ar"/>
        </w:rPr>
        <w:t>3</w:t>
      </w:r>
      <w:r>
        <w:rPr>
          <w:rFonts w:hint="eastAsia" w:eastAsia="宋体" w:cs="Times New Roman"/>
          <w:lang w:bidi="ar"/>
        </w:rPr>
        <w:t>，工业增加值443283万元，万元工业增加值用水量为8.39</w:t>
      </w:r>
      <w:r>
        <w:rPr>
          <w:rFonts w:eastAsia="仿宋_GB2312" w:cs="Times New Roman"/>
          <w:szCs w:val="24"/>
          <w:lang w:bidi="ar"/>
        </w:rPr>
        <w:t xml:space="preserve"> 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万元，达到中山市</w:t>
      </w:r>
      <w:r>
        <w:rPr>
          <w:rFonts w:eastAsia="宋体" w:cs="Times New Roman"/>
          <w:szCs w:val="24"/>
          <w:lang w:bidi="ar"/>
        </w:rPr>
        <w:t>2017</w:t>
      </w:r>
      <w:r>
        <w:rPr>
          <w:rFonts w:hint="eastAsia" w:eastAsia="宋体" w:cs="Times New Roman"/>
          <w:szCs w:val="24"/>
          <w:lang w:bidi="ar"/>
        </w:rPr>
        <w:t>年西区用水指标10</w:t>
      </w:r>
      <w:r>
        <w:rPr>
          <w:rFonts w:eastAsia="仿宋_GB2312" w:cs="Times New Roman"/>
          <w:szCs w:val="24"/>
          <w:lang w:bidi="ar"/>
        </w:rPr>
        <w:t xml:space="preserve"> 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万元。西区在保持</w:t>
      </w:r>
      <w:r>
        <w:rPr>
          <w:rFonts w:hint="eastAsia" w:eastAsia="宋体" w:cs="Times New Roman"/>
          <w:lang w:bidi="ar"/>
        </w:rPr>
        <w:t>工业增加值上升的同时，</w:t>
      </w:r>
      <w:r>
        <w:rPr>
          <w:rFonts w:hint="eastAsia" w:eastAsia="宋体" w:cs="Times New Roman"/>
          <w:szCs w:val="24"/>
          <w:lang w:bidi="ar"/>
        </w:rPr>
        <w:t>应加大力度</w:t>
      </w:r>
      <w:r>
        <w:rPr>
          <w:rFonts w:hint="eastAsia" w:eastAsia="宋体" w:cs="Times New Roman"/>
          <w:lang w:bidi="ar"/>
        </w:rPr>
        <w:t>循环利用工业用水，增加工业用水的利用率，以降低万元工业增加值用水量</w:t>
      </w:r>
      <w:r>
        <w:rPr>
          <w:rFonts w:hint="eastAsia" w:eastAsia="宋体" w:cs="Times New Roman"/>
          <w:szCs w:val="24"/>
          <w:lang w:bidi="ar"/>
        </w:rPr>
        <w:t>。根据《</w:t>
      </w:r>
      <w:r>
        <w:rPr>
          <w:rFonts w:eastAsia="宋体" w:cs="Times New Roman"/>
          <w:szCs w:val="24"/>
          <w:lang w:bidi="ar"/>
        </w:rPr>
        <w:t>2017</w:t>
      </w:r>
      <w:r>
        <w:rPr>
          <w:rFonts w:hint="eastAsia" w:eastAsia="宋体" w:cs="Times New Roman"/>
          <w:szCs w:val="24"/>
          <w:lang w:bidi="ar"/>
        </w:rPr>
        <w:t>年全国统计公报》数据显示，得到</w:t>
      </w:r>
      <w:r>
        <w:rPr>
          <w:rFonts w:eastAsia="宋体" w:cs="Times New Roman"/>
          <w:szCs w:val="24"/>
          <w:lang w:bidi="ar"/>
        </w:rPr>
        <w:t>2017</w:t>
      </w:r>
      <w:r>
        <w:rPr>
          <w:rFonts w:hint="eastAsia" w:eastAsia="宋体" w:cs="Times New Roman"/>
          <w:szCs w:val="24"/>
          <w:lang w:bidi="ar"/>
        </w:rPr>
        <w:t>年全国万元工业增加值用水量为</w:t>
      </w:r>
      <w:r>
        <w:rPr>
          <w:rFonts w:eastAsia="宋体" w:cs="Times New Roman"/>
          <w:szCs w:val="24"/>
          <w:lang w:bidi="ar"/>
        </w:rPr>
        <w:t>49</w:t>
      </w:r>
      <w:r>
        <w:rPr>
          <w:rFonts w:eastAsia="仿宋_GB2312" w:cs="Times New Roman"/>
          <w:szCs w:val="24"/>
          <w:lang w:bidi="ar"/>
        </w:rPr>
        <w:t>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万元，因此西区</w:t>
      </w:r>
      <w:r>
        <w:rPr>
          <w:rFonts w:eastAsia="宋体" w:cs="Times New Roman"/>
          <w:szCs w:val="24"/>
          <w:lang w:bidi="ar"/>
        </w:rPr>
        <w:t>2017</w:t>
      </w:r>
      <w:r>
        <w:rPr>
          <w:rFonts w:hint="eastAsia" w:eastAsia="宋体" w:cs="Times New Roman"/>
          <w:szCs w:val="24"/>
          <w:lang w:bidi="ar"/>
        </w:rPr>
        <w:t>年</w:t>
      </w:r>
      <w:r>
        <w:rPr>
          <w:rFonts w:hint="eastAsia" w:eastAsia="宋体" w:cs="Times New Roman"/>
          <w:lang w:bidi="ar"/>
        </w:rPr>
        <w:t>万元工业增加值用水量相对值为17.12</w:t>
      </w:r>
      <w:r>
        <w:rPr>
          <w:rFonts w:eastAsia="宋体" w:cs="Times New Roman"/>
          <w:lang w:bidi="ar"/>
        </w:rPr>
        <w:t>%</w:t>
      </w:r>
      <w:r>
        <w:rPr>
          <w:rFonts w:hint="eastAsia" w:eastAsia="宋体" w:cs="Times New Roman"/>
          <w:lang w:bidi="ar"/>
        </w:rPr>
        <w:t>。</w:t>
      </w:r>
    </w:p>
    <w:p w14:paraId="31E5574B">
      <w:pPr>
        <w:ind w:firstLine="480"/>
        <w:rPr>
          <w:rFonts w:eastAsia="宋体" w:cs="Times New Roman"/>
          <w:szCs w:val="24"/>
          <w:lang w:bidi="ar"/>
        </w:rPr>
      </w:pPr>
      <w:r>
        <w:rPr>
          <w:rFonts w:hint="eastAsia" w:eastAsia="宋体" w:cs="Times New Roman"/>
          <w:lang w:bidi="ar"/>
        </w:rPr>
        <w:t>根据《中山市</w:t>
      </w:r>
      <w:r>
        <w:rPr>
          <w:rFonts w:eastAsia="宋体" w:cs="Times New Roman"/>
          <w:lang w:bidi="ar"/>
        </w:rPr>
        <w:t>2016-2020</w:t>
      </w:r>
      <w:r>
        <w:rPr>
          <w:rFonts w:hint="eastAsia" w:eastAsia="宋体" w:cs="Times New Roman"/>
          <w:lang w:bidi="ar"/>
        </w:rPr>
        <w:t>年度最严格水资源管理制度考核实施细则》中山市</w:t>
      </w:r>
      <w:r>
        <w:rPr>
          <w:rFonts w:eastAsia="宋体" w:cs="Times New Roman"/>
          <w:lang w:bidi="ar"/>
        </w:rPr>
        <w:t>2016~2020</w:t>
      </w:r>
      <w:r>
        <w:rPr>
          <w:rFonts w:hint="eastAsia" w:eastAsia="宋体" w:cs="Times New Roman"/>
          <w:lang w:bidi="ar"/>
        </w:rPr>
        <w:t>年度各镇区用水指标分配方案中，</w:t>
      </w:r>
      <w:r>
        <w:rPr>
          <w:rFonts w:eastAsia="宋体" w:cs="Times New Roman"/>
          <w:lang w:bidi="ar"/>
        </w:rPr>
        <w:t>2020</w:t>
      </w:r>
      <w:r>
        <w:rPr>
          <w:rFonts w:hint="eastAsia" w:eastAsia="宋体" w:cs="Times New Roman"/>
          <w:lang w:bidi="ar"/>
        </w:rPr>
        <w:t>年西区万元工业增加值用水量（不含火电）的指标值为10</w:t>
      </w:r>
      <w:r>
        <w:rPr>
          <w:rFonts w:eastAsia="仿宋_GB2312" w:cs="Times New Roman"/>
          <w:szCs w:val="24"/>
          <w:lang w:bidi="ar"/>
        </w:rPr>
        <w:t>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万元，超过2017年的</w:t>
      </w:r>
      <w:r>
        <w:rPr>
          <w:rFonts w:hint="eastAsia" w:eastAsia="宋体" w:cs="Times New Roman"/>
          <w:lang w:bidi="ar"/>
        </w:rPr>
        <w:t>万元工业增加值用水量，因此2020年西区万元工业增加值用水量的指标值为8.39</w:t>
      </w:r>
      <w:r>
        <w:rPr>
          <w:rFonts w:eastAsia="仿宋_GB2312" w:cs="Times New Roman"/>
          <w:szCs w:val="24"/>
          <w:lang w:bidi="ar"/>
        </w:rPr>
        <w:t>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w:t>
      </w:r>
      <w:r>
        <w:rPr>
          <w:rFonts w:hint="eastAsia" w:eastAsia="宋体" w:cs="Times New Roman"/>
          <w:lang w:bidi="ar"/>
        </w:rPr>
        <w:t>根据中国产业信息网的《</w:t>
      </w:r>
      <w:r>
        <w:rPr>
          <w:rFonts w:eastAsia="宋体" w:cs="Times New Roman"/>
          <w:lang w:bidi="ar"/>
        </w:rPr>
        <w:t>2016</w:t>
      </w:r>
      <w:r>
        <w:rPr>
          <w:rFonts w:hint="eastAsia" w:eastAsia="宋体" w:cs="Times New Roman"/>
          <w:lang w:bidi="ar"/>
        </w:rPr>
        <w:t>年中国工业废水排放量及处理率概况》得出</w:t>
      </w:r>
      <w:r>
        <w:rPr>
          <w:rFonts w:eastAsia="宋体" w:cs="Times New Roman"/>
          <w:lang w:bidi="ar"/>
        </w:rPr>
        <w:t>2020</w:t>
      </w:r>
      <w:r>
        <w:rPr>
          <w:rFonts w:hint="eastAsia" w:eastAsia="宋体" w:cs="Times New Roman"/>
          <w:lang w:bidi="ar"/>
        </w:rPr>
        <w:t>年全国</w:t>
      </w:r>
      <w:r>
        <w:rPr>
          <w:rFonts w:hint="eastAsia" w:eastAsia="宋体" w:cs="Times New Roman"/>
          <w:szCs w:val="24"/>
          <w:lang w:bidi="ar"/>
        </w:rPr>
        <w:t>万元工业增加值用水量的预测值是</w:t>
      </w:r>
      <w:r>
        <w:rPr>
          <w:rFonts w:eastAsia="宋体" w:cs="Times New Roman"/>
          <w:szCs w:val="24"/>
          <w:lang w:bidi="ar"/>
        </w:rPr>
        <w:t>48.9</w:t>
      </w:r>
      <w:r>
        <w:rPr>
          <w:rFonts w:eastAsia="仿宋_GB2312" w:cs="Times New Roman"/>
          <w:szCs w:val="24"/>
          <w:lang w:bidi="ar"/>
        </w:rPr>
        <w:t xml:space="preserve"> 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万元，具体见表</w:t>
      </w:r>
      <w:r>
        <w:rPr>
          <w:rFonts w:eastAsia="宋体" w:cs="Times New Roman"/>
          <w:szCs w:val="24"/>
          <w:lang w:bidi="ar"/>
        </w:rPr>
        <w:t>4-</w:t>
      </w:r>
      <w:r>
        <w:rPr>
          <w:rFonts w:hint="eastAsia" w:eastAsia="宋体" w:cs="Times New Roman"/>
          <w:szCs w:val="24"/>
          <w:lang w:bidi="ar"/>
        </w:rPr>
        <w:t>19，从中可知</w:t>
      </w:r>
      <w:r>
        <w:rPr>
          <w:rFonts w:eastAsia="宋体" w:cs="Times New Roman"/>
          <w:szCs w:val="24"/>
          <w:lang w:bidi="ar"/>
        </w:rPr>
        <w:t>2017</w:t>
      </w:r>
      <w:r>
        <w:rPr>
          <w:rFonts w:hint="eastAsia" w:eastAsia="宋体" w:cs="Times New Roman"/>
          <w:szCs w:val="24"/>
          <w:lang w:bidi="ar"/>
        </w:rPr>
        <w:t>年西区万元工业增加值用水量相对值比</w:t>
      </w:r>
      <w:r>
        <w:rPr>
          <w:rFonts w:eastAsia="宋体" w:cs="Times New Roman"/>
          <w:szCs w:val="24"/>
          <w:lang w:bidi="ar"/>
        </w:rPr>
        <w:t>2020</w:t>
      </w:r>
      <w:r>
        <w:rPr>
          <w:rFonts w:hint="eastAsia" w:eastAsia="宋体" w:cs="Times New Roman"/>
          <w:szCs w:val="24"/>
          <w:lang w:bidi="ar"/>
        </w:rPr>
        <w:t>年的规划目标相对值高出0.04</w:t>
      </w:r>
      <w:r>
        <w:rPr>
          <w:rFonts w:eastAsia="宋体" w:cs="Times New Roman"/>
          <w:szCs w:val="24"/>
          <w:lang w:bidi="ar"/>
        </w:rPr>
        <w:t>%</w:t>
      </w:r>
      <w:r>
        <w:rPr>
          <w:rFonts w:hint="eastAsia" w:eastAsia="宋体" w:cs="Times New Roman"/>
          <w:szCs w:val="24"/>
          <w:lang w:bidi="ar"/>
        </w:rPr>
        <w:t>，超出0.04个百分点。西区应加强循环利用工业用水，增加工业用水的利用率，以继续降低万元工业增加值用水量，引进耗水量少和用水效率高的企业。西区要保持工业生产总值增长的同时严格控制工业用水量，以达到</w:t>
      </w:r>
      <w:r>
        <w:rPr>
          <w:rFonts w:eastAsia="宋体" w:cs="Times New Roman"/>
          <w:szCs w:val="24"/>
          <w:lang w:bidi="ar"/>
        </w:rPr>
        <w:t>2020</w:t>
      </w:r>
      <w:r>
        <w:rPr>
          <w:rFonts w:hint="eastAsia" w:eastAsia="宋体" w:cs="Times New Roman"/>
          <w:szCs w:val="24"/>
          <w:lang w:bidi="ar"/>
        </w:rPr>
        <w:t>年的万元工业增加值用水量相对值的规划目标值。根据</w:t>
      </w:r>
      <w:r>
        <w:rPr>
          <w:rFonts w:eastAsia="宋体" w:cs="Times New Roman"/>
          <w:szCs w:val="24"/>
          <w:lang w:bidi="ar"/>
        </w:rPr>
        <w:t>2020</w:t>
      </w:r>
      <w:r>
        <w:rPr>
          <w:rFonts w:hint="eastAsia" w:eastAsia="宋体" w:cs="Times New Roman"/>
          <w:szCs w:val="24"/>
          <w:lang w:bidi="ar"/>
        </w:rPr>
        <w:t>年的万元工业增加值用水量相对值的规划目标值，预测西区</w:t>
      </w:r>
      <w:r>
        <w:rPr>
          <w:rFonts w:eastAsia="宋体" w:cs="Times New Roman"/>
          <w:szCs w:val="24"/>
          <w:lang w:bidi="ar"/>
        </w:rPr>
        <w:t>2025</w:t>
      </w:r>
      <w:r>
        <w:rPr>
          <w:rFonts w:hint="eastAsia" w:eastAsia="宋体" w:cs="Times New Roman"/>
          <w:szCs w:val="24"/>
          <w:lang w:bidi="ar"/>
        </w:rPr>
        <w:t>年的万元工业增加值用水量相对值的规划目标值为17</w:t>
      </w:r>
      <w:r>
        <w:rPr>
          <w:rFonts w:eastAsia="宋体" w:cs="Times New Roman"/>
          <w:szCs w:val="24"/>
          <w:lang w:bidi="ar"/>
        </w:rPr>
        <w:t>%</w:t>
      </w:r>
      <w:r>
        <w:rPr>
          <w:rFonts w:hint="eastAsia" w:eastAsia="宋体" w:cs="Times New Roman"/>
          <w:szCs w:val="24"/>
          <w:lang w:bidi="ar"/>
        </w:rPr>
        <w:t>，预测西区</w:t>
      </w:r>
      <w:r>
        <w:rPr>
          <w:rFonts w:eastAsia="宋体" w:cs="Times New Roman"/>
          <w:szCs w:val="24"/>
          <w:lang w:bidi="ar"/>
        </w:rPr>
        <w:t>2030</w:t>
      </w:r>
      <w:r>
        <w:rPr>
          <w:rFonts w:hint="eastAsia" w:eastAsia="宋体" w:cs="Times New Roman"/>
          <w:szCs w:val="24"/>
          <w:lang w:bidi="ar"/>
        </w:rPr>
        <w:t>年的万元工业增加值用水量相对值的规划目标值为16</w:t>
      </w:r>
      <w:r>
        <w:rPr>
          <w:rFonts w:eastAsia="宋体" w:cs="Times New Roman"/>
          <w:szCs w:val="24"/>
          <w:lang w:bidi="ar"/>
        </w:rPr>
        <w:t>%</w:t>
      </w:r>
      <w:r>
        <w:rPr>
          <w:rFonts w:hint="eastAsia" w:eastAsia="宋体" w:cs="Times New Roman"/>
          <w:szCs w:val="24"/>
          <w:lang w:bidi="ar"/>
        </w:rPr>
        <w:t>。</w:t>
      </w:r>
    </w:p>
    <w:p w14:paraId="29920FBE">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19</w:t>
      </w:r>
      <w:r>
        <w:rPr>
          <w:rFonts w:eastAsia="宋体" w:cs="Times New Roman"/>
          <w:sz w:val="21"/>
          <w:lang w:bidi="ar"/>
        </w:rPr>
        <w:t xml:space="preserve">  </w:t>
      </w:r>
      <w:r>
        <w:rPr>
          <w:rFonts w:hint="eastAsia" w:eastAsia="宋体" w:cs="Times New Roman"/>
          <w:sz w:val="21"/>
          <w:lang w:bidi="ar"/>
        </w:rPr>
        <w:t>西区万元工业增加值用水量相对值现状与规划结果</w:t>
      </w:r>
    </w:p>
    <w:tbl>
      <w:tblPr>
        <w:tblStyle w:val="25"/>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1553"/>
        <w:gridCol w:w="1551"/>
        <w:gridCol w:w="1855"/>
        <w:gridCol w:w="1781"/>
      </w:tblGrid>
      <w:tr w14:paraId="53ED4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tcBorders>
              <w:top w:val="single" w:color="auto" w:sz="4" w:space="0"/>
              <w:left w:val="single" w:color="auto" w:sz="4" w:space="0"/>
              <w:bottom w:val="single" w:color="auto" w:sz="4" w:space="0"/>
              <w:right w:val="single" w:color="auto" w:sz="4" w:space="0"/>
            </w:tcBorders>
            <w:shd w:val="clear" w:color="auto" w:fill="auto"/>
            <w:vAlign w:val="center"/>
          </w:tcPr>
          <w:p w14:paraId="7BD0B452">
            <w:pPr>
              <w:spacing w:line="240" w:lineRule="auto"/>
              <w:ind w:firstLine="0" w:firstLineChars="0"/>
              <w:jc w:val="center"/>
              <w:rPr>
                <w:rFonts w:cs="Times New Roman"/>
                <w:sz w:val="21"/>
              </w:rPr>
            </w:pPr>
            <w:r>
              <w:rPr>
                <w:rFonts w:hint="eastAsia" w:eastAsia="宋体" w:cs="Times New Roman"/>
                <w:sz w:val="21"/>
                <w:lang w:bidi="ar"/>
              </w:rPr>
              <w:t>指标</w:t>
            </w:r>
          </w:p>
        </w:tc>
        <w:tc>
          <w:tcPr>
            <w:tcW w:w="1553" w:type="dxa"/>
            <w:tcBorders>
              <w:top w:val="single" w:color="auto" w:sz="4" w:space="0"/>
              <w:left w:val="single" w:color="auto" w:sz="4" w:space="0"/>
              <w:bottom w:val="single" w:color="auto" w:sz="4" w:space="0"/>
              <w:right w:val="single" w:color="auto" w:sz="4" w:space="0"/>
            </w:tcBorders>
            <w:shd w:val="clear" w:color="auto" w:fill="auto"/>
            <w:vAlign w:val="center"/>
          </w:tcPr>
          <w:p w14:paraId="018AF8E5">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14:paraId="138E46BE">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w:t>
            </w:r>
          </w:p>
          <w:p w14:paraId="4F53FED4">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855" w:type="dxa"/>
            <w:tcBorders>
              <w:top w:val="single" w:color="auto" w:sz="4" w:space="0"/>
              <w:left w:val="single" w:color="auto" w:sz="4" w:space="0"/>
              <w:bottom w:val="single" w:color="auto" w:sz="4" w:space="0"/>
              <w:right w:val="single" w:color="auto" w:sz="4" w:space="0"/>
            </w:tcBorders>
            <w:shd w:val="clear" w:color="auto" w:fill="auto"/>
            <w:vAlign w:val="center"/>
          </w:tcPr>
          <w:p w14:paraId="2A666C59">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w:t>
            </w:r>
          </w:p>
          <w:p w14:paraId="51DCA3EF">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781" w:type="dxa"/>
            <w:tcBorders>
              <w:top w:val="single" w:color="auto" w:sz="4" w:space="0"/>
              <w:left w:val="single" w:color="auto" w:sz="4" w:space="0"/>
              <w:bottom w:val="single" w:color="auto" w:sz="4" w:space="0"/>
              <w:right w:val="single" w:color="auto" w:sz="4" w:space="0"/>
            </w:tcBorders>
            <w:shd w:val="clear" w:color="auto" w:fill="auto"/>
            <w:vAlign w:val="center"/>
          </w:tcPr>
          <w:p w14:paraId="5A9AF902">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w:t>
            </w:r>
          </w:p>
          <w:p w14:paraId="304DA3F1">
            <w:pPr>
              <w:spacing w:line="240" w:lineRule="auto"/>
              <w:ind w:firstLine="0" w:firstLineChars="0"/>
              <w:jc w:val="center"/>
              <w:rPr>
                <w:rFonts w:cs="Times New Roman"/>
                <w:sz w:val="21"/>
              </w:rPr>
            </w:pPr>
            <w:r>
              <w:rPr>
                <w:rFonts w:hint="eastAsia" w:eastAsia="宋体" w:cs="Times New Roman"/>
                <w:sz w:val="21"/>
                <w:lang w:bidi="ar"/>
              </w:rPr>
              <w:t>值与指标分级</w:t>
            </w:r>
          </w:p>
        </w:tc>
      </w:tr>
      <w:tr w14:paraId="64697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780" w:type="dxa"/>
            <w:tcBorders>
              <w:top w:val="single" w:color="auto" w:sz="4" w:space="0"/>
              <w:left w:val="single" w:color="auto" w:sz="4" w:space="0"/>
              <w:bottom w:val="single" w:color="auto" w:sz="4" w:space="0"/>
              <w:right w:val="single" w:color="auto" w:sz="4" w:space="0"/>
            </w:tcBorders>
            <w:shd w:val="clear" w:color="auto" w:fill="auto"/>
            <w:vAlign w:val="center"/>
          </w:tcPr>
          <w:p w14:paraId="0FC40071">
            <w:pPr>
              <w:spacing w:line="240" w:lineRule="auto"/>
              <w:ind w:firstLine="0" w:firstLineChars="0"/>
              <w:jc w:val="center"/>
              <w:rPr>
                <w:rFonts w:cs="Times New Roman"/>
                <w:sz w:val="21"/>
              </w:rPr>
            </w:pPr>
            <w:r>
              <w:rPr>
                <w:rFonts w:hint="eastAsia" w:eastAsia="宋体" w:cs="Times New Roman"/>
                <w:kern w:val="0"/>
                <w:sz w:val="21"/>
                <w:lang w:bidi="ar"/>
              </w:rPr>
              <w:t>万元工业增加值用水量相对值</w:t>
            </w:r>
          </w:p>
        </w:tc>
        <w:tc>
          <w:tcPr>
            <w:tcW w:w="1553" w:type="dxa"/>
            <w:tcBorders>
              <w:top w:val="single" w:color="auto" w:sz="4" w:space="0"/>
              <w:left w:val="single" w:color="auto" w:sz="4" w:space="0"/>
              <w:bottom w:val="single" w:color="auto" w:sz="4" w:space="0"/>
              <w:right w:val="single" w:color="auto" w:sz="4" w:space="0"/>
            </w:tcBorders>
            <w:shd w:val="clear" w:color="auto" w:fill="auto"/>
            <w:vAlign w:val="center"/>
          </w:tcPr>
          <w:p w14:paraId="0B4383C0">
            <w:pPr>
              <w:widowControl/>
              <w:spacing w:line="240" w:lineRule="auto"/>
              <w:ind w:firstLine="0" w:firstLineChars="0"/>
              <w:jc w:val="center"/>
              <w:rPr>
                <w:rFonts w:cs="Times New Roman"/>
                <w:kern w:val="0"/>
                <w:sz w:val="21"/>
              </w:rPr>
            </w:pPr>
            <w:r>
              <w:rPr>
                <w:rFonts w:hint="eastAsia" w:eastAsia="宋体" w:cs="Times New Roman"/>
                <w:kern w:val="0"/>
                <w:sz w:val="21"/>
                <w:lang w:bidi="ar"/>
              </w:rPr>
              <w:t>17.12</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14:paraId="4F786628">
            <w:pPr>
              <w:widowControl/>
              <w:spacing w:line="240" w:lineRule="auto"/>
              <w:ind w:firstLine="0" w:firstLineChars="0"/>
              <w:jc w:val="center"/>
              <w:rPr>
                <w:rFonts w:cs="Times New Roman"/>
                <w:kern w:val="0"/>
                <w:sz w:val="21"/>
              </w:rPr>
            </w:pPr>
            <w:r>
              <w:rPr>
                <w:rFonts w:hint="eastAsia" w:eastAsia="宋体" w:cs="Times New Roman"/>
                <w:kern w:val="0"/>
                <w:sz w:val="21"/>
                <w:lang w:bidi="ar"/>
              </w:rPr>
              <w:t>17.16</w:t>
            </w:r>
            <w:r>
              <w:rPr>
                <w:rFonts w:eastAsia="宋体" w:cs="Times New Roman"/>
                <w:kern w:val="0"/>
                <w:sz w:val="21"/>
                <w:lang w:bidi="ar"/>
              </w:rPr>
              <w:t>%</w:t>
            </w:r>
            <w:r>
              <w:rPr>
                <w:rFonts w:hint="eastAsia" w:eastAsia="宋体" w:cs="Times New Roman"/>
                <w:kern w:val="0"/>
                <w:sz w:val="21"/>
                <w:lang w:bidi="ar"/>
              </w:rPr>
              <w:t>、4分、I级</w:t>
            </w:r>
          </w:p>
        </w:tc>
        <w:tc>
          <w:tcPr>
            <w:tcW w:w="1855" w:type="dxa"/>
            <w:tcBorders>
              <w:top w:val="single" w:color="auto" w:sz="4" w:space="0"/>
              <w:left w:val="single" w:color="auto" w:sz="4" w:space="0"/>
              <w:bottom w:val="single" w:color="auto" w:sz="4" w:space="0"/>
              <w:right w:val="single" w:color="auto" w:sz="4" w:space="0"/>
            </w:tcBorders>
            <w:shd w:val="clear" w:color="auto" w:fill="auto"/>
            <w:vAlign w:val="center"/>
          </w:tcPr>
          <w:p w14:paraId="2402A491">
            <w:pPr>
              <w:widowControl/>
              <w:spacing w:line="240" w:lineRule="auto"/>
              <w:ind w:firstLine="0" w:firstLineChars="0"/>
              <w:jc w:val="center"/>
              <w:rPr>
                <w:rFonts w:cs="Times New Roman"/>
                <w:kern w:val="0"/>
                <w:sz w:val="21"/>
              </w:rPr>
            </w:pPr>
            <w:r>
              <w:rPr>
                <w:rFonts w:hint="eastAsia" w:eastAsia="宋体" w:cs="Times New Roman"/>
                <w:kern w:val="0"/>
                <w:sz w:val="21"/>
                <w:lang w:bidi="ar"/>
              </w:rPr>
              <w:t>17</w:t>
            </w:r>
            <w:r>
              <w:rPr>
                <w:rFonts w:eastAsia="宋体" w:cs="Times New Roman"/>
                <w:kern w:val="0"/>
                <w:sz w:val="21"/>
                <w:lang w:bidi="ar"/>
              </w:rPr>
              <w:t>%</w:t>
            </w:r>
            <w:r>
              <w:rPr>
                <w:rFonts w:hint="eastAsia" w:eastAsia="宋体" w:cs="Times New Roman"/>
                <w:kern w:val="0"/>
                <w:sz w:val="21"/>
                <w:lang w:bidi="ar"/>
              </w:rPr>
              <w:t>、4分、I级</w:t>
            </w:r>
          </w:p>
        </w:tc>
        <w:tc>
          <w:tcPr>
            <w:tcW w:w="1781" w:type="dxa"/>
            <w:tcBorders>
              <w:top w:val="single" w:color="auto" w:sz="4" w:space="0"/>
              <w:left w:val="single" w:color="auto" w:sz="4" w:space="0"/>
              <w:bottom w:val="single" w:color="auto" w:sz="4" w:space="0"/>
              <w:right w:val="single" w:color="auto" w:sz="4" w:space="0"/>
            </w:tcBorders>
            <w:shd w:val="clear" w:color="auto" w:fill="auto"/>
            <w:vAlign w:val="center"/>
          </w:tcPr>
          <w:p w14:paraId="7D775C76">
            <w:pPr>
              <w:widowControl/>
              <w:spacing w:line="240" w:lineRule="auto"/>
              <w:ind w:firstLine="0" w:firstLineChars="0"/>
              <w:jc w:val="center"/>
              <w:rPr>
                <w:rFonts w:cs="Times New Roman"/>
                <w:kern w:val="0"/>
                <w:sz w:val="21"/>
              </w:rPr>
            </w:pPr>
            <w:r>
              <w:rPr>
                <w:rFonts w:hint="eastAsia" w:eastAsia="宋体" w:cs="Times New Roman"/>
                <w:kern w:val="0"/>
                <w:sz w:val="21"/>
                <w:lang w:bidi="ar"/>
              </w:rPr>
              <w:t>16</w:t>
            </w:r>
            <w:r>
              <w:rPr>
                <w:rFonts w:eastAsia="宋体" w:cs="Times New Roman"/>
                <w:kern w:val="0"/>
                <w:sz w:val="21"/>
                <w:lang w:bidi="ar"/>
              </w:rPr>
              <w:t>%</w:t>
            </w:r>
            <w:r>
              <w:rPr>
                <w:rFonts w:hint="eastAsia" w:eastAsia="宋体" w:cs="Times New Roman"/>
                <w:kern w:val="0"/>
                <w:sz w:val="21"/>
                <w:lang w:bidi="ar"/>
              </w:rPr>
              <w:t>、4分、I级</w:t>
            </w:r>
          </w:p>
        </w:tc>
      </w:tr>
    </w:tbl>
    <w:p w14:paraId="6A459193">
      <w:pPr>
        <w:spacing w:line="240" w:lineRule="auto"/>
        <w:ind w:firstLine="0" w:firstLineChars="0"/>
        <w:rPr>
          <w:rFonts w:cs="Times New Roman"/>
          <w:sz w:val="21"/>
        </w:rPr>
      </w:pPr>
    </w:p>
    <w:p w14:paraId="42F7E83F">
      <w:pPr>
        <w:pStyle w:val="3"/>
        <w:widowControl/>
        <w:spacing w:before="0" w:after="0" w:line="360" w:lineRule="auto"/>
        <w:rPr>
          <w:rFonts w:cs="Times New Roman"/>
        </w:rPr>
      </w:pPr>
      <w:bookmarkStart w:id="646" w:name="_Toc528880327"/>
      <w:bookmarkStart w:id="647" w:name="_Toc7621"/>
      <w:bookmarkStart w:id="648" w:name="_Toc22557"/>
      <w:bookmarkStart w:id="649" w:name="_Toc16675071"/>
      <w:bookmarkStart w:id="650" w:name="_Toc19511"/>
      <w:bookmarkStart w:id="651" w:name="_Toc526004966"/>
      <w:bookmarkStart w:id="652" w:name="_Toc15223"/>
      <w:bookmarkStart w:id="653" w:name="_Toc13389"/>
      <w:bookmarkStart w:id="654" w:name="_Toc528607295"/>
      <w:bookmarkStart w:id="655" w:name="_Toc28889"/>
      <w:bookmarkStart w:id="656" w:name="_Toc527881121"/>
      <w:bookmarkStart w:id="657" w:name="_Toc523306804"/>
      <w:r>
        <w:rPr>
          <w:rFonts w:cs="Times New Roman"/>
        </w:rPr>
        <w:t>4.5.2</w:t>
      </w:r>
      <w:r>
        <w:rPr>
          <w:rFonts w:hint="eastAsia" w:cs="Times New Roman"/>
        </w:rPr>
        <w:t>农田灌溉水有效利用系数</w:t>
      </w:r>
      <w:bookmarkEnd w:id="646"/>
      <w:bookmarkEnd w:id="647"/>
      <w:bookmarkEnd w:id="648"/>
      <w:bookmarkEnd w:id="649"/>
      <w:bookmarkEnd w:id="650"/>
      <w:bookmarkEnd w:id="651"/>
      <w:bookmarkEnd w:id="652"/>
      <w:bookmarkEnd w:id="653"/>
      <w:bookmarkEnd w:id="654"/>
      <w:bookmarkEnd w:id="655"/>
      <w:bookmarkEnd w:id="656"/>
      <w:bookmarkEnd w:id="657"/>
    </w:p>
    <w:p w14:paraId="00B340D6">
      <w:pPr>
        <w:ind w:firstLine="480"/>
        <w:rPr>
          <w:rFonts w:eastAsia="宋体" w:cs="Times New Roman"/>
          <w:szCs w:val="24"/>
        </w:rPr>
      </w:pPr>
      <w:r>
        <w:rPr>
          <w:rFonts w:hint="eastAsia" w:eastAsia="宋体" w:cs="Times New Roman"/>
          <w:lang w:bidi="ar"/>
        </w:rPr>
        <w:t>指田间实际净灌溉用水总量与毛灌溉用水总量的比值</w:t>
      </w:r>
      <w:r>
        <w:rPr>
          <w:rFonts w:hint="eastAsia" w:eastAsia="宋体" w:cs="Times New Roman"/>
          <w:b/>
          <w:bCs/>
          <w:szCs w:val="24"/>
          <w:lang w:bidi="ar"/>
        </w:rPr>
        <w:t>（具体计算公式见附录1）</w:t>
      </w:r>
      <w:r>
        <w:rPr>
          <w:rFonts w:hint="eastAsia" w:eastAsia="宋体" w:cs="Times New Roman"/>
          <w:lang w:bidi="ar"/>
        </w:rPr>
        <w:t>。农业耗水单元主要由鱼塘、林果地、菜地、水田、牲畜等单元组成，</w:t>
      </w:r>
      <w:r>
        <w:rPr>
          <w:rFonts w:hint="eastAsia" w:eastAsia="宋体" w:cs="Times New Roman"/>
          <w:szCs w:val="24"/>
          <w:lang w:bidi="ar"/>
        </w:rPr>
        <w:t>根据《中山市农田灌溉水有效利用系数测算分析报告（</w:t>
      </w:r>
      <w:r>
        <w:rPr>
          <w:rFonts w:eastAsia="宋体" w:cs="Times New Roman"/>
          <w:szCs w:val="24"/>
          <w:lang w:bidi="ar"/>
        </w:rPr>
        <w:t>2015</w:t>
      </w:r>
      <w:r>
        <w:rPr>
          <w:rFonts w:hint="eastAsia" w:eastAsia="宋体" w:cs="Times New Roman"/>
          <w:szCs w:val="24"/>
          <w:lang w:bidi="ar"/>
        </w:rPr>
        <w:t>年）》，测算民众镇新建村灌区、南朗镇丰阜湖灌区的农田灌溉水有效利用系数</w:t>
      </w:r>
      <w:r>
        <w:rPr>
          <w:rFonts w:eastAsia="宋体" w:cs="Times New Roman"/>
          <w:szCs w:val="24"/>
          <w:lang w:bidi="ar"/>
        </w:rPr>
        <w:t>0.85</w:t>
      </w:r>
      <w:r>
        <w:rPr>
          <w:rFonts w:hint="eastAsia" w:eastAsia="宋体" w:cs="Times New Roman"/>
          <w:szCs w:val="24"/>
          <w:lang w:bidi="ar"/>
        </w:rPr>
        <w:t>，以此作为中山市其他镇区的农田灌溉水有效利用系数，由于西区没有开展农田灌溉水有效利用系数相关测试实验，因此现状农田灌溉水有效利用系数参照中山市取为</w:t>
      </w:r>
      <w:r>
        <w:rPr>
          <w:rFonts w:eastAsia="宋体" w:cs="Times New Roman"/>
          <w:szCs w:val="24"/>
          <w:lang w:bidi="ar"/>
        </w:rPr>
        <w:t>0.85</w:t>
      </w:r>
      <w:r>
        <w:rPr>
          <w:rFonts w:hint="eastAsia" w:eastAsia="宋体" w:cs="Times New Roman"/>
          <w:lang w:bidi="ar"/>
        </w:rPr>
        <w:t>。</w:t>
      </w:r>
    </w:p>
    <w:p w14:paraId="4449E002">
      <w:pPr>
        <w:ind w:firstLine="480"/>
        <w:rPr>
          <w:rFonts w:cs="Times New Roman"/>
        </w:rPr>
      </w:pPr>
      <w:r>
        <w:rPr>
          <w:rFonts w:hint="eastAsia" w:eastAsia="宋体" w:cs="Times New Roman"/>
          <w:lang w:bidi="ar"/>
        </w:rPr>
        <w:t>由于现状农田灌溉水有效利用系数</w:t>
      </w:r>
      <w:r>
        <w:rPr>
          <w:rFonts w:eastAsia="宋体" w:cs="Times New Roman"/>
          <w:lang w:bidi="ar"/>
        </w:rPr>
        <w:t>0.85</w:t>
      </w:r>
      <w:r>
        <w:rPr>
          <w:rFonts w:hint="eastAsia" w:eastAsia="宋体" w:cs="Times New Roman"/>
          <w:lang w:bidi="ar"/>
        </w:rPr>
        <w:t>处于较高水平，根据《中山市</w:t>
      </w:r>
      <w:r>
        <w:rPr>
          <w:rFonts w:eastAsia="宋体" w:cs="Times New Roman"/>
          <w:lang w:bidi="ar"/>
        </w:rPr>
        <w:t>2016-2020</w:t>
      </w:r>
      <w:r>
        <w:rPr>
          <w:rFonts w:hint="eastAsia" w:eastAsia="宋体" w:cs="Times New Roman"/>
          <w:lang w:bidi="ar"/>
        </w:rPr>
        <w:t>年度最严格水资源管理制度考核实施细则》中山市</w:t>
      </w:r>
      <w:r>
        <w:rPr>
          <w:rFonts w:eastAsia="宋体" w:cs="Times New Roman"/>
          <w:lang w:bidi="ar"/>
        </w:rPr>
        <w:t>2016~2020</w:t>
      </w:r>
      <w:r>
        <w:rPr>
          <w:rFonts w:hint="eastAsia" w:eastAsia="宋体" w:cs="Times New Roman"/>
          <w:lang w:bidi="ar"/>
        </w:rPr>
        <w:t>年度各镇区用水指标分配方案中，西区</w:t>
      </w:r>
      <w:r>
        <w:rPr>
          <w:rFonts w:eastAsia="宋体" w:cs="Times New Roman"/>
          <w:lang w:bidi="ar"/>
        </w:rPr>
        <w:t>2020</w:t>
      </w:r>
      <w:r>
        <w:rPr>
          <w:rFonts w:hint="eastAsia" w:eastAsia="宋体" w:cs="Times New Roman"/>
          <w:lang w:bidi="ar"/>
        </w:rPr>
        <w:t>年农田灌溉水有效利用系数的规划目标值定为</w:t>
      </w:r>
      <w:r>
        <w:rPr>
          <w:rFonts w:eastAsia="宋体" w:cs="Times New Roman"/>
          <w:lang w:bidi="ar"/>
        </w:rPr>
        <w:t>0.</w:t>
      </w:r>
      <w:r>
        <w:rPr>
          <w:rFonts w:hint="eastAsia" w:eastAsia="宋体" w:cs="Times New Roman"/>
          <w:lang w:bidi="ar"/>
        </w:rPr>
        <w:t>64，因此西区</w:t>
      </w:r>
      <w:r>
        <w:rPr>
          <w:rFonts w:eastAsia="宋体" w:cs="Times New Roman"/>
          <w:lang w:bidi="ar"/>
        </w:rPr>
        <w:t>2025</w:t>
      </w:r>
      <w:r>
        <w:rPr>
          <w:rFonts w:hint="eastAsia" w:eastAsia="宋体" w:cs="Times New Roman"/>
          <w:lang w:bidi="ar"/>
        </w:rPr>
        <w:t>年农田灌溉水有效利用系数的规划目标值定为</w:t>
      </w:r>
      <w:r>
        <w:rPr>
          <w:rFonts w:eastAsia="宋体" w:cs="Times New Roman"/>
          <w:lang w:bidi="ar"/>
        </w:rPr>
        <w:t>0.</w:t>
      </w:r>
      <w:r>
        <w:rPr>
          <w:rFonts w:hint="eastAsia" w:eastAsia="宋体" w:cs="Times New Roman"/>
          <w:lang w:bidi="ar"/>
        </w:rPr>
        <w:t>65，</w:t>
      </w:r>
      <w:r>
        <w:rPr>
          <w:rFonts w:eastAsia="宋体" w:cs="Times New Roman"/>
          <w:lang w:bidi="ar"/>
        </w:rPr>
        <w:t>2030</w:t>
      </w:r>
      <w:r>
        <w:rPr>
          <w:rFonts w:hint="eastAsia" w:eastAsia="宋体" w:cs="Times New Roman"/>
          <w:lang w:bidi="ar"/>
        </w:rPr>
        <w:t>年农田灌溉水有效利用系数的规划目标值定为</w:t>
      </w:r>
      <w:r>
        <w:rPr>
          <w:rFonts w:eastAsia="宋体" w:cs="Times New Roman"/>
          <w:lang w:bidi="ar"/>
        </w:rPr>
        <w:t>0.</w:t>
      </w:r>
      <w:r>
        <w:rPr>
          <w:rFonts w:hint="eastAsia" w:eastAsia="宋体" w:cs="Times New Roman"/>
          <w:lang w:bidi="ar"/>
        </w:rPr>
        <w:t>67（见表</w:t>
      </w:r>
      <w:r>
        <w:rPr>
          <w:rFonts w:eastAsia="宋体" w:cs="Times New Roman"/>
          <w:lang w:bidi="ar"/>
        </w:rPr>
        <w:t>4-2</w:t>
      </w:r>
      <w:r>
        <w:rPr>
          <w:rFonts w:hint="eastAsia" w:eastAsia="宋体" w:cs="Times New Roman"/>
          <w:lang w:bidi="ar"/>
        </w:rPr>
        <w:t>0）。未来西区应利用未来农业节水综合技术的推广和农业种植结构的调整，结合产业结构调整，不断将农业节水潜力发挥到最大。</w:t>
      </w:r>
    </w:p>
    <w:p w14:paraId="4C3FFB5D">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0</w:t>
      </w:r>
      <w:r>
        <w:rPr>
          <w:rFonts w:eastAsia="宋体" w:cs="Times New Roman"/>
          <w:sz w:val="21"/>
          <w:lang w:bidi="ar"/>
        </w:rPr>
        <w:t xml:space="preserve">  </w:t>
      </w:r>
      <w:r>
        <w:rPr>
          <w:rFonts w:hint="eastAsia" w:eastAsia="宋体" w:cs="Times New Roman"/>
          <w:sz w:val="21"/>
          <w:lang w:bidi="ar"/>
        </w:rPr>
        <w:t>西区农田灌溉水有效利用系数现状与规划结果</w:t>
      </w:r>
    </w:p>
    <w:tbl>
      <w:tblPr>
        <w:tblStyle w:val="25"/>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2"/>
        <w:gridCol w:w="1745"/>
        <w:gridCol w:w="1651"/>
        <w:gridCol w:w="1766"/>
        <w:gridCol w:w="1766"/>
      </w:tblGrid>
      <w:tr w14:paraId="7366D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592" w:type="dxa"/>
            <w:tcBorders>
              <w:top w:val="single" w:color="auto" w:sz="4" w:space="0"/>
              <w:left w:val="single" w:color="auto" w:sz="4" w:space="0"/>
              <w:bottom w:val="single" w:color="auto" w:sz="4" w:space="0"/>
              <w:right w:val="single" w:color="auto" w:sz="4" w:space="0"/>
            </w:tcBorders>
            <w:shd w:val="clear" w:color="auto" w:fill="auto"/>
            <w:vAlign w:val="center"/>
          </w:tcPr>
          <w:p w14:paraId="18CA3864">
            <w:pPr>
              <w:spacing w:line="240" w:lineRule="auto"/>
              <w:ind w:firstLine="0" w:firstLineChars="0"/>
              <w:jc w:val="center"/>
              <w:rPr>
                <w:rFonts w:cs="Times New Roman"/>
                <w:sz w:val="21"/>
              </w:rPr>
            </w:pPr>
            <w:r>
              <w:rPr>
                <w:rFonts w:hint="eastAsia" w:eastAsia="宋体" w:cs="Times New Roman"/>
                <w:sz w:val="21"/>
                <w:lang w:bidi="ar"/>
              </w:rPr>
              <w:t>指标</w:t>
            </w:r>
          </w:p>
        </w:tc>
        <w:tc>
          <w:tcPr>
            <w:tcW w:w="1745" w:type="dxa"/>
            <w:tcBorders>
              <w:top w:val="single" w:color="auto" w:sz="4" w:space="0"/>
              <w:left w:val="single" w:color="auto" w:sz="4" w:space="0"/>
              <w:bottom w:val="single" w:color="auto" w:sz="4" w:space="0"/>
              <w:right w:val="single" w:color="auto" w:sz="4" w:space="0"/>
            </w:tcBorders>
            <w:shd w:val="clear" w:color="auto" w:fill="auto"/>
            <w:vAlign w:val="center"/>
          </w:tcPr>
          <w:p w14:paraId="1EF0A8FB">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现状值及</w:t>
            </w:r>
            <w:r>
              <w:rPr>
                <w:rFonts w:hint="eastAsia" w:eastAsia="宋体" w:cs="Times New Roman"/>
                <w:sz w:val="21"/>
                <w:lang w:bidi="ar"/>
              </w:rPr>
              <w:t>指标分级</w:t>
            </w:r>
          </w:p>
        </w:tc>
        <w:tc>
          <w:tcPr>
            <w:tcW w:w="1651" w:type="dxa"/>
            <w:tcBorders>
              <w:top w:val="single" w:color="auto" w:sz="4" w:space="0"/>
              <w:left w:val="single" w:color="auto" w:sz="4" w:space="0"/>
              <w:bottom w:val="single" w:color="auto" w:sz="4" w:space="0"/>
              <w:right w:val="single" w:color="auto" w:sz="4" w:space="0"/>
            </w:tcBorders>
            <w:shd w:val="clear" w:color="auto" w:fill="auto"/>
            <w:vAlign w:val="center"/>
          </w:tcPr>
          <w:p w14:paraId="23BC1568">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5D85DE87">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56B8E31A">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w:t>
            </w:r>
          </w:p>
          <w:p w14:paraId="70045B77">
            <w:pPr>
              <w:spacing w:line="240" w:lineRule="auto"/>
              <w:ind w:firstLine="0" w:firstLineChars="0"/>
              <w:jc w:val="center"/>
              <w:rPr>
                <w:rFonts w:cs="Times New Roman"/>
                <w:sz w:val="21"/>
              </w:rPr>
            </w:pPr>
            <w:r>
              <w:rPr>
                <w:rFonts w:hint="eastAsia" w:eastAsia="宋体" w:cs="Times New Roman"/>
                <w:sz w:val="21"/>
                <w:lang w:bidi="ar"/>
              </w:rPr>
              <w:t>与指标分级</w:t>
            </w:r>
          </w:p>
        </w:tc>
      </w:tr>
      <w:tr w14:paraId="41448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592" w:type="dxa"/>
            <w:tcBorders>
              <w:top w:val="single" w:color="auto" w:sz="4" w:space="0"/>
              <w:left w:val="single" w:color="auto" w:sz="4" w:space="0"/>
              <w:bottom w:val="single" w:color="auto" w:sz="4" w:space="0"/>
              <w:right w:val="single" w:color="auto" w:sz="4" w:space="0"/>
            </w:tcBorders>
            <w:shd w:val="clear" w:color="auto" w:fill="auto"/>
            <w:vAlign w:val="center"/>
          </w:tcPr>
          <w:p w14:paraId="22E39233">
            <w:pPr>
              <w:spacing w:line="240" w:lineRule="auto"/>
              <w:ind w:firstLine="0" w:firstLineChars="0"/>
              <w:jc w:val="center"/>
              <w:rPr>
                <w:rFonts w:cs="Times New Roman"/>
                <w:sz w:val="21"/>
              </w:rPr>
            </w:pPr>
            <w:r>
              <w:rPr>
                <w:rFonts w:hint="eastAsia" w:eastAsia="宋体" w:cs="Times New Roman"/>
                <w:kern w:val="0"/>
                <w:sz w:val="21"/>
                <w:lang w:bidi="ar"/>
              </w:rPr>
              <w:t>农田灌溉水有效利用系数</w:t>
            </w:r>
          </w:p>
        </w:tc>
        <w:tc>
          <w:tcPr>
            <w:tcW w:w="1745" w:type="dxa"/>
            <w:tcBorders>
              <w:top w:val="single" w:color="auto" w:sz="4" w:space="0"/>
              <w:left w:val="single" w:color="auto" w:sz="4" w:space="0"/>
              <w:bottom w:val="single" w:color="auto" w:sz="4" w:space="0"/>
              <w:right w:val="single" w:color="auto" w:sz="4" w:space="0"/>
            </w:tcBorders>
            <w:shd w:val="clear" w:color="auto" w:fill="auto"/>
            <w:vAlign w:val="center"/>
          </w:tcPr>
          <w:p w14:paraId="73BBB1B9">
            <w:pPr>
              <w:widowControl/>
              <w:spacing w:line="240" w:lineRule="auto"/>
              <w:ind w:firstLine="0" w:firstLineChars="0"/>
              <w:jc w:val="center"/>
              <w:rPr>
                <w:rFonts w:cs="Times New Roman"/>
                <w:kern w:val="0"/>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651" w:type="dxa"/>
            <w:tcBorders>
              <w:top w:val="single" w:color="auto" w:sz="4" w:space="0"/>
              <w:left w:val="single" w:color="auto" w:sz="4" w:space="0"/>
              <w:bottom w:val="single" w:color="auto" w:sz="4" w:space="0"/>
              <w:right w:val="single" w:color="auto" w:sz="4" w:space="0"/>
            </w:tcBorders>
            <w:shd w:val="clear" w:color="auto" w:fill="auto"/>
            <w:vAlign w:val="center"/>
          </w:tcPr>
          <w:p w14:paraId="7FC4F6C9">
            <w:pPr>
              <w:widowControl/>
              <w:spacing w:line="240" w:lineRule="auto"/>
              <w:ind w:firstLine="0" w:firstLineChars="0"/>
              <w:jc w:val="center"/>
              <w:rPr>
                <w:rFonts w:cs="Times New Roman"/>
                <w:kern w:val="0"/>
                <w:sz w:val="21"/>
              </w:rPr>
            </w:pPr>
            <w:r>
              <w:rPr>
                <w:rFonts w:eastAsia="宋体" w:cs="Times New Roman"/>
                <w:kern w:val="0"/>
                <w:sz w:val="21"/>
                <w:lang w:bidi="ar"/>
              </w:rPr>
              <w:t>0.</w:t>
            </w:r>
            <w:r>
              <w:rPr>
                <w:rFonts w:hint="eastAsia" w:eastAsia="宋体" w:cs="Times New Roman"/>
                <w:kern w:val="0"/>
                <w:sz w:val="21"/>
                <w:lang w:bidi="ar"/>
              </w:rPr>
              <w:t>64、3分、I</w:t>
            </w:r>
            <w:r>
              <w:rPr>
                <w:rFonts w:eastAsia="宋体" w:cs="Times New Roman"/>
                <w:kern w:val="0"/>
                <w:sz w:val="21"/>
                <w:lang w:bidi="ar"/>
              </w:rPr>
              <w:t>I</w:t>
            </w:r>
            <w:r>
              <w:rPr>
                <w:rFonts w:hint="eastAsia" w:eastAsia="宋体" w:cs="Times New Roman"/>
                <w:kern w:val="0"/>
                <w:sz w:val="21"/>
                <w:lang w:bidi="ar"/>
              </w:rPr>
              <w:t>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463115D1">
            <w:pPr>
              <w:widowControl/>
              <w:spacing w:line="240" w:lineRule="auto"/>
              <w:ind w:firstLine="0" w:firstLineChars="0"/>
              <w:jc w:val="center"/>
              <w:rPr>
                <w:rFonts w:cs="Times New Roman"/>
                <w:kern w:val="0"/>
                <w:sz w:val="21"/>
              </w:rPr>
            </w:pPr>
            <w:r>
              <w:rPr>
                <w:rFonts w:eastAsia="宋体" w:cs="Times New Roman"/>
                <w:kern w:val="0"/>
                <w:sz w:val="21"/>
                <w:lang w:bidi="ar"/>
              </w:rPr>
              <w:t>0.</w:t>
            </w:r>
            <w:r>
              <w:rPr>
                <w:rFonts w:hint="eastAsia" w:eastAsia="宋体" w:cs="Times New Roman"/>
                <w:kern w:val="0"/>
                <w:sz w:val="21"/>
                <w:lang w:bidi="ar"/>
              </w:rPr>
              <w:t>65、3分、</w:t>
            </w:r>
            <w:r>
              <w:rPr>
                <w:rFonts w:eastAsia="宋体" w:cs="Times New Roman"/>
                <w:kern w:val="0"/>
                <w:sz w:val="21"/>
                <w:lang w:bidi="ar"/>
              </w:rPr>
              <w:t>I</w:t>
            </w:r>
            <w:r>
              <w:rPr>
                <w:rFonts w:hint="eastAsia" w:eastAsia="宋体" w:cs="Times New Roman"/>
                <w:kern w:val="0"/>
                <w:sz w:val="21"/>
                <w:lang w:bidi="ar"/>
              </w:rPr>
              <w:t>I级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649C08F5">
            <w:pPr>
              <w:widowControl/>
              <w:spacing w:line="240" w:lineRule="auto"/>
              <w:ind w:firstLine="0" w:firstLineChars="0"/>
              <w:jc w:val="center"/>
              <w:rPr>
                <w:rFonts w:cs="Times New Roman"/>
                <w:kern w:val="0"/>
                <w:sz w:val="21"/>
              </w:rPr>
            </w:pPr>
            <w:r>
              <w:rPr>
                <w:rFonts w:eastAsia="宋体" w:cs="Times New Roman"/>
                <w:kern w:val="0"/>
                <w:sz w:val="21"/>
                <w:lang w:bidi="ar"/>
              </w:rPr>
              <w:t>0</w:t>
            </w:r>
            <w:r>
              <w:rPr>
                <w:rFonts w:hint="eastAsia" w:eastAsia="宋体" w:cs="Times New Roman"/>
                <w:kern w:val="0"/>
                <w:sz w:val="21"/>
                <w:lang w:bidi="ar"/>
              </w:rPr>
              <w:t>67、3分、I</w:t>
            </w:r>
            <w:r>
              <w:rPr>
                <w:rFonts w:eastAsia="宋体" w:cs="Times New Roman"/>
                <w:kern w:val="0"/>
                <w:sz w:val="21"/>
                <w:lang w:bidi="ar"/>
              </w:rPr>
              <w:t>I</w:t>
            </w:r>
            <w:r>
              <w:rPr>
                <w:rFonts w:hint="eastAsia" w:eastAsia="宋体" w:cs="Times New Roman"/>
                <w:kern w:val="0"/>
                <w:sz w:val="21"/>
                <w:lang w:bidi="ar"/>
              </w:rPr>
              <w:t>级</w:t>
            </w:r>
          </w:p>
        </w:tc>
      </w:tr>
    </w:tbl>
    <w:p w14:paraId="56CFE919">
      <w:pPr>
        <w:spacing w:line="240" w:lineRule="auto"/>
        <w:ind w:firstLine="480"/>
        <w:rPr>
          <w:rFonts w:cs="Times New Roman"/>
        </w:rPr>
      </w:pPr>
      <w:bookmarkStart w:id="658" w:name="_Toc526004967"/>
      <w:bookmarkStart w:id="659" w:name="_Toc527881122"/>
      <w:bookmarkStart w:id="660" w:name="_Toc523306805"/>
    </w:p>
    <w:p w14:paraId="746CCF09">
      <w:pPr>
        <w:pStyle w:val="3"/>
        <w:widowControl/>
        <w:spacing w:before="0" w:after="0" w:line="360" w:lineRule="auto"/>
        <w:rPr>
          <w:rFonts w:cs="Times New Roman"/>
        </w:rPr>
      </w:pPr>
      <w:bookmarkStart w:id="661" w:name="_Toc10107"/>
      <w:bookmarkStart w:id="662" w:name="_Toc28629"/>
      <w:bookmarkStart w:id="663" w:name="_Toc22475"/>
      <w:bookmarkStart w:id="664" w:name="_Toc528880328"/>
      <w:bookmarkStart w:id="665" w:name="_Toc528607296"/>
      <w:bookmarkStart w:id="666" w:name="_Toc12280"/>
      <w:bookmarkStart w:id="667" w:name="_Toc16675072"/>
      <w:bookmarkStart w:id="668" w:name="_Toc27663"/>
      <w:bookmarkStart w:id="669" w:name="_Toc10051"/>
      <w:r>
        <w:rPr>
          <w:rFonts w:cs="Times New Roman"/>
        </w:rPr>
        <w:t>4.5.3</w:t>
      </w:r>
      <w:r>
        <w:rPr>
          <w:rFonts w:hint="eastAsia" w:cs="Times New Roman"/>
        </w:rPr>
        <w:t>生活节水器具普及率</w:t>
      </w:r>
      <w:bookmarkEnd w:id="658"/>
      <w:bookmarkEnd w:id="659"/>
      <w:bookmarkEnd w:id="660"/>
      <w:bookmarkEnd w:id="661"/>
      <w:bookmarkEnd w:id="662"/>
      <w:bookmarkEnd w:id="663"/>
      <w:bookmarkEnd w:id="664"/>
      <w:bookmarkEnd w:id="665"/>
      <w:bookmarkEnd w:id="666"/>
      <w:bookmarkEnd w:id="667"/>
      <w:bookmarkEnd w:id="668"/>
      <w:bookmarkEnd w:id="669"/>
    </w:p>
    <w:p w14:paraId="0066E182">
      <w:pPr>
        <w:ind w:firstLine="480"/>
        <w:rPr>
          <w:rFonts w:cs="Times New Roman"/>
        </w:rPr>
      </w:pPr>
      <w:r>
        <w:rPr>
          <w:rFonts w:hint="eastAsia" w:eastAsia="宋体" w:cs="Times New Roman"/>
          <w:lang w:bidi="ar"/>
        </w:rPr>
        <w:t>指公共设施和居民生活使用节水器具的数量比例</w:t>
      </w:r>
      <w:r>
        <w:rPr>
          <w:rFonts w:hint="eastAsia" w:eastAsia="宋体" w:cs="Times New Roman"/>
          <w:b/>
          <w:bCs/>
          <w:szCs w:val="24"/>
          <w:lang w:bidi="ar"/>
        </w:rPr>
        <w:t>（具体计算公式见附录1）</w:t>
      </w:r>
      <w:r>
        <w:rPr>
          <w:rFonts w:hint="eastAsia" w:eastAsia="宋体" w:cs="Times New Roman"/>
          <w:lang w:bidi="ar"/>
        </w:rPr>
        <w:t>。目前西区正不断在推进节水型社会建设</w:t>
      </w:r>
      <w:r>
        <w:rPr>
          <w:rFonts w:eastAsia="宋体" w:cs="Times New Roman"/>
          <w:lang w:bidi="ar"/>
        </w:rPr>
        <w:t>。</w:t>
      </w:r>
      <w:r>
        <w:rPr>
          <w:rFonts w:hint="eastAsia" w:eastAsia="宋体" w:cs="Times New Roman"/>
          <w:lang w:bidi="ar"/>
        </w:rPr>
        <w:t>根据抽样调查，</w:t>
      </w:r>
      <w:r>
        <w:rPr>
          <w:rFonts w:eastAsia="宋体" w:cs="Times New Roman"/>
          <w:lang w:bidi="ar"/>
        </w:rPr>
        <w:t>2017</w:t>
      </w:r>
      <w:r>
        <w:rPr>
          <w:rFonts w:hint="eastAsia" w:eastAsia="宋体" w:cs="宋体"/>
          <w:lang w:bidi="ar"/>
        </w:rPr>
        <w:t>年西区的生活节水器具普及率为95</w:t>
      </w:r>
      <w:r>
        <w:rPr>
          <w:rFonts w:eastAsia="宋体" w:cs="Times New Roman"/>
          <w:lang w:bidi="ar"/>
        </w:rPr>
        <w:t>%</w:t>
      </w:r>
      <w:r>
        <w:rPr>
          <w:rFonts w:hint="eastAsia" w:eastAsia="宋体" w:cs="宋体"/>
          <w:lang w:bidi="ar"/>
        </w:rPr>
        <w:t>，</w:t>
      </w:r>
      <w:r>
        <w:rPr>
          <w:rFonts w:eastAsia="宋体" w:cs="Times New Roman"/>
          <w:lang w:bidi="ar"/>
        </w:rPr>
        <w:t>2020</w:t>
      </w:r>
      <w:r>
        <w:rPr>
          <w:rFonts w:hint="eastAsia" w:eastAsia="宋体" w:cs="Times New Roman"/>
          <w:lang w:bidi="ar"/>
        </w:rPr>
        <w:t>年西区生活节水器具普及率规划目标值为98</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年西区生活节水器具普及率定为100</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年西区生活节水器具普及率定为</w:t>
      </w:r>
      <w:r>
        <w:rPr>
          <w:rFonts w:eastAsia="宋体" w:cs="Times New Roman"/>
          <w:lang w:bidi="ar"/>
        </w:rPr>
        <w:t>100%</w:t>
      </w:r>
      <w:r>
        <w:rPr>
          <w:rFonts w:hint="eastAsia" w:eastAsia="宋体" w:cs="Times New Roman"/>
          <w:lang w:bidi="ar"/>
        </w:rPr>
        <w:t>（见表</w:t>
      </w:r>
      <w:r>
        <w:rPr>
          <w:rFonts w:eastAsia="宋体" w:cs="Times New Roman"/>
          <w:lang w:bidi="ar"/>
        </w:rPr>
        <w:t>4-2</w:t>
      </w:r>
      <w:r>
        <w:rPr>
          <w:rFonts w:hint="eastAsia" w:eastAsia="宋体" w:cs="Times New Roman"/>
          <w:lang w:bidi="ar"/>
        </w:rPr>
        <w:t>1）。西区需要加大公共设施和居民生活节水器使用的工作力度，加大宣传节水器具使用的力度，重点关注旧房和农屋的节水器具使用情况，完善公共设施的节水器具，特别是大型景区和公园等用水器具使用情况。</w:t>
      </w:r>
    </w:p>
    <w:p w14:paraId="4722A252">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1</w:t>
      </w:r>
      <w:r>
        <w:rPr>
          <w:rFonts w:eastAsia="宋体" w:cs="Times New Roman"/>
          <w:sz w:val="21"/>
          <w:lang w:bidi="ar"/>
        </w:rPr>
        <w:t xml:space="preserve"> </w:t>
      </w:r>
      <w:r>
        <w:rPr>
          <w:rFonts w:hint="eastAsia" w:eastAsia="宋体" w:cs="Times New Roman"/>
          <w:sz w:val="21"/>
          <w:lang w:bidi="ar"/>
        </w:rPr>
        <w:t>西区生活节水器具普及率现状与规划结果</w:t>
      </w:r>
    </w:p>
    <w:tbl>
      <w:tblPr>
        <w:tblStyle w:val="25"/>
        <w:tblW w:w="9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2"/>
        <w:gridCol w:w="2136"/>
        <w:gridCol w:w="1835"/>
        <w:gridCol w:w="1853"/>
        <w:gridCol w:w="1798"/>
      </w:tblGrid>
      <w:tr w14:paraId="0FE14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564E622D">
            <w:pPr>
              <w:spacing w:line="240" w:lineRule="exact"/>
              <w:ind w:firstLine="0" w:firstLineChars="0"/>
              <w:jc w:val="center"/>
              <w:rPr>
                <w:rFonts w:cs="Times New Roman"/>
                <w:sz w:val="21"/>
              </w:rPr>
            </w:pPr>
            <w:r>
              <w:rPr>
                <w:rFonts w:hint="eastAsia" w:eastAsia="宋体" w:cs="Times New Roman"/>
                <w:sz w:val="21"/>
                <w:lang w:bidi="ar"/>
              </w:rPr>
              <w:t>指标</w:t>
            </w:r>
          </w:p>
        </w:tc>
        <w:tc>
          <w:tcPr>
            <w:tcW w:w="2136" w:type="dxa"/>
            <w:tcBorders>
              <w:top w:val="single" w:color="auto" w:sz="4" w:space="0"/>
              <w:left w:val="single" w:color="auto" w:sz="4" w:space="0"/>
              <w:bottom w:val="single" w:color="auto" w:sz="4" w:space="0"/>
              <w:right w:val="single" w:color="auto" w:sz="4" w:space="0"/>
            </w:tcBorders>
            <w:shd w:val="clear" w:color="auto" w:fill="auto"/>
            <w:vAlign w:val="center"/>
          </w:tcPr>
          <w:p w14:paraId="62B94CB8">
            <w:pPr>
              <w:spacing w:line="240" w:lineRule="exact"/>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835" w:type="dxa"/>
            <w:tcBorders>
              <w:top w:val="single" w:color="auto" w:sz="4" w:space="0"/>
              <w:left w:val="single" w:color="auto" w:sz="4" w:space="0"/>
              <w:bottom w:val="single" w:color="auto" w:sz="4" w:space="0"/>
              <w:right w:val="single" w:color="auto" w:sz="4" w:space="0"/>
            </w:tcBorders>
            <w:shd w:val="clear" w:color="auto" w:fill="auto"/>
            <w:vAlign w:val="center"/>
          </w:tcPr>
          <w:p w14:paraId="646449B2">
            <w:pPr>
              <w:spacing w:line="240" w:lineRule="exact"/>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w:t>
            </w:r>
          </w:p>
          <w:p w14:paraId="6442B88F">
            <w:pPr>
              <w:spacing w:line="240" w:lineRule="exact"/>
              <w:ind w:firstLine="0" w:firstLineChars="0"/>
              <w:jc w:val="center"/>
              <w:rPr>
                <w:rFonts w:cs="Times New Roman"/>
                <w:sz w:val="21"/>
              </w:rPr>
            </w:pPr>
            <w:r>
              <w:rPr>
                <w:rFonts w:hint="eastAsia" w:eastAsia="宋体" w:cs="Times New Roman"/>
                <w:sz w:val="21"/>
                <w:lang w:bidi="ar"/>
              </w:rPr>
              <w:t>与指标分级</w:t>
            </w:r>
          </w:p>
        </w:tc>
        <w:tc>
          <w:tcPr>
            <w:tcW w:w="1853" w:type="dxa"/>
            <w:tcBorders>
              <w:top w:val="single" w:color="auto" w:sz="4" w:space="0"/>
              <w:left w:val="single" w:color="auto" w:sz="4" w:space="0"/>
              <w:bottom w:val="single" w:color="auto" w:sz="4" w:space="0"/>
              <w:right w:val="single" w:color="auto" w:sz="4" w:space="0"/>
            </w:tcBorders>
            <w:shd w:val="clear" w:color="auto" w:fill="auto"/>
            <w:vAlign w:val="center"/>
          </w:tcPr>
          <w:p w14:paraId="79B890EB">
            <w:pPr>
              <w:spacing w:line="240" w:lineRule="exact"/>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w:t>
            </w:r>
          </w:p>
          <w:p w14:paraId="7B5BA6FE">
            <w:pPr>
              <w:spacing w:line="240" w:lineRule="exact"/>
              <w:ind w:firstLine="0" w:firstLineChars="0"/>
              <w:jc w:val="center"/>
              <w:rPr>
                <w:rFonts w:cs="Times New Roman"/>
                <w:sz w:val="21"/>
              </w:rPr>
            </w:pPr>
            <w:r>
              <w:rPr>
                <w:rFonts w:hint="eastAsia" w:eastAsia="宋体" w:cs="Times New Roman"/>
                <w:sz w:val="21"/>
                <w:lang w:bidi="ar"/>
              </w:rPr>
              <w:t>与指标分级</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0C682FB5">
            <w:pPr>
              <w:spacing w:line="240" w:lineRule="exact"/>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w:t>
            </w:r>
          </w:p>
          <w:p w14:paraId="44928017">
            <w:pPr>
              <w:spacing w:line="240" w:lineRule="exact"/>
              <w:ind w:firstLine="0" w:firstLineChars="0"/>
              <w:jc w:val="center"/>
              <w:rPr>
                <w:rFonts w:cs="Times New Roman"/>
                <w:sz w:val="21"/>
              </w:rPr>
            </w:pPr>
            <w:r>
              <w:rPr>
                <w:rFonts w:hint="eastAsia" w:eastAsia="宋体" w:cs="Times New Roman"/>
                <w:sz w:val="21"/>
                <w:lang w:bidi="ar"/>
              </w:rPr>
              <w:t>与指标分级</w:t>
            </w:r>
          </w:p>
        </w:tc>
      </w:tr>
      <w:tr w14:paraId="540EE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38140EB6">
            <w:pPr>
              <w:spacing w:line="240" w:lineRule="auto"/>
              <w:ind w:firstLine="0" w:firstLineChars="0"/>
              <w:jc w:val="center"/>
              <w:rPr>
                <w:rFonts w:cs="Times New Roman"/>
                <w:sz w:val="21"/>
              </w:rPr>
            </w:pPr>
            <w:r>
              <w:rPr>
                <w:rFonts w:hint="eastAsia" w:eastAsia="宋体" w:cs="Times New Roman"/>
                <w:kern w:val="0"/>
                <w:sz w:val="21"/>
                <w:lang w:bidi="ar"/>
              </w:rPr>
              <w:t>生活节水器具普及率</w:t>
            </w:r>
          </w:p>
        </w:tc>
        <w:tc>
          <w:tcPr>
            <w:tcW w:w="2136" w:type="dxa"/>
            <w:tcBorders>
              <w:top w:val="single" w:color="auto" w:sz="4" w:space="0"/>
              <w:left w:val="single" w:color="auto" w:sz="4" w:space="0"/>
              <w:bottom w:val="single" w:color="auto" w:sz="4" w:space="0"/>
              <w:right w:val="single" w:color="auto" w:sz="4" w:space="0"/>
            </w:tcBorders>
            <w:shd w:val="clear" w:color="auto" w:fill="auto"/>
            <w:vAlign w:val="center"/>
          </w:tcPr>
          <w:p w14:paraId="6224D8C7">
            <w:pPr>
              <w:widowControl/>
              <w:spacing w:line="240" w:lineRule="auto"/>
              <w:ind w:firstLine="0" w:firstLineChars="0"/>
              <w:jc w:val="center"/>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835" w:type="dxa"/>
            <w:tcBorders>
              <w:top w:val="single" w:color="auto" w:sz="4" w:space="0"/>
              <w:left w:val="single" w:color="auto" w:sz="4" w:space="0"/>
              <w:bottom w:val="single" w:color="auto" w:sz="4" w:space="0"/>
              <w:right w:val="single" w:color="auto" w:sz="4" w:space="0"/>
            </w:tcBorders>
            <w:shd w:val="clear" w:color="auto" w:fill="auto"/>
            <w:vAlign w:val="center"/>
          </w:tcPr>
          <w:p w14:paraId="02DAA308">
            <w:pPr>
              <w:widowControl/>
              <w:spacing w:line="240" w:lineRule="auto"/>
              <w:ind w:firstLine="0" w:firstLineChars="0"/>
              <w:rPr>
                <w:rFonts w:cs="Times New Roman"/>
                <w:kern w:val="0"/>
                <w:sz w:val="21"/>
              </w:rPr>
            </w:pPr>
            <w:r>
              <w:rPr>
                <w:rFonts w:hint="eastAsia" w:eastAsia="宋体" w:cs="Times New Roman"/>
                <w:kern w:val="0"/>
                <w:sz w:val="21"/>
                <w:lang w:bidi="ar"/>
              </w:rPr>
              <w:t>98</w:t>
            </w:r>
            <w:r>
              <w:rPr>
                <w:rFonts w:eastAsia="宋体" w:cs="Times New Roman"/>
                <w:kern w:val="0"/>
                <w:sz w:val="21"/>
                <w:lang w:bidi="ar"/>
              </w:rPr>
              <w:t>%</w:t>
            </w:r>
            <w:r>
              <w:rPr>
                <w:rFonts w:hint="eastAsia" w:eastAsia="宋体" w:cs="Times New Roman"/>
                <w:kern w:val="0"/>
                <w:sz w:val="21"/>
                <w:lang w:bidi="ar"/>
              </w:rPr>
              <w:t>、4分、I级</w:t>
            </w:r>
          </w:p>
        </w:tc>
        <w:tc>
          <w:tcPr>
            <w:tcW w:w="1853" w:type="dxa"/>
            <w:tcBorders>
              <w:top w:val="single" w:color="auto" w:sz="4" w:space="0"/>
              <w:left w:val="single" w:color="auto" w:sz="4" w:space="0"/>
              <w:bottom w:val="single" w:color="auto" w:sz="4" w:space="0"/>
              <w:right w:val="single" w:color="auto" w:sz="4" w:space="0"/>
            </w:tcBorders>
            <w:shd w:val="clear" w:color="auto" w:fill="auto"/>
            <w:vAlign w:val="center"/>
          </w:tcPr>
          <w:p w14:paraId="45E29496">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503985DC">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0D63D60C">
      <w:pPr>
        <w:spacing w:line="240" w:lineRule="auto"/>
        <w:ind w:firstLine="240" w:firstLineChars="100"/>
        <w:rPr>
          <w:rFonts w:cs="Times New Roman"/>
        </w:rPr>
      </w:pPr>
    </w:p>
    <w:p w14:paraId="009BC838">
      <w:pPr>
        <w:pStyle w:val="3"/>
        <w:widowControl/>
        <w:spacing w:before="0" w:after="0" w:line="360" w:lineRule="auto"/>
        <w:rPr>
          <w:rFonts w:cs="Times New Roman"/>
        </w:rPr>
      </w:pPr>
      <w:bookmarkStart w:id="670" w:name="_Toc528880329"/>
      <w:bookmarkStart w:id="671" w:name="_Toc26727"/>
      <w:bookmarkStart w:id="672" w:name="_Toc527881123"/>
      <w:bookmarkStart w:id="673" w:name="_Toc11393"/>
      <w:bookmarkStart w:id="674" w:name="_Toc523306806"/>
      <w:bookmarkStart w:id="675" w:name="_Toc6427"/>
      <w:bookmarkStart w:id="676" w:name="_Toc16675073"/>
      <w:bookmarkStart w:id="677" w:name="_Toc528607297"/>
      <w:bookmarkStart w:id="678" w:name="_Toc18335"/>
      <w:bookmarkStart w:id="679" w:name="_Toc21856"/>
      <w:bookmarkStart w:id="680" w:name="_Toc526004968"/>
      <w:bookmarkStart w:id="681" w:name="_Toc22130"/>
      <w:r>
        <w:rPr>
          <w:rFonts w:cs="Times New Roman"/>
        </w:rPr>
        <w:t>4.5.4</w:t>
      </w:r>
      <w:r>
        <w:rPr>
          <w:rFonts w:hint="eastAsia" w:cs="Times New Roman"/>
        </w:rPr>
        <w:t>公共供水管网漏损率</w:t>
      </w:r>
      <w:bookmarkEnd w:id="670"/>
      <w:bookmarkEnd w:id="671"/>
      <w:bookmarkEnd w:id="672"/>
      <w:bookmarkEnd w:id="673"/>
      <w:bookmarkEnd w:id="674"/>
      <w:bookmarkEnd w:id="675"/>
      <w:bookmarkEnd w:id="676"/>
      <w:bookmarkEnd w:id="677"/>
      <w:bookmarkEnd w:id="678"/>
      <w:bookmarkEnd w:id="679"/>
      <w:bookmarkEnd w:id="680"/>
      <w:bookmarkEnd w:id="681"/>
    </w:p>
    <w:p w14:paraId="2ED31C21">
      <w:pPr>
        <w:ind w:firstLine="480"/>
        <w:rPr>
          <w:rFonts w:cs="Times New Roman"/>
        </w:rPr>
      </w:pPr>
      <w:r>
        <w:rPr>
          <w:rFonts w:hint="eastAsia" w:eastAsia="宋体" w:cs="Times New Roman"/>
          <w:lang w:bidi="ar"/>
        </w:rPr>
        <w:t>指公共供水企业产水总量与收费水量之差占产水总量比例</w:t>
      </w:r>
      <w:r>
        <w:rPr>
          <w:rFonts w:hint="eastAsia" w:eastAsia="宋体" w:cs="Times New Roman"/>
          <w:b/>
          <w:bCs/>
          <w:szCs w:val="24"/>
          <w:lang w:bidi="ar"/>
        </w:rPr>
        <w:t>（具体计算公式见附录1）</w:t>
      </w:r>
      <w:r>
        <w:rPr>
          <w:rFonts w:hint="eastAsia" w:eastAsia="宋体" w:cs="Times New Roman"/>
          <w:lang w:bidi="ar"/>
        </w:rPr>
        <w:t>。根据西区供水公司提供的数据，</w:t>
      </w:r>
      <w:r>
        <w:rPr>
          <w:rFonts w:eastAsia="宋体" w:cs="Times New Roman"/>
          <w:lang w:bidi="ar"/>
        </w:rPr>
        <w:t>2017</w:t>
      </w:r>
      <w:r>
        <w:rPr>
          <w:rFonts w:hint="eastAsia" w:eastAsia="宋体" w:cs="Times New Roman"/>
          <w:lang w:bidi="ar"/>
        </w:rPr>
        <w:t>年西区的公共供水管网漏损率为10.35</w:t>
      </w:r>
      <w:r>
        <w:rPr>
          <w:rFonts w:eastAsia="宋体" w:cs="Times New Roman"/>
          <w:lang w:bidi="ar"/>
        </w:rPr>
        <w:t>%</w:t>
      </w:r>
      <w:r>
        <w:rPr>
          <w:rFonts w:hint="eastAsia" w:eastAsia="宋体" w:cs="Times New Roman"/>
          <w:lang w:bidi="ar"/>
        </w:rPr>
        <w:t>。</w:t>
      </w:r>
      <w:r>
        <w:rPr>
          <w:rFonts w:hint="eastAsia" w:eastAsia="宋体" w:cs="宋体"/>
          <w:lang w:bidi="ar"/>
        </w:rPr>
        <w:t>根据</w:t>
      </w:r>
      <w:r>
        <w:rPr>
          <w:rFonts w:hint="eastAsia" w:eastAsia="宋体" w:cs="宋体"/>
          <w:szCs w:val="28"/>
          <w:lang w:bidi="ar"/>
        </w:rPr>
        <w:t>《中山市节水型社会建设和非常规水资源开发利用规划》和《中山市海绵城市专项规划》</w:t>
      </w:r>
      <w:r>
        <w:rPr>
          <w:rFonts w:hint="eastAsia" w:eastAsia="宋体" w:cs="宋体"/>
          <w:lang w:bidi="ar"/>
        </w:rPr>
        <w:t>，</w:t>
      </w:r>
      <w:r>
        <w:rPr>
          <w:rFonts w:hint="eastAsia" w:eastAsia="宋体" w:cs="Times New Roman"/>
          <w:lang w:bidi="ar"/>
        </w:rPr>
        <w:t>西区公共供水管网漏损率在</w:t>
      </w:r>
      <w:r>
        <w:rPr>
          <w:rFonts w:eastAsia="宋体" w:cs="Times New Roman"/>
          <w:lang w:bidi="ar"/>
        </w:rPr>
        <w:t>2020</w:t>
      </w:r>
      <w:r>
        <w:rPr>
          <w:rFonts w:hint="eastAsia" w:eastAsia="宋体" w:cs="Times New Roman"/>
          <w:lang w:bidi="ar"/>
        </w:rPr>
        <w:t>年应达到</w:t>
      </w:r>
      <w:r>
        <w:rPr>
          <w:rFonts w:eastAsia="宋体" w:cs="Times New Roman"/>
          <w:lang w:bidi="ar"/>
        </w:rPr>
        <w:t>10%</w:t>
      </w:r>
      <w:r>
        <w:rPr>
          <w:rFonts w:hint="eastAsia" w:eastAsia="宋体" w:cs="Times New Roman"/>
          <w:lang w:bidi="ar"/>
        </w:rPr>
        <w:t>，</w:t>
      </w:r>
      <w:r>
        <w:rPr>
          <w:rFonts w:eastAsia="宋体" w:cs="Times New Roman"/>
          <w:lang w:bidi="ar"/>
        </w:rPr>
        <w:t>2030</w:t>
      </w:r>
      <w:r>
        <w:rPr>
          <w:rFonts w:hint="eastAsia" w:eastAsia="宋体" w:cs="Times New Roman"/>
          <w:lang w:bidi="ar"/>
        </w:rPr>
        <w:t>年达到</w:t>
      </w:r>
      <w:r>
        <w:rPr>
          <w:rFonts w:eastAsia="宋体" w:cs="Times New Roman"/>
          <w:lang w:bidi="ar"/>
        </w:rPr>
        <w:t>8%</w:t>
      </w:r>
      <w:r>
        <w:rPr>
          <w:rFonts w:hint="eastAsia" w:eastAsia="宋体" w:cs="Times New Roman"/>
          <w:lang w:bidi="ar"/>
        </w:rPr>
        <w:t>，因此</w:t>
      </w:r>
      <w:r>
        <w:rPr>
          <w:rFonts w:eastAsia="宋体" w:cs="Times New Roman"/>
          <w:lang w:bidi="ar"/>
        </w:rPr>
        <w:t>2020</w:t>
      </w:r>
      <w:r>
        <w:rPr>
          <w:rFonts w:hint="eastAsia" w:eastAsia="宋体" w:cs="Times New Roman"/>
          <w:lang w:bidi="ar"/>
        </w:rPr>
        <w:t>年西区公共供水管网漏损率的规划目标值定为10</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年西区公共供水管网漏损率的规划目标值定为9</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年西区公共供水管网漏损率的规划目标值定为</w:t>
      </w:r>
      <w:r>
        <w:rPr>
          <w:rFonts w:eastAsia="宋体" w:cs="Times New Roman"/>
          <w:lang w:bidi="ar"/>
        </w:rPr>
        <w:t>8%</w:t>
      </w:r>
      <w:r>
        <w:rPr>
          <w:rFonts w:hint="eastAsia" w:eastAsia="宋体" w:cs="Times New Roman"/>
          <w:lang w:bidi="ar"/>
        </w:rPr>
        <w:t>（见表</w:t>
      </w:r>
      <w:r>
        <w:rPr>
          <w:rFonts w:eastAsia="宋体" w:cs="Times New Roman"/>
          <w:lang w:bidi="ar"/>
        </w:rPr>
        <w:t>4-2</w:t>
      </w:r>
      <w:r>
        <w:rPr>
          <w:rFonts w:hint="eastAsia" w:eastAsia="宋体" w:cs="Times New Roman"/>
          <w:lang w:bidi="ar"/>
        </w:rPr>
        <w:t>2），为了实现目标值，西区需要完善公共供水管网，对漏损的地方进行定期的检查并维修，更换残破管网。</w:t>
      </w:r>
    </w:p>
    <w:p w14:paraId="08DB04C2">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2</w:t>
      </w:r>
      <w:r>
        <w:rPr>
          <w:rFonts w:eastAsia="宋体" w:cs="Times New Roman"/>
          <w:sz w:val="21"/>
          <w:lang w:bidi="ar"/>
        </w:rPr>
        <w:t xml:space="preserve">  </w:t>
      </w:r>
      <w:r>
        <w:rPr>
          <w:rFonts w:hint="eastAsia" w:eastAsia="宋体" w:cs="Times New Roman"/>
          <w:sz w:val="21"/>
          <w:lang w:bidi="ar"/>
        </w:rPr>
        <w:t>西区公共供水管网漏损率现状与规划结果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8"/>
        <w:gridCol w:w="2148"/>
        <w:gridCol w:w="1800"/>
        <w:gridCol w:w="1688"/>
        <w:gridCol w:w="1564"/>
      </w:tblGrid>
      <w:tr w14:paraId="3BDA5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328" w:type="dxa"/>
            <w:tcBorders>
              <w:top w:val="single" w:color="auto" w:sz="4" w:space="0"/>
              <w:left w:val="single" w:color="auto" w:sz="4" w:space="0"/>
              <w:bottom w:val="single" w:color="auto" w:sz="4" w:space="0"/>
              <w:right w:val="single" w:color="auto" w:sz="4" w:space="0"/>
            </w:tcBorders>
            <w:shd w:val="clear" w:color="auto" w:fill="auto"/>
            <w:vAlign w:val="center"/>
          </w:tcPr>
          <w:p w14:paraId="57D0E1F5">
            <w:pPr>
              <w:spacing w:line="240" w:lineRule="exact"/>
              <w:ind w:firstLine="0" w:firstLineChars="0"/>
              <w:jc w:val="center"/>
              <w:rPr>
                <w:sz w:val="21"/>
              </w:rPr>
            </w:pPr>
            <w:r>
              <w:rPr>
                <w:rFonts w:hint="eastAsia" w:eastAsia="宋体" w:cs="宋体"/>
                <w:sz w:val="21"/>
                <w:lang w:bidi="ar"/>
              </w:rPr>
              <w:t>指标</w:t>
            </w:r>
          </w:p>
        </w:tc>
        <w:tc>
          <w:tcPr>
            <w:tcW w:w="2148" w:type="dxa"/>
            <w:tcBorders>
              <w:top w:val="single" w:color="auto" w:sz="4" w:space="0"/>
              <w:left w:val="single" w:color="auto" w:sz="4" w:space="0"/>
              <w:bottom w:val="single" w:color="auto" w:sz="4" w:space="0"/>
              <w:right w:val="single" w:color="auto" w:sz="4" w:space="0"/>
            </w:tcBorders>
            <w:shd w:val="clear" w:color="auto" w:fill="auto"/>
            <w:vAlign w:val="center"/>
          </w:tcPr>
          <w:p w14:paraId="743894C3">
            <w:pPr>
              <w:spacing w:line="240" w:lineRule="exact"/>
              <w:ind w:firstLine="0" w:firstLineChars="0"/>
              <w:jc w:val="center"/>
              <w:rPr>
                <w:sz w:val="21"/>
              </w:rPr>
            </w:pPr>
            <w:r>
              <w:rPr>
                <w:rFonts w:eastAsia="宋体" w:cs="Times New Roman"/>
                <w:sz w:val="21"/>
                <w:lang w:bidi="ar"/>
              </w:rPr>
              <w:t>2017</w:t>
            </w:r>
            <w:r>
              <w:rPr>
                <w:rFonts w:hint="eastAsia" w:eastAsia="宋体" w:cs="宋体"/>
                <w:sz w:val="21"/>
                <w:lang w:bidi="ar"/>
              </w:rPr>
              <w:t>年现状值与指标分级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3516B73A">
            <w:pPr>
              <w:spacing w:line="240" w:lineRule="exact"/>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688" w:type="dxa"/>
            <w:tcBorders>
              <w:top w:val="single" w:color="auto" w:sz="4" w:space="0"/>
              <w:left w:val="single" w:color="auto" w:sz="4" w:space="0"/>
              <w:bottom w:val="single" w:color="auto" w:sz="4" w:space="0"/>
              <w:right w:val="single" w:color="auto" w:sz="4" w:space="0"/>
            </w:tcBorders>
            <w:shd w:val="clear" w:color="auto" w:fill="auto"/>
            <w:vAlign w:val="center"/>
          </w:tcPr>
          <w:p w14:paraId="1DAB0133">
            <w:pPr>
              <w:spacing w:line="240" w:lineRule="exact"/>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564" w:type="dxa"/>
            <w:tcBorders>
              <w:top w:val="single" w:color="auto" w:sz="4" w:space="0"/>
              <w:left w:val="single" w:color="auto" w:sz="4" w:space="0"/>
              <w:bottom w:val="single" w:color="auto" w:sz="4" w:space="0"/>
              <w:right w:val="single" w:color="auto" w:sz="4" w:space="0"/>
            </w:tcBorders>
            <w:shd w:val="clear" w:color="auto" w:fill="auto"/>
            <w:vAlign w:val="center"/>
          </w:tcPr>
          <w:p w14:paraId="5D0E4ED2">
            <w:pPr>
              <w:spacing w:line="240" w:lineRule="exact"/>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0D9A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328" w:type="dxa"/>
            <w:tcBorders>
              <w:top w:val="single" w:color="auto" w:sz="4" w:space="0"/>
              <w:left w:val="single" w:color="auto" w:sz="4" w:space="0"/>
              <w:bottom w:val="single" w:color="auto" w:sz="4" w:space="0"/>
              <w:right w:val="single" w:color="auto" w:sz="4" w:space="0"/>
            </w:tcBorders>
            <w:shd w:val="clear" w:color="auto" w:fill="auto"/>
            <w:vAlign w:val="center"/>
          </w:tcPr>
          <w:p w14:paraId="1899B90C">
            <w:pPr>
              <w:spacing w:line="240" w:lineRule="auto"/>
              <w:ind w:firstLine="0" w:firstLineChars="0"/>
              <w:jc w:val="center"/>
              <w:rPr>
                <w:sz w:val="21"/>
              </w:rPr>
            </w:pPr>
            <w:r>
              <w:rPr>
                <w:rFonts w:hint="eastAsia" w:eastAsia="宋体" w:cs="宋体"/>
                <w:kern w:val="0"/>
                <w:sz w:val="21"/>
                <w:lang w:bidi="ar"/>
              </w:rPr>
              <w:t>公共供水管网漏损率</w:t>
            </w:r>
          </w:p>
        </w:tc>
        <w:tc>
          <w:tcPr>
            <w:tcW w:w="2148" w:type="dxa"/>
            <w:tcBorders>
              <w:top w:val="single" w:color="auto" w:sz="4" w:space="0"/>
              <w:left w:val="single" w:color="auto" w:sz="4" w:space="0"/>
              <w:bottom w:val="single" w:color="auto" w:sz="4" w:space="0"/>
              <w:right w:val="single" w:color="auto" w:sz="4" w:space="0"/>
            </w:tcBorders>
            <w:shd w:val="clear" w:color="auto" w:fill="auto"/>
            <w:vAlign w:val="center"/>
          </w:tcPr>
          <w:p w14:paraId="36B97199">
            <w:pPr>
              <w:widowControl/>
              <w:spacing w:line="240" w:lineRule="auto"/>
              <w:ind w:firstLine="0" w:firstLineChars="0"/>
              <w:jc w:val="center"/>
              <w:rPr>
                <w:kern w:val="0"/>
                <w:sz w:val="21"/>
              </w:rPr>
            </w:pPr>
            <w:r>
              <w:rPr>
                <w:rFonts w:hint="eastAsia" w:eastAsia="宋体" w:cs="Times New Roman"/>
                <w:kern w:val="0"/>
                <w:sz w:val="21"/>
                <w:lang w:bidi="ar"/>
              </w:rPr>
              <w:t>10.35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2ECD5AD8">
            <w:pPr>
              <w:widowControl/>
              <w:spacing w:line="240" w:lineRule="auto"/>
              <w:ind w:firstLine="0" w:firstLineChars="0"/>
              <w:jc w:val="center"/>
              <w:rPr>
                <w:kern w:val="0"/>
                <w:sz w:val="21"/>
              </w:rPr>
            </w:pPr>
            <w:r>
              <w:rPr>
                <w:rFonts w:hint="eastAsia" w:eastAsia="宋体" w:cs="Times New Roman"/>
                <w:kern w:val="0"/>
                <w:sz w:val="21"/>
                <w:lang w:bidi="ar"/>
              </w:rPr>
              <w:t>10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688" w:type="dxa"/>
            <w:tcBorders>
              <w:top w:val="single" w:color="auto" w:sz="4" w:space="0"/>
              <w:left w:val="single" w:color="auto" w:sz="4" w:space="0"/>
              <w:bottom w:val="single" w:color="auto" w:sz="4" w:space="0"/>
              <w:right w:val="single" w:color="auto" w:sz="4" w:space="0"/>
            </w:tcBorders>
            <w:shd w:val="clear" w:color="auto" w:fill="auto"/>
            <w:vAlign w:val="center"/>
          </w:tcPr>
          <w:p w14:paraId="5A113FF5">
            <w:pPr>
              <w:widowControl/>
              <w:spacing w:line="240" w:lineRule="auto"/>
              <w:ind w:firstLine="0" w:firstLineChars="0"/>
              <w:jc w:val="center"/>
              <w:rPr>
                <w:kern w:val="0"/>
                <w:sz w:val="21"/>
              </w:rPr>
            </w:pPr>
            <w:r>
              <w:rPr>
                <w:rFonts w:hint="eastAsia" w:eastAsia="宋体" w:cs="Times New Roman"/>
                <w:kern w:val="0"/>
                <w:sz w:val="21"/>
                <w:lang w:bidi="ar"/>
              </w:rPr>
              <w:t>9</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564" w:type="dxa"/>
            <w:tcBorders>
              <w:top w:val="single" w:color="auto" w:sz="4" w:space="0"/>
              <w:left w:val="single" w:color="auto" w:sz="4" w:space="0"/>
              <w:bottom w:val="single" w:color="auto" w:sz="4" w:space="0"/>
              <w:right w:val="single" w:color="auto" w:sz="4" w:space="0"/>
            </w:tcBorders>
            <w:shd w:val="clear" w:color="auto" w:fill="auto"/>
            <w:vAlign w:val="center"/>
          </w:tcPr>
          <w:p w14:paraId="6307FE3D">
            <w:pPr>
              <w:widowControl/>
              <w:spacing w:line="240" w:lineRule="auto"/>
              <w:ind w:firstLine="0" w:firstLineChars="0"/>
              <w:jc w:val="center"/>
              <w:rPr>
                <w:kern w:val="0"/>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1333E8F2">
      <w:pPr>
        <w:spacing w:line="240" w:lineRule="auto"/>
        <w:ind w:firstLine="480"/>
        <w:rPr>
          <w:rFonts w:cs="Times New Roman"/>
        </w:rPr>
      </w:pPr>
      <w:bookmarkStart w:id="682" w:name="_Toc526004969"/>
      <w:bookmarkStart w:id="683" w:name="_Toc527881124"/>
    </w:p>
    <w:p w14:paraId="7BF37E93">
      <w:pPr>
        <w:pStyle w:val="3"/>
        <w:widowControl/>
        <w:spacing w:before="0" w:after="0" w:line="360" w:lineRule="auto"/>
        <w:rPr>
          <w:rFonts w:cs="Times New Roman"/>
        </w:rPr>
      </w:pPr>
      <w:bookmarkStart w:id="684" w:name="_Toc5358"/>
      <w:bookmarkStart w:id="685" w:name="_Toc528607298"/>
      <w:bookmarkStart w:id="686" w:name="_Toc24767"/>
      <w:bookmarkStart w:id="687" w:name="_Toc15804"/>
      <w:bookmarkStart w:id="688" w:name="_Toc4464"/>
      <w:bookmarkStart w:id="689" w:name="_Toc528880330"/>
      <w:bookmarkStart w:id="690" w:name="_Toc23454"/>
      <w:bookmarkStart w:id="691" w:name="_Toc16675074"/>
      <w:bookmarkStart w:id="692" w:name="_Toc29316"/>
      <w:r>
        <w:rPr>
          <w:rFonts w:cs="Times New Roman"/>
        </w:rPr>
        <w:t>4.5.5</w:t>
      </w:r>
      <w:r>
        <w:rPr>
          <w:rFonts w:hint="eastAsia" w:cs="Times New Roman"/>
        </w:rPr>
        <w:t>工业用水重复利用率</w:t>
      </w:r>
      <w:bookmarkEnd w:id="682"/>
      <w:bookmarkEnd w:id="683"/>
      <w:bookmarkEnd w:id="684"/>
      <w:bookmarkEnd w:id="685"/>
      <w:bookmarkEnd w:id="686"/>
      <w:bookmarkEnd w:id="687"/>
      <w:bookmarkEnd w:id="688"/>
      <w:bookmarkEnd w:id="689"/>
      <w:bookmarkEnd w:id="690"/>
      <w:bookmarkEnd w:id="691"/>
      <w:bookmarkEnd w:id="692"/>
    </w:p>
    <w:p w14:paraId="52068D71">
      <w:pPr>
        <w:ind w:firstLine="480"/>
        <w:rPr>
          <w:rFonts w:cs="Times New Roman"/>
        </w:rPr>
      </w:pPr>
      <w:r>
        <w:rPr>
          <w:rFonts w:hint="eastAsia" w:eastAsia="宋体" w:cs="Times New Roman"/>
          <w:lang w:bidi="ar"/>
        </w:rPr>
        <w:t>由于工业用水重复利用率指标来自节水型社会建设，因此其指标分级参考水生态文明城市建设评价导则的万元工业增加值用水量相对值的分级</w:t>
      </w:r>
      <w:r>
        <w:rPr>
          <w:rFonts w:hint="eastAsia" w:eastAsia="宋体" w:cs="Times New Roman"/>
          <w:b/>
          <w:bCs/>
          <w:szCs w:val="24"/>
          <w:lang w:bidi="ar"/>
        </w:rPr>
        <w:t>（具体计算公式见附录1）</w:t>
      </w:r>
      <w:r>
        <w:rPr>
          <w:rFonts w:hint="eastAsia" w:eastAsia="宋体" w:cs="Times New Roman"/>
          <w:lang w:bidi="ar"/>
        </w:rPr>
        <w:t>。</w:t>
      </w:r>
    </w:p>
    <w:p w14:paraId="787E827A">
      <w:pPr>
        <w:ind w:firstLine="480"/>
        <w:rPr>
          <w:rFonts w:cs="Times New Roman"/>
        </w:rPr>
      </w:pPr>
      <w:r>
        <w:rPr>
          <w:rFonts w:hint="eastAsia" w:eastAsia="宋体" w:cs="Times New Roman"/>
          <w:lang w:bidi="ar"/>
        </w:rPr>
        <w:t>根据西区现状的中水回用情况，</w:t>
      </w:r>
      <w:r>
        <w:rPr>
          <w:rFonts w:eastAsia="宋体" w:cs="Times New Roman"/>
          <w:lang w:bidi="ar"/>
        </w:rPr>
        <w:t>2017</w:t>
      </w:r>
      <w:r>
        <w:rPr>
          <w:rFonts w:hint="eastAsia" w:eastAsia="宋体" w:cs="Times New Roman"/>
          <w:lang w:bidi="ar"/>
        </w:rPr>
        <w:t>年西区工业用水重复利用率为55</w:t>
      </w:r>
      <w:r>
        <w:rPr>
          <w:rFonts w:eastAsia="宋体" w:cs="Times New Roman"/>
          <w:lang w:bidi="ar"/>
        </w:rPr>
        <w:t>%</w:t>
      </w:r>
      <w:r>
        <w:rPr>
          <w:rFonts w:hint="eastAsia" w:eastAsia="宋体" w:cs="Times New Roman"/>
          <w:lang w:bidi="ar"/>
        </w:rPr>
        <w:t>。未来不断大力调整企业产品、工艺和用水结构，把节水技术改造作为增长方式转变和结构调整的根本措施来抓，促进企业生产工艺的优化和产品结构的升级，实现技术节水和结构节水。</w:t>
      </w:r>
      <w:r>
        <w:rPr>
          <w:rFonts w:hint="eastAsia" w:eastAsia="宋体" w:cs="宋体"/>
          <w:lang w:bidi="ar"/>
        </w:rPr>
        <w:t>根据《中山市生态建设与环境保护“十三五”规划》要求，</w:t>
      </w:r>
      <w:r>
        <w:rPr>
          <w:rFonts w:hint="eastAsia" w:eastAsia="宋体" w:cs="Times New Roman"/>
          <w:lang w:bidi="ar"/>
        </w:rPr>
        <w:t>规划水平年</w:t>
      </w:r>
      <w:r>
        <w:rPr>
          <w:rFonts w:eastAsia="宋体" w:cs="Times New Roman"/>
          <w:lang w:bidi="ar"/>
        </w:rPr>
        <w:t>2020</w:t>
      </w:r>
      <w:r>
        <w:rPr>
          <w:rFonts w:hint="eastAsia" w:eastAsia="宋体" w:cs="Times New Roman"/>
          <w:lang w:bidi="ar"/>
        </w:rPr>
        <w:t>年为</w:t>
      </w:r>
      <w:r>
        <w:rPr>
          <w:rFonts w:eastAsia="宋体" w:cs="Times New Roman"/>
          <w:lang w:bidi="ar"/>
        </w:rPr>
        <w:t>60%</w:t>
      </w:r>
      <w:r>
        <w:rPr>
          <w:rFonts w:hint="eastAsia" w:eastAsia="宋体" w:cs="Times New Roman"/>
          <w:lang w:bidi="ar"/>
        </w:rPr>
        <w:t>，规划水平年</w:t>
      </w:r>
      <w:r>
        <w:rPr>
          <w:rFonts w:eastAsia="宋体" w:cs="Times New Roman"/>
          <w:lang w:bidi="ar"/>
        </w:rPr>
        <w:t>2025</w:t>
      </w:r>
      <w:r>
        <w:rPr>
          <w:rFonts w:hint="eastAsia" w:eastAsia="宋体" w:cs="Times New Roman"/>
          <w:lang w:bidi="ar"/>
        </w:rPr>
        <w:t>年为65</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年为</w:t>
      </w:r>
      <w:r>
        <w:rPr>
          <w:rFonts w:eastAsia="宋体" w:cs="Times New Roman"/>
          <w:lang w:bidi="ar"/>
        </w:rPr>
        <w:t>7</w:t>
      </w:r>
      <w:r>
        <w:rPr>
          <w:rFonts w:hint="eastAsia" w:eastAsia="宋体" w:cs="Times New Roman"/>
          <w:lang w:bidi="ar"/>
        </w:rPr>
        <w:t>0</w:t>
      </w:r>
      <w:r>
        <w:rPr>
          <w:rFonts w:eastAsia="宋体" w:cs="Times New Roman"/>
          <w:lang w:bidi="ar"/>
        </w:rPr>
        <w:t>%</w:t>
      </w:r>
      <w:r>
        <w:rPr>
          <w:rFonts w:hint="eastAsia" w:eastAsia="宋体" w:cs="Times New Roman"/>
          <w:lang w:bidi="ar"/>
        </w:rPr>
        <w:t>（见表</w:t>
      </w:r>
      <w:r>
        <w:rPr>
          <w:rFonts w:eastAsia="宋体" w:cs="Times New Roman"/>
          <w:lang w:bidi="ar"/>
        </w:rPr>
        <w:t>4-2</w:t>
      </w:r>
      <w:r>
        <w:rPr>
          <w:rFonts w:hint="eastAsia" w:eastAsia="宋体" w:cs="Times New Roman"/>
          <w:lang w:bidi="ar"/>
        </w:rPr>
        <w:t>3）。</w:t>
      </w:r>
    </w:p>
    <w:p w14:paraId="6DD59E90">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3</w:t>
      </w:r>
      <w:r>
        <w:rPr>
          <w:rFonts w:eastAsia="宋体" w:cs="Times New Roman"/>
          <w:sz w:val="21"/>
          <w:lang w:bidi="ar"/>
        </w:rPr>
        <w:t xml:space="preserve">  </w:t>
      </w:r>
      <w:r>
        <w:rPr>
          <w:rFonts w:hint="eastAsia" w:eastAsia="宋体" w:cs="Times New Roman"/>
          <w:sz w:val="21"/>
          <w:lang w:bidi="ar"/>
        </w:rPr>
        <w:t>西区工业用水重复利用率现状与规划结果</w:t>
      </w:r>
    </w:p>
    <w:tbl>
      <w:tblPr>
        <w:tblStyle w:val="25"/>
        <w:tblW w:w="8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729"/>
        <w:gridCol w:w="1730"/>
        <w:gridCol w:w="1962"/>
        <w:gridCol w:w="1819"/>
      </w:tblGrid>
      <w:tr w14:paraId="61B5F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27089390">
            <w:pPr>
              <w:spacing w:line="240" w:lineRule="auto"/>
              <w:ind w:firstLine="0" w:firstLineChars="0"/>
              <w:jc w:val="center"/>
              <w:rPr>
                <w:sz w:val="21"/>
              </w:rPr>
            </w:pPr>
            <w:r>
              <w:rPr>
                <w:rFonts w:hint="eastAsia" w:eastAsia="宋体" w:cs="宋体"/>
                <w:sz w:val="21"/>
                <w:lang w:bidi="ar"/>
              </w:rPr>
              <w:t>指标</w:t>
            </w:r>
          </w:p>
        </w:tc>
        <w:tc>
          <w:tcPr>
            <w:tcW w:w="1729" w:type="dxa"/>
            <w:tcBorders>
              <w:top w:val="single" w:color="auto" w:sz="4" w:space="0"/>
              <w:left w:val="single" w:color="auto" w:sz="4" w:space="0"/>
              <w:bottom w:val="single" w:color="auto" w:sz="4" w:space="0"/>
              <w:right w:val="single" w:color="auto" w:sz="4" w:space="0"/>
            </w:tcBorders>
            <w:shd w:val="clear" w:color="auto" w:fill="auto"/>
            <w:vAlign w:val="center"/>
          </w:tcPr>
          <w:p w14:paraId="766B6E25">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w:t>
            </w:r>
            <w:r>
              <w:rPr>
                <w:rFonts w:hint="eastAsia" w:eastAsia="宋体" w:cs="宋体"/>
                <w:kern w:val="0"/>
                <w:sz w:val="21"/>
                <w:lang w:bidi="ar"/>
              </w:rPr>
              <w:t>现状值</w:t>
            </w:r>
            <w:r>
              <w:rPr>
                <w:rFonts w:hint="eastAsia" w:eastAsia="宋体" w:cs="宋体"/>
                <w:sz w:val="21"/>
                <w:lang w:bidi="ar"/>
              </w:rPr>
              <w:t>与指标分级</w:t>
            </w:r>
          </w:p>
        </w:tc>
        <w:tc>
          <w:tcPr>
            <w:tcW w:w="1730" w:type="dxa"/>
            <w:tcBorders>
              <w:top w:val="single" w:color="auto" w:sz="4" w:space="0"/>
              <w:left w:val="single" w:color="auto" w:sz="4" w:space="0"/>
              <w:bottom w:val="single" w:color="auto" w:sz="4" w:space="0"/>
              <w:right w:val="single" w:color="auto" w:sz="4" w:space="0"/>
            </w:tcBorders>
            <w:shd w:val="clear" w:color="auto" w:fill="auto"/>
            <w:vAlign w:val="center"/>
          </w:tcPr>
          <w:p w14:paraId="21BEB75B">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962" w:type="dxa"/>
            <w:tcBorders>
              <w:top w:val="single" w:color="auto" w:sz="4" w:space="0"/>
              <w:left w:val="single" w:color="auto" w:sz="4" w:space="0"/>
              <w:bottom w:val="single" w:color="auto" w:sz="4" w:space="0"/>
              <w:right w:val="single" w:color="auto" w:sz="4" w:space="0"/>
            </w:tcBorders>
            <w:shd w:val="clear" w:color="auto" w:fill="auto"/>
            <w:vAlign w:val="center"/>
          </w:tcPr>
          <w:p w14:paraId="01C23430">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4B056833">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9090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4E23D7D8">
            <w:pPr>
              <w:spacing w:line="240" w:lineRule="auto"/>
              <w:ind w:firstLine="0" w:firstLineChars="0"/>
              <w:jc w:val="center"/>
              <w:rPr>
                <w:sz w:val="21"/>
              </w:rPr>
            </w:pPr>
            <w:r>
              <w:rPr>
                <w:rFonts w:hint="eastAsia" w:eastAsia="宋体" w:cs="宋体"/>
                <w:kern w:val="0"/>
                <w:sz w:val="21"/>
                <w:lang w:bidi="ar"/>
              </w:rPr>
              <w:t>工业用水重复利用率</w:t>
            </w:r>
          </w:p>
        </w:tc>
        <w:tc>
          <w:tcPr>
            <w:tcW w:w="1729" w:type="dxa"/>
            <w:tcBorders>
              <w:top w:val="single" w:color="auto" w:sz="4" w:space="0"/>
              <w:left w:val="single" w:color="auto" w:sz="4" w:space="0"/>
              <w:bottom w:val="single" w:color="auto" w:sz="4" w:space="0"/>
              <w:right w:val="single" w:color="auto" w:sz="4" w:space="0"/>
            </w:tcBorders>
            <w:shd w:val="clear" w:color="auto" w:fill="auto"/>
            <w:vAlign w:val="center"/>
          </w:tcPr>
          <w:p w14:paraId="6EE25D10">
            <w:pPr>
              <w:widowControl/>
              <w:spacing w:line="240" w:lineRule="auto"/>
              <w:ind w:firstLine="0" w:firstLineChars="0"/>
              <w:jc w:val="center"/>
              <w:rPr>
                <w:kern w:val="0"/>
                <w:sz w:val="21"/>
              </w:rPr>
            </w:pPr>
            <w:r>
              <w:rPr>
                <w:rFonts w:hint="eastAsia" w:eastAsia="宋体" w:cs="Times New Roman"/>
                <w:kern w:val="0"/>
                <w:sz w:val="21"/>
                <w:lang w:bidi="ar"/>
              </w:rPr>
              <w:t>55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1</w:t>
            </w:r>
            <w:r>
              <w:rPr>
                <w:rFonts w:hint="eastAsia" w:eastAsia="宋体" w:cs="宋体"/>
                <w:kern w:val="0"/>
                <w:sz w:val="21"/>
                <w:lang w:bidi="ar"/>
              </w:rPr>
              <w:t>分、I</w:t>
            </w:r>
            <w:r>
              <w:rPr>
                <w:rFonts w:eastAsia="宋体" w:cs="Times New Roman"/>
                <w:kern w:val="0"/>
                <w:sz w:val="21"/>
                <w:lang w:bidi="ar"/>
              </w:rPr>
              <w:t>V</w:t>
            </w:r>
            <w:r>
              <w:rPr>
                <w:rFonts w:hint="eastAsia" w:eastAsia="宋体" w:cs="宋体"/>
                <w:kern w:val="0"/>
                <w:sz w:val="21"/>
                <w:lang w:bidi="ar"/>
              </w:rPr>
              <w:t>级</w:t>
            </w:r>
          </w:p>
        </w:tc>
        <w:tc>
          <w:tcPr>
            <w:tcW w:w="1730" w:type="dxa"/>
            <w:tcBorders>
              <w:top w:val="single" w:color="auto" w:sz="4" w:space="0"/>
              <w:left w:val="single" w:color="auto" w:sz="4" w:space="0"/>
              <w:bottom w:val="single" w:color="auto" w:sz="4" w:space="0"/>
              <w:right w:val="single" w:color="auto" w:sz="4" w:space="0"/>
            </w:tcBorders>
            <w:shd w:val="clear" w:color="auto" w:fill="auto"/>
            <w:vAlign w:val="center"/>
          </w:tcPr>
          <w:p w14:paraId="2DCFF93D">
            <w:pPr>
              <w:widowControl/>
              <w:spacing w:line="240" w:lineRule="auto"/>
              <w:ind w:firstLine="0" w:firstLineChars="0"/>
              <w:jc w:val="center"/>
              <w:rPr>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962" w:type="dxa"/>
            <w:tcBorders>
              <w:top w:val="single" w:color="auto" w:sz="4" w:space="0"/>
              <w:left w:val="single" w:color="auto" w:sz="4" w:space="0"/>
              <w:bottom w:val="single" w:color="auto" w:sz="4" w:space="0"/>
              <w:right w:val="single" w:color="auto" w:sz="4" w:space="0"/>
            </w:tcBorders>
            <w:shd w:val="clear" w:color="auto" w:fill="auto"/>
            <w:vAlign w:val="center"/>
          </w:tcPr>
          <w:p w14:paraId="003DCDC2">
            <w:pPr>
              <w:widowControl/>
              <w:spacing w:line="240" w:lineRule="auto"/>
              <w:ind w:firstLine="0" w:firstLineChars="0"/>
              <w:jc w:val="center"/>
              <w:rPr>
                <w:kern w:val="0"/>
                <w:sz w:val="21"/>
              </w:rPr>
            </w:pPr>
            <w:r>
              <w:rPr>
                <w:rFonts w:hint="eastAsia" w:eastAsia="宋体" w:cs="Times New Roman"/>
                <w:kern w:val="0"/>
                <w:sz w:val="21"/>
                <w:lang w:bidi="ar"/>
              </w:rPr>
              <w:t>65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7F5511C1">
            <w:pPr>
              <w:widowControl/>
              <w:spacing w:line="240" w:lineRule="auto"/>
              <w:ind w:firstLine="0" w:firstLineChars="0"/>
              <w:rPr>
                <w:kern w:val="0"/>
                <w:sz w:val="21"/>
              </w:rPr>
            </w:pPr>
            <w:r>
              <w:rPr>
                <w:rFonts w:eastAsia="宋体" w:cs="Times New Roman"/>
                <w:kern w:val="0"/>
                <w:sz w:val="21"/>
                <w:lang w:bidi="ar"/>
              </w:rPr>
              <w:t>7</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r>
    </w:tbl>
    <w:p w14:paraId="218209C0">
      <w:pPr>
        <w:spacing w:line="240" w:lineRule="auto"/>
        <w:ind w:firstLine="240" w:firstLineChars="100"/>
        <w:rPr>
          <w:rFonts w:cs="Times New Roman"/>
        </w:rPr>
      </w:pPr>
    </w:p>
    <w:p w14:paraId="54BEE6B5">
      <w:pPr>
        <w:pStyle w:val="3"/>
        <w:widowControl/>
        <w:spacing w:before="0" w:after="0" w:line="360" w:lineRule="auto"/>
        <w:rPr>
          <w:rFonts w:cs="Times New Roman"/>
        </w:rPr>
      </w:pPr>
      <w:bookmarkStart w:id="693" w:name="_Toc526004970"/>
      <w:bookmarkStart w:id="694" w:name="_Toc24117"/>
      <w:bookmarkStart w:id="695" w:name="_Toc528880331"/>
      <w:bookmarkStart w:id="696" w:name="_Toc528607299"/>
      <w:bookmarkStart w:id="697" w:name="_Toc21880"/>
      <w:bookmarkStart w:id="698" w:name="_Toc25602"/>
      <w:bookmarkStart w:id="699" w:name="_Toc18039"/>
      <w:bookmarkStart w:id="700" w:name="_Toc527881125"/>
      <w:bookmarkStart w:id="701" w:name="_Toc24187"/>
      <w:bookmarkStart w:id="702" w:name="_Toc17454"/>
      <w:bookmarkStart w:id="703" w:name="_Toc16675075"/>
      <w:r>
        <w:rPr>
          <w:rFonts w:cs="Times New Roman"/>
        </w:rPr>
        <w:t>4.5.6</w:t>
      </w:r>
      <w:bookmarkEnd w:id="693"/>
      <w:r>
        <w:rPr>
          <w:rFonts w:hint="eastAsia" w:cs="Times New Roman"/>
        </w:rPr>
        <w:t>非常规水资源利用率</w:t>
      </w:r>
      <w:bookmarkEnd w:id="694"/>
      <w:bookmarkEnd w:id="695"/>
      <w:bookmarkEnd w:id="696"/>
      <w:bookmarkEnd w:id="697"/>
      <w:bookmarkEnd w:id="698"/>
      <w:bookmarkEnd w:id="699"/>
      <w:bookmarkEnd w:id="700"/>
      <w:bookmarkEnd w:id="701"/>
      <w:bookmarkEnd w:id="702"/>
      <w:bookmarkEnd w:id="703"/>
    </w:p>
    <w:p w14:paraId="0E5CBD16">
      <w:pPr>
        <w:ind w:firstLine="480"/>
        <w:rPr>
          <w:rFonts w:cs="Times New Roman"/>
        </w:rPr>
      </w:pPr>
      <w:r>
        <w:rPr>
          <w:rFonts w:hint="eastAsia" w:eastAsia="宋体" w:cs="Times New Roman"/>
          <w:lang w:bidi="ar"/>
        </w:rPr>
        <w:t>由于非常规水资源利用率指标来自节水型社会建设，因此其指标分级参考水生态文明城市建设评价导则的</w:t>
      </w:r>
      <w:r>
        <w:rPr>
          <w:rFonts w:hint="eastAsia" w:eastAsia="宋体" w:cs="宋体"/>
          <w:lang w:bidi="ar"/>
        </w:rPr>
        <w:t>万元工业增加值用水量相对值的分级</w:t>
      </w:r>
      <w:r>
        <w:rPr>
          <w:rFonts w:hint="eastAsia" w:eastAsia="宋体" w:cs="Times New Roman"/>
          <w:b/>
          <w:bCs/>
          <w:szCs w:val="24"/>
          <w:lang w:bidi="ar"/>
        </w:rPr>
        <w:t>（具体计算公式见附录1）</w:t>
      </w:r>
      <w:r>
        <w:rPr>
          <w:rFonts w:hint="eastAsia" w:eastAsia="宋体" w:cs="Times New Roman"/>
          <w:lang w:bidi="ar"/>
        </w:rPr>
        <w:t>。</w:t>
      </w:r>
    </w:p>
    <w:p w14:paraId="0FFDCBBE">
      <w:pPr>
        <w:ind w:firstLine="480"/>
        <w:rPr>
          <w:rFonts w:cs="Times New Roman"/>
        </w:rPr>
      </w:pPr>
      <w:r>
        <w:rPr>
          <w:rFonts w:hint="eastAsia" w:eastAsia="宋体" w:cs="Times New Roman"/>
          <w:lang w:bidi="ar"/>
        </w:rPr>
        <w:t>西区的水资源开发利用主要以地表水为主，对于再生水、雨水等非常规水源的开发利用尚未起步，目前西区只对部分工业的中水进行回用，非常规水源的开发利用潜力空间巨大，有效地开发、利用非常规水源将可以减少地表水的利用。西区目前没有对非常规水资源进行开发利用，因此</w:t>
      </w:r>
      <w:r>
        <w:rPr>
          <w:rFonts w:eastAsia="宋体" w:cs="Times New Roman"/>
          <w:lang w:bidi="ar"/>
        </w:rPr>
        <w:t>2017</w:t>
      </w:r>
      <w:r>
        <w:rPr>
          <w:rFonts w:hint="eastAsia" w:eastAsia="宋体" w:cs="Times New Roman"/>
          <w:lang w:bidi="ar"/>
        </w:rPr>
        <w:t>年西区非常规水资源利用率为8</w:t>
      </w:r>
      <w:r>
        <w:rPr>
          <w:rFonts w:eastAsia="宋体" w:cs="Times New Roman"/>
          <w:lang w:bidi="ar"/>
        </w:rPr>
        <w:t>%</w:t>
      </w:r>
      <w:r>
        <w:rPr>
          <w:rFonts w:hint="eastAsia" w:eastAsia="宋体" w:cs="Times New Roman"/>
          <w:lang w:bidi="ar"/>
        </w:rPr>
        <w:t>。</w:t>
      </w:r>
      <w:r>
        <w:rPr>
          <w:rFonts w:hint="eastAsia" w:eastAsia="宋体" w:cs="宋体"/>
          <w:lang w:bidi="ar"/>
        </w:rPr>
        <w:t>根据《</w:t>
      </w:r>
      <w:r>
        <w:rPr>
          <w:rFonts w:hint="eastAsia" w:eastAsia="宋体" w:cs="宋体"/>
          <w:szCs w:val="28"/>
          <w:lang w:bidi="ar"/>
        </w:rPr>
        <w:t>中山市节水型社会建设和非常规水资源开发利用规划</w:t>
      </w:r>
      <w:r>
        <w:rPr>
          <w:rFonts w:hint="eastAsia" w:eastAsia="宋体" w:cs="宋体"/>
          <w:lang w:bidi="ar"/>
        </w:rPr>
        <w:t>》要求，西区规划水平年</w:t>
      </w:r>
      <w:r>
        <w:rPr>
          <w:rFonts w:eastAsia="宋体" w:cs="Times New Roman"/>
          <w:lang w:bidi="ar"/>
        </w:rPr>
        <w:t>2020</w:t>
      </w:r>
      <w:r>
        <w:rPr>
          <w:rFonts w:hint="eastAsia" w:eastAsia="宋体" w:cs="宋体"/>
          <w:lang w:bidi="ar"/>
        </w:rPr>
        <w:t>年非常规水资源利用率为</w:t>
      </w:r>
      <w:r>
        <w:rPr>
          <w:rFonts w:eastAsia="宋体" w:cs="Times New Roman"/>
          <w:lang w:bidi="ar"/>
        </w:rPr>
        <w:t>8.33%</w:t>
      </w:r>
      <w:r>
        <w:rPr>
          <w:rFonts w:hint="eastAsia" w:eastAsia="宋体" w:cs="宋体"/>
          <w:lang w:bidi="ar"/>
        </w:rPr>
        <w:t>，</w:t>
      </w:r>
      <w:r>
        <w:rPr>
          <w:rFonts w:eastAsia="宋体" w:cs="Times New Roman"/>
          <w:lang w:bidi="ar"/>
        </w:rPr>
        <w:t>2025</w:t>
      </w:r>
      <w:r>
        <w:rPr>
          <w:rFonts w:hint="eastAsia" w:eastAsia="宋体" w:cs="宋体"/>
          <w:lang w:bidi="ar"/>
        </w:rPr>
        <w:t>年为</w:t>
      </w:r>
      <w:r>
        <w:rPr>
          <w:rFonts w:eastAsia="宋体" w:cs="Times New Roman"/>
          <w:lang w:bidi="ar"/>
        </w:rPr>
        <w:t>8.8%</w:t>
      </w:r>
      <w:r>
        <w:rPr>
          <w:rFonts w:hint="eastAsia" w:eastAsia="宋体" w:cs="宋体"/>
          <w:lang w:bidi="ar"/>
        </w:rPr>
        <w:t>，</w:t>
      </w:r>
      <w:r>
        <w:rPr>
          <w:rFonts w:eastAsia="宋体" w:cs="Times New Roman"/>
          <w:lang w:bidi="ar"/>
        </w:rPr>
        <w:t>2030</w:t>
      </w:r>
      <w:r>
        <w:rPr>
          <w:rFonts w:hint="eastAsia" w:eastAsia="宋体" w:cs="宋体"/>
          <w:lang w:bidi="ar"/>
        </w:rPr>
        <w:t>年为</w:t>
      </w:r>
      <w:r>
        <w:rPr>
          <w:rFonts w:eastAsia="宋体" w:cs="Times New Roman"/>
          <w:lang w:bidi="ar"/>
        </w:rPr>
        <w:t>9.43%</w:t>
      </w:r>
      <w:r>
        <w:rPr>
          <w:rFonts w:hint="eastAsia" w:eastAsia="宋体" w:cs="Times New Roman"/>
          <w:lang w:bidi="ar"/>
        </w:rPr>
        <w:t>（见表</w:t>
      </w:r>
      <w:r>
        <w:rPr>
          <w:rFonts w:eastAsia="宋体" w:cs="Times New Roman"/>
          <w:lang w:bidi="ar"/>
        </w:rPr>
        <w:t>4-2</w:t>
      </w:r>
      <w:r>
        <w:rPr>
          <w:rFonts w:hint="eastAsia" w:eastAsia="宋体" w:cs="Times New Roman"/>
          <w:lang w:bidi="ar"/>
        </w:rPr>
        <w:t>4）。</w:t>
      </w:r>
    </w:p>
    <w:p w14:paraId="7B87622B">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4</w:t>
      </w:r>
      <w:r>
        <w:rPr>
          <w:rFonts w:eastAsia="宋体" w:cs="Times New Roman"/>
          <w:sz w:val="21"/>
          <w:lang w:bidi="ar"/>
        </w:rPr>
        <w:t xml:space="preserve">  </w:t>
      </w:r>
      <w:r>
        <w:rPr>
          <w:rFonts w:hint="eastAsia" w:eastAsia="宋体" w:cs="Times New Roman"/>
          <w:sz w:val="21"/>
          <w:lang w:bidi="ar"/>
        </w:rPr>
        <w:t>西区非常规水资源利用率现状与规划结果</w:t>
      </w:r>
    </w:p>
    <w:tbl>
      <w:tblPr>
        <w:tblStyle w:val="25"/>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1758"/>
        <w:gridCol w:w="1690"/>
        <w:gridCol w:w="1799"/>
        <w:gridCol w:w="1778"/>
      </w:tblGrid>
      <w:tr w14:paraId="1DC0A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5" w:type="dxa"/>
            <w:tcBorders>
              <w:top w:val="single" w:color="auto" w:sz="4" w:space="0"/>
              <w:left w:val="single" w:color="auto" w:sz="4" w:space="0"/>
              <w:bottom w:val="single" w:color="auto" w:sz="4" w:space="0"/>
              <w:right w:val="single" w:color="auto" w:sz="4" w:space="0"/>
            </w:tcBorders>
            <w:shd w:val="clear" w:color="auto" w:fill="auto"/>
            <w:vAlign w:val="center"/>
          </w:tcPr>
          <w:p w14:paraId="41BC9835">
            <w:pPr>
              <w:spacing w:line="240" w:lineRule="auto"/>
              <w:ind w:firstLine="0" w:firstLineChars="0"/>
              <w:jc w:val="center"/>
              <w:rPr>
                <w:sz w:val="21"/>
              </w:rPr>
            </w:pPr>
            <w:r>
              <w:rPr>
                <w:rFonts w:hint="eastAsia" w:eastAsia="宋体" w:cs="宋体"/>
                <w:sz w:val="21"/>
                <w:lang w:bidi="ar"/>
              </w:rPr>
              <w:t>指标</w:t>
            </w:r>
          </w:p>
        </w:tc>
        <w:tc>
          <w:tcPr>
            <w:tcW w:w="1758" w:type="dxa"/>
            <w:tcBorders>
              <w:top w:val="single" w:color="auto" w:sz="4" w:space="0"/>
              <w:left w:val="single" w:color="auto" w:sz="4" w:space="0"/>
              <w:bottom w:val="single" w:color="auto" w:sz="4" w:space="0"/>
              <w:right w:val="single" w:color="auto" w:sz="4" w:space="0"/>
            </w:tcBorders>
            <w:shd w:val="clear" w:color="auto" w:fill="auto"/>
            <w:vAlign w:val="center"/>
          </w:tcPr>
          <w:p w14:paraId="22C3F297">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w:t>
            </w:r>
            <w:r>
              <w:rPr>
                <w:rFonts w:hint="eastAsia" w:eastAsia="宋体" w:cs="宋体"/>
                <w:kern w:val="0"/>
                <w:sz w:val="21"/>
                <w:lang w:bidi="ar"/>
              </w:rPr>
              <w:t>现状值</w:t>
            </w:r>
            <w:r>
              <w:rPr>
                <w:rFonts w:hint="eastAsia" w:eastAsia="宋体" w:cs="宋体"/>
                <w:sz w:val="21"/>
                <w:lang w:bidi="ar"/>
              </w:rPr>
              <w:t>与指标分级</w:t>
            </w:r>
          </w:p>
        </w:tc>
        <w:tc>
          <w:tcPr>
            <w:tcW w:w="1690" w:type="dxa"/>
            <w:tcBorders>
              <w:top w:val="single" w:color="auto" w:sz="4" w:space="0"/>
              <w:left w:val="single" w:color="auto" w:sz="4" w:space="0"/>
              <w:bottom w:val="single" w:color="auto" w:sz="4" w:space="0"/>
              <w:right w:val="single" w:color="auto" w:sz="4" w:space="0"/>
            </w:tcBorders>
            <w:shd w:val="clear" w:color="auto" w:fill="auto"/>
            <w:vAlign w:val="center"/>
          </w:tcPr>
          <w:p w14:paraId="052EB9CA">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19E43F1C">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778" w:type="dxa"/>
            <w:tcBorders>
              <w:top w:val="single" w:color="auto" w:sz="4" w:space="0"/>
              <w:left w:val="single" w:color="auto" w:sz="4" w:space="0"/>
              <w:bottom w:val="single" w:color="auto" w:sz="4" w:space="0"/>
              <w:right w:val="single" w:color="auto" w:sz="4" w:space="0"/>
            </w:tcBorders>
            <w:shd w:val="clear" w:color="auto" w:fill="auto"/>
            <w:vAlign w:val="center"/>
          </w:tcPr>
          <w:p w14:paraId="68CEB835">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322BF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495" w:type="dxa"/>
            <w:tcBorders>
              <w:top w:val="single" w:color="auto" w:sz="4" w:space="0"/>
              <w:left w:val="single" w:color="auto" w:sz="4" w:space="0"/>
              <w:bottom w:val="single" w:color="auto" w:sz="4" w:space="0"/>
              <w:right w:val="single" w:color="auto" w:sz="4" w:space="0"/>
            </w:tcBorders>
            <w:shd w:val="clear" w:color="auto" w:fill="auto"/>
            <w:vAlign w:val="center"/>
          </w:tcPr>
          <w:p w14:paraId="6EFECE60">
            <w:pPr>
              <w:spacing w:line="240" w:lineRule="auto"/>
              <w:ind w:firstLine="0" w:firstLineChars="0"/>
              <w:jc w:val="center"/>
              <w:rPr>
                <w:sz w:val="21"/>
              </w:rPr>
            </w:pPr>
            <w:r>
              <w:rPr>
                <w:rFonts w:hint="eastAsia" w:eastAsia="宋体" w:cs="宋体"/>
                <w:kern w:val="0"/>
                <w:sz w:val="21"/>
                <w:lang w:bidi="ar"/>
              </w:rPr>
              <w:t>非常规水资源利用率</w:t>
            </w:r>
          </w:p>
        </w:tc>
        <w:tc>
          <w:tcPr>
            <w:tcW w:w="1758" w:type="dxa"/>
            <w:tcBorders>
              <w:top w:val="single" w:color="auto" w:sz="4" w:space="0"/>
              <w:left w:val="single" w:color="auto" w:sz="4" w:space="0"/>
              <w:bottom w:val="single" w:color="auto" w:sz="4" w:space="0"/>
              <w:right w:val="single" w:color="auto" w:sz="4" w:space="0"/>
            </w:tcBorders>
            <w:shd w:val="clear" w:color="auto" w:fill="auto"/>
            <w:vAlign w:val="center"/>
          </w:tcPr>
          <w:p w14:paraId="60322BA3">
            <w:pPr>
              <w:widowControl/>
              <w:spacing w:line="240" w:lineRule="auto"/>
              <w:ind w:firstLine="0" w:firstLineChars="0"/>
              <w:jc w:val="center"/>
              <w:rPr>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1690" w:type="dxa"/>
            <w:tcBorders>
              <w:top w:val="single" w:color="auto" w:sz="4" w:space="0"/>
              <w:left w:val="single" w:color="auto" w:sz="4" w:space="0"/>
              <w:bottom w:val="single" w:color="auto" w:sz="4" w:space="0"/>
              <w:right w:val="single" w:color="auto" w:sz="4" w:space="0"/>
            </w:tcBorders>
            <w:shd w:val="clear" w:color="auto" w:fill="auto"/>
            <w:vAlign w:val="center"/>
          </w:tcPr>
          <w:p w14:paraId="28464BE4">
            <w:pPr>
              <w:widowControl/>
              <w:spacing w:line="240" w:lineRule="auto"/>
              <w:ind w:firstLine="0" w:firstLineChars="0"/>
              <w:jc w:val="center"/>
              <w:rPr>
                <w:kern w:val="0"/>
                <w:sz w:val="21"/>
              </w:rPr>
            </w:pPr>
            <w:r>
              <w:rPr>
                <w:rFonts w:eastAsia="宋体" w:cs="Times New Roman"/>
                <w:kern w:val="0"/>
                <w:sz w:val="21"/>
                <w:lang w:bidi="ar"/>
              </w:rPr>
              <w:t>8.33%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p>
          <w:p w14:paraId="59A23AA9">
            <w:pPr>
              <w:widowControl/>
              <w:spacing w:line="240" w:lineRule="auto"/>
              <w:ind w:firstLine="0" w:firstLineChars="0"/>
              <w:jc w:val="center"/>
              <w:rPr>
                <w:kern w:val="0"/>
                <w:sz w:val="21"/>
              </w:rPr>
            </w:pPr>
            <w:r>
              <w:rPr>
                <w:rFonts w:eastAsia="宋体" w:cs="Times New Roman"/>
                <w:kern w:val="0"/>
                <w:sz w:val="21"/>
                <w:lang w:bidi="ar"/>
              </w:rPr>
              <w:t>V</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FA0BD27">
            <w:pPr>
              <w:widowControl/>
              <w:spacing w:line="240" w:lineRule="auto"/>
              <w:ind w:firstLine="0" w:firstLineChars="0"/>
              <w:jc w:val="center"/>
              <w:rPr>
                <w:kern w:val="0"/>
                <w:sz w:val="21"/>
              </w:rPr>
            </w:pPr>
            <w:r>
              <w:rPr>
                <w:rFonts w:eastAsia="宋体" w:cs="Times New Roman"/>
                <w:kern w:val="0"/>
                <w:sz w:val="21"/>
                <w:lang w:bidi="ar"/>
              </w:rPr>
              <w:t>8.8%</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1778" w:type="dxa"/>
            <w:tcBorders>
              <w:top w:val="single" w:color="auto" w:sz="4" w:space="0"/>
              <w:left w:val="single" w:color="auto" w:sz="4" w:space="0"/>
              <w:bottom w:val="single" w:color="auto" w:sz="4" w:space="0"/>
              <w:right w:val="single" w:color="auto" w:sz="4" w:space="0"/>
            </w:tcBorders>
            <w:shd w:val="clear" w:color="auto" w:fill="auto"/>
            <w:vAlign w:val="center"/>
          </w:tcPr>
          <w:p w14:paraId="239A5596">
            <w:pPr>
              <w:widowControl/>
              <w:spacing w:line="240" w:lineRule="auto"/>
              <w:ind w:firstLine="0" w:firstLineChars="0"/>
              <w:jc w:val="center"/>
              <w:rPr>
                <w:kern w:val="0"/>
                <w:sz w:val="21"/>
              </w:rPr>
            </w:pPr>
            <w:r>
              <w:rPr>
                <w:rFonts w:eastAsia="宋体" w:cs="Times New Roman"/>
                <w:kern w:val="0"/>
                <w:sz w:val="21"/>
                <w:lang w:bidi="ar"/>
              </w:rPr>
              <w:t>9.43%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r>
    </w:tbl>
    <w:p w14:paraId="442BEB2F">
      <w:pPr>
        <w:spacing w:line="240" w:lineRule="auto"/>
        <w:ind w:firstLine="240" w:firstLineChars="100"/>
        <w:rPr>
          <w:rFonts w:cs="Times New Roman"/>
        </w:rPr>
      </w:pPr>
    </w:p>
    <w:p w14:paraId="64E183A9">
      <w:pPr>
        <w:ind w:firstLine="480"/>
        <w:rPr>
          <w:rFonts w:eastAsia="宋体" w:cs="Times New Roman"/>
          <w:lang w:bidi="ar"/>
        </w:rPr>
      </w:pPr>
      <w:r>
        <w:rPr>
          <w:rFonts w:hint="eastAsia" w:eastAsia="宋体" w:cs="Times New Roman"/>
          <w:lang w:bidi="ar"/>
        </w:rPr>
        <w:t>综上述，西区水节约规划目标结果见表</w:t>
      </w:r>
      <w:r>
        <w:rPr>
          <w:rFonts w:eastAsia="宋体" w:cs="Times New Roman"/>
          <w:lang w:bidi="ar"/>
        </w:rPr>
        <w:t>4-2</w:t>
      </w:r>
      <w:r>
        <w:rPr>
          <w:rFonts w:hint="eastAsia" w:eastAsia="宋体" w:cs="Times New Roman"/>
          <w:lang w:bidi="ar"/>
        </w:rPr>
        <w:t>5。西区在农田灌溉水有效利用系数方面，现状与规划目标值相对较高，</w:t>
      </w:r>
      <w:r>
        <w:rPr>
          <w:rFonts w:hint="eastAsia" w:eastAsia="宋体" w:cs="宋体"/>
          <w:lang w:bidi="ar"/>
        </w:rPr>
        <w:t>根据</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eastAsia="宋体" w:cs="宋体"/>
          <w:lang w:bidi="ar"/>
        </w:rPr>
        <w:t>，未来西区农田面积将缩减，</w:t>
      </w:r>
      <w:r>
        <w:rPr>
          <w:rFonts w:hint="eastAsia" w:eastAsia="宋体" w:cs="Times New Roman"/>
          <w:lang w:bidi="ar"/>
        </w:rPr>
        <w:t>未来应结合当地自然条件和农业规划，进一步调整农业生产布局，实行区域性、连片性、集约性的生产经营方式，提高土地利用率。</w:t>
      </w:r>
    </w:p>
    <w:p w14:paraId="34C7EBA4">
      <w:pPr>
        <w:ind w:firstLine="480"/>
        <w:rPr>
          <w:rFonts w:cs="Times New Roman"/>
        </w:rPr>
      </w:pPr>
      <w:r>
        <w:rPr>
          <w:rFonts w:hint="eastAsia" w:eastAsia="宋体" w:cs="Times New Roman"/>
          <w:lang w:bidi="ar"/>
        </w:rPr>
        <w:t>要进一步提高万元工业增加值用水量和工业用水重复利用率，应抓紧节水型企业建设、继续加强工业企业水平衡测试与用水计划管理、系统节水改造及清洁生产等措施。重点推进日用化工行业、造纸行业的节水改造，建设一批工业节水示范项目，推广工业企业节水技术。不断提高生活节水器具普及率和公共供水管网漏损率，应大力推动居民生活用水定额管理，加快改造城市供水管网，加强供水管网水量、水质监控，完善城市供水监测系统，强化用水管理，合理利用多种水源，强制使用节水及计量设备和器具，推广节水器具、改进施工技术等控制建筑业用水量等。重点推进供水管网改造、供水管网网监测、节水器具推广和节水型社区、节水型学校、节水型单位建设，建设一批生活节水型示范工程。西区的非常规水资源利用率较低，未来应开发利用再生水、雨水等非常规水源，进一步节约水资源。</w:t>
      </w:r>
    </w:p>
    <w:p w14:paraId="7E66932A">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5</w:t>
      </w:r>
      <w:r>
        <w:rPr>
          <w:rFonts w:eastAsia="宋体" w:cs="Times New Roman"/>
          <w:sz w:val="21"/>
          <w:lang w:bidi="ar"/>
        </w:rPr>
        <w:t xml:space="preserve">  </w:t>
      </w:r>
      <w:r>
        <w:rPr>
          <w:rFonts w:hint="eastAsia" w:eastAsia="宋体" w:cs="Times New Roman"/>
          <w:sz w:val="21"/>
          <w:lang w:bidi="ar"/>
        </w:rPr>
        <w:t>西区水节约规划目标结果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4"/>
        <w:gridCol w:w="1638"/>
        <w:gridCol w:w="1524"/>
        <w:gridCol w:w="1538"/>
        <w:gridCol w:w="1524"/>
      </w:tblGrid>
      <w:tr w14:paraId="29F3D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400E9D0B">
            <w:pPr>
              <w:spacing w:line="240" w:lineRule="auto"/>
              <w:ind w:firstLine="0" w:firstLineChars="0"/>
              <w:jc w:val="center"/>
              <w:rPr>
                <w:sz w:val="21"/>
              </w:rPr>
            </w:pPr>
            <w:r>
              <w:rPr>
                <w:rFonts w:hint="eastAsia" w:eastAsia="宋体" w:cs="宋体"/>
                <w:sz w:val="21"/>
                <w:lang w:bidi="ar"/>
              </w:rPr>
              <w:t>指标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37E47AB5">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年现状值与指标分值</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61C3DFE">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年规划值与指标分值</w:t>
            </w:r>
          </w:p>
        </w:tc>
        <w:tc>
          <w:tcPr>
            <w:tcW w:w="1538" w:type="dxa"/>
            <w:tcBorders>
              <w:top w:val="single" w:color="auto" w:sz="4" w:space="0"/>
              <w:left w:val="single" w:color="auto" w:sz="4" w:space="0"/>
              <w:bottom w:val="single" w:color="auto" w:sz="4" w:space="0"/>
              <w:right w:val="single" w:color="auto" w:sz="4" w:space="0"/>
            </w:tcBorders>
            <w:shd w:val="clear" w:color="auto" w:fill="auto"/>
          </w:tcPr>
          <w:p w14:paraId="37890CAA">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年规划值与指标分值</w:t>
            </w:r>
          </w:p>
        </w:tc>
        <w:tc>
          <w:tcPr>
            <w:tcW w:w="1524" w:type="dxa"/>
            <w:tcBorders>
              <w:top w:val="single" w:color="auto" w:sz="4" w:space="0"/>
              <w:left w:val="single" w:color="auto" w:sz="4" w:space="0"/>
              <w:bottom w:val="single" w:color="auto" w:sz="4" w:space="0"/>
              <w:right w:val="single" w:color="auto" w:sz="4" w:space="0"/>
            </w:tcBorders>
            <w:shd w:val="clear" w:color="auto" w:fill="auto"/>
          </w:tcPr>
          <w:p w14:paraId="4E0D8CB9">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年规划值与指标分值</w:t>
            </w:r>
          </w:p>
        </w:tc>
      </w:tr>
      <w:tr w14:paraId="2AD57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5C698025">
            <w:pPr>
              <w:spacing w:line="240" w:lineRule="auto"/>
              <w:ind w:firstLine="0" w:firstLineChars="0"/>
              <w:jc w:val="center"/>
              <w:rPr>
                <w:sz w:val="21"/>
              </w:rPr>
            </w:pPr>
            <w:r>
              <w:rPr>
                <w:rFonts w:hint="eastAsia" w:eastAsia="宋体" w:cs="宋体"/>
                <w:sz w:val="21"/>
                <w:lang w:bidi="ar"/>
              </w:rPr>
              <w:t>万元工业增加值用水量相对值</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30F426E8">
            <w:pPr>
              <w:widowControl/>
              <w:spacing w:line="240" w:lineRule="auto"/>
              <w:ind w:firstLine="0" w:firstLineChars="0"/>
              <w:jc w:val="center"/>
              <w:rPr>
                <w:sz w:val="21"/>
              </w:rPr>
            </w:pPr>
            <w:r>
              <w:rPr>
                <w:rFonts w:hint="eastAsia" w:eastAsia="宋体" w:cs="Times New Roman"/>
                <w:kern w:val="0"/>
                <w:sz w:val="21"/>
                <w:lang w:bidi="ar"/>
              </w:rPr>
              <w:t>17.12</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073F1CF">
            <w:pPr>
              <w:widowControl/>
              <w:spacing w:line="240" w:lineRule="auto"/>
              <w:ind w:firstLine="0" w:firstLineChars="0"/>
              <w:jc w:val="center"/>
              <w:rPr>
                <w:kern w:val="0"/>
                <w:sz w:val="21"/>
              </w:rPr>
            </w:pPr>
            <w:r>
              <w:rPr>
                <w:rFonts w:hint="eastAsia" w:eastAsia="宋体" w:cs="Times New Roman"/>
                <w:kern w:val="0"/>
                <w:sz w:val="21"/>
                <w:lang w:bidi="ar"/>
              </w:rPr>
              <w:t>17.16</w:t>
            </w:r>
            <w:r>
              <w:rPr>
                <w:rFonts w:eastAsia="宋体" w:cs="Times New Roman"/>
                <w:kern w:val="0"/>
                <w:sz w:val="21"/>
                <w:lang w:bidi="ar"/>
              </w:rPr>
              <w:t>%</w:t>
            </w:r>
            <w:r>
              <w:rPr>
                <w:rFonts w:hint="eastAsia" w:eastAsia="宋体" w:cs="Times New Roman"/>
                <w:kern w:val="0"/>
                <w:sz w:val="21"/>
                <w:lang w:bidi="ar"/>
              </w:rPr>
              <w:t>、4分、I级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6D056723">
            <w:pPr>
              <w:widowControl/>
              <w:spacing w:line="240" w:lineRule="auto"/>
              <w:ind w:firstLine="0" w:firstLineChars="0"/>
              <w:jc w:val="center"/>
              <w:rPr>
                <w:kern w:val="0"/>
                <w:sz w:val="21"/>
              </w:rPr>
            </w:pPr>
            <w:r>
              <w:rPr>
                <w:rFonts w:hint="eastAsia" w:eastAsia="宋体" w:cs="Times New Roman"/>
                <w:kern w:val="0"/>
                <w:sz w:val="21"/>
                <w:lang w:bidi="ar"/>
              </w:rPr>
              <w:t>17</w:t>
            </w:r>
            <w:r>
              <w:rPr>
                <w:rFonts w:eastAsia="宋体" w:cs="Times New Roman"/>
                <w:kern w:val="0"/>
                <w:sz w:val="21"/>
                <w:lang w:bidi="ar"/>
              </w:rPr>
              <w:t>%</w:t>
            </w:r>
            <w:r>
              <w:rPr>
                <w:rFonts w:hint="eastAsia" w:eastAsia="宋体" w:cs="Times New Roman"/>
                <w:kern w:val="0"/>
                <w:sz w:val="21"/>
                <w:lang w:bidi="ar"/>
              </w:rPr>
              <w:t>、4分、I级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447DEFD1">
            <w:pPr>
              <w:widowControl/>
              <w:spacing w:line="240" w:lineRule="auto"/>
              <w:ind w:firstLine="0" w:firstLineChars="0"/>
              <w:jc w:val="center"/>
              <w:rPr>
                <w:sz w:val="21"/>
              </w:rPr>
            </w:pPr>
            <w:r>
              <w:rPr>
                <w:rFonts w:hint="eastAsia" w:eastAsia="宋体" w:cs="Times New Roman"/>
                <w:kern w:val="0"/>
                <w:sz w:val="21"/>
                <w:lang w:bidi="ar"/>
              </w:rPr>
              <w:t>16</w:t>
            </w:r>
            <w:r>
              <w:rPr>
                <w:rFonts w:eastAsia="宋体" w:cs="Times New Roman"/>
                <w:kern w:val="0"/>
                <w:sz w:val="21"/>
                <w:lang w:bidi="ar"/>
              </w:rPr>
              <w:t>%</w:t>
            </w:r>
            <w:r>
              <w:rPr>
                <w:rFonts w:hint="eastAsia" w:eastAsia="宋体" w:cs="Times New Roman"/>
                <w:kern w:val="0"/>
                <w:sz w:val="21"/>
                <w:lang w:bidi="ar"/>
              </w:rPr>
              <w:t>、4分、I级</w:t>
            </w:r>
          </w:p>
        </w:tc>
      </w:tr>
      <w:tr w14:paraId="33C20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3A3880B7">
            <w:pPr>
              <w:spacing w:line="240" w:lineRule="auto"/>
              <w:ind w:firstLine="0" w:firstLineChars="0"/>
              <w:jc w:val="center"/>
              <w:rPr>
                <w:sz w:val="21"/>
              </w:rPr>
            </w:pPr>
            <w:r>
              <w:rPr>
                <w:rFonts w:hint="eastAsia" w:eastAsia="宋体" w:cs="宋体"/>
                <w:sz w:val="21"/>
                <w:lang w:bidi="ar"/>
              </w:rPr>
              <w:t>农田灌溉水有效利用系数</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77C36D9B">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p>
          <w:p w14:paraId="64CF285E">
            <w:pPr>
              <w:widowControl/>
              <w:spacing w:line="240" w:lineRule="auto"/>
              <w:ind w:firstLine="0" w:firstLineChars="0"/>
              <w:jc w:val="center"/>
              <w:rPr>
                <w:sz w:val="21"/>
              </w:rPr>
            </w:pP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B5DED96">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0.</w:t>
            </w:r>
            <w:r>
              <w:rPr>
                <w:rFonts w:hint="eastAsia" w:eastAsia="宋体" w:cs="Times New Roman"/>
                <w:kern w:val="0"/>
                <w:sz w:val="21"/>
                <w:lang w:bidi="ar"/>
              </w:rPr>
              <w:t>64、3分、</w:t>
            </w:r>
          </w:p>
          <w:p w14:paraId="3F588D92">
            <w:pPr>
              <w:widowControl/>
              <w:spacing w:line="240" w:lineRule="auto"/>
              <w:ind w:firstLine="0" w:firstLineChars="0"/>
              <w:jc w:val="center"/>
              <w:rPr>
                <w:sz w:val="21"/>
              </w:rPr>
            </w:pPr>
            <w:r>
              <w:rPr>
                <w:rFonts w:eastAsia="宋体" w:cs="Times New Roman"/>
                <w:kern w:val="0"/>
                <w:sz w:val="21"/>
                <w:lang w:bidi="ar"/>
              </w:rPr>
              <w:t>I</w:t>
            </w:r>
            <w:r>
              <w:rPr>
                <w:rFonts w:hint="eastAsia" w:eastAsia="宋体" w:cs="Times New Roman"/>
                <w:kern w:val="0"/>
                <w:sz w:val="21"/>
                <w:lang w:bidi="ar"/>
              </w:rPr>
              <w:t>I级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7C2BE4F4">
            <w:pPr>
              <w:widowControl/>
              <w:spacing w:line="240" w:lineRule="auto"/>
              <w:ind w:firstLine="0" w:firstLineChars="0"/>
              <w:jc w:val="center"/>
              <w:rPr>
                <w:kern w:val="0"/>
                <w:sz w:val="21"/>
              </w:rPr>
            </w:pPr>
            <w:r>
              <w:rPr>
                <w:rFonts w:eastAsia="宋体" w:cs="Times New Roman"/>
                <w:kern w:val="0"/>
                <w:sz w:val="21"/>
                <w:lang w:bidi="ar"/>
              </w:rPr>
              <w:t>0.</w:t>
            </w:r>
            <w:r>
              <w:rPr>
                <w:rFonts w:hint="eastAsia" w:eastAsia="宋体" w:cs="Times New Roman"/>
                <w:kern w:val="0"/>
                <w:sz w:val="21"/>
                <w:lang w:bidi="ar"/>
              </w:rPr>
              <w:t>6</w:t>
            </w:r>
            <w:r>
              <w:rPr>
                <w:rFonts w:eastAsia="宋体" w:cs="Times New Roman"/>
                <w:kern w:val="0"/>
                <w:sz w:val="21"/>
                <w:lang w:bidi="ar"/>
              </w:rPr>
              <w:t>5</w:t>
            </w:r>
            <w:r>
              <w:rPr>
                <w:rFonts w:hint="eastAsia" w:eastAsia="宋体" w:cs="Times New Roman"/>
                <w:kern w:val="0"/>
                <w:sz w:val="21"/>
                <w:lang w:bidi="ar"/>
              </w:rPr>
              <w:t>、3分、I</w:t>
            </w: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6F64D3B">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0</w:t>
            </w:r>
            <w:r>
              <w:rPr>
                <w:rFonts w:hint="eastAsia" w:eastAsia="宋体" w:cs="Times New Roman"/>
                <w:kern w:val="0"/>
                <w:sz w:val="21"/>
                <w:lang w:bidi="ar"/>
              </w:rPr>
              <w:t>67、3分、</w:t>
            </w:r>
          </w:p>
          <w:p w14:paraId="67B6C68A">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Times New Roman"/>
                <w:kern w:val="0"/>
                <w:sz w:val="21"/>
                <w:lang w:bidi="ar"/>
              </w:rPr>
              <w:t>I级</w:t>
            </w:r>
          </w:p>
        </w:tc>
      </w:tr>
      <w:tr w14:paraId="69AB4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0581E63B">
            <w:pPr>
              <w:spacing w:line="240" w:lineRule="auto"/>
              <w:ind w:firstLine="0" w:firstLineChars="0"/>
              <w:jc w:val="center"/>
              <w:rPr>
                <w:sz w:val="21"/>
              </w:rPr>
            </w:pPr>
            <w:r>
              <w:rPr>
                <w:rFonts w:hint="eastAsia" w:eastAsia="宋体" w:cs="宋体"/>
                <w:sz w:val="21"/>
                <w:lang w:bidi="ar"/>
              </w:rPr>
              <w:t>生活节水器具普及率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0F24C712">
            <w:pPr>
              <w:widowControl/>
              <w:spacing w:line="240" w:lineRule="auto"/>
              <w:ind w:firstLine="0" w:firstLineChars="0"/>
              <w:jc w:val="center"/>
              <w:rPr>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3868310">
            <w:pPr>
              <w:widowControl/>
              <w:spacing w:line="240" w:lineRule="auto"/>
              <w:ind w:firstLine="0" w:firstLineChars="0"/>
              <w:jc w:val="center"/>
              <w:rPr>
                <w:rFonts w:eastAsia="宋体" w:cs="Times New Roman"/>
                <w:kern w:val="0"/>
                <w:sz w:val="21"/>
                <w:lang w:bidi="ar"/>
              </w:rPr>
            </w:pPr>
            <w:r>
              <w:rPr>
                <w:rFonts w:hint="eastAsia" w:eastAsia="宋体" w:cs="Times New Roman"/>
                <w:kern w:val="0"/>
                <w:sz w:val="21"/>
                <w:lang w:bidi="ar"/>
              </w:rPr>
              <w:t>98</w:t>
            </w:r>
            <w:r>
              <w:rPr>
                <w:rFonts w:eastAsia="宋体" w:cs="Times New Roman"/>
                <w:kern w:val="0"/>
                <w:sz w:val="21"/>
                <w:lang w:bidi="ar"/>
              </w:rPr>
              <w:t>%</w:t>
            </w:r>
            <w:r>
              <w:rPr>
                <w:rFonts w:hint="eastAsia" w:eastAsia="宋体" w:cs="Times New Roman"/>
                <w:kern w:val="0"/>
                <w:sz w:val="21"/>
                <w:lang w:bidi="ar"/>
              </w:rPr>
              <w:t>、4分、</w:t>
            </w:r>
          </w:p>
          <w:p w14:paraId="3BEF5638">
            <w:pPr>
              <w:widowControl/>
              <w:spacing w:line="240" w:lineRule="auto"/>
              <w:ind w:firstLine="0" w:firstLineChars="0"/>
              <w:jc w:val="center"/>
              <w:rPr>
                <w:sz w:val="21"/>
              </w:rPr>
            </w:pPr>
            <w:r>
              <w:rPr>
                <w:rFonts w:eastAsia="宋体" w:cs="Times New Roman"/>
                <w:kern w:val="0"/>
                <w:sz w:val="21"/>
                <w:lang w:bidi="ar"/>
              </w:rPr>
              <w:t>I</w:t>
            </w:r>
            <w:r>
              <w:rPr>
                <w:rFonts w:hint="eastAsia" w:eastAsia="宋体" w:cs="Times New Roman"/>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016C6A49">
            <w:pPr>
              <w:widowControl/>
              <w:spacing w:line="240" w:lineRule="auto"/>
              <w:ind w:firstLine="0" w:firstLineChars="0"/>
              <w:jc w:val="center"/>
              <w:rPr>
                <w:rFonts w:eastAsia="宋体" w:cs="Times New Roman"/>
                <w:kern w:val="0"/>
                <w:sz w:val="21"/>
                <w:lang w:bidi="ar"/>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p>
          <w:p w14:paraId="67119B05">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B132A78">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p>
          <w:p w14:paraId="5AC64AB8">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Times New Roman"/>
                <w:kern w:val="0"/>
                <w:sz w:val="21"/>
                <w:lang w:bidi="ar"/>
              </w:rPr>
              <w:t>级</w:t>
            </w:r>
          </w:p>
        </w:tc>
      </w:tr>
      <w:tr w14:paraId="61253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59302DF0">
            <w:pPr>
              <w:spacing w:line="240" w:lineRule="auto"/>
              <w:ind w:firstLine="0" w:firstLineChars="0"/>
              <w:jc w:val="center"/>
              <w:rPr>
                <w:kern w:val="0"/>
                <w:sz w:val="21"/>
              </w:rPr>
            </w:pPr>
            <w:r>
              <w:rPr>
                <w:rFonts w:hint="eastAsia" w:eastAsia="宋体" w:cs="宋体"/>
                <w:sz w:val="21"/>
                <w:lang w:bidi="ar"/>
              </w:rPr>
              <w:t>公共供水管网漏损率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30B21B08">
            <w:pPr>
              <w:widowControl/>
              <w:spacing w:line="240" w:lineRule="auto"/>
              <w:ind w:firstLine="0" w:firstLineChars="0"/>
              <w:jc w:val="center"/>
              <w:rPr>
                <w:kern w:val="0"/>
                <w:sz w:val="21"/>
              </w:rPr>
            </w:pPr>
            <w:r>
              <w:rPr>
                <w:rFonts w:hint="eastAsia" w:eastAsia="宋体" w:cs="Times New Roman"/>
                <w:kern w:val="0"/>
                <w:sz w:val="21"/>
                <w:lang w:bidi="ar"/>
              </w:rPr>
              <w:t>10.35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725D5DB">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10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p>
          <w:p w14:paraId="4E196D62">
            <w:pPr>
              <w:widowControl/>
              <w:spacing w:line="240" w:lineRule="auto"/>
              <w:ind w:firstLine="0" w:firstLineChars="0"/>
              <w:jc w:val="center"/>
              <w:rPr>
                <w:kern w:val="0"/>
                <w:sz w:val="21"/>
              </w:rPr>
            </w:pPr>
            <w:r>
              <w:rPr>
                <w:rFonts w:eastAsia="宋体" w:cs="Times New Roman"/>
                <w:kern w:val="0"/>
                <w:sz w:val="21"/>
                <w:lang w:bidi="ar"/>
              </w:rPr>
              <w:t>II</w:t>
            </w:r>
            <w:r>
              <w:rPr>
                <w:rFonts w:hint="eastAsia" w:eastAsia="宋体" w:cs="宋体"/>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5270DA3E">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9</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p>
          <w:p w14:paraId="18713998">
            <w:pPr>
              <w:widowControl/>
              <w:spacing w:line="240" w:lineRule="auto"/>
              <w:ind w:firstLine="0" w:firstLineChars="0"/>
              <w:jc w:val="center"/>
              <w:rPr>
                <w:kern w:val="0"/>
                <w:sz w:val="21"/>
              </w:rPr>
            </w:pPr>
            <w:r>
              <w:rPr>
                <w:rFonts w:eastAsia="宋体" w:cs="Times New Roman"/>
                <w:kern w:val="0"/>
                <w:sz w:val="21"/>
                <w:lang w:bidi="ar"/>
              </w:rPr>
              <w:t>II</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316DAEEB">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p>
          <w:p w14:paraId="7A22B353">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宋体"/>
                <w:kern w:val="0"/>
                <w:sz w:val="21"/>
                <w:lang w:bidi="ar"/>
              </w:rPr>
              <w:t>级</w:t>
            </w:r>
          </w:p>
        </w:tc>
      </w:tr>
      <w:tr w14:paraId="1EDF7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454D5B3E">
            <w:pPr>
              <w:spacing w:line="240" w:lineRule="auto"/>
              <w:ind w:firstLine="0" w:firstLineChars="0"/>
              <w:jc w:val="center"/>
              <w:rPr>
                <w:sz w:val="21"/>
              </w:rPr>
            </w:pPr>
            <w:r>
              <w:rPr>
                <w:rFonts w:hint="eastAsia" w:eastAsia="宋体" w:cs="宋体"/>
                <w:kern w:val="0"/>
                <w:sz w:val="21"/>
                <w:lang w:bidi="ar"/>
              </w:rPr>
              <w:t>工业用水重复利用率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2DF72574">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55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1</w:t>
            </w:r>
            <w:r>
              <w:rPr>
                <w:rFonts w:hint="eastAsia" w:eastAsia="宋体" w:cs="宋体"/>
                <w:kern w:val="0"/>
                <w:sz w:val="21"/>
                <w:lang w:bidi="ar"/>
              </w:rPr>
              <w:t>分、</w:t>
            </w:r>
          </w:p>
          <w:p w14:paraId="71E2648F">
            <w:pPr>
              <w:widowControl/>
              <w:spacing w:line="240" w:lineRule="auto"/>
              <w:ind w:firstLine="0" w:firstLineChars="0"/>
              <w:jc w:val="center"/>
              <w:rPr>
                <w:kern w:val="0"/>
                <w:sz w:val="21"/>
              </w:rPr>
            </w:pPr>
            <w:r>
              <w:rPr>
                <w:rFonts w:hint="eastAsia" w:eastAsia="宋体" w:cs="宋体"/>
                <w:kern w:val="0"/>
                <w:sz w:val="21"/>
                <w:lang w:bidi="ar"/>
              </w:rPr>
              <w:t>I</w:t>
            </w:r>
            <w:r>
              <w:rPr>
                <w:rFonts w:eastAsia="宋体" w:cs="Times New Roman"/>
                <w:kern w:val="0"/>
                <w:sz w:val="21"/>
                <w:lang w:bidi="ar"/>
              </w:rPr>
              <w:t>V</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3C9B371E">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p>
          <w:p w14:paraId="7A0D88A7">
            <w:pPr>
              <w:widowControl/>
              <w:spacing w:line="240" w:lineRule="auto"/>
              <w:ind w:firstLine="0" w:firstLineChars="0"/>
              <w:jc w:val="center"/>
              <w:rPr>
                <w:kern w:val="0"/>
                <w:sz w:val="21"/>
              </w:rPr>
            </w:pPr>
            <w:r>
              <w:rPr>
                <w:rFonts w:eastAsia="宋体" w:cs="Times New Roman"/>
                <w:kern w:val="0"/>
                <w:sz w:val="21"/>
                <w:lang w:bidi="ar"/>
              </w:rPr>
              <w:t>III</w:t>
            </w:r>
            <w:r>
              <w:rPr>
                <w:rFonts w:hint="eastAsia" w:eastAsia="宋体" w:cs="宋体"/>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611CE77A">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65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p>
          <w:p w14:paraId="1AE54830">
            <w:pPr>
              <w:widowControl/>
              <w:spacing w:line="240" w:lineRule="auto"/>
              <w:ind w:firstLine="0" w:firstLineChars="0"/>
              <w:jc w:val="center"/>
              <w:rPr>
                <w:kern w:val="0"/>
                <w:sz w:val="21"/>
              </w:rPr>
            </w:pPr>
            <w:r>
              <w:rPr>
                <w:rFonts w:eastAsia="宋体" w:cs="Times New Roman"/>
                <w:kern w:val="0"/>
                <w:sz w:val="21"/>
                <w:lang w:bidi="ar"/>
              </w:rPr>
              <w:t>III</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32F1FDD">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7</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p>
          <w:p w14:paraId="70BBAEFE">
            <w:pPr>
              <w:widowControl/>
              <w:spacing w:line="240" w:lineRule="auto"/>
              <w:ind w:firstLine="0" w:firstLineChars="0"/>
              <w:jc w:val="center"/>
              <w:rPr>
                <w:kern w:val="0"/>
                <w:sz w:val="21"/>
              </w:rPr>
            </w:pPr>
            <w:r>
              <w:rPr>
                <w:rFonts w:eastAsia="宋体" w:cs="Times New Roman"/>
                <w:kern w:val="0"/>
                <w:sz w:val="21"/>
                <w:lang w:bidi="ar"/>
              </w:rPr>
              <w:t>III</w:t>
            </w:r>
            <w:r>
              <w:rPr>
                <w:rFonts w:hint="eastAsia" w:eastAsia="宋体" w:cs="宋体"/>
                <w:kern w:val="0"/>
                <w:sz w:val="21"/>
                <w:lang w:bidi="ar"/>
              </w:rPr>
              <w:t>级</w:t>
            </w:r>
          </w:p>
        </w:tc>
      </w:tr>
      <w:tr w14:paraId="13400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3ED6E4D3">
            <w:pPr>
              <w:spacing w:line="240" w:lineRule="auto"/>
              <w:ind w:firstLine="0" w:firstLineChars="0"/>
              <w:jc w:val="center"/>
              <w:rPr>
                <w:sz w:val="21"/>
              </w:rPr>
            </w:pPr>
            <w:r>
              <w:rPr>
                <w:rFonts w:hint="eastAsia" w:eastAsia="宋体" w:cs="宋体"/>
                <w:kern w:val="0"/>
                <w:sz w:val="21"/>
                <w:lang w:bidi="ar"/>
              </w:rPr>
              <w:t>非常规水资源利用率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1284B0FC">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8</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p>
          <w:p w14:paraId="0594F5FC">
            <w:pPr>
              <w:widowControl/>
              <w:spacing w:line="240" w:lineRule="auto"/>
              <w:ind w:firstLine="0" w:firstLineChars="0"/>
              <w:jc w:val="center"/>
              <w:rPr>
                <w:kern w:val="0"/>
                <w:sz w:val="21"/>
              </w:rPr>
            </w:pPr>
            <w:r>
              <w:rPr>
                <w:rFonts w:eastAsia="宋体" w:cs="Times New Roman"/>
                <w:kern w:val="0"/>
                <w:sz w:val="21"/>
                <w:lang w:bidi="ar"/>
              </w:rPr>
              <w:t>V</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335ADDF7">
            <w:pPr>
              <w:widowControl/>
              <w:spacing w:line="240" w:lineRule="auto"/>
              <w:ind w:firstLine="0" w:firstLineChars="0"/>
              <w:jc w:val="center"/>
              <w:rPr>
                <w:kern w:val="0"/>
                <w:sz w:val="21"/>
              </w:rPr>
            </w:pPr>
            <w:r>
              <w:rPr>
                <w:rFonts w:eastAsia="宋体" w:cs="Times New Roman"/>
                <w:kern w:val="0"/>
                <w:sz w:val="21"/>
                <w:lang w:bidi="ar"/>
              </w:rPr>
              <w:t>8.33%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5DC27AB9">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8.8%</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p>
          <w:p w14:paraId="2EB961F5">
            <w:pPr>
              <w:widowControl/>
              <w:spacing w:line="240" w:lineRule="auto"/>
              <w:ind w:firstLine="0" w:firstLineChars="0"/>
              <w:jc w:val="center"/>
              <w:rPr>
                <w:kern w:val="0"/>
                <w:sz w:val="21"/>
              </w:rPr>
            </w:pPr>
            <w:r>
              <w:rPr>
                <w:rFonts w:eastAsia="宋体" w:cs="Times New Roman"/>
                <w:kern w:val="0"/>
                <w:sz w:val="21"/>
                <w:lang w:bidi="ar"/>
              </w:rPr>
              <w:t>V</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BE7AD5D">
            <w:pPr>
              <w:widowControl/>
              <w:spacing w:line="240" w:lineRule="auto"/>
              <w:ind w:firstLine="0" w:firstLineChars="0"/>
              <w:jc w:val="center"/>
              <w:rPr>
                <w:kern w:val="0"/>
                <w:sz w:val="21"/>
              </w:rPr>
            </w:pPr>
            <w:r>
              <w:rPr>
                <w:rFonts w:eastAsia="宋体" w:cs="Times New Roman"/>
                <w:kern w:val="0"/>
                <w:sz w:val="21"/>
                <w:lang w:bidi="ar"/>
              </w:rPr>
              <w:t>9.43%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r>
    </w:tbl>
    <w:p w14:paraId="32682A62">
      <w:pPr>
        <w:widowControl/>
        <w:spacing w:line="240" w:lineRule="auto"/>
        <w:ind w:firstLine="0" w:firstLineChars="0"/>
        <w:jc w:val="left"/>
        <w:rPr>
          <w:rFonts w:cs="Times New Roman"/>
        </w:rPr>
      </w:pPr>
    </w:p>
    <w:p w14:paraId="3D56E23E">
      <w:pPr>
        <w:pStyle w:val="4"/>
        <w:widowControl/>
        <w:spacing w:before="0" w:after="0" w:line="360" w:lineRule="auto"/>
        <w:rPr>
          <w:rFonts w:cs="Times New Roman"/>
        </w:rPr>
      </w:pPr>
      <w:bookmarkStart w:id="704" w:name="_Toc528607300"/>
      <w:bookmarkStart w:id="705" w:name="_Toc16675076"/>
      <w:r>
        <w:rPr>
          <w:rFonts w:cs="Times New Roman"/>
        </w:rPr>
        <w:t>4.6</w:t>
      </w:r>
      <w:r>
        <w:rPr>
          <w:rFonts w:hint="eastAsia" w:cs="Times New Roman"/>
        </w:rPr>
        <w:t>水文化指标体系建设</w:t>
      </w:r>
      <w:bookmarkEnd w:id="704"/>
      <w:bookmarkEnd w:id="705"/>
    </w:p>
    <w:p w14:paraId="16E3FF03">
      <w:pPr>
        <w:ind w:firstLine="480"/>
        <w:rPr>
          <w:rFonts w:cs="Times New Roman"/>
          <w:szCs w:val="28"/>
        </w:rPr>
      </w:pPr>
      <w:r>
        <w:rPr>
          <w:rFonts w:hint="eastAsia" w:eastAsia="宋体" w:cs="Times New Roman"/>
          <w:lang w:bidi="ar"/>
        </w:rPr>
        <w:t>水文化评价主要评估水文化传承及水生态文明意识普及情况，包括水文化传承载体数量、水生态文明建设公众参与度、水生态环境质量公众满意度</w:t>
      </w:r>
      <w:r>
        <w:rPr>
          <w:rFonts w:eastAsia="宋体" w:cs="Times New Roman"/>
          <w:lang w:bidi="ar"/>
        </w:rPr>
        <w:t>3</w:t>
      </w:r>
      <w:r>
        <w:rPr>
          <w:rFonts w:hint="eastAsia" w:eastAsia="宋体" w:cs="Times New Roman"/>
          <w:lang w:bidi="ar"/>
        </w:rPr>
        <w:t>项通用指标。</w:t>
      </w:r>
    </w:p>
    <w:p w14:paraId="0A99B53C">
      <w:pPr>
        <w:pStyle w:val="3"/>
        <w:widowControl/>
        <w:spacing w:before="0" w:after="0" w:line="360" w:lineRule="auto"/>
        <w:rPr>
          <w:rFonts w:cs="Times New Roman"/>
        </w:rPr>
      </w:pPr>
      <w:bookmarkStart w:id="706" w:name="_Toc16675077"/>
      <w:bookmarkStart w:id="707" w:name="_Toc526004972"/>
      <w:bookmarkStart w:id="708" w:name="_Toc16099"/>
      <w:bookmarkStart w:id="709" w:name="_Toc13959"/>
      <w:bookmarkStart w:id="710" w:name="_Toc523306825"/>
      <w:bookmarkStart w:id="711" w:name="_Toc528880333"/>
      <w:bookmarkStart w:id="712" w:name="_Toc1477"/>
      <w:bookmarkStart w:id="713" w:name="_Toc528607301"/>
      <w:bookmarkStart w:id="714" w:name="_Toc18406"/>
      <w:bookmarkStart w:id="715" w:name="_Toc31134"/>
      <w:bookmarkStart w:id="716" w:name="_Toc1599"/>
      <w:bookmarkStart w:id="717" w:name="_Toc527881127"/>
      <w:r>
        <w:rPr>
          <w:rFonts w:cs="Times New Roman"/>
        </w:rPr>
        <w:t>4.6.1</w:t>
      </w:r>
      <w:r>
        <w:rPr>
          <w:rFonts w:hint="eastAsia" w:cs="Times New Roman"/>
        </w:rPr>
        <w:t>水文化传承载体数量</w:t>
      </w:r>
      <w:bookmarkEnd w:id="706"/>
      <w:bookmarkEnd w:id="707"/>
      <w:bookmarkEnd w:id="708"/>
      <w:bookmarkEnd w:id="709"/>
      <w:bookmarkEnd w:id="710"/>
      <w:bookmarkEnd w:id="711"/>
      <w:bookmarkEnd w:id="712"/>
      <w:bookmarkEnd w:id="713"/>
      <w:bookmarkEnd w:id="714"/>
      <w:bookmarkEnd w:id="715"/>
      <w:bookmarkEnd w:id="716"/>
      <w:bookmarkEnd w:id="717"/>
    </w:p>
    <w:p w14:paraId="667DC9A4">
      <w:pPr>
        <w:ind w:firstLine="480"/>
        <w:rPr>
          <w:rFonts w:eastAsia="宋体" w:cs="Times New Roman"/>
          <w:szCs w:val="24"/>
        </w:rPr>
      </w:pPr>
      <w:r>
        <w:rPr>
          <w:rFonts w:hint="eastAsia" w:eastAsia="宋体" w:cs="Times New Roman"/>
          <w:lang w:bidi="ar"/>
        </w:rPr>
        <w:t>指具有文化传承功能的历史水利遗址、水利风景区、涉水自然保护区、重要湿地、节水和水土保持教育基地、水博物馆、水土保持科技示范园区等物质载体数量，以及以水体、水利或水资源节约保护为主要内容的文化节、文化遗产等非物质载体数量之和</w:t>
      </w:r>
      <w:r>
        <w:rPr>
          <w:rFonts w:hint="eastAsia" w:eastAsia="宋体" w:cs="Times New Roman"/>
          <w:b/>
          <w:bCs/>
          <w:szCs w:val="24"/>
          <w:lang w:bidi="ar"/>
        </w:rPr>
        <w:t>（具体计算公式见附录1）</w:t>
      </w:r>
      <w:r>
        <w:rPr>
          <w:rFonts w:hint="eastAsia" w:eastAsia="宋体" w:cs="Times New Roman"/>
          <w:lang w:bidi="ar"/>
        </w:rPr>
        <w:t>。西区水文化建设处于规划建设阶段，区域内存在水文化传承载体彩虹绿洲湿地公园和六涌休闲湿地公园，水文化传承载体数量为2个，</w:t>
      </w:r>
      <w:r>
        <w:rPr>
          <w:rFonts w:eastAsia="宋体" w:cs="Times New Roman"/>
          <w:lang w:bidi="ar"/>
        </w:rPr>
        <w:t>2020</w:t>
      </w:r>
      <w:r>
        <w:rPr>
          <w:rFonts w:hint="eastAsia" w:eastAsia="宋体" w:cs="Times New Roman"/>
          <w:lang w:bidi="ar"/>
        </w:rPr>
        <w:t>年西区规划</w:t>
      </w:r>
      <w:r>
        <w:rPr>
          <w:rFonts w:hint="eastAsia" w:eastAsia="宋体" w:cs="Times New Roman"/>
          <w:szCs w:val="24"/>
          <w:lang w:bidi="ar"/>
        </w:rPr>
        <w:t>结合西北部现代农业基地的生态农业保护区域建设节水和水土保持教育基地1个</w:t>
      </w:r>
      <w:r>
        <w:rPr>
          <w:rFonts w:hint="eastAsia" w:eastAsia="宋体" w:cs="Times New Roman"/>
          <w:lang w:bidi="ar"/>
        </w:rPr>
        <w:t>。</w:t>
      </w:r>
      <w:r>
        <w:rPr>
          <w:rFonts w:eastAsia="宋体" w:cs="Times New Roman"/>
          <w:lang w:bidi="ar"/>
        </w:rPr>
        <w:t>2025</w:t>
      </w:r>
      <w:r>
        <w:rPr>
          <w:rFonts w:hint="eastAsia" w:eastAsia="宋体" w:cs="Times New Roman"/>
          <w:lang w:bidi="ar"/>
        </w:rPr>
        <w:t>年西区计划建设水利风景区2个，借助西区的自然环境特色、</w:t>
      </w:r>
      <w:r>
        <w:rPr>
          <w:rFonts w:hint="eastAsia" w:eastAsia="宋体" w:cs="Times New Roman"/>
          <w:szCs w:val="24"/>
          <w:lang w:bidi="ar"/>
        </w:rPr>
        <w:t>历史文化悠久和河网密集的天然优势，在地区建设水利风景区2个（以狮山公园为中心，结合狮滘河建设水利风景区；以岐江公园为中心，结合岐江河建设水利风景区）。</w:t>
      </w:r>
      <w:r>
        <w:rPr>
          <w:rFonts w:eastAsia="宋体" w:cs="Times New Roman"/>
          <w:szCs w:val="24"/>
          <w:lang w:bidi="ar"/>
        </w:rPr>
        <w:t>2030</w:t>
      </w:r>
      <w:r>
        <w:rPr>
          <w:rFonts w:hint="eastAsia" w:eastAsia="宋体" w:cs="Times New Roman"/>
          <w:szCs w:val="24"/>
          <w:lang w:bidi="ar"/>
        </w:rPr>
        <w:t>年西区水文化传承载体数量的规划目标值为7个，在</w:t>
      </w:r>
      <w:r>
        <w:rPr>
          <w:rFonts w:eastAsia="宋体" w:cs="Times New Roman"/>
          <w:szCs w:val="24"/>
          <w:lang w:bidi="ar"/>
        </w:rPr>
        <w:t>2025</w:t>
      </w:r>
      <w:r>
        <w:rPr>
          <w:rFonts w:hint="eastAsia" w:eastAsia="宋体" w:cs="Times New Roman"/>
          <w:szCs w:val="24"/>
          <w:lang w:bidi="ar"/>
        </w:rPr>
        <w:t>年的基础上沿河多增加重要湿地</w:t>
      </w:r>
      <w:r>
        <w:rPr>
          <w:rFonts w:eastAsia="宋体" w:cs="Times New Roman"/>
          <w:szCs w:val="24"/>
          <w:lang w:bidi="ar"/>
        </w:rPr>
        <w:t>2</w:t>
      </w:r>
      <w:r>
        <w:rPr>
          <w:rFonts w:hint="eastAsia" w:eastAsia="宋体" w:cs="Times New Roman"/>
          <w:szCs w:val="24"/>
          <w:lang w:bidi="ar"/>
        </w:rPr>
        <w:t>个（马山公园湿地和东北部悦生涌渔业养殖基地湿地）（表</w:t>
      </w:r>
      <w:r>
        <w:rPr>
          <w:rFonts w:eastAsia="宋体" w:cs="Times New Roman"/>
          <w:szCs w:val="24"/>
          <w:lang w:bidi="ar"/>
        </w:rPr>
        <w:t>4-2</w:t>
      </w:r>
      <w:r>
        <w:rPr>
          <w:rFonts w:hint="eastAsia" w:eastAsia="宋体" w:cs="Times New Roman"/>
          <w:szCs w:val="24"/>
          <w:lang w:bidi="ar"/>
        </w:rPr>
        <w:t>6）。</w:t>
      </w:r>
    </w:p>
    <w:p w14:paraId="1D5CEE46">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6</w:t>
      </w:r>
      <w:r>
        <w:rPr>
          <w:rFonts w:eastAsia="宋体" w:cs="Times New Roman"/>
          <w:sz w:val="21"/>
          <w:lang w:bidi="ar"/>
        </w:rPr>
        <w:t xml:space="preserve">  </w:t>
      </w:r>
      <w:r>
        <w:rPr>
          <w:rFonts w:hint="eastAsia" w:eastAsia="宋体" w:cs="Times New Roman"/>
          <w:sz w:val="21"/>
          <w:lang w:bidi="ar"/>
        </w:rPr>
        <w:t>西区水文化传承载体数量现状与规划结果</w:t>
      </w:r>
    </w:p>
    <w:tbl>
      <w:tblPr>
        <w:tblStyle w:val="25"/>
        <w:tblW w:w="87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6"/>
        <w:gridCol w:w="1790"/>
        <w:gridCol w:w="1911"/>
        <w:gridCol w:w="1831"/>
        <w:gridCol w:w="1863"/>
      </w:tblGrid>
      <w:tr w14:paraId="3F847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336" w:type="dxa"/>
            <w:tcBorders>
              <w:top w:val="single" w:color="auto" w:sz="4" w:space="0"/>
              <w:left w:val="single" w:color="auto" w:sz="4" w:space="0"/>
              <w:bottom w:val="single" w:color="auto" w:sz="4" w:space="0"/>
              <w:right w:val="single" w:color="auto" w:sz="4" w:space="0"/>
            </w:tcBorders>
            <w:shd w:val="clear" w:color="auto" w:fill="auto"/>
            <w:vAlign w:val="center"/>
          </w:tcPr>
          <w:p w14:paraId="1274354A">
            <w:pPr>
              <w:spacing w:line="240" w:lineRule="auto"/>
              <w:ind w:firstLine="0" w:firstLineChars="0"/>
              <w:jc w:val="center"/>
              <w:rPr>
                <w:sz w:val="21"/>
              </w:rPr>
            </w:pPr>
            <w:r>
              <w:rPr>
                <w:rFonts w:hint="eastAsia" w:eastAsia="宋体" w:cs="宋体"/>
                <w:sz w:val="21"/>
                <w:lang w:bidi="ar"/>
              </w:rPr>
              <w:t>指标</w:t>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14:paraId="032E45E8">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001CF42B">
            <w:pPr>
              <w:spacing w:line="240" w:lineRule="auto"/>
              <w:ind w:firstLine="0" w:firstLineChars="0"/>
              <w:jc w:val="center"/>
              <w:rPr>
                <w:sz w:val="21"/>
              </w:rPr>
            </w:pPr>
            <w:r>
              <w:rPr>
                <w:rFonts w:hint="eastAsia" w:eastAsia="宋体" w:cs="宋体"/>
                <w:sz w:val="21"/>
                <w:lang w:bidi="ar"/>
              </w:rPr>
              <w:t>与指标分级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5097A8B3">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831" w:type="dxa"/>
            <w:tcBorders>
              <w:top w:val="single" w:color="auto" w:sz="4" w:space="0"/>
              <w:left w:val="single" w:color="auto" w:sz="4" w:space="0"/>
              <w:bottom w:val="single" w:color="auto" w:sz="4" w:space="0"/>
              <w:right w:val="single" w:color="auto" w:sz="4" w:space="0"/>
            </w:tcBorders>
            <w:shd w:val="clear" w:color="auto" w:fill="auto"/>
            <w:vAlign w:val="center"/>
          </w:tcPr>
          <w:p w14:paraId="576DFF20">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863" w:type="dxa"/>
            <w:tcBorders>
              <w:top w:val="single" w:color="auto" w:sz="4" w:space="0"/>
              <w:left w:val="single" w:color="auto" w:sz="4" w:space="0"/>
              <w:bottom w:val="single" w:color="auto" w:sz="4" w:space="0"/>
              <w:right w:val="single" w:color="auto" w:sz="4" w:space="0"/>
            </w:tcBorders>
            <w:shd w:val="clear" w:color="auto" w:fill="auto"/>
            <w:vAlign w:val="center"/>
          </w:tcPr>
          <w:p w14:paraId="1CE73E68">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D816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336" w:type="dxa"/>
            <w:tcBorders>
              <w:top w:val="single" w:color="auto" w:sz="4" w:space="0"/>
              <w:left w:val="single" w:color="auto" w:sz="4" w:space="0"/>
              <w:bottom w:val="single" w:color="auto" w:sz="4" w:space="0"/>
              <w:right w:val="single" w:color="auto" w:sz="4" w:space="0"/>
            </w:tcBorders>
            <w:shd w:val="clear" w:color="auto" w:fill="auto"/>
            <w:vAlign w:val="center"/>
          </w:tcPr>
          <w:p w14:paraId="21655BA0">
            <w:pPr>
              <w:spacing w:line="240" w:lineRule="auto"/>
              <w:ind w:firstLine="0" w:firstLineChars="0"/>
              <w:jc w:val="center"/>
              <w:rPr>
                <w:sz w:val="21"/>
              </w:rPr>
            </w:pPr>
            <w:r>
              <w:rPr>
                <w:rFonts w:hint="eastAsia" w:eastAsia="宋体" w:cs="宋体"/>
                <w:kern w:val="0"/>
                <w:sz w:val="21"/>
                <w:lang w:bidi="ar"/>
              </w:rPr>
              <w:t>水文化传承载体数量</w:t>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14:paraId="3C1E8FEA">
            <w:pPr>
              <w:widowControl/>
              <w:spacing w:line="240" w:lineRule="auto"/>
              <w:ind w:firstLine="0" w:firstLineChars="0"/>
              <w:jc w:val="center"/>
              <w:rPr>
                <w:kern w:val="0"/>
                <w:sz w:val="21"/>
              </w:rPr>
            </w:pPr>
            <w:r>
              <w:rPr>
                <w:rFonts w:hint="eastAsia" w:eastAsia="宋体" w:cs="Times New Roman"/>
                <w:kern w:val="0"/>
                <w:sz w:val="21"/>
                <w:lang w:bidi="ar"/>
              </w:rPr>
              <w:t>2</w:t>
            </w:r>
            <w:r>
              <w:rPr>
                <w:rFonts w:hint="eastAsia" w:eastAsia="宋体" w:cs="宋体"/>
                <w:kern w:val="0"/>
                <w:sz w:val="21"/>
                <w:lang w:bidi="ar"/>
              </w:rPr>
              <w:t>个、</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0FB2C481">
            <w:pPr>
              <w:widowControl/>
              <w:spacing w:line="240" w:lineRule="auto"/>
              <w:ind w:firstLine="0" w:firstLineChars="0"/>
              <w:jc w:val="center"/>
              <w:rPr>
                <w:kern w:val="0"/>
                <w:sz w:val="21"/>
              </w:rPr>
            </w:pPr>
            <w:r>
              <w:rPr>
                <w:rFonts w:hint="eastAsia" w:eastAsia="宋体" w:cs="Times New Roman"/>
                <w:kern w:val="0"/>
                <w:sz w:val="21"/>
                <w:lang w:bidi="ar"/>
              </w:rPr>
              <w:t>3</w:t>
            </w:r>
            <w:r>
              <w:rPr>
                <w:rFonts w:hint="eastAsia" w:eastAsia="宋体" w:cs="宋体"/>
                <w:kern w:val="0"/>
                <w:sz w:val="21"/>
                <w:lang w:bidi="ar"/>
              </w:rPr>
              <w:t>个、</w:t>
            </w:r>
            <w:r>
              <w:rPr>
                <w:rFonts w:hint="eastAsia"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31" w:type="dxa"/>
            <w:tcBorders>
              <w:top w:val="single" w:color="auto" w:sz="4" w:space="0"/>
              <w:left w:val="single" w:color="auto" w:sz="4" w:space="0"/>
              <w:bottom w:val="single" w:color="auto" w:sz="4" w:space="0"/>
              <w:right w:val="single" w:color="auto" w:sz="4" w:space="0"/>
            </w:tcBorders>
            <w:shd w:val="clear" w:color="auto" w:fill="auto"/>
            <w:vAlign w:val="center"/>
          </w:tcPr>
          <w:p w14:paraId="48072550">
            <w:pPr>
              <w:widowControl/>
              <w:spacing w:line="240" w:lineRule="auto"/>
              <w:ind w:firstLine="0" w:firstLineChars="0"/>
              <w:jc w:val="center"/>
              <w:rPr>
                <w:kern w:val="0"/>
                <w:sz w:val="21"/>
              </w:rPr>
            </w:pPr>
            <w:r>
              <w:rPr>
                <w:rFonts w:hint="eastAsia" w:eastAsia="宋体" w:cs="Times New Roman"/>
                <w:kern w:val="0"/>
                <w:sz w:val="21"/>
                <w:lang w:bidi="ar"/>
              </w:rPr>
              <w:t>5</w:t>
            </w:r>
            <w:r>
              <w:rPr>
                <w:rFonts w:hint="eastAsia" w:eastAsia="宋体" w:cs="宋体"/>
                <w:kern w:val="0"/>
                <w:sz w:val="21"/>
                <w:lang w:bidi="ar"/>
              </w:rPr>
              <w:t>个、</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63" w:type="dxa"/>
            <w:tcBorders>
              <w:top w:val="single" w:color="auto" w:sz="4" w:space="0"/>
              <w:left w:val="single" w:color="auto" w:sz="4" w:space="0"/>
              <w:bottom w:val="single" w:color="auto" w:sz="4" w:space="0"/>
              <w:right w:val="single" w:color="auto" w:sz="4" w:space="0"/>
            </w:tcBorders>
            <w:shd w:val="clear" w:color="auto" w:fill="auto"/>
            <w:vAlign w:val="center"/>
          </w:tcPr>
          <w:p w14:paraId="3E897FE0">
            <w:pPr>
              <w:widowControl/>
              <w:spacing w:line="240" w:lineRule="auto"/>
              <w:ind w:firstLine="0" w:firstLineChars="0"/>
              <w:jc w:val="center"/>
              <w:rPr>
                <w:kern w:val="0"/>
                <w:sz w:val="21"/>
              </w:rPr>
            </w:pPr>
            <w:r>
              <w:rPr>
                <w:rFonts w:hint="eastAsia" w:eastAsia="宋体" w:cs="Times New Roman"/>
                <w:kern w:val="0"/>
                <w:sz w:val="21"/>
                <w:lang w:bidi="ar"/>
              </w:rPr>
              <w:t>7</w:t>
            </w:r>
            <w:r>
              <w:rPr>
                <w:rFonts w:hint="eastAsia" w:eastAsia="宋体" w:cs="宋体"/>
                <w:kern w:val="0"/>
                <w:sz w:val="21"/>
                <w:lang w:bidi="ar"/>
              </w:rPr>
              <w:t>个、</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bl>
    <w:p w14:paraId="532A1123">
      <w:pPr>
        <w:spacing w:line="240" w:lineRule="auto"/>
        <w:ind w:firstLine="0" w:firstLineChars="0"/>
        <w:rPr>
          <w:rFonts w:cs="Times New Roman"/>
        </w:rPr>
      </w:pPr>
    </w:p>
    <w:p w14:paraId="444C6D95">
      <w:pPr>
        <w:pStyle w:val="3"/>
        <w:widowControl/>
        <w:spacing w:before="0" w:after="0" w:line="360" w:lineRule="auto"/>
        <w:rPr>
          <w:rFonts w:cs="Times New Roman"/>
        </w:rPr>
      </w:pPr>
      <w:bookmarkStart w:id="718" w:name="_Toc526004973"/>
      <w:bookmarkStart w:id="719" w:name="_Toc1403"/>
      <w:bookmarkStart w:id="720" w:name="_Toc16675078"/>
      <w:bookmarkStart w:id="721" w:name="_Toc10003"/>
      <w:bookmarkStart w:id="722" w:name="_Toc528607302"/>
      <w:bookmarkStart w:id="723" w:name="_Toc24605"/>
      <w:bookmarkStart w:id="724" w:name="_Toc15409"/>
      <w:bookmarkStart w:id="725" w:name="_Toc8244"/>
      <w:bookmarkStart w:id="726" w:name="_Toc528880334"/>
      <w:bookmarkStart w:id="727" w:name="_Toc523306826"/>
      <w:bookmarkStart w:id="728" w:name="_Toc527881128"/>
      <w:bookmarkStart w:id="729" w:name="_Toc26361"/>
      <w:r>
        <w:rPr>
          <w:rFonts w:cs="Times New Roman"/>
        </w:rPr>
        <w:t>4.6.2</w:t>
      </w:r>
      <w:r>
        <w:rPr>
          <w:rFonts w:hint="eastAsia" w:cs="Times New Roman"/>
        </w:rPr>
        <w:t>水生态文明建设公众认知度</w:t>
      </w:r>
      <w:bookmarkEnd w:id="718"/>
      <w:bookmarkEnd w:id="719"/>
      <w:bookmarkEnd w:id="720"/>
      <w:bookmarkEnd w:id="721"/>
      <w:bookmarkEnd w:id="722"/>
      <w:bookmarkEnd w:id="723"/>
      <w:bookmarkEnd w:id="724"/>
      <w:bookmarkEnd w:id="725"/>
      <w:bookmarkEnd w:id="726"/>
      <w:bookmarkEnd w:id="727"/>
      <w:bookmarkEnd w:id="728"/>
      <w:bookmarkEnd w:id="729"/>
    </w:p>
    <w:p w14:paraId="3756D33B">
      <w:pPr>
        <w:ind w:firstLine="480"/>
        <w:rPr>
          <w:szCs w:val="24"/>
        </w:rPr>
      </w:pPr>
      <w:r>
        <w:rPr>
          <w:rFonts w:hint="eastAsia" w:eastAsia="宋体" w:cs="Times New Roman"/>
          <w:lang w:bidi="ar"/>
        </w:rPr>
        <w:t>指水生态文明宣传教育活动直接参与人次与水文化传承载体参观人次之和与区域常住人口的比例</w:t>
      </w:r>
      <w:r>
        <w:rPr>
          <w:rFonts w:hint="eastAsia" w:eastAsia="宋体" w:cs="Times New Roman"/>
          <w:b/>
          <w:bCs/>
          <w:szCs w:val="24"/>
          <w:lang w:bidi="ar"/>
        </w:rPr>
        <w:t>（具体计算公式见附录1）</w:t>
      </w:r>
      <w:r>
        <w:rPr>
          <w:rFonts w:hint="eastAsia" w:eastAsia="宋体" w:cs="Times New Roman"/>
          <w:lang w:bidi="ar"/>
        </w:rPr>
        <w:t>。西区目前只有水文化传承载体彩虹绿洲湿地公园和六涌休闲湿地公园，西区对于水生态文明宣传教育活动较少，参考中山市的相关指标值，预估</w:t>
      </w:r>
      <w:r>
        <w:rPr>
          <w:rFonts w:eastAsia="宋体" w:cs="Times New Roman"/>
          <w:lang w:bidi="ar"/>
        </w:rPr>
        <w:t>2017</w:t>
      </w:r>
      <w:r>
        <w:rPr>
          <w:rFonts w:hint="eastAsia" w:eastAsia="宋体" w:cs="Times New Roman"/>
          <w:lang w:bidi="ar"/>
        </w:rPr>
        <w:t>年西区水生态文明建设公众认知度约为15</w:t>
      </w:r>
      <w:r>
        <w:rPr>
          <w:rFonts w:eastAsia="宋体" w:cs="Times New Roman"/>
          <w:lang w:bidi="ar"/>
        </w:rPr>
        <w:t>%</w:t>
      </w:r>
      <w:r>
        <w:rPr>
          <w:rFonts w:hint="eastAsia" w:eastAsia="宋体" w:cs="Times New Roman"/>
          <w:lang w:bidi="ar"/>
        </w:rPr>
        <w:t>。</w:t>
      </w:r>
      <w:r>
        <w:rPr>
          <w:rFonts w:hint="eastAsia" w:eastAsia="宋体" w:cs="宋体"/>
          <w:lang w:bidi="ar"/>
        </w:rPr>
        <w:t>由于</w:t>
      </w:r>
      <w:r>
        <w:rPr>
          <w:rFonts w:eastAsia="宋体" w:cs="Times New Roman"/>
          <w:lang w:bidi="ar"/>
        </w:rPr>
        <w:t>2020</w:t>
      </w:r>
      <w:r>
        <w:rPr>
          <w:rFonts w:hint="eastAsia" w:eastAsia="宋体" w:cs="宋体"/>
          <w:lang w:bidi="ar"/>
        </w:rPr>
        <w:t>年计划建设</w:t>
      </w:r>
      <w:r>
        <w:rPr>
          <w:rFonts w:hint="eastAsia" w:eastAsia="宋体" w:cs="Times New Roman"/>
          <w:lang w:bidi="ar"/>
        </w:rPr>
        <w:t>1</w:t>
      </w:r>
      <w:r>
        <w:rPr>
          <w:rFonts w:hint="eastAsia" w:eastAsia="宋体" w:cs="宋体"/>
          <w:lang w:bidi="ar"/>
        </w:rPr>
        <w:t>个水文化传承载体，</w:t>
      </w:r>
      <w:r>
        <w:rPr>
          <w:rFonts w:eastAsia="宋体" w:cs="Times New Roman"/>
          <w:lang w:bidi="ar"/>
        </w:rPr>
        <w:t>2025</w:t>
      </w:r>
      <w:r>
        <w:rPr>
          <w:rFonts w:hint="eastAsia" w:eastAsia="宋体" w:cs="宋体"/>
          <w:lang w:bidi="ar"/>
        </w:rPr>
        <w:t>年计划建设</w:t>
      </w:r>
      <w:r>
        <w:rPr>
          <w:rFonts w:eastAsia="宋体" w:cs="Times New Roman"/>
          <w:lang w:bidi="ar"/>
        </w:rPr>
        <w:t>2</w:t>
      </w:r>
      <w:r>
        <w:rPr>
          <w:rFonts w:hint="eastAsia" w:eastAsia="宋体" w:cs="宋体"/>
          <w:lang w:bidi="ar"/>
        </w:rPr>
        <w:t>个水文化传承载体，</w:t>
      </w:r>
      <w:r>
        <w:rPr>
          <w:rFonts w:eastAsia="宋体" w:cs="Times New Roman"/>
          <w:lang w:bidi="ar"/>
        </w:rPr>
        <w:t>2030</w:t>
      </w:r>
      <w:r>
        <w:rPr>
          <w:rFonts w:hint="eastAsia" w:eastAsia="宋体" w:cs="宋体"/>
          <w:lang w:bidi="ar"/>
        </w:rPr>
        <w:t>年计划建设</w:t>
      </w:r>
      <w:r>
        <w:rPr>
          <w:rFonts w:hint="eastAsia" w:eastAsia="宋体" w:cs="Times New Roman"/>
          <w:lang w:bidi="ar"/>
        </w:rPr>
        <w:t>2</w:t>
      </w:r>
      <w:r>
        <w:rPr>
          <w:rFonts w:hint="eastAsia" w:eastAsia="宋体" w:cs="宋体"/>
          <w:lang w:bidi="ar"/>
        </w:rPr>
        <w:t>个水文化传承载体，争取在各自的规划水平年前建成并投入使用，多举办水生态文明宣传教育活动，不断提高水生态文明建设公众认知度，因此</w:t>
      </w:r>
      <w:r>
        <w:rPr>
          <w:rFonts w:eastAsia="宋体" w:cs="Times New Roman"/>
          <w:lang w:bidi="ar"/>
        </w:rPr>
        <w:t>2020</w:t>
      </w:r>
      <w:r>
        <w:rPr>
          <w:rFonts w:hint="eastAsia" w:eastAsia="宋体" w:cs="宋体"/>
          <w:lang w:bidi="ar"/>
        </w:rPr>
        <w:t>年西区的水生态文明建设公众认知度规划目标值定为</w:t>
      </w:r>
      <w:r>
        <w:rPr>
          <w:rFonts w:hint="eastAsia" w:eastAsia="宋体" w:cs="Times New Roman"/>
          <w:lang w:bidi="ar"/>
        </w:rPr>
        <w:t>2</w:t>
      </w:r>
      <w:r>
        <w:rPr>
          <w:rFonts w:eastAsia="宋体" w:cs="Times New Roman"/>
          <w:lang w:bidi="ar"/>
        </w:rPr>
        <w:t>0%</w:t>
      </w:r>
      <w:r>
        <w:rPr>
          <w:rFonts w:hint="eastAsia" w:eastAsia="宋体" w:cs="宋体"/>
          <w:lang w:bidi="ar"/>
        </w:rPr>
        <w:t>，</w:t>
      </w:r>
      <w:r>
        <w:rPr>
          <w:rFonts w:eastAsia="宋体" w:cs="Times New Roman"/>
          <w:lang w:bidi="ar"/>
        </w:rPr>
        <w:t>2025</w:t>
      </w:r>
      <w:r>
        <w:rPr>
          <w:rFonts w:hint="eastAsia" w:eastAsia="宋体" w:cs="宋体"/>
          <w:lang w:bidi="ar"/>
        </w:rPr>
        <w:t>年西区的水生态文明建设公众认知度规划目标值定为</w:t>
      </w:r>
      <w:r>
        <w:rPr>
          <w:rFonts w:hint="eastAsia" w:eastAsia="宋体" w:cs="Times New Roman"/>
          <w:lang w:bidi="ar"/>
        </w:rPr>
        <w:t>3</w:t>
      </w:r>
      <w:r>
        <w:rPr>
          <w:rFonts w:eastAsia="宋体" w:cs="Times New Roman"/>
          <w:lang w:bidi="ar"/>
        </w:rPr>
        <w:t>5%</w:t>
      </w:r>
      <w:r>
        <w:rPr>
          <w:rFonts w:hint="eastAsia" w:eastAsia="宋体" w:cs="宋体"/>
          <w:lang w:bidi="ar"/>
        </w:rPr>
        <w:t>，基于</w:t>
      </w:r>
      <w:r>
        <w:rPr>
          <w:rFonts w:eastAsia="宋体" w:cs="Times New Roman"/>
          <w:lang w:bidi="ar"/>
        </w:rPr>
        <w:t>2025</w:t>
      </w:r>
      <w:r>
        <w:rPr>
          <w:rFonts w:hint="eastAsia" w:eastAsia="宋体" w:cs="宋体"/>
          <w:lang w:bidi="ar"/>
        </w:rPr>
        <w:t>年的规划目标值，预测</w:t>
      </w:r>
      <w:r>
        <w:rPr>
          <w:rFonts w:eastAsia="宋体" w:cs="Times New Roman"/>
          <w:lang w:bidi="ar"/>
        </w:rPr>
        <w:t>2030</w:t>
      </w:r>
      <w:r>
        <w:rPr>
          <w:rFonts w:hint="eastAsia" w:eastAsia="宋体" w:cs="宋体"/>
          <w:lang w:bidi="ar"/>
        </w:rPr>
        <w:t>年的规划目标值为</w:t>
      </w:r>
      <w:r>
        <w:rPr>
          <w:rFonts w:hint="eastAsia" w:eastAsia="宋体" w:cs="Times New Roman"/>
          <w:lang w:bidi="ar"/>
        </w:rPr>
        <w:t>5</w:t>
      </w:r>
      <w:r>
        <w:rPr>
          <w:rFonts w:eastAsia="宋体" w:cs="Times New Roman"/>
          <w:lang w:bidi="ar"/>
        </w:rPr>
        <w:t>0%</w:t>
      </w:r>
      <w:r>
        <w:rPr>
          <w:rFonts w:hint="eastAsia" w:eastAsia="宋体" w:cs="宋体"/>
          <w:lang w:bidi="ar"/>
        </w:rPr>
        <w:t>（表</w:t>
      </w:r>
      <w:r>
        <w:rPr>
          <w:rFonts w:eastAsia="宋体" w:cs="Times New Roman"/>
          <w:lang w:bidi="ar"/>
        </w:rPr>
        <w:t>4-</w:t>
      </w:r>
      <w:r>
        <w:rPr>
          <w:rFonts w:hint="eastAsia" w:eastAsia="宋体" w:cs="Times New Roman"/>
          <w:lang w:bidi="ar"/>
        </w:rPr>
        <w:t>27</w:t>
      </w:r>
      <w:r>
        <w:rPr>
          <w:rFonts w:hint="eastAsia" w:eastAsia="宋体" w:cs="宋体"/>
          <w:lang w:bidi="ar"/>
        </w:rPr>
        <w:t>）。</w:t>
      </w:r>
    </w:p>
    <w:p w14:paraId="55B2E832">
      <w:pPr>
        <w:spacing w:line="240" w:lineRule="auto"/>
        <w:ind w:firstLine="0" w:firstLineChars="0"/>
        <w:jc w:val="center"/>
        <w:rPr>
          <w:sz w:val="21"/>
        </w:rPr>
      </w:pPr>
      <w:r>
        <w:rPr>
          <w:rFonts w:hint="eastAsia" w:eastAsia="宋体" w:cs="宋体"/>
          <w:sz w:val="21"/>
          <w:lang w:bidi="ar"/>
        </w:rPr>
        <w:t>表</w:t>
      </w:r>
      <w:r>
        <w:rPr>
          <w:rFonts w:eastAsia="宋体" w:cs="Times New Roman"/>
          <w:sz w:val="21"/>
          <w:lang w:bidi="ar"/>
        </w:rPr>
        <w:t>4-</w:t>
      </w:r>
      <w:r>
        <w:rPr>
          <w:rFonts w:hint="eastAsia" w:eastAsia="宋体" w:cs="Times New Roman"/>
          <w:sz w:val="21"/>
          <w:lang w:bidi="ar"/>
        </w:rPr>
        <w:t>27</w:t>
      </w:r>
      <w:r>
        <w:rPr>
          <w:rFonts w:eastAsia="宋体" w:cs="Times New Roman"/>
          <w:sz w:val="21"/>
          <w:lang w:bidi="ar"/>
        </w:rPr>
        <w:t xml:space="preserve">  </w:t>
      </w:r>
      <w:r>
        <w:rPr>
          <w:rFonts w:hint="eastAsia" w:eastAsia="宋体" w:cs="宋体"/>
          <w:sz w:val="21"/>
          <w:lang w:bidi="ar"/>
        </w:rPr>
        <w:t>西区水生态文明建设公众认知度现状与规划结果</w:t>
      </w:r>
    </w:p>
    <w:tbl>
      <w:tblPr>
        <w:tblStyle w:val="25"/>
        <w:tblW w:w="85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6"/>
        <w:gridCol w:w="1852"/>
        <w:gridCol w:w="1662"/>
        <w:gridCol w:w="1702"/>
        <w:gridCol w:w="1724"/>
      </w:tblGrid>
      <w:tr w14:paraId="3C007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76" w:type="dxa"/>
            <w:tcBorders>
              <w:top w:val="single" w:color="auto" w:sz="4" w:space="0"/>
              <w:left w:val="single" w:color="auto" w:sz="4" w:space="0"/>
              <w:bottom w:val="single" w:color="auto" w:sz="4" w:space="0"/>
              <w:right w:val="single" w:color="auto" w:sz="4" w:space="0"/>
            </w:tcBorders>
            <w:shd w:val="clear" w:color="auto" w:fill="auto"/>
            <w:vAlign w:val="center"/>
          </w:tcPr>
          <w:p w14:paraId="28967FAD">
            <w:pPr>
              <w:spacing w:line="240" w:lineRule="auto"/>
              <w:ind w:firstLine="0" w:firstLineChars="0"/>
              <w:jc w:val="center"/>
              <w:rPr>
                <w:sz w:val="21"/>
              </w:rPr>
            </w:pPr>
            <w:r>
              <w:rPr>
                <w:rFonts w:hint="eastAsia" w:eastAsia="宋体" w:cs="宋体"/>
                <w:sz w:val="21"/>
                <w:lang w:bidi="ar"/>
              </w:rPr>
              <w:t>指标</w:t>
            </w:r>
          </w:p>
        </w:tc>
        <w:tc>
          <w:tcPr>
            <w:tcW w:w="1852" w:type="dxa"/>
            <w:tcBorders>
              <w:top w:val="single" w:color="auto" w:sz="4" w:space="0"/>
              <w:left w:val="single" w:color="auto" w:sz="4" w:space="0"/>
              <w:bottom w:val="single" w:color="auto" w:sz="4" w:space="0"/>
              <w:right w:val="single" w:color="auto" w:sz="4" w:space="0"/>
            </w:tcBorders>
            <w:shd w:val="clear" w:color="auto" w:fill="auto"/>
            <w:vAlign w:val="center"/>
          </w:tcPr>
          <w:p w14:paraId="76C36FEA">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65D5440B">
            <w:pPr>
              <w:spacing w:line="240" w:lineRule="auto"/>
              <w:ind w:firstLine="0" w:firstLineChars="0"/>
              <w:jc w:val="center"/>
              <w:rPr>
                <w:sz w:val="21"/>
              </w:rPr>
            </w:pPr>
            <w:r>
              <w:rPr>
                <w:rFonts w:hint="eastAsia" w:eastAsia="宋体" w:cs="宋体"/>
                <w:sz w:val="21"/>
                <w:lang w:bidi="ar"/>
              </w:rPr>
              <w:t>与指标分级</w:t>
            </w:r>
          </w:p>
        </w:tc>
        <w:tc>
          <w:tcPr>
            <w:tcW w:w="1662" w:type="dxa"/>
            <w:tcBorders>
              <w:top w:val="single" w:color="auto" w:sz="4" w:space="0"/>
              <w:left w:val="single" w:color="auto" w:sz="4" w:space="0"/>
              <w:bottom w:val="single" w:color="auto" w:sz="4" w:space="0"/>
              <w:right w:val="single" w:color="auto" w:sz="4" w:space="0"/>
            </w:tcBorders>
            <w:shd w:val="clear" w:color="auto" w:fill="auto"/>
            <w:vAlign w:val="center"/>
          </w:tcPr>
          <w:p w14:paraId="71F36D15">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4389A296">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724" w:type="dxa"/>
            <w:tcBorders>
              <w:top w:val="single" w:color="auto" w:sz="4" w:space="0"/>
              <w:left w:val="single" w:color="auto" w:sz="4" w:space="0"/>
              <w:bottom w:val="single" w:color="auto" w:sz="4" w:space="0"/>
              <w:right w:val="single" w:color="auto" w:sz="4" w:space="0"/>
            </w:tcBorders>
            <w:shd w:val="clear" w:color="auto" w:fill="auto"/>
            <w:vAlign w:val="center"/>
          </w:tcPr>
          <w:p w14:paraId="73C8039E">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1A6AD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576" w:type="dxa"/>
            <w:tcBorders>
              <w:top w:val="single" w:color="auto" w:sz="4" w:space="0"/>
              <w:left w:val="single" w:color="auto" w:sz="4" w:space="0"/>
              <w:bottom w:val="single" w:color="auto" w:sz="4" w:space="0"/>
              <w:right w:val="single" w:color="auto" w:sz="4" w:space="0"/>
            </w:tcBorders>
            <w:shd w:val="clear" w:color="auto" w:fill="auto"/>
            <w:vAlign w:val="center"/>
          </w:tcPr>
          <w:p w14:paraId="6A166C2F">
            <w:pPr>
              <w:spacing w:line="240" w:lineRule="auto"/>
              <w:ind w:firstLine="0" w:firstLineChars="0"/>
              <w:jc w:val="center"/>
              <w:rPr>
                <w:sz w:val="21"/>
              </w:rPr>
            </w:pPr>
            <w:r>
              <w:rPr>
                <w:rFonts w:hint="eastAsia" w:eastAsia="宋体" w:cs="宋体"/>
                <w:kern w:val="0"/>
                <w:sz w:val="21"/>
                <w:lang w:bidi="ar"/>
              </w:rPr>
              <w:t>水生态文明建设公众认知度</w:t>
            </w:r>
          </w:p>
        </w:tc>
        <w:tc>
          <w:tcPr>
            <w:tcW w:w="1852" w:type="dxa"/>
            <w:tcBorders>
              <w:top w:val="single" w:color="auto" w:sz="4" w:space="0"/>
              <w:left w:val="single" w:color="auto" w:sz="4" w:space="0"/>
              <w:bottom w:val="single" w:color="auto" w:sz="4" w:space="0"/>
              <w:right w:val="single" w:color="auto" w:sz="4" w:space="0"/>
            </w:tcBorders>
            <w:shd w:val="clear" w:color="auto" w:fill="auto"/>
            <w:vAlign w:val="center"/>
          </w:tcPr>
          <w:p w14:paraId="4B450B80">
            <w:pPr>
              <w:widowControl/>
              <w:spacing w:line="240" w:lineRule="auto"/>
              <w:ind w:firstLine="0" w:firstLineChars="0"/>
              <w:jc w:val="center"/>
              <w:rPr>
                <w:kern w:val="0"/>
                <w:sz w:val="21"/>
              </w:rPr>
            </w:pPr>
            <w:r>
              <w:rPr>
                <w:rFonts w:hint="eastAsia" w:eastAsia="宋体" w:cs="Times New Roman"/>
                <w:kern w:val="0"/>
                <w:sz w:val="21"/>
                <w:lang w:bidi="ar"/>
              </w:rPr>
              <w:t>15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662" w:type="dxa"/>
            <w:tcBorders>
              <w:top w:val="single" w:color="auto" w:sz="4" w:space="0"/>
              <w:left w:val="single" w:color="auto" w:sz="4" w:space="0"/>
              <w:bottom w:val="single" w:color="auto" w:sz="4" w:space="0"/>
              <w:right w:val="single" w:color="auto" w:sz="4" w:space="0"/>
            </w:tcBorders>
            <w:shd w:val="clear" w:color="auto" w:fill="auto"/>
            <w:vAlign w:val="center"/>
          </w:tcPr>
          <w:p w14:paraId="4216A3A6">
            <w:pPr>
              <w:widowControl/>
              <w:spacing w:line="240" w:lineRule="auto"/>
              <w:ind w:firstLine="0" w:firstLineChars="0"/>
              <w:jc w:val="center"/>
              <w:rPr>
                <w:kern w:val="0"/>
                <w:sz w:val="21"/>
              </w:rPr>
            </w:pPr>
            <w:r>
              <w:rPr>
                <w:rFonts w:hint="eastAsia" w:eastAsia="宋体" w:cs="Times New Roman"/>
                <w:kern w:val="0"/>
                <w:sz w:val="21"/>
                <w:lang w:bidi="ar"/>
              </w:rPr>
              <w:t>2</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016D6E28">
            <w:pPr>
              <w:widowControl/>
              <w:spacing w:line="240" w:lineRule="auto"/>
              <w:ind w:firstLine="0" w:firstLineChars="0"/>
              <w:jc w:val="center"/>
              <w:rPr>
                <w:kern w:val="0"/>
                <w:sz w:val="21"/>
              </w:rPr>
            </w:pPr>
            <w:r>
              <w:rPr>
                <w:rFonts w:hint="eastAsia" w:eastAsia="宋体" w:cs="Times New Roman"/>
                <w:kern w:val="0"/>
                <w:sz w:val="21"/>
                <w:lang w:bidi="ar"/>
              </w:rPr>
              <w:t>3</w:t>
            </w: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24" w:type="dxa"/>
            <w:tcBorders>
              <w:top w:val="single" w:color="auto" w:sz="4" w:space="0"/>
              <w:left w:val="single" w:color="auto" w:sz="4" w:space="0"/>
              <w:bottom w:val="single" w:color="auto" w:sz="4" w:space="0"/>
              <w:right w:val="single" w:color="auto" w:sz="4" w:space="0"/>
            </w:tcBorders>
            <w:shd w:val="clear" w:color="auto" w:fill="auto"/>
            <w:vAlign w:val="center"/>
          </w:tcPr>
          <w:p w14:paraId="4D0A6068">
            <w:pPr>
              <w:widowControl/>
              <w:spacing w:line="240" w:lineRule="auto"/>
              <w:ind w:firstLine="0" w:firstLineChars="0"/>
              <w:jc w:val="center"/>
              <w:rPr>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2F980962">
      <w:pPr>
        <w:ind w:firstLine="480"/>
        <w:rPr>
          <w:rFonts w:eastAsia="宋体" w:cs="Times New Roman"/>
          <w:szCs w:val="24"/>
        </w:rPr>
      </w:pPr>
    </w:p>
    <w:p w14:paraId="60DA7C5C">
      <w:pPr>
        <w:pStyle w:val="3"/>
        <w:widowControl/>
        <w:spacing w:before="0" w:after="0" w:line="360" w:lineRule="auto"/>
        <w:rPr>
          <w:rFonts w:cs="Times New Roman"/>
        </w:rPr>
      </w:pPr>
      <w:bookmarkStart w:id="730" w:name="_Toc16675079"/>
      <w:bookmarkStart w:id="731" w:name="_Toc8159"/>
      <w:bookmarkStart w:id="732" w:name="_Toc526004974"/>
      <w:bookmarkStart w:id="733" w:name="_Toc14452"/>
      <w:bookmarkStart w:id="734" w:name="_Toc1018"/>
      <w:bookmarkStart w:id="735" w:name="_Toc1621"/>
      <w:bookmarkStart w:id="736" w:name="_Toc528607303"/>
      <w:bookmarkStart w:id="737" w:name="_Toc527881129"/>
      <w:bookmarkStart w:id="738" w:name="_Toc523306827"/>
      <w:bookmarkStart w:id="739" w:name="_Toc29000"/>
      <w:bookmarkStart w:id="740" w:name="_Toc528880335"/>
      <w:bookmarkStart w:id="741" w:name="_Toc3231"/>
      <w:r>
        <w:rPr>
          <w:rFonts w:cs="Times New Roman"/>
        </w:rPr>
        <w:t>4.6.3</w:t>
      </w:r>
      <w:r>
        <w:rPr>
          <w:rFonts w:hint="eastAsia" w:cs="Times New Roman"/>
        </w:rPr>
        <w:t>水生态环境质量公众满意度</w:t>
      </w:r>
      <w:bookmarkEnd w:id="730"/>
      <w:bookmarkEnd w:id="731"/>
      <w:bookmarkEnd w:id="732"/>
      <w:bookmarkEnd w:id="733"/>
      <w:bookmarkEnd w:id="734"/>
      <w:bookmarkEnd w:id="735"/>
      <w:bookmarkEnd w:id="736"/>
      <w:bookmarkEnd w:id="737"/>
      <w:bookmarkEnd w:id="738"/>
      <w:bookmarkEnd w:id="739"/>
      <w:bookmarkEnd w:id="740"/>
      <w:bookmarkEnd w:id="741"/>
    </w:p>
    <w:p w14:paraId="4F6B453C">
      <w:pPr>
        <w:ind w:firstLine="480"/>
        <w:rPr>
          <w:rFonts w:cs="Times New Roman"/>
        </w:rPr>
      </w:pPr>
      <w:r>
        <w:rPr>
          <w:rFonts w:hint="eastAsia" w:eastAsia="宋体" w:cs="Times New Roman"/>
          <w:lang w:bidi="ar"/>
        </w:rPr>
        <w:t>指对水生态环境质量状况感到满意的受访者比例，通过专业统计部门抽样调查获取</w:t>
      </w:r>
      <w:r>
        <w:rPr>
          <w:rFonts w:hint="eastAsia" w:eastAsia="宋体" w:cs="Times New Roman"/>
          <w:b/>
          <w:bCs/>
          <w:szCs w:val="24"/>
          <w:lang w:bidi="ar"/>
        </w:rPr>
        <w:t>（具体计算公式见附录1）</w:t>
      </w:r>
      <w:r>
        <w:rPr>
          <w:rFonts w:hint="eastAsia" w:eastAsia="宋体" w:cs="Times New Roman"/>
          <w:lang w:bidi="ar"/>
        </w:rPr>
        <w:t>。西区目前水生态环境质量状况良好，由于专业统计部门未对西区进行抽样调研，于是该指标参考中山市相关规划成果，结合《中山市生态建设与环境保</w:t>
      </w:r>
      <w:r>
        <w:rPr>
          <w:rFonts w:hint="eastAsia" w:ascii="宋体" w:hAnsi="宋体" w:eastAsia="宋体" w:cs="Times New Roman"/>
          <w:lang w:bidi="ar"/>
        </w:rPr>
        <w:t>护“十三五”规</w:t>
      </w:r>
      <w:r>
        <w:rPr>
          <w:rFonts w:hint="eastAsia" w:eastAsia="宋体" w:cs="Times New Roman"/>
          <w:lang w:bidi="ar"/>
        </w:rPr>
        <w:t>划》公众对环境的满意率指标值，</w:t>
      </w:r>
      <w:r>
        <w:rPr>
          <w:rFonts w:hint="eastAsia" w:eastAsia="宋体" w:cs="宋体"/>
          <w:lang w:bidi="ar"/>
        </w:rPr>
        <w:t>于是西区水生态环境质量公众满意度约为</w:t>
      </w:r>
      <w:r>
        <w:rPr>
          <w:rFonts w:eastAsia="宋体" w:cs="Times New Roman"/>
          <w:lang w:bidi="ar"/>
        </w:rPr>
        <w:t>70%</w:t>
      </w:r>
      <w:r>
        <w:rPr>
          <w:rFonts w:hint="eastAsia" w:eastAsia="宋体" w:cs="宋体"/>
          <w:lang w:bidi="ar"/>
        </w:rPr>
        <w:t>。随着西区不断改善水生态环境，</w:t>
      </w:r>
      <w:r>
        <w:rPr>
          <w:rFonts w:eastAsia="宋体" w:cs="Times New Roman"/>
          <w:lang w:bidi="ar"/>
        </w:rPr>
        <w:t>2020</w:t>
      </w:r>
      <w:r>
        <w:rPr>
          <w:rFonts w:hint="eastAsia" w:eastAsia="宋体" w:cs="宋体"/>
          <w:lang w:bidi="ar"/>
        </w:rPr>
        <w:t>年西区水生态环境质量公众满意度规划目标值定为</w:t>
      </w:r>
      <w:r>
        <w:rPr>
          <w:rFonts w:eastAsia="宋体" w:cs="Times New Roman"/>
          <w:lang w:bidi="ar"/>
        </w:rPr>
        <w:t>72%</w:t>
      </w:r>
      <w:r>
        <w:rPr>
          <w:rFonts w:hint="eastAsia" w:eastAsia="宋体" w:cs="宋体"/>
          <w:lang w:bidi="ar"/>
        </w:rPr>
        <w:t>，</w:t>
      </w:r>
      <w:r>
        <w:rPr>
          <w:rFonts w:eastAsia="宋体" w:cs="Times New Roman"/>
          <w:lang w:bidi="ar"/>
        </w:rPr>
        <w:t>2025</w:t>
      </w:r>
      <w:r>
        <w:rPr>
          <w:rFonts w:hint="eastAsia" w:eastAsia="宋体" w:cs="宋体"/>
          <w:lang w:bidi="ar"/>
        </w:rPr>
        <w:t>年西区水生态环境质量公众满意度规划目标值定为</w:t>
      </w:r>
      <w:r>
        <w:rPr>
          <w:rFonts w:eastAsia="宋体" w:cs="Times New Roman"/>
          <w:lang w:bidi="ar"/>
        </w:rPr>
        <w:t>80%</w:t>
      </w:r>
      <w:r>
        <w:rPr>
          <w:rFonts w:hint="eastAsia" w:eastAsia="宋体" w:cs="宋体"/>
          <w:lang w:bidi="ar"/>
        </w:rPr>
        <w:t>，</w:t>
      </w:r>
      <w:r>
        <w:rPr>
          <w:rFonts w:eastAsia="宋体" w:cs="Times New Roman"/>
          <w:lang w:bidi="ar"/>
        </w:rPr>
        <w:t>2030</w:t>
      </w:r>
      <w:r>
        <w:rPr>
          <w:rFonts w:hint="eastAsia" w:eastAsia="宋体" w:cs="宋体"/>
          <w:lang w:bidi="ar"/>
        </w:rPr>
        <w:t>年西区水生态环境质量公众满意度规划目标值定为</w:t>
      </w:r>
      <w:r>
        <w:rPr>
          <w:rFonts w:eastAsia="宋体" w:cs="Times New Roman"/>
          <w:lang w:bidi="ar"/>
        </w:rPr>
        <w:t>90%</w:t>
      </w:r>
      <w:r>
        <w:rPr>
          <w:rFonts w:hint="eastAsia" w:eastAsia="宋体" w:cs="宋体"/>
          <w:lang w:bidi="ar"/>
        </w:rPr>
        <w:t>（表</w:t>
      </w:r>
      <w:r>
        <w:rPr>
          <w:rFonts w:eastAsia="宋体" w:cs="Times New Roman"/>
          <w:lang w:bidi="ar"/>
        </w:rPr>
        <w:t>4-</w:t>
      </w:r>
      <w:r>
        <w:rPr>
          <w:rFonts w:hint="eastAsia" w:eastAsia="宋体" w:cs="Times New Roman"/>
          <w:lang w:bidi="ar"/>
        </w:rPr>
        <w:t>28</w:t>
      </w:r>
      <w:r>
        <w:rPr>
          <w:rFonts w:hint="eastAsia" w:eastAsia="宋体" w:cs="宋体"/>
          <w:lang w:bidi="ar"/>
        </w:rPr>
        <w:t>），为了实现目标值，西区应保护好区内的水生态环境，并号召村民和居民共同维护好本区域内的水生态环境，减少污染物的直接排放，做好节约用水，循环用水，雨水利用等保护水生态环境的措施。</w:t>
      </w:r>
    </w:p>
    <w:p w14:paraId="25E06D7B">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28</w:t>
      </w:r>
      <w:r>
        <w:rPr>
          <w:rFonts w:eastAsia="宋体" w:cs="Times New Roman"/>
          <w:sz w:val="21"/>
          <w:lang w:bidi="ar"/>
        </w:rPr>
        <w:t xml:space="preserve">  </w:t>
      </w:r>
      <w:r>
        <w:rPr>
          <w:rFonts w:hint="eastAsia" w:eastAsia="宋体" w:cs="Times New Roman"/>
          <w:sz w:val="21"/>
          <w:lang w:bidi="ar"/>
        </w:rPr>
        <w:t>西区水生态环境质量公众满意度现状与规划结果</w:t>
      </w:r>
    </w:p>
    <w:tbl>
      <w:tblPr>
        <w:tblStyle w:val="25"/>
        <w:tblW w:w="86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1823"/>
        <w:gridCol w:w="1841"/>
        <w:gridCol w:w="1746"/>
        <w:gridCol w:w="1697"/>
      </w:tblGrid>
      <w:tr w14:paraId="2A138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545" w:type="dxa"/>
            <w:tcBorders>
              <w:top w:val="single" w:color="auto" w:sz="4" w:space="0"/>
              <w:left w:val="single" w:color="auto" w:sz="4" w:space="0"/>
              <w:bottom w:val="single" w:color="auto" w:sz="4" w:space="0"/>
              <w:right w:val="single" w:color="auto" w:sz="4" w:space="0"/>
            </w:tcBorders>
            <w:shd w:val="clear" w:color="auto" w:fill="auto"/>
            <w:vAlign w:val="center"/>
          </w:tcPr>
          <w:p w14:paraId="6A92B49D">
            <w:pPr>
              <w:spacing w:line="240" w:lineRule="auto"/>
              <w:ind w:firstLine="0" w:firstLineChars="0"/>
              <w:jc w:val="center"/>
              <w:rPr>
                <w:sz w:val="21"/>
              </w:rPr>
            </w:pPr>
            <w:r>
              <w:rPr>
                <w:rFonts w:hint="eastAsia" w:eastAsia="宋体" w:cs="宋体"/>
                <w:sz w:val="21"/>
                <w:lang w:bidi="ar"/>
              </w:rPr>
              <w:t>指标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76B8424">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72D16EF5">
            <w:pPr>
              <w:spacing w:line="240" w:lineRule="auto"/>
              <w:ind w:firstLine="0" w:firstLineChars="0"/>
              <w:jc w:val="center"/>
              <w:rPr>
                <w:sz w:val="21"/>
              </w:rPr>
            </w:pPr>
            <w:r>
              <w:rPr>
                <w:rFonts w:hint="eastAsia" w:eastAsia="宋体" w:cs="宋体"/>
                <w:sz w:val="21"/>
                <w:lang w:bidi="ar"/>
              </w:rPr>
              <w:t>与指标分级</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7A4E0E2A">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17CD3BB">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697" w:type="dxa"/>
            <w:tcBorders>
              <w:top w:val="single" w:color="auto" w:sz="4" w:space="0"/>
              <w:left w:val="single" w:color="auto" w:sz="4" w:space="0"/>
              <w:bottom w:val="single" w:color="auto" w:sz="4" w:space="0"/>
              <w:right w:val="single" w:color="auto" w:sz="4" w:space="0"/>
            </w:tcBorders>
            <w:shd w:val="clear" w:color="auto" w:fill="auto"/>
            <w:vAlign w:val="center"/>
          </w:tcPr>
          <w:p w14:paraId="787B91E2">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3CE5F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545" w:type="dxa"/>
            <w:tcBorders>
              <w:top w:val="single" w:color="auto" w:sz="4" w:space="0"/>
              <w:left w:val="single" w:color="auto" w:sz="4" w:space="0"/>
              <w:bottom w:val="single" w:color="auto" w:sz="4" w:space="0"/>
              <w:right w:val="single" w:color="auto" w:sz="4" w:space="0"/>
            </w:tcBorders>
            <w:shd w:val="clear" w:color="auto" w:fill="auto"/>
            <w:vAlign w:val="center"/>
          </w:tcPr>
          <w:p w14:paraId="3E382659">
            <w:pPr>
              <w:spacing w:line="240" w:lineRule="auto"/>
              <w:ind w:firstLine="0" w:firstLineChars="0"/>
              <w:jc w:val="center"/>
              <w:rPr>
                <w:sz w:val="21"/>
              </w:rPr>
            </w:pPr>
            <w:r>
              <w:rPr>
                <w:rFonts w:hint="eastAsia" w:eastAsia="宋体" w:cs="宋体"/>
                <w:kern w:val="0"/>
                <w:sz w:val="21"/>
                <w:lang w:bidi="ar"/>
              </w:rPr>
              <w:t>水生态环境质量公众满意度</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14561DC8">
            <w:pPr>
              <w:widowControl/>
              <w:spacing w:line="240" w:lineRule="auto"/>
              <w:ind w:firstLine="0" w:firstLineChars="0"/>
              <w:rPr>
                <w:kern w:val="0"/>
                <w:sz w:val="21"/>
              </w:rPr>
            </w:pPr>
            <w:r>
              <w:rPr>
                <w:rFonts w:eastAsia="宋体" w:cs="Times New Roman"/>
                <w:kern w:val="0"/>
                <w:sz w:val="21"/>
                <w:lang w:bidi="ar"/>
              </w:rPr>
              <w:t>70%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0C2BC270">
            <w:pPr>
              <w:widowControl/>
              <w:spacing w:line="240" w:lineRule="auto"/>
              <w:ind w:firstLine="0" w:firstLineChars="0"/>
              <w:jc w:val="center"/>
              <w:rPr>
                <w:kern w:val="0"/>
                <w:sz w:val="21"/>
              </w:rPr>
            </w:pPr>
            <w:r>
              <w:rPr>
                <w:rFonts w:eastAsia="宋体" w:cs="Times New Roman"/>
                <w:kern w:val="0"/>
                <w:sz w:val="21"/>
                <w:lang w:bidi="ar"/>
              </w:rPr>
              <w:t>72%</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386763E">
            <w:pPr>
              <w:widowControl/>
              <w:spacing w:line="240" w:lineRule="auto"/>
              <w:ind w:firstLine="0" w:firstLineChars="0"/>
              <w:jc w:val="center"/>
              <w:rPr>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697" w:type="dxa"/>
            <w:tcBorders>
              <w:top w:val="single" w:color="auto" w:sz="4" w:space="0"/>
              <w:left w:val="single" w:color="auto" w:sz="4" w:space="0"/>
              <w:bottom w:val="single" w:color="auto" w:sz="4" w:space="0"/>
              <w:right w:val="single" w:color="auto" w:sz="4" w:space="0"/>
            </w:tcBorders>
            <w:shd w:val="clear" w:color="auto" w:fill="auto"/>
            <w:vAlign w:val="center"/>
          </w:tcPr>
          <w:p w14:paraId="7028F744">
            <w:pPr>
              <w:widowControl/>
              <w:spacing w:line="240" w:lineRule="auto"/>
              <w:ind w:firstLine="0" w:firstLineChars="0"/>
              <w:jc w:val="center"/>
              <w:rPr>
                <w:kern w:val="0"/>
                <w:sz w:val="21"/>
              </w:rPr>
            </w:pPr>
            <w:r>
              <w:rPr>
                <w:rFonts w:eastAsia="宋体" w:cs="Times New Roman"/>
                <w:kern w:val="0"/>
                <w:sz w:val="21"/>
                <w:lang w:bidi="ar"/>
              </w:rPr>
              <w:t>90%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5DE608E5">
      <w:pPr>
        <w:spacing w:line="240" w:lineRule="auto"/>
        <w:ind w:firstLine="480"/>
        <w:rPr>
          <w:rFonts w:cs="Times New Roman"/>
        </w:rPr>
      </w:pPr>
    </w:p>
    <w:p w14:paraId="2C0C1CB5">
      <w:pPr>
        <w:ind w:firstLine="480"/>
        <w:rPr>
          <w:rFonts w:cs="Times New Roman"/>
        </w:rPr>
      </w:pPr>
      <w:r>
        <w:rPr>
          <w:rFonts w:hint="eastAsia" w:eastAsia="宋体" w:cs="Times New Roman"/>
          <w:lang w:bidi="ar"/>
        </w:rPr>
        <w:t>综上述，西区水文化规划目标结果如表</w:t>
      </w:r>
      <w:r>
        <w:rPr>
          <w:rFonts w:eastAsia="宋体" w:cs="Times New Roman"/>
          <w:lang w:bidi="ar"/>
        </w:rPr>
        <w:t>4-</w:t>
      </w:r>
      <w:r>
        <w:rPr>
          <w:rFonts w:hint="eastAsia" w:eastAsia="宋体" w:cs="Times New Roman"/>
          <w:lang w:bidi="ar"/>
        </w:rPr>
        <w:t>29。西区在水文化传承载体数量、水生态文明建设公众认知度、水生态环境质量公众满意度均处于初期阶段，应在水生态文明建设中在这方面加大建设力度，强化水生态文明宣传与推广活动，充分利用好自身岭南水乡、香山名人文化与地理优势，着力完善片区公共服务配套设施建设，</w:t>
      </w:r>
      <w:r>
        <w:rPr>
          <w:rFonts w:hint="eastAsia" w:eastAsia="宋体" w:cs="Times New Roman"/>
          <w:szCs w:val="28"/>
          <w:lang w:bidi="ar"/>
        </w:rPr>
        <w:t>整合滨江水生态资源</w:t>
      </w:r>
      <w:r>
        <w:rPr>
          <w:rFonts w:hint="eastAsia" w:eastAsia="宋体" w:cs="Times New Roman"/>
          <w:lang w:bidi="ar"/>
        </w:rPr>
        <w:t>、“中山尖沙咀”的美称、烟洲书院、黄氏宗祠、国家第二批非物质文化遗产醉龙文化、中山乃至珠江三角洲著名的商业贸易和休闲观光区等资源。</w:t>
      </w:r>
    </w:p>
    <w:p w14:paraId="05D1841C">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29</w:t>
      </w:r>
      <w:r>
        <w:rPr>
          <w:rFonts w:eastAsia="宋体" w:cs="Times New Roman"/>
          <w:sz w:val="21"/>
          <w:lang w:bidi="ar"/>
        </w:rPr>
        <w:t xml:space="preserve">  </w:t>
      </w:r>
      <w:r>
        <w:rPr>
          <w:rFonts w:hint="eastAsia" w:eastAsia="宋体" w:cs="Times New Roman"/>
          <w:sz w:val="21"/>
          <w:lang w:bidi="ar"/>
        </w:rPr>
        <w:t>西区水文化规划目标结果</w:t>
      </w:r>
    </w:p>
    <w:tbl>
      <w:tblPr>
        <w:tblStyle w:val="25"/>
        <w:tblW w:w="87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3"/>
        <w:gridCol w:w="1799"/>
        <w:gridCol w:w="1799"/>
        <w:gridCol w:w="1823"/>
        <w:gridCol w:w="1731"/>
      </w:tblGrid>
      <w:tr w14:paraId="12128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5D004E85">
            <w:pPr>
              <w:spacing w:line="240" w:lineRule="auto"/>
              <w:ind w:firstLine="0" w:firstLineChars="0"/>
              <w:jc w:val="center"/>
              <w:rPr>
                <w:sz w:val="21"/>
              </w:rPr>
            </w:pPr>
            <w:r>
              <w:rPr>
                <w:rFonts w:hint="eastAsia" w:eastAsia="宋体" w:cs="宋体"/>
                <w:sz w:val="21"/>
                <w:lang w:bidi="ar"/>
              </w:rPr>
              <w:t>指标</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1C85FB98">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w:t>
            </w:r>
          </w:p>
          <w:p w14:paraId="00BF140F">
            <w:pPr>
              <w:spacing w:line="240" w:lineRule="auto"/>
              <w:ind w:firstLine="0" w:firstLineChars="0"/>
              <w:jc w:val="center"/>
              <w:rPr>
                <w:sz w:val="21"/>
              </w:rPr>
            </w:pPr>
            <w:r>
              <w:rPr>
                <w:rFonts w:hint="eastAsia" w:eastAsia="宋体" w:cs="宋体"/>
                <w:sz w:val="21"/>
                <w:lang w:bidi="ar"/>
              </w:rPr>
              <w:t>与指标分级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8448ACA">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7D98C023">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4AD10AE1">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6F2D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656877CA">
            <w:pPr>
              <w:spacing w:line="240" w:lineRule="auto"/>
              <w:ind w:firstLine="0" w:firstLineChars="0"/>
              <w:jc w:val="center"/>
              <w:rPr>
                <w:sz w:val="21"/>
              </w:rPr>
            </w:pPr>
            <w:r>
              <w:rPr>
                <w:rFonts w:hint="eastAsia" w:eastAsia="宋体" w:cs="宋体"/>
                <w:sz w:val="21"/>
                <w:lang w:bidi="ar"/>
              </w:rPr>
              <w:t>水文化传承载体数量</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46BA989B">
            <w:pPr>
              <w:widowControl/>
              <w:spacing w:line="240" w:lineRule="auto"/>
              <w:ind w:firstLine="0" w:firstLineChars="0"/>
              <w:jc w:val="center"/>
              <w:rPr>
                <w:kern w:val="0"/>
                <w:sz w:val="21"/>
              </w:rPr>
            </w:pPr>
            <w:r>
              <w:rPr>
                <w:rFonts w:hint="eastAsia" w:eastAsia="宋体" w:cs="Times New Roman"/>
                <w:kern w:val="0"/>
                <w:sz w:val="21"/>
                <w:lang w:bidi="ar"/>
              </w:rPr>
              <w:t>2</w:t>
            </w:r>
            <w:r>
              <w:rPr>
                <w:rFonts w:hint="eastAsia" w:eastAsia="宋体" w:cs="宋体"/>
                <w:kern w:val="0"/>
                <w:sz w:val="21"/>
                <w:lang w:bidi="ar"/>
              </w:rPr>
              <w:t>个、</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7888F976">
            <w:pPr>
              <w:widowControl/>
              <w:spacing w:line="240" w:lineRule="auto"/>
              <w:ind w:firstLine="0" w:firstLineChars="0"/>
              <w:jc w:val="center"/>
              <w:rPr>
                <w:kern w:val="0"/>
                <w:sz w:val="21"/>
              </w:rPr>
            </w:pPr>
            <w:r>
              <w:rPr>
                <w:rFonts w:hint="eastAsia" w:eastAsia="宋体" w:cs="Times New Roman"/>
                <w:kern w:val="0"/>
                <w:sz w:val="21"/>
                <w:lang w:bidi="ar"/>
              </w:rPr>
              <w:t>3</w:t>
            </w:r>
            <w:r>
              <w:rPr>
                <w:rFonts w:hint="eastAsia" w:eastAsia="宋体" w:cs="宋体"/>
                <w:kern w:val="0"/>
                <w:sz w:val="21"/>
                <w:lang w:bidi="ar"/>
              </w:rPr>
              <w:t>个、</w:t>
            </w:r>
            <w:r>
              <w:rPr>
                <w:rFonts w:hint="eastAsia"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FA52B65">
            <w:pPr>
              <w:widowControl/>
              <w:spacing w:line="240" w:lineRule="auto"/>
              <w:ind w:firstLine="0" w:firstLineChars="0"/>
              <w:jc w:val="center"/>
              <w:rPr>
                <w:kern w:val="0"/>
                <w:sz w:val="21"/>
              </w:rPr>
            </w:pPr>
            <w:r>
              <w:rPr>
                <w:rFonts w:hint="eastAsia" w:eastAsia="宋体" w:cs="Times New Roman"/>
                <w:kern w:val="0"/>
                <w:sz w:val="21"/>
                <w:lang w:bidi="ar"/>
              </w:rPr>
              <w:t>5</w:t>
            </w:r>
            <w:r>
              <w:rPr>
                <w:rFonts w:hint="eastAsia" w:eastAsia="宋体" w:cs="宋体"/>
                <w:kern w:val="0"/>
                <w:sz w:val="21"/>
                <w:lang w:bidi="ar"/>
              </w:rPr>
              <w:t>个、</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54E2B397">
            <w:pPr>
              <w:widowControl/>
              <w:spacing w:line="240" w:lineRule="auto"/>
              <w:ind w:firstLine="0" w:firstLineChars="0"/>
              <w:jc w:val="center"/>
              <w:rPr>
                <w:kern w:val="0"/>
                <w:sz w:val="21"/>
              </w:rPr>
            </w:pPr>
            <w:r>
              <w:rPr>
                <w:rFonts w:hint="eastAsia" w:eastAsia="宋体" w:cs="Times New Roman"/>
                <w:kern w:val="0"/>
                <w:sz w:val="21"/>
                <w:lang w:bidi="ar"/>
              </w:rPr>
              <w:t>7</w:t>
            </w:r>
            <w:r>
              <w:rPr>
                <w:rFonts w:hint="eastAsia" w:eastAsia="宋体" w:cs="宋体"/>
                <w:kern w:val="0"/>
                <w:sz w:val="21"/>
                <w:lang w:bidi="ar"/>
              </w:rPr>
              <w:t>个、</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12440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5E8C8A3C">
            <w:pPr>
              <w:spacing w:line="240" w:lineRule="auto"/>
              <w:ind w:firstLine="0" w:firstLineChars="0"/>
              <w:jc w:val="center"/>
              <w:rPr>
                <w:sz w:val="21"/>
              </w:rPr>
            </w:pPr>
            <w:r>
              <w:rPr>
                <w:rFonts w:hint="eastAsia" w:eastAsia="宋体" w:cs="宋体"/>
                <w:sz w:val="21"/>
                <w:lang w:bidi="ar"/>
              </w:rPr>
              <w:t>水生态文明建设公众认知度</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1DDD9C2D">
            <w:pPr>
              <w:widowControl/>
              <w:spacing w:line="240" w:lineRule="auto"/>
              <w:ind w:firstLine="0" w:firstLineChars="0"/>
              <w:jc w:val="center"/>
              <w:rPr>
                <w:kern w:val="0"/>
                <w:sz w:val="21"/>
              </w:rPr>
            </w:pPr>
            <w:r>
              <w:rPr>
                <w:rFonts w:eastAsia="宋体" w:cs="Times New Roman"/>
                <w:kern w:val="0"/>
                <w:sz w:val="21"/>
                <w:lang w:bidi="ar"/>
              </w:rPr>
              <w:t>1</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39334D08">
            <w:pPr>
              <w:widowControl/>
              <w:spacing w:line="240" w:lineRule="auto"/>
              <w:ind w:firstLine="0" w:firstLineChars="0"/>
              <w:jc w:val="center"/>
              <w:rPr>
                <w:kern w:val="0"/>
                <w:sz w:val="21"/>
              </w:rPr>
            </w:pPr>
            <w:r>
              <w:rPr>
                <w:rFonts w:eastAsia="宋体" w:cs="Times New Roman"/>
                <w:kern w:val="0"/>
                <w:sz w:val="21"/>
                <w:lang w:bidi="ar"/>
              </w:rPr>
              <w:t>20%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27283F4D">
            <w:pPr>
              <w:widowControl/>
              <w:spacing w:line="240" w:lineRule="auto"/>
              <w:ind w:firstLine="0" w:firstLineChars="0"/>
              <w:jc w:val="center"/>
              <w:rPr>
                <w:kern w:val="0"/>
                <w:sz w:val="21"/>
              </w:rPr>
            </w:pPr>
            <w:r>
              <w:rPr>
                <w:rFonts w:eastAsia="宋体" w:cs="Times New Roman"/>
                <w:kern w:val="0"/>
                <w:sz w:val="21"/>
                <w:lang w:bidi="ar"/>
              </w:rPr>
              <w:t>35%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1EFE367B">
            <w:pPr>
              <w:widowControl/>
              <w:spacing w:line="240" w:lineRule="auto"/>
              <w:ind w:firstLine="0" w:firstLineChars="0"/>
              <w:jc w:val="center"/>
              <w:rPr>
                <w:kern w:val="0"/>
                <w:sz w:val="21"/>
              </w:rPr>
            </w:pPr>
            <w:r>
              <w:rPr>
                <w:rFonts w:eastAsia="宋体" w:cs="Times New Roman"/>
                <w:kern w:val="0"/>
                <w:sz w:val="21"/>
                <w:lang w:bidi="ar"/>
              </w:rPr>
              <w:t>50%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34D3B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00C5E4B8">
            <w:pPr>
              <w:spacing w:line="240" w:lineRule="auto"/>
              <w:ind w:firstLine="0" w:firstLineChars="0"/>
              <w:jc w:val="center"/>
              <w:rPr>
                <w:sz w:val="21"/>
              </w:rPr>
            </w:pPr>
            <w:r>
              <w:rPr>
                <w:rFonts w:hint="eastAsia" w:eastAsia="宋体" w:cs="宋体"/>
                <w:sz w:val="21"/>
                <w:lang w:bidi="ar"/>
              </w:rPr>
              <w:t>水生态环境质量公众满意度</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465BCA29">
            <w:pPr>
              <w:widowControl/>
              <w:spacing w:line="240" w:lineRule="auto"/>
              <w:ind w:firstLine="0" w:firstLineChars="0"/>
              <w:rPr>
                <w:kern w:val="0"/>
                <w:sz w:val="21"/>
              </w:rPr>
            </w:pPr>
            <w:r>
              <w:rPr>
                <w:rFonts w:eastAsia="宋体" w:cs="Times New Roman"/>
                <w:kern w:val="0"/>
                <w:sz w:val="21"/>
                <w:lang w:bidi="ar"/>
              </w:rPr>
              <w:t>70%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2CE275A1">
            <w:pPr>
              <w:widowControl/>
              <w:spacing w:line="240" w:lineRule="auto"/>
              <w:ind w:firstLine="0" w:firstLineChars="0"/>
              <w:jc w:val="center"/>
              <w:rPr>
                <w:kern w:val="0"/>
                <w:sz w:val="21"/>
              </w:rPr>
            </w:pPr>
            <w:r>
              <w:rPr>
                <w:rFonts w:eastAsia="宋体" w:cs="Times New Roman"/>
                <w:kern w:val="0"/>
                <w:sz w:val="21"/>
                <w:lang w:bidi="ar"/>
              </w:rPr>
              <w:t>72%</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1DCF1568">
            <w:pPr>
              <w:widowControl/>
              <w:spacing w:line="240" w:lineRule="auto"/>
              <w:ind w:firstLine="0" w:firstLineChars="0"/>
              <w:jc w:val="center"/>
              <w:rPr>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43D52D65">
            <w:pPr>
              <w:widowControl/>
              <w:spacing w:line="240" w:lineRule="auto"/>
              <w:ind w:firstLine="0" w:firstLineChars="0"/>
              <w:jc w:val="center"/>
              <w:rPr>
                <w:kern w:val="0"/>
                <w:sz w:val="21"/>
              </w:rPr>
            </w:pPr>
            <w:r>
              <w:rPr>
                <w:rFonts w:eastAsia="宋体" w:cs="Times New Roman"/>
                <w:kern w:val="0"/>
                <w:sz w:val="21"/>
                <w:lang w:bidi="ar"/>
              </w:rPr>
              <w:t>90%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094C6EEE">
      <w:pPr>
        <w:spacing w:line="240" w:lineRule="auto"/>
        <w:ind w:firstLine="0" w:firstLineChars="0"/>
        <w:jc w:val="center"/>
        <w:rPr>
          <w:rFonts w:cs="Times New Roman"/>
          <w:sz w:val="21"/>
        </w:rPr>
      </w:pPr>
    </w:p>
    <w:p w14:paraId="4BE9B1E8">
      <w:pPr>
        <w:ind w:firstLine="480"/>
        <w:rPr>
          <w:rFonts w:eastAsia="宋体" w:cs="Times New Roman"/>
          <w:lang w:bidi="ar"/>
        </w:rPr>
        <w:sectPr>
          <w:pgSz w:w="11906" w:h="16838"/>
          <w:pgMar w:top="1440" w:right="1797" w:bottom="1440" w:left="1797" w:header="851" w:footer="992" w:gutter="0"/>
          <w:cols w:space="425" w:num="1"/>
          <w:docGrid w:type="lines" w:linePitch="326" w:charSpace="0"/>
        </w:sectPr>
      </w:pPr>
    </w:p>
    <w:p w14:paraId="3B9D20A5">
      <w:pPr>
        <w:pStyle w:val="2"/>
        <w:widowControl/>
        <w:spacing w:before="0" w:after="0" w:line="360" w:lineRule="auto"/>
        <w:rPr>
          <w:rFonts w:cs="Times New Roman"/>
        </w:rPr>
      </w:pPr>
      <w:bookmarkStart w:id="742" w:name="_Toc528607304"/>
      <w:bookmarkStart w:id="743" w:name="_Toc16675080"/>
      <w:r>
        <w:rPr>
          <w:rFonts w:cs="Times New Roman"/>
        </w:rPr>
        <w:t xml:space="preserve">5 </w:t>
      </w:r>
      <w:r>
        <w:rPr>
          <w:rFonts w:hint="eastAsia" w:cs="Times New Roman"/>
        </w:rPr>
        <w:t>区域重点与重点领域</w:t>
      </w:r>
      <w:bookmarkEnd w:id="742"/>
      <w:bookmarkEnd w:id="743"/>
    </w:p>
    <w:p w14:paraId="14E1FBA7">
      <w:pPr>
        <w:pStyle w:val="4"/>
        <w:widowControl/>
        <w:spacing w:before="0" w:after="0" w:line="360" w:lineRule="auto"/>
        <w:rPr>
          <w:rFonts w:cs="Times New Roman"/>
        </w:rPr>
      </w:pPr>
      <w:bookmarkStart w:id="744" w:name="_Toc528607305"/>
      <w:bookmarkStart w:id="745" w:name="_Toc16675081"/>
      <w:r>
        <w:rPr>
          <w:rFonts w:cs="Times New Roman"/>
        </w:rPr>
        <w:t>5.1</w:t>
      </w:r>
      <w:r>
        <w:rPr>
          <w:rFonts w:hint="eastAsia" w:cs="Times New Roman"/>
        </w:rPr>
        <w:t>区域重点</w:t>
      </w:r>
      <w:bookmarkEnd w:id="744"/>
      <w:bookmarkEnd w:id="745"/>
    </w:p>
    <w:p w14:paraId="463B6402">
      <w:pPr>
        <w:ind w:firstLine="480"/>
        <w:rPr>
          <w:rFonts w:eastAsia="宋体" w:cs="Times New Roman"/>
          <w:szCs w:val="24"/>
          <w:lang w:bidi="ar"/>
        </w:rPr>
      </w:pPr>
      <w:r>
        <w:rPr>
          <w:rFonts w:hint="eastAsia" w:eastAsia="宋体" w:cs="Times New Roman"/>
          <w:szCs w:val="24"/>
          <w:lang w:bidi="ar"/>
        </w:rPr>
        <w:t>据</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eastAsia="宋体" w:cs="Times New Roman"/>
          <w:szCs w:val="24"/>
          <w:lang w:bidi="ar"/>
        </w:rPr>
        <w:t>提出，在西区构建由服务业综合改革试验区，中医健康养生基地、中山互联网应用创新示范基地三基地、先进制造业示范基地，汽车销售产业提升区、专业市场提升区</w:t>
      </w:r>
      <w:r>
        <w:rPr>
          <w:rFonts w:hint="eastAsia" w:eastAsia="宋体" w:cs="Times New Roman"/>
          <w:szCs w:val="24"/>
        </w:rPr>
        <w:t>等多种类型</w:t>
      </w:r>
      <w:r>
        <w:rPr>
          <w:rFonts w:eastAsia="宋体" w:cs="Times New Roman"/>
          <w:szCs w:val="24"/>
        </w:rPr>
        <w:t>形成的</w:t>
      </w:r>
      <w:r>
        <w:rPr>
          <w:rFonts w:hint="eastAsia" w:eastAsia="宋体" w:cs="Times New Roman"/>
          <w:szCs w:val="24"/>
        </w:rPr>
        <w:t>“一核心三基地两提升区”的功能空间布局结构</w:t>
      </w:r>
      <w:r>
        <w:rPr>
          <w:rFonts w:hint="eastAsia" w:eastAsia="宋体" w:cs="Times New Roman"/>
          <w:szCs w:val="24"/>
          <w:lang w:bidi="ar"/>
        </w:rPr>
        <w:t>。各片区的发展方向有所侧重，根据片区发展特色以及需求，对“</w:t>
      </w:r>
      <w:r>
        <w:rPr>
          <w:rFonts w:hint="eastAsia" w:eastAsia="宋体" w:cs="Times New Roman"/>
          <w:szCs w:val="24"/>
        </w:rPr>
        <w:t>一核心三基地两提升区</w:t>
      </w:r>
      <w:r>
        <w:rPr>
          <w:rFonts w:hint="eastAsia" w:eastAsia="宋体" w:cs="Times New Roman"/>
          <w:szCs w:val="24"/>
          <w:lang w:bidi="ar"/>
        </w:rPr>
        <w:t>”提出如下的西区水生态文明建设方案：</w:t>
      </w:r>
    </w:p>
    <w:p w14:paraId="0D2784E7">
      <w:pPr>
        <w:pStyle w:val="3"/>
        <w:widowControl/>
        <w:spacing w:before="0" w:after="0" w:line="360" w:lineRule="auto"/>
        <w:rPr>
          <w:rFonts w:cs="Times New Roman"/>
        </w:rPr>
      </w:pPr>
      <w:bookmarkStart w:id="746" w:name="_Toc527881132"/>
      <w:bookmarkStart w:id="747" w:name="_Toc528607306"/>
      <w:bookmarkStart w:id="748" w:name="_Toc498877685"/>
      <w:bookmarkStart w:id="749" w:name="_Toc526004977"/>
      <w:bookmarkStart w:id="750" w:name="_Toc523306830"/>
      <w:bookmarkStart w:id="751" w:name="_Toc528880338"/>
      <w:bookmarkStart w:id="752" w:name="_Toc9742"/>
      <w:bookmarkStart w:id="753" w:name="_Toc13776"/>
      <w:bookmarkStart w:id="754" w:name="_Toc5785"/>
      <w:bookmarkStart w:id="755" w:name="_Toc6816"/>
      <w:bookmarkStart w:id="756" w:name="_Toc13772"/>
      <w:bookmarkStart w:id="757" w:name="_Toc3852"/>
      <w:bookmarkStart w:id="758" w:name="_Toc16675082"/>
      <w:r>
        <w:rPr>
          <w:rFonts w:cs="Times New Roman"/>
        </w:rPr>
        <w:t>5.1.1</w:t>
      </w:r>
      <w:bookmarkEnd w:id="746"/>
      <w:bookmarkEnd w:id="747"/>
      <w:bookmarkEnd w:id="748"/>
      <w:bookmarkEnd w:id="749"/>
      <w:bookmarkEnd w:id="750"/>
      <w:r>
        <w:rPr>
          <w:rFonts w:hint="eastAsia" w:cs="Times New Roman"/>
        </w:rPr>
        <w:t>一</w:t>
      </w:r>
      <w:bookmarkEnd w:id="751"/>
      <w:bookmarkEnd w:id="752"/>
      <w:bookmarkEnd w:id="753"/>
      <w:r>
        <w:rPr>
          <w:rFonts w:hint="eastAsia" w:cs="Times New Roman"/>
        </w:rPr>
        <w:t>核心两基地两提升区</w:t>
      </w:r>
      <w:bookmarkEnd w:id="754"/>
      <w:bookmarkEnd w:id="755"/>
      <w:bookmarkEnd w:id="756"/>
      <w:bookmarkEnd w:id="757"/>
      <w:bookmarkEnd w:id="758"/>
    </w:p>
    <w:p w14:paraId="6D1720FB">
      <w:pPr>
        <w:ind w:firstLine="480"/>
        <w:rPr>
          <w:rFonts w:eastAsia="宋体" w:cs="Times New Roman"/>
          <w:szCs w:val="24"/>
        </w:rPr>
      </w:pPr>
      <w:r>
        <w:rPr>
          <w:rFonts w:hint="eastAsia" w:eastAsia="宋体" w:cs="Times New Roman"/>
          <w:szCs w:val="24"/>
          <w:lang w:bidi="ar"/>
        </w:rPr>
        <w:t>一核心两基地两提升区指</w:t>
      </w:r>
      <w:r>
        <w:rPr>
          <w:rFonts w:hint="eastAsia" w:eastAsia="宋体" w:cs="Times New Roman"/>
          <w:szCs w:val="24"/>
        </w:rPr>
        <w:t>服务业综合改革试验区、</w:t>
      </w:r>
      <w:r>
        <w:rPr>
          <w:rFonts w:hint="eastAsia" w:eastAsia="宋体" w:cs="Times New Roman"/>
          <w:szCs w:val="24"/>
          <w:lang w:bidi="ar"/>
        </w:rPr>
        <w:t>中医健康养生基地、中山互联网应用创新示范基地、汽车销售产业提升区、专业市场提升区</w:t>
      </w:r>
      <w:r>
        <w:rPr>
          <w:rFonts w:hint="eastAsia" w:eastAsia="宋体" w:cs="Times New Roman"/>
          <w:szCs w:val="24"/>
        </w:rPr>
        <w:t>。</w:t>
      </w:r>
    </w:p>
    <w:p w14:paraId="09EE3C16">
      <w:pPr>
        <w:ind w:firstLine="480"/>
        <w:rPr>
          <w:rFonts w:eastAsia="宋体" w:cs="Times New Roman"/>
          <w:szCs w:val="24"/>
        </w:rPr>
      </w:pPr>
      <w:r>
        <w:rPr>
          <w:rFonts w:hint="eastAsia" w:eastAsia="宋体" w:cs="Times New Roman"/>
          <w:szCs w:val="24"/>
        </w:rPr>
        <w:t>一</w:t>
      </w:r>
      <w:r>
        <w:rPr>
          <w:rFonts w:hint="eastAsia" w:eastAsia="宋体" w:cs="Times New Roman"/>
          <w:szCs w:val="24"/>
          <w:lang w:bidi="ar"/>
        </w:rPr>
        <w:t>核心指</w:t>
      </w:r>
      <w:r>
        <w:rPr>
          <w:rFonts w:hint="eastAsia" w:eastAsia="宋体" w:cs="Times New Roman"/>
          <w:szCs w:val="24"/>
        </w:rPr>
        <w:t>服务业综合改革试验区，位于西区行政中心。加快西区服务业综合改革试验区建设，推动建设现代化酒店集聚区、高端商务办公集聚区、标志性文化休闲区，把试验区建成辐射能力强劲、服务水平最佳的现代服务业制高点，成为“商务西区”的核心支撑点和中山城市RBD的核心功能区。</w:t>
      </w:r>
    </w:p>
    <w:p w14:paraId="02E0AD09">
      <w:pPr>
        <w:ind w:firstLine="480"/>
        <w:rPr>
          <w:rFonts w:eastAsia="宋体" w:cs="Times New Roman"/>
          <w:szCs w:val="24"/>
          <w:lang w:bidi="ar"/>
        </w:rPr>
      </w:pPr>
      <w:r>
        <w:rPr>
          <w:rFonts w:hint="eastAsia" w:eastAsia="宋体" w:cs="Times New Roman"/>
          <w:szCs w:val="24"/>
          <w:lang w:bidi="ar"/>
        </w:rPr>
        <w:t>两基地指中医健康养生基地、中山互联网应用创新示范基地三基地，以中医健康理念引领健康产业发展，建设世界一流中医健康养生基地。以“山水生态中山、健康颐养圣地”为总体形象，重点发展健康养生、生态居住、美体美容、运动养生、美食养生、文化养生、医疗和健康服务等七大健康产业，打造中医药文化与健康养生核心区，争创国家中医药综合改革试验区。推进中国中小企业互联网应用创新(中山)示范园建设，打造一个立足中山、辐射周边，并在全国具有示范效应的中小企业电子商务服务组织聚集地、中山互联网应用创新和大众创业、万众创新的基地。</w:t>
      </w:r>
    </w:p>
    <w:p w14:paraId="1D362EA4">
      <w:pPr>
        <w:ind w:firstLine="480"/>
        <w:rPr>
          <w:rFonts w:eastAsia="宋体" w:cs="Times New Roman"/>
          <w:szCs w:val="24"/>
          <w:lang w:bidi="ar"/>
        </w:rPr>
      </w:pPr>
      <w:r>
        <w:rPr>
          <w:rFonts w:hint="eastAsia" w:eastAsia="宋体" w:cs="Times New Roman"/>
          <w:szCs w:val="24"/>
          <w:lang w:bidi="ar"/>
        </w:rPr>
        <w:t>两提升区指汽车销售产业提升区、专业市场提升区，着力提升汽车销售产业发展，打造珠三角地区汽车“销售一条街”的集群品牌。改造和提升辖区专业市场。</w:t>
      </w:r>
    </w:p>
    <w:p w14:paraId="2C988D4C">
      <w:pPr>
        <w:ind w:firstLine="480"/>
        <w:rPr>
          <w:rFonts w:eastAsia="宋体" w:cs="Times New Roman"/>
          <w:szCs w:val="24"/>
        </w:rPr>
      </w:pPr>
      <w:r>
        <w:rPr>
          <w:rFonts w:hint="eastAsia" w:eastAsia="宋体" w:cs="Times New Roman"/>
          <w:szCs w:val="24"/>
          <w:lang w:bidi="ar"/>
        </w:rPr>
        <w:t>一核心两基地两提升区的规划重点是完善城市排涝建设、加强海绵城市建设、加强水域空间管控、加强城市面源污染治理、强化生活节水、加强水资源监控能力建设、加强水文化宣传教育建设、推进水文化载体建设。</w:t>
      </w:r>
    </w:p>
    <w:p w14:paraId="184B6FFC">
      <w:pPr>
        <w:spacing w:line="240" w:lineRule="auto"/>
        <w:ind w:firstLine="480"/>
        <w:rPr>
          <w:rFonts w:eastAsia="宋体" w:cs="Times New Roman"/>
          <w:szCs w:val="24"/>
        </w:rPr>
      </w:pPr>
    </w:p>
    <w:p w14:paraId="214C3762">
      <w:pPr>
        <w:pStyle w:val="3"/>
        <w:widowControl/>
        <w:spacing w:before="0" w:after="0" w:line="360" w:lineRule="auto"/>
        <w:rPr>
          <w:rFonts w:cs="Times New Roman"/>
        </w:rPr>
      </w:pPr>
      <w:bookmarkStart w:id="759" w:name="_Toc523306831"/>
      <w:bookmarkStart w:id="760" w:name="_Toc498877686"/>
      <w:bookmarkStart w:id="761" w:name="_Toc528607307"/>
      <w:bookmarkStart w:id="762" w:name="_Toc527881133"/>
      <w:bookmarkStart w:id="763" w:name="_Toc526004978"/>
      <w:bookmarkStart w:id="764" w:name="_Toc528880339"/>
      <w:bookmarkStart w:id="765" w:name="_Toc30973"/>
      <w:bookmarkStart w:id="766" w:name="_Toc498447358"/>
      <w:bookmarkStart w:id="767" w:name="_Toc4653"/>
      <w:bookmarkStart w:id="768" w:name="_Toc10862"/>
      <w:bookmarkStart w:id="769" w:name="_Toc17996"/>
      <w:bookmarkStart w:id="770" w:name="_Toc24474"/>
      <w:bookmarkStart w:id="771" w:name="_Toc3056"/>
      <w:bookmarkStart w:id="772" w:name="_Toc16675083"/>
      <w:r>
        <w:rPr>
          <w:rFonts w:cs="Times New Roman"/>
        </w:rPr>
        <w:t>5.1.2</w:t>
      </w:r>
      <w:bookmarkEnd w:id="759"/>
      <w:bookmarkEnd w:id="760"/>
      <w:bookmarkEnd w:id="761"/>
      <w:bookmarkEnd w:id="762"/>
      <w:bookmarkEnd w:id="763"/>
      <w:bookmarkEnd w:id="764"/>
      <w:bookmarkEnd w:id="765"/>
      <w:bookmarkEnd w:id="766"/>
      <w:bookmarkEnd w:id="767"/>
      <w:r>
        <w:rPr>
          <w:rFonts w:hint="eastAsia" w:cs="Times New Roman"/>
        </w:rPr>
        <w:t>一基地</w:t>
      </w:r>
      <w:bookmarkEnd w:id="768"/>
      <w:bookmarkEnd w:id="769"/>
      <w:bookmarkEnd w:id="770"/>
      <w:bookmarkEnd w:id="771"/>
      <w:bookmarkEnd w:id="772"/>
    </w:p>
    <w:p w14:paraId="7A29C39E">
      <w:pPr>
        <w:ind w:firstLine="480"/>
        <w:rPr>
          <w:rFonts w:eastAsia="宋体" w:cs="Times New Roman"/>
          <w:szCs w:val="24"/>
          <w:lang w:bidi="ar"/>
        </w:rPr>
      </w:pPr>
      <w:r>
        <w:rPr>
          <w:rFonts w:hint="eastAsia" w:eastAsia="宋体" w:cs="Times New Roman"/>
          <w:szCs w:val="24"/>
          <w:lang w:bidi="ar"/>
        </w:rPr>
        <w:t>一基地包括北部的大洋电机新能源产业集聚区、日丰电缆的建设建工及海工工程特征电缆生产集聚区等。</w:t>
      </w:r>
    </w:p>
    <w:p w14:paraId="7E1D32FA">
      <w:pPr>
        <w:ind w:firstLine="480"/>
        <w:rPr>
          <w:rFonts w:eastAsia="宋体" w:cs="Times New Roman"/>
          <w:szCs w:val="24"/>
        </w:rPr>
      </w:pPr>
      <w:r>
        <w:rPr>
          <w:rFonts w:hint="eastAsia" w:eastAsia="宋体" w:cs="Times New Roman"/>
          <w:szCs w:val="24"/>
          <w:lang w:bidi="ar"/>
        </w:rPr>
        <w:t>抢抓中山被纳入珠江西岸先进装备制造产业带的重大机遇，以创新驱动为发展理念，以提质增效为发展目标，以优化产业结构为抓手，加快传统产业转型升级，积极引进新兴产业，着力建设先进制造业示范基地，形成新能源、日用化工、特种电缆、LED新光源等重点产业集聚。大力发展新能源产业集聚。以大洋电机为龙头，重点发展新能源汽车驱动电机及控制系统产业核心零部件。大力发展日用化工产业集聚。以好来化工为龙头，带动壮大口腔护理产业，力争建成日用化工生产基地。大力发展建设建工及海工工程特征电缆生产集聚，支持日丰电缆开展相关研究，发展总部经济，打造建筑机械用电缆、海洋工程电缆生产集聚区。大力发展LED新光源产业集聚。以铨欣、琪朗灯饰为龙头，形成LED封装和应用产品集聚区。在重点企业内安装在线环境监控系统，逐步推广环境信息化管理。主要以发展为现代低耗能工业为主，重点是强化工业节水、开发利用非常规水源、整治河涌、加强污染减排控制。</w:t>
      </w:r>
    </w:p>
    <w:p w14:paraId="208ABDA8">
      <w:pPr>
        <w:spacing w:line="240" w:lineRule="auto"/>
        <w:ind w:firstLine="480"/>
        <w:rPr>
          <w:rFonts w:cs="Times New Roman"/>
        </w:rPr>
      </w:pPr>
    </w:p>
    <w:p w14:paraId="2E043378">
      <w:pPr>
        <w:pStyle w:val="3"/>
        <w:widowControl/>
        <w:spacing w:before="0" w:after="0" w:line="360" w:lineRule="auto"/>
        <w:rPr>
          <w:rFonts w:cs="Times New Roman"/>
        </w:rPr>
      </w:pPr>
      <w:bookmarkStart w:id="773" w:name="_Toc498877687"/>
      <w:bookmarkStart w:id="774" w:name="_Toc498447359"/>
      <w:bookmarkStart w:id="775" w:name="_Toc523306832"/>
      <w:bookmarkStart w:id="776" w:name="_Toc527881134"/>
      <w:bookmarkStart w:id="777" w:name="_Toc528607308"/>
      <w:bookmarkStart w:id="778" w:name="_Toc528880340"/>
      <w:bookmarkStart w:id="779" w:name="_Toc526004979"/>
      <w:bookmarkStart w:id="780" w:name="_Toc17100"/>
      <w:bookmarkStart w:id="781" w:name="_Toc9198"/>
      <w:bookmarkStart w:id="782" w:name="_Toc15445"/>
      <w:bookmarkStart w:id="783" w:name="_Toc16675084"/>
      <w:bookmarkStart w:id="784" w:name="_Toc10631"/>
      <w:bookmarkStart w:id="785" w:name="_Toc30212"/>
      <w:bookmarkStart w:id="786" w:name="_Toc18644"/>
      <w:r>
        <w:rPr>
          <w:rFonts w:cs="Times New Roman"/>
        </w:rPr>
        <w:t>5.1.3</w:t>
      </w:r>
      <w:bookmarkEnd w:id="773"/>
      <w:bookmarkEnd w:id="774"/>
      <w:bookmarkEnd w:id="775"/>
      <w:bookmarkEnd w:id="776"/>
      <w:bookmarkEnd w:id="777"/>
      <w:bookmarkEnd w:id="778"/>
      <w:bookmarkEnd w:id="779"/>
      <w:bookmarkEnd w:id="780"/>
      <w:r>
        <w:rPr>
          <w:rFonts w:hint="eastAsia" w:cs="Times New Roman"/>
        </w:rPr>
        <w:t>北部和南部的生态屏障区</w:t>
      </w:r>
      <w:bookmarkEnd w:id="781"/>
      <w:bookmarkEnd w:id="782"/>
      <w:bookmarkEnd w:id="783"/>
      <w:bookmarkEnd w:id="784"/>
      <w:bookmarkEnd w:id="785"/>
      <w:bookmarkEnd w:id="786"/>
    </w:p>
    <w:p w14:paraId="7FC10ACE">
      <w:pPr>
        <w:ind w:firstLine="480"/>
        <w:rPr>
          <w:rFonts w:eastAsia="宋体" w:cs="Times New Roman"/>
          <w:szCs w:val="24"/>
        </w:rPr>
      </w:pPr>
      <w:r>
        <w:rPr>
          <w:rFonts w:hint="eastAsia" w:eastAsia="宋体" w:cs="Times New Roman"/>
          <w:szCs w:val="24"/>
          <w:lang w:bidi="ar"/>
        </w:rPr>
        <w:t>北部的生态屏障区指西北部石特涌现代农业基地、东北部悦生涌渔业养殖基地、中部彩虹绿洲生态公园、南部的狮山公园、马山公园和岐江公园等生态屏障区。该区以生态休闲旅游、涵养水源、调蓄、城市生态用地、滨水防护绿地为主，重点是加强滨河湿地建设、加强内河涌水环境综合治理、农业面源污染治理、修复滨江生态廊道、加强防洪安全体系建设。</w:t>
      </w:r>
    </w:p>
    <w:p w14:paraId="2213239C">
      <w:pPr>
        <w:spacing w:line="240" w:lineRule="auto"/>
        <w:ind w:firstLine="480"/>
        <w:rPr>
          <w:rFonts w:cs="Times New Roman"/>
        </w:rPr>
      </w:pPr>
    </w:p>
    <w:p w14:paraId="3B7E655E">
      <w:pPr>
        <w:pStyle w:val="4"/>
        <w:widowControl/>
        <w:spacing w:before="0" w:after="0" w:line="360" w:lineRule="auto"/>
        <w:rPr>
          <w:rFonts w:cs="Times New Roman"/>
        </w:rPr>
      </w:pPr>
      <w:bookmarkStart w:id="787" w:name="_Toc16675085"/>
      <w:bookmarkStart w:id="788" w:name="_Toc528607309"/>
      <w:r>
        <w:rPr>
          <w:rFonts w:cs="Times New Roman"/>
        </w:rPr>
        <w:t>5.2</w:t>
      </w:r>
      <w:r>
        <w:rPr>
          <w:rFonts w:hint="eastAsia" w:cs="Times New Roman"/>
        </w:rPr>
        <w:t>重点领域</w:t>
      </w:r>
      <w:bookmarkEnd w:id="787"/>
      <w:bookmarkEnd w:id="788"/>
    </w:p>
    <w:p w14:paraId="0B48ED92">
      <w:pPr>
        <w:pStyle w:val="3"/>
        <w:widowControl/>
        <w:spacing w:before="0" w:after="0" w:line="360" w:lineRule="auto"/>
        <w:rPr>
          <w:rFonts w:cs="Times New Roman"/>
        </w:rPr>
      </w:pPr>
      <w:bookmarkStart w:id="789" w:name="_Toc498447361"/>
      <w:bookmarkStart w:id="790" w:name="_Toc523306834"/>
      <w:bookmarkStart w:id="791" w:name="_Toc498877689"/>
      <w:bookmarkStart w:id="792" w:name="_Toc12892"/>
      <w:bookmarkStart w:id="793" w:name="_Toc8239"/>
      <w:bookmarkStart w:id="794" w:name="_Toc528880342"/>
      <w:bookmarkStart w:id="795" w:name="_Toc23675"/>
      <w:bookmarkStart w:id="796" w:name="_Toc526004981"/>
      <w:bookmarkStart w:id="797" w:name="_Toc16675086"/>
      <w:bookmarkStart w:id="798" w:name="_Toc5341"/>
      <w:bookmarkStart w:id="799" w:name="_Toc527881136"/>
      <w:bookmarkStart w:id="800" w:name="_Toc528607310"/>
      <w:bookmarkStart w:id="801" w:name="_Toc6640"/>
      <w:bookmarkStart w:id="802" w:name="_Toc26669"/>
      <w:r>
        <w:rPr>
          <w:rFonts w:hint="eastAsia" w:cs="Times New Roman"/>
        </w:rPr>
        <w:t>5.2.1</w:t>
      </w:r>
      <w:bookmarkEnd w:id="789"/>
      <w:bookmarkEnd w:id="790"/>
      <w:bookmarkEnd w:id="791"/>
      <w:r>
        <w:rPr>
          <w:rFonts w:hint="eastAsia" w:cs="Times New Roman"/>
        </w:rPr>
        <w:t>水安全</w:t>
      </w:r>
      <w:bookmarkEnd w:id="792"/>
      <w:bookmarkEnd w:id="793"/>
      <w:bookmarkEnd w:id="794"/>
      <w:bookmarkEnd w:id="795"/>
      <w:bookmarkEnd w:id="796"/>
      <w:bookmarkEnd w:id="797"/>
      <w:bookmarkEnd w:id="798"/>
      <w:bookmarkEnd w:id="799"/>
      <w:bookmarkEnd w:id="800"/>
      <w:bookmarkEnd w:id="801"/>
      <w:bookmarkEnd w:id="802"/>
    </w:p>
    <w:p w14:paraId="0C083F44">
      <w:pPr>
        <w:pStyle w:val="5"/>
        <w:widowControl/>
      </w:pPr>
      <w:r>
        <w:t>5.2.1.</w:t>
      </w:r>
      <w:r>
        <w:rPr>
          <w:rFonts w:hint="eastAsia"/>
        </w:rPr>
        <w:t>1</w:t>
      </w:r>
      <w:r>
        <w:rPr>
          <w:rFonts w:hint="eastAsia" w:cs="黑体"/>
        </w:rPr>
        <w:t>完善城市排涝建设</w:t>
      </w:r>
    </w:p>
    <w:p w14:paraId="3693EE97">
      <w:pPr>
        <w:ind w:firstLine="480"/>
        <w:rPr>
          <w:rFonts w:ascii="宋体" w:hAnsi="宋体" w:eastAsia="宋体" w:cs="Times New Roman"/>
          <w:szCs w:val="24"/>
        </w:rPr>
      </w:pPr>
      <w:r>
        <w:rPr>
          <w:rFonts w:hint="eastAsia" w:eastAsia="宋体" w:cs="Times New Roman"/>
          <w:szCs w:val="24"/>
          <w:lang w:bidi="ar"/>
        </w:rPr>
        <w:t>通过传统水闸泵站与河涌治理，提高西区境内涝水的排泄能力；加强高标准雨污分流与排水管网建设，提高境内雨水管网的排水能力，改造城市易涝区；在传统排涝排水设施建设的基础上，推进海绵城市建设，</w:t>
      </w:r>
      <w:r>
        <w:rPr>
          <w:rFonts w:hint="eastAsia" w:ascii="宋体" w:hAnsi="宋体" w:eastAsia="宋体" w:cs="Times New Roman"/>
          <w:szCs w:val="24"/>
          <w:lang w:bidi="ar"/>
        </w:rPr>
        <w:t>通过“蓄、排、截、挡、泄”等综合措施，建成“以排为主、防排结合、泄蓄兼施”的西区排涝体系。</w:t>
      </w:r>
    </w:p>
    <w:p w14:paraId="6609845C">
      <w:pPr>
        <w:ind w:firstLine="480"/>
        <w:rPr>
          <w:rFonts w:eastAsia="宋体" w:cs="Times New Roman"/>
          <w:szCs w:val="24"/>
        </w:rPr>
      </w:pPr>
      <w:r>
        <w:rPr>
          <w:rFonts w:hint="eastAsia" w:eastAsia="宋体" w:cs="Times New Roman"/>
          <w:szCs w:val="24"/>
          <w:lang w:bidi="ar"/>
        </w:rPr>
        <w:t>采用</w:t>
      </w:r>
      <w:r>
        <w:rPr>
          <w:rFonts w:eastAsia="宋体" w:cs="Times New Roman"/>
          <w:szCs w:val="24"/>
          <w:lang w:bidi="ar"/>
        </w:rPr>
        <w:t>20</w:t>
      </w:r>
      <w:r>
        <w:rPr>
          <w:rFonts w:hint="eastAsia" w:eastAsia="宋体" w:cs="Times New Roman"/>
          <w:szCs w:val="24"/>
          <w:lang w:bidi="ar"/>
        </w:rPr>
        <w:t>年一遇设计暴雨不致灾标准，按10</w:t>
      </w:r>
      <w:r>
        <w:rPr>
          <w:szCs w:val="24"/>
        </w:rPr>
        <w:t>~</w:t>
      </w:r>
      <w:r>
        <w:rPr>
          <w:rFonts w:eastAsia="宋体" w:cs="Times New Roman"/>
          <w:szCs w:val="24"/>
          <w:lang w:bidi="ar"/>
        </w:rPr>
        <w:t>20</w:t>
      </w:r>
      <w:r>
        <w:rPr>
          <w:rFonts w:hint="eastAsia" w:eastAsia="宋体" w:cs="Times New Roman"/>
          <w:szCs w:val="24"/>
          <w:lang w:bidi="ar"/>
        </w:rPr>
        <w:t>年一遇</w:t>
      </w:r>
      <w:r>
        <w:rPr>
          <w:rFonts w:eastAsia="宋体" w:cs="Times New Roman"/>
          <w:szCs w:val="24"/>
          <w:lang w:bidi="ar"/>
        </w:rPr>
        <w:t>24</w:t>
      </w:r>
      <w:r>
        <w:rPr>
          <w:rFonts w:hint="eastAsia" w:eastAsia="宋体" w:cs="Times New Roman"/>
          <w:szCs w:val="24"/>
          <w:lang w:bidi="ar"/>
        </w:rPr>
        <w:t>小时设计暴雨1天排干。通过外排泵站建设，提高西区涝水的外排能力，降低洪洪期内河涌的水位，保障雨水管网顺利外排。在水闸泵站改造与增建的基础上，需加强水闸泵站的维护与管理，完善水闸泵站联合调度系统建设，结合智慧水务建设，实现实时自动化联合调度。</w:t>
      </w:r>
    </w:p>
    <w:p w14:paraId="5CF194C5">
      <w:pPr>
        <w:pStyle w:val="5"/>
        <w:widowControl/>
      </w:pPr>
      <w:r>
        <w:t>5.2.1.</w:t>
      </w:r>
      <w:r>
        <w:rPr>
          <w:rFonts w:hint="eastAsia"/>
        </w:rPr>
        <w:t>2</w:t>
      </w:r>
      <w:r>
        <w:rPr>
          <w:rFonts w:hint="eastAsia" w:cs="黑体"/>
        </w:rPr>
        <w:t>加强海绵城市建设</w:t>
      </w:r>
    </w:p>
    <w:p w14:paraId="3E80F5A6">
      <w:pPr>
        <w:ind w:firstLine="480"/>
        <w:rPr>
          <w:rFonts w:eastAsia="宋体" w:cs="Times New Roman"/>
          <w:szCs w:val="24"/>
        </w:rPr>
      </w:pPr>
      <w:r>
        <w:rPr>
          <w:rFonts w:hint="eastAsia" w:eastAsia="宋体" w:cs="Times New Roman"/>
          <w:szCs w:val="24"/>
          <w:lang w:bidi="ar"/>
        </w:rPr>
        <w:t>改变传统城市治涝的理念，加快推进海绵城市建设步伐，由传统的单纯排水治涝措施转变为综合采取</w:t>
      </w:r>
      <w:r>
        <w:rPr>
          <w:rFonts w:hint="eastAsia" w:ascii="宋体" w:hAnsi="宋体" w:eastAsia="宋体" w:cs="Times New Roman"/>
          <w:szCs w:val="24"/>
          <w:lang w:bidi="ar"/>
        </w:rPr>
        <w:t>“渗、滞、蓄、净、用、排”的治</w:t>
      </w:r>
      <w:r>
        <w:rPr>
          <w:rFonts w:hint="eastAsia" w:eastAsia="宋体" w:cs="Times New Roman"/>
          <w:szCs w:val="24"/>
          <w:lang w:bidi="ar"/>
        </w:rPr>
        <w:t>涝措施，主要是在场地规模上采用生物滞留、绿色屋顶、透水铺装、植草沟、雨水罐等源头、分散式小型设施维持场地开发前的水文特征，并同时增加了滞留塘、雨水湿地、多功能调蓄等绿色基础设施。通过分散的、小规模的源头控制机制和技术措施来达到对暴雨所产生的径流和污染的控制，使建设区域开发建设后尽量接近于开发建设前的自然状态，减缓城区内涝，并促进水资源节约保护。</w:t>
      </w:r>
    </w:p>
    <w:p w14:paraId="415E499B">
      <w:pPr>
        <w:ind w:firstLine="480"/>
        <w:rPr>
          <w:rFonts w:eastAsia="宋体" w:cs="Times New Roman"/>
          <w:szCs w:val="24"/>
        </w:rPr>
      </w:pPr>
      <w:r>
        <w:rPr>
          <w:rFonts w:hint="eastAsia" w:eastAsia="宋体" w:cs="Times New Roman"/>
          <w:szCs w:val="24"/>
          <w:lang w:bidi="ar"/>
        </w:rPr>
        <w:t>建设海绵城市，单一依靠某种技术或措施无法达到，而必须将低影响开发、城市涉水基础设施建设、自然生态系统的保护与修复等结合，全面开展城市涉水系统的优化整合、系统建设，从而实现修复水生态、改善水环境、涵养水资源、提高水安全、复兴水文化的五位一体的目标。</w:t>
      </w:r>
    </w:p>
    <w:p w14:paraId="13B24BC9">
      <w:pPr>
        <w:ind w:firstLine="480"/>
        <w:rPr>
          <w:rFonts w:eastAsia="宋体" w:cs="Times New Roman"/>
          <w:szCs w:val="24"/>
          <w:lang w:bidi="ar"/>
        </w:rPr>
      </w:pPr>
      <w:r>
        <w:rPr>
          <w:rFonts w:hint="eastAsia" w:eastAsia="宋体" w:cs="Times New Roman"/>
          <w:szCs w:val="24"/>
          <w:lang w:bidi="ar"/>
        </w:rPr>
        <w:t>依据《中山市海绵城市专项规划》，西区的规划建成区年径流总量控制面积为26.42k</w:t>
      </w:r>
      <w:r>
        <w:rPr>
          <w:rFonts w:eastAsia="宋体" w:cs="Times New Roman"/>
          <w:szCs w:val="24"/>
          <w:lang w:bidi="ar"/>
        </w:rPr>
        <w:t>m</w:t>
      </w:r>
      <w:r>
        <w:rPr>
          <w:rFonts w:eastAsia="宋体" w:cs="Times New Roman"/>
          <w:szCs w:val="24"/>
          <w:vertAlign w:val="superscript"/>
          <w:lang w:bidi="ar"/>
        </w:rPr>
        <w:t>2</w:t>
      </w:r>
      <w:r>
        <w:rPr>
          <w:rFonts w:hint="eastAsia" w:eastAsia="宋体" w:cs="Times New Roman"/>
          <w:szCs w:val="24"/>
          <w:lang w:bidi="ar"/>
        </w:rPr>
        <w:t>，年径流总量控制率为</w:t>
      </w:r>
      <w:r>
        <w:rPr>
          <w:rFonts w:eastAsia="宋体" w:cs="Times New Roman"/>
          <w:szCs w:val="24"/>
          <w:lang w:bidi="ar"/>
        </w:rPr>
        <w:t>6</w:t>
      </w:r>
      <w:r>
        <w:rPr>
          <w:rFonts w:hint="eastAsia" w:eastAsia="宋体" w:cs="Times New Roman"/>
          <w:szCs w:val="24"/>
          <w:lang w:bidi="ar"/>
        </w:rPr>
        <w:t>6</w:t>
      </w:r>
      <w:r>
        <w:rPr>
          <w:rFonts w:eastAsia="宋体" w:cs="Times New Roman"/>
          <w:szCs w:val="24"/>
          <w:lang w:bidi="ar"/>
        </w:rPr>
        <w:t>%</w:t>
      </w:r>
      <w:r>
        <w:rPr>
          <w:rFonts w:hint="eastAsia" w:eastAsia="宋体" w:cs="Times New Roman"/>
          <w:szCs w:val="24"/>
          <w:lang w:bidi="ar"/>
        </w:rPr>
        <w:t>。</w:t>
      </w:r>
    </w:p>
    <w:p w14:paraId="393BCF65">
      <w:pPr>
        <w:spacing w:line="240" w:lineRule="auto"/>
        <w:ind w:firstLine="480"/>
        <w:rPr>
          <w:rFonts w:eastAsia="宋体" w:cs="Times New Roman"/>
          <w:szCs w:val="24"/>
        </w:rPr>
      </w:pPr>
    </w:p>
    <w:p w14:paraId="3A65A649">
      <w:pPr>
        <w:pStyle w:val="3"/>
        <w:widowControl/>
        <w:spacing w:before="0" w:after="0" w:line="360" w:lineRule="auto"/>
        <w:rPr>
          <w:rFonts w:cs="Times New Roman"/>
        </w:rPr>
      </w:pPr>
      <w:bookmarkStart w:id="803" w:name="_Toc498447362"/>
      <w:bookmarkStart w:id="804" w:name="_Toc523306835"/>
      <w:bookmarkStart w:id="805" w:name="_Toc498877690"/>
      <w:bookmarkStart w:id="806" w:name="_Toc527881137"/>
      <w:bookmarkStart w:id="807" w:name="_Toc16675087"/>
      <w:bookmarkStart w:id="808" w:name="_Toc5881"/>
      <w:bookmarkStart w:id="809" w:name="_Toc727"/>
      <w:bookmarkStart w:id="810" w:name="_Toc7273"/>
      <w:bookmarkStart w:id="811" w:name="_Toc528880343"/>
      <w:bookmarkStart w:id="812" w:name="_Toc6950"/>
      <w:bookmarkStart w:id="813" w:name="_Toc526004982"/>
      <w:bookmarkStart w:id="814" w:name="_Toc12102"/>
      <w:bookmarkStart w:id="815" w:name="_Toc13116"/>
      <w:bookmarkStart w:id="816" w:name="_Toc528607311"/>
      <w:r>
        <w:rPr>
          <w:rFonts w:hint="eastAsia" w:cs="Times New Roman"/>
        </w:rPr>
        <w:t>5.2.2</w:t>
      </w:r>
      <w:bookmarkEnd w:id="803"/>
      <w:bookmarkEnd w:id="804"/>
      <w:bookmarkEnd w:id="805"/>
      <w:r>
        <w:rPr>
          <w:rFonts w:hint="eastAsia" w:cs="Times New Roman"/>
        </w:rPr>
        <w:t>水生态和水环境</w:t>
      </w:r>
      <w:bookmarkEnd w:id="806"/>
      <w:bookmarkEnd w:id="807"/>
      <w:bookmarkEnd w:id="808"/>
      <w:bookmarkEnd w:id="809"/>
      <w:bookmarkEnd w:id="810"/>
      <w:bookmarkEnd w:id="811"/>
      <w:bookmarkEnd w:id="812"/>
      <w:bookmarkEnd w:id="813"/>
      <w:bookmarkEnd w:id="814"/>
      <w:bookmarkEnd w:id="815"/>
      <w:bookmarkEnd w:id="816"/>
    </w:p>
    <w:p w14:paraId="01B5E301">
      <w:pPr>
        <w:pStyle w:val="5"/>
        <w:widowControl/>
      </w:pPr>
      <w:r>
        <w:t>5.2.2.1</w:t>
      </w:r>
      <w:r>
        <w:rPr>
          <w:rFonts w:hint="eastAsia" w:cs="黑体"/>
        </w:rPr>
        <w:t>加强水域空间管控</w:t>
      </w:r>
    </w:p>
    <w:p w14:paraId="534C3F37">
      <w:pPr>
        <w:ind w:firstLine="480"/>
        <w:rPr>
          <w:rFonts w:eastAsia="宋体" w:cs="Times New Roman"/>
          <w:szCs w:val="24"/>
        </w:rPr>
      </w:pPr>
      <w:r>
        <w:rPr>
          <w:rFonts w:hint="eastAsia" w:eastAsia="宋体" w:cs="Times New Roman"/>
          <w:szCs w:val="24"/>
          <w:lang w:bidi="ar"/>
        </w:rPr>
        <w:t>水域作为水生生物的重要生境，洪涝水的重要排水通道，人类亲近自然的重要载体，其水域空间是构建水生态体系的基础，因此必须严格控制西区水域面积率，落实水域面积占补平衡政策，提高城市生态景观的同时，保护水生生物的栖息生境与生物多样性。要求</w:t>
      </w:r>
      <w:r>
        <w:rPr>
          <w:rFonts w:eastAsia="宋体" w:cs="Times New Roman"/>
          <w:szCs w:val="24"/>
          <w:lang w:bidi="ar"/>
        </w:rPr>
        <w:t>2020</w:t>
      </w:r>
      <w:r>
        <w:rPr>
          <w:rFonts w:hint="eastAsia" w:eastAsia="宋体" w:cs="Times New Roman"/>
          <w:szCs w:val="24"/>
          <w:lang w:bidi="ar"/>
        </w:rPr>
        <w:t>年中心城区水域面积率不得低于</w:t>
      </w:r>
      <w:r>
        <w:rPr>
          <w:rFonts w:eastAsia="宋体" w:cs="Times New Roman"/>
          <w:szCs w:val="24"/>
          <w:lang w:bidi="ar"/>
        </w:rPr>
        <w:t>10%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年不得低于</w:t>
      </w:r>
      <w:r>
        <w:rPr>
          <w:rFonts w:eastAsia="宋体" w:cs="Times New Roman"/>
          <w:szCs w:val="24"/>
          <w:lang w:bidi="ar"/>
        </w:rPr>
        <w:t>15%</w:t>
      </w:r>
      <w:r>
        <w:rPr>
          <w:rFonts w:hint="eastAsia" w:eastAsia="宋体" w:cs="Times New Roman"/>
          <w:szCs w:val="24"/>
          <w:lang w:bidi="ar"/>
        </w:rPr>
        <w:t>。未来西区应划定水域控制线、划定水源地生态红线、实施河涌揭盖复涌工程等强化水域空间管控，严格水域面积率。</w:t>
      </w:r>
    </w:p>
    <w:p w14:paraId="148492E0">
      <w:pPr>
        <w:pStyle w:val="5"/>
        <w:widowControl/>
      </w:pPr>
      <w:r>
        <w:t>5.2.2.2</w:t>
      </w:r>
      <w:r>
        <w:rPr>
          <w:rFonts w:hint="eastAsia" w:cs="黑体"/>
        </w:rPr>
        <w:t>整治河涌</w:t>
      </w:r>
    </w:p>
    <w:p w14:paraId="4E4B8D3E">
      <w:pPr>
        <w:ind w:firstLine="480"/>
        <w:rPr>
          <w:rFonts w:eastAsia="宋体" w:cs="Times New Roman"/>
          <w:szCs w:val="24"/>
        </w:rPr>
      </w:pPr>
      <w:r>
        <w:rPr>
          <w:rFonts w:hint="eastAsia" w:eastAsia="宋体" w:cs="Times New Roman"/>
          <w:szCs w:val="24"/>
          <w:lang w:bidi="ar"/>
        </w:rPr>
        <w:t>保障内河涌生态需水量，维护河道生态功能，从保障内河涌生态功能的流量、水深、流速等要素出发，开展西区内河涌生态需水量研究工作，明确西区境内各主干河涌的生态需水量要求。严格落实河涌护岸蓝线空间管控，河涌两岸应留设</w:t>
      </w:r>
      <w:r>
        <w:rPr>
          <w:rFonts w:eastAsia="宋体" w:cs="Times New Roman"/>
          <w:szCs w:val="24"/>
          <w:lang w:bidi="ar"/>
        </w:rPr>
        <w:t>30m</w:t>
      </w:r>
      <w:r>
        <w:rPr>
          <w:rFonts w:hint="eastAsia" w:eastAsia="宋体" w:cs="Times New Roman"/>
          <w:szCs w:val="24"/>
          <w:lang w:bidi="ar"/>
        </w:rPr>
        <w:t>以上的绿色空间，并对河涌岸线采用适宜的生态措施，通过成熟的湿地生态修复工程措施，美化、净化和强化沟渠的生态工程和防洪工程。</w:t>
      </w:r>
    </w:p>
    <w:p w14:paraId="35DD0B88">
      <w:pPr>
        <w:ind w:firstLine="480"/>
        <w:rPr>
          <w:rFonts w:eastAsia="宋体" w:cs="Times New Roman"/>
          <w:szCs w:val="24"/>
        </w:rPr>
      </w:pPr>
      <w:r>
        <w:rPr>
          <w:rFonts w:hint="eastAsia" w:eastAsia="宋体" w:cs="Times New Roman"/>
          <w:szCs w:val="24"/>
          <w:lang w:bidi="ar"/>
        </w:rPr>
        <w:t>近中期重点开展石特涌、悦生涌、狮滘河、岐江河等河道的生态岸坡建设。后期在西区生态岸坡调查工作的基础上，对岸坡从用地、安全、生态等全面进行分析，以近期重点生态岸坡建设经验与国内外经验为参照，全面推进西区生态岸坡修复与建设，使远期西区人工建设岸坡中生态岸坡占比达</w:t>
      </w:r>
      <w:r>
        <w:rPr>
          <w:rFonts w:eastAsia="宋体" w:cs="Times New Roman"/>
          <w:szCs w:val="24"/>
          <w:lang w:bidi="ar"/>
        </w:rPr>
        <w:t>80%</w:t>
      </w:r>
      <w:r>
        <w:rPr>
          <w:rFonts w:hint="eastAsia" w:eastAsia="宋体" w:cs="Times New Roman"/>
          <w:szCs w:val="24"/>
          <w:lang w:bidi="ar"/>
        </w:rPr>
        <w:t>以上。</w:t>
      </w:r>
    </w:p>
    <w:p w14:paraId="073342D2">
      <w:pPr>
        <w:pStyle w:val="5"/>
        <w:widowControl/>
      </w:pPr>
      <w:r>
        <w:t>5.2.2.3</w:t>
      </w:r>
      <w:r>
        <w:rPr>
          <w:rFonts w:hint="eastAsia" w:cs="黑体"/>
        </w:rPr>
        <w:t>加强滨河湿地建设</w:t>
      </w:r>
    </w:p>
    <w:p w14:paraId="22CF899F">
      <w:pPr>
        <w:autoSpaceDE w:val="0"/>
        <w:autoSpaceDN w:val="0"/>
        <w:adjustRightInd w:val="0"/>
        <w:snapToGrid w:val="0"/>
        <w:ind w:firstLine="480"/>
        <w:rPr>
          <w:rFonts w:eastAsia="宋体" w:cs="Times New Roman"/>
          <w:szCs w:val="24"/>
        </w:rPr>
      </w:pPr>
      <w:r>
        <w:rPr>
          <w:rFonts w:hint="eastAsia" w:eastAsia="宋体" w:cs="Times New Roman"/>
          <w:szCs w:val="24"/>
          <w:lang w:bidi="ar"/>
        </w:rPr>
        <w:t>与滨河生态廊道建设相结合，加强滨河湿地建设。目前西区已开展了部分廊道的生态湿地公园建设，如</w:t>
      </w:r>
      <w:r>
        <w:rPr>
          <w:rFonts w:hint="eastAsia" w:eastAsia="宋体" w:cs="Times New Roman"/>
          <w:lang w:bidi="ar"/>
        </w:rPr>
        <w:t>彩虹绿洲湿地公园和六涌休闲湿地公园</w:t>
      </w:r>
      <w:r>
        <w:rPr>
          <w:rFonts w:hint="eastAsia" w:eastAsia="宋体" w:cs="Times New Roman"/>
          <w:szCs w:val="24"/>
          <w:lang w:bidi="ar"/>
        </w:rPr>
        <w:t>，但已建湿地公园在水生态湿地保护方面仍存在一些不足，如</w:t>
      </w:r>
      <w:r>
        <w:rPr>
          <w:rFonts w:hint="eastAsia" w:eastAsia="宋体" w:cs="Times New Roman"/>
          <w:lang w:bidi="ar"/>
        </w:rPr>
        <w:t>彩虹绿洲湿地公园和六涌休闲湿地公园</w:t>
      </w:r>
      <w:r>
        <w:rPr>
          <w:rFonts w:hint="eastAsia" w:eastAsia="宋体" w:cs="Times New Roman"/>
          <w:szCs w:val="24"/>
          <w:lang w:bidi="ar"/>
        </w:rPr>
        <w:t>在水生态构建上过于单一，缺乏生物多样性，不利于湿地资源的保护与修复。</w:t>
      </w:r>
    </w:p>
    <w:p w14:paraId="4D5C8835">
      <w:pPr>
        <w:autoSpaceDE w:val="0"/>
        <w:autoSpaceDN w:val="0"/>
        <w:adjustRightInd w:val="0"/>
        <w:snapToGrid w:val="0"/>
        <w:ind w:firstLine="480"/>
        <w:rPr>
          <w:rFonts w:eastAsia="宋体" w:cs="Times New Roman"/>
          <w:szCs w:val="24"/>
        </w:rPr>
      </w:pPr>
      <w:r>
        <w:rPr>
          <w:rFonts w:hint="eastAsia" w:eastAsia="宋体" w:cs="Times New Roman"/>
          <w:szCs w:val="24"/>
          <w:lang w:bidi="ar"/>
        </w:rPr>
        <w:t>湿地公园应不同于普通的公园，而是实现人与自然和谐发展的公园形式，需起到保护湿地资源的作用，又能通过合理开发成为人民休闲与科谱教育的载体。因此，在后期湿地公园建设中，需以湿地与其他生态资源保护为主要功能，同时在合理开发的基础上，兼顾休闲、旅游与科普教育，形成人水和谐发展的公园形式。规划近期对不满足要求的</w:t>
      </w:r>
      <w:r>
        <w:rPr>
          <w:rFonts w:hint="eastAsia" w:eastAsia="宋体" w:cs="Times New Roman"/>
          <w:lang w:bidi="ar"/>
        </w:rPr>
        <w:t>彩虹绿洲湿地公园和六涌休闲湿地公园</w:t>
      </w:r>
      <w:r>
        <w:rPr>
          <w:rFonts w:hint="eastAsia" w:eastAsia="宋体" w:cs="Times New Roman"/>
          <w:szCs w:val="24"/>
          <w:lang w:bidi="ar"/>
        </w:rPr>
        <w:t>进行生态改造，构建水生物多样性。并拟新建东北部悦生涌渔业养殖基地湿地和马山公园湿地。</w:t>
      </w:r>
    </w:p>
    <w:p w14:paraId="7F4AAA22">
      <w:pPr>
        <w:pStyle w:val="5"/>
        <w:widowControl/>
      </w:pPr>
      <w:r>
        <w:t>5.2.2.4</w:t>
      </w:r>
      <w:r>
        <w:rPr>
          <w:rFonts w:hint="eastAsia" w:cs="黑体"/>
        </w:rPr>
        <w:t>加强内河涌水环境综合治理</w:t>
      </w:r>
    </w:p>
    <w:p w14:paraId="6DC8902B">
      <w:pPr>
        <w:autoSpaceDE w:val="0"/>
        <w:autoSpaceDN w:val="0"/>
        <w:adjustRightInd w:val="0"/>
        <w:snapToGrid w:val="0"/>
        <w:ind w:firstLine="480"/>
        <w:rPr>
          <w:rFonts w:ascii="宋体" w:hAnsi="宋体" w:eastAsia="宋体" w:cs="Times New Roman"/>
          <w:szCs w:val="24"/>
          <w:lang w:bidi="ar"/>
        </w:rPr>
      </w:pPr>
      <w:r>
        <w:rPr>
          <w:rFonts w:hint="eastAsia" w:eastAsia="宋体" w:cs="Times New Roman"/>
          <w:szCs w:val="24"/>
          <w:lang w:bidi="ar"/>
        </w:rPr>
        <w:t>加强水功能区水质达标建设，控制断面水质与水源水质全面达标。结合水十条，全面推进西区境内河涌的水环境综合整治，落实水污染防治行动计划，继续完善与推进河长制的</w:t>
      </w:r>
      <w:r>
        <w:rPr>
          <w:rFonts w:hint="eastAsia" w:ascii="宋体" w:hAnsi="宋体" w:eastAsia="宋体" w:cs="Times New Roman"/>
          <w:szCs w:val="24"/>
          <w:lang w:bidi="ar"/>
        </w:rPr>
        <w:t>“一河一长”与“一河一策”制，根据中山市人民政府西区办事处文件（西办【2017】140号），2017年，西区制定了《西区全面推行河长制会议制度（试行）》、《西区全面推行河长制巡查制度（试行）》和《西区全面推行河长制工作督察制度（试行）》等三项制度。西区目前已全面推进河长制，严格执行河长制会议制度、河长制巡查制度、河长制工作督察制度。</w:t>
      </w:r>
    </w:p>
    <w:p w14:paraId="03B8663E">
      <w:pPr>
        <w:autoSpaceDE w:val="0"/>
        <w:autoSpaceDN w:val="0"/>
        <w:adjustRightInd w:val="0"/>
        <w:snapToGrid w:val="0"/>
        <w:ind w:firstLine="480"/>
        <w:rPr>
          <w:rFonts w:eastAsia="宋体" w:cs="Times New Roman"/>
          <w:szCs w:val="24"/>
        </w:rPr>
      </w:pPr>
      <w:r>
        <w:rPr>
          <w:rFonts w:hint="eastAsia" w:eastAsia="宋体" w:cs="Times New Roman"/>
          <w:szCs w:val="24"/>
          <w:lang w:bidi="ar"/>
        </w:rPr>
        <w:t>根据西区水环境问题及现有水污染治理工程的进展情况，并且结合西区河涌水网的特点，坚持开发与保护并重，将</w:t>
      </w:r>
      <w:r>
        <w:rPr>
          <w:rFonts w:hint="eastAsia" w:ascii="宋体" w:hAnsi="宋体" w:eastAsia="宋体" w:cs="宋体"/>
          <w:szCs w:val="24"/>
          <w:lang w:bidi="ar"/>
        </w:rPr>
        <w:t xml:space="preserve">“外源控制、内源疏浚、群闸联控、修复水生态” </w:t>
      </w:r>
      <w:r>
        <w:rPr>
          <w:rFonts w:hint="eastAsia" w:eastAsia="宋体" w:cs="Times New Roman"/>
          <w:szCs w:val="24"/>
          <w:lang w:bidi="ar"/>
        </w:rPr>
        <w:t>作为水环境整治的基本策略。落实截污管网与雨污分流制建设，对污水进行有效处理；落实中山市畜禽养殖禁养区与限养区划定成果，对禁养区范围的禽养殖进行全面清理，加强限养区的监管，控制畜禽养殖所带来的污染；通过</w:t>
      </w:r>
      <w:r>
        <w:rPr>
          <w:rFonts w:hint="eastAsia" w:ascii="宋体" w:hAnsi="宋体" w:eastAsia="宋体" w:cs="Times New Roman"/>
          <w:szCs w:val="24"/>
          <w:lang w:bidi="ar"/>
        </w:rPr>
        <w:t>“源头控制、过程减污、终端治污”对面源污染进行有效控制；结合海绵城市建设，通“渗、滞、蓄、净、用、排”等</w:t>
      </w:r>
      <w:r>
        <w:rPr>
          <w:rFonts w:hint="eastAsia" w:eastAsia="宋体" w:cs="Times New Roman"/>
          <w:szCs w:val="24"/>
          <w:lang w:bidi="ar"/>
        </w:rPr>
        <w:t>综合措施，减少城市面源污染；划定各内河涌的污染物排放控制红线，严格入河污染物控制与管理，开展入河排污口调查，优化入河排污口布局，加强入河口监督与管理；在截污基础上，对河道进行清淤、疏浚、疏通和拓宽，清除河道内源污染；结合生态水网建设，通过水系连通与水循环工程，改善河涌活力。最终实现内河涌水环境综合治理的系统性、持续性与健康性。</w:t>
      </w:r>
    </w:p>
    <w:p w14:paraId="3331618B">
      <w:pPr>
        <w:autoSpaceDE w:val="0"/>
        <w:autoSpaceDN w:val="0"/>
        <w:adjustRightInd w:val="0"/>
        <w:snapToGrid w:val="0"/>
        <w:ind w:firstLine="480"/>
        <w:rPr>
          <w:rFonts w:eastAsia="宋体" w:cs="Times New Roman"/>
          <w:szCs w:val="24"/>
          <w:lang w:bidi="ar"/>
        </w:rPr>
      </w:pPr>
      <w:r>
        <w:rPr>
          <w:rFonts w:hint="eastAsia" w:eastAsia="宋体" w:cs="Times New Roman"/>
          <w:szCs w:val="24"/>
          <w:lang w:bidi="ar"/>
        </w:rPr>
        <w:t>综合考虑中小河流治理重点项综合整治和水系连通试点项目工程所涉及的河涌，开展彩虹片区排洪渠工程、中山市西区狮滘河一河两岸改造提升工程、中山市中心组团黑臭〈未达标〉水体整治提升工程〈项目二〉（西区13条（段）河涌进行截污工程、河涌范围现状污水管道检查及修复工程、面源污染治理工程、清淤工程、生态修复工程、水系循环及补水工程等），进行水环境综合整治。</w:t>
      </w:r>
    </w:p>
    <w:p w14:paraId="65D84687">
      <w:pPr>
        <w:autoSpaceDE w:val="0"/>
        <w:autoSpaceDN w:val="0"/>
        <w:adjustRightInd w:val="0"/>
        <w:snapToGrid w:val="0"/>
        <w:ind w:firstLine="480"/>
        <w:rPr>
          <w:rFonts w:eastAsia="宋体" w:cs="Times New Roman"/>
          <w:kern w:val="0"/>
          <w:szCs w:val="24"/>
        </w:rPr>
      </w:pPr>
      <w:r>
        <w:rPr>
          <w:rFonts w:hint="eastAsia" w:eastAsia="宋体" w:cs="Times New Roman"/>
          <w:szCs w:val="24"/>
          <w:lang w:bidi="ar"/>
        </w:rPr>
        <w:t>到</w:t>
      </w:r>
      <w:r>
        <w:rPr>
          <w:rFonts w:eastAsia="宋体" w:cs="Times New Roman"/>
          <w:szCs w:val="24"/>
          <w:lang w:bidi="ar"/>
        </w:rPr>
        <w:t>2020</w:t>
      </w:r>
      <w:r>
        <w:rPr>
          <w:rFonts w:hint="eastAsia" w:eastAsia="宋体" w:cs="Times New Roman"/>
          <w:szCs w:val="24"/>
          <w:lang w:bidi="ar"/>
        </w:rPr>
        <w:t>年，基本解决辖区内群众反映强烈的、水质现状为劣</w:t>
      </w:r>
      <w:r>
        <w:rPr>
          <w:rFonts w:eastAsia="宋体" w:cs="Times New Roman"/>
          <w:szCs w:val="24"/>
          <w:lang w:bidi="ar"/>
        </w:rPr>
        <w:t>V</w:t>
      </w:r>
      <w:r>
        <w:rPr>
          <w:rFonts w:hint="eastAsia" w:eastAsia="宋体" w:cs="Times New Roman"/>
          <w:szCs w:val="24"/>
          <w:lang w:bidi="ar"/>
        </w:rPr>
        <w:t>类的内河涌水体污染问题，内河涌不黑不臭，内河涌水功能区达标率达</w:t>
      </w:r>
      <w:r>
        <w:rPr>
          <w:rFonts w:eastAsia="宋体" w:cs="Times New Roman"/>
          <w:szCs w:val="24"/>
          <w:lang w:bidi="ar"/>
        </w:rPr>
        <w:t>80%</w:t>
      </w:r>
      <w:r>
        <w:rPr>
          <w:rFonts w:hint="eastAsia" w:eastAsia="宋体" w:cs="Times New Roman"/>
          <w:szCs w:val="24"/>
          <w:lang w:bidi="ar"/>
        </w:rPr>
        <w:t>以上，城镇建成区黑臭水体占比为</w:t>
      </w:r>
      <w:r>
        <w:rPr>
          <w:rFonts w:eastAsia="宋体" w:cs="Times New Roman"/>
          <w:szCs w:val="24"/>
          <w:lang w:bidi="ar"/>
        </w:rPr>
        <w:t>0%</w:t>
      </w:r>
      <w:r>
        <w:rPr>
          <w:rFonts w:hint="eastAsia" w:eastAsia="宋体" w:cs="Times New Roman"/>
          <w:szCs w:val="24"/>
          <w:lang w:bidi="ar"/>
        </w:rPr>
        <w:t>；到</w:t>
      </w:r>
      <w:r>
        <w:rPr>
          <w:rFonts w:eastAsia="宋体" w:cs="Times New Roman"/>
          <w:szCs w:val="24"/>
          <w:lang w:bidi="ar"/>
        </w:rPr>
        <w:t>2030</w:t>
      </w:r>
      <w:r>
        <w:rPr>
          <w:rFonts w:hint="eastAsia" w:eastAsia="宋体" w:cs="Times New Roman"/>
          <w:szCs w:val="24"/>
          <w:lang w:bidi="ar"/>
        </w:rPr>
        <w:t>年，内河涌水功能区全面达标，城镇建成区黑臭水体占比为</w:t>
      </w:r>
      <w:r>
        <w:rPr>
          <w:rFonts w:eastAsia="宋体" w:cs="Times New Roman"/>
          <w:szCs w:val="24"/>
          <w:lang w:bidi="ar"/>
        </w:rPr>
        <w:t>0%</w:t>
      </w:r>
      <w:r>
        <w:rPr>
          <w:rFonts w:hint="eastAsia" w:eastAsia="宋体" w:cs="Times New Roman"/>
          <w:szCs w:val="24"/>
          <w:lang w:bidi="ar"/>
        </w:rPr>
        <w:t>。</w:t>
      </w:r>
    </w:p>
    <w:p w14:paraId="0C65CFB4">
      <w:pPr>
        <w:pStyle w:val="5"/>
        <w:widowControl/>
      </w:pPr>
      <w:r>
        <w:t>5.2.2.5</w:t>
      </w:r>
      <w:r>
        <w:rPr>
          <w:rFonts w:hint="eastAsia" w:cs="黑体"/>
        </w:rPr>
        <w:t>修复滨江生态廊道</w:t>
      </w:r>
    </w:p>
    <w:p w14:paraId="1BC2C03D">
      <w:pPr>
        <w:ind w:firstLine="480"/>
        <w:rPr>
          <w:rFonts w:eastAsia="宋体" w:cs="Times New Roman"/>
          <w:color w:val="FF0000"/>
          <w:szCs w:val="24"/>
        </w:rPr>
      </w:pPr>
      <w:r>
        <w:rPr>
          <w:rFonts w:hint="eastAsia" w:eastAsia="宋体" w:cs="Times New Roman"/>
          <w:szCs w:val="24"/>
          <w:lang w:bidi="ar"/>
        </w:rPr>
        <w:t>滨江生态廊道修复要求在今后的堤防建设中着重将生态防洪的理念融入到对外江洪水（潮）灾害的治理中，逐渐实现从堤防混凝土化的设计理念向生态堤防的设计理念转变，注重河、湖、库、林、湿地等水生态系统的综合功能。严格落实行洪控制线、岸线及滩地利用管理要求，倡导恢复河流的自然样貌、融入自然设计、河流再自然化等生态防洪理念，在堤防联围靠近河道的一侧的滩地，利用当地植物，如建设滨河生态防护带；在滩地宽敞、湿地资源丰富的区域可建设成片型的浅滩湿地，建设湿地公园，打造沿江多湿地的生态格局，提升河流、海岸沿岸的生态系统服务功能，并推进亲水城市建设。规划近期拟依托岐江河、石特涌、狮滘河、沙朗涌的河堤建设，开展滨江生态廊道建设，利用狮山现有的树林湿地资源，开展岐江河、石特涌、狮滘河、沙朗涌生态廊道建设，以此为示范工程，修复浅滩涂区域湿地，使景观防护林建设与堤岸防护工程相结合，同时与东北部悦生涌渔业养殖基地湿地和马山公园湿地建设相衔接，构建集防洪（潮）与生态景观于一体、廊道与湿地相结合的生态景观廊道。</w:t>
      </w:r>
    </w:p>
    <w:p w14:paraId="4B58F35D">
      <w:pPr>
        <w:pStyle w:val="5"/>
        <w:widowControl/>
      </w:pPr>
      <w:r>
        <w:t>5.2.2.6</w:t>
      </w:r>
      <w:r>
        <w:rPr>
          <w:rFonts w:hint="eastAsia" w:cs="黑体"/>
        </w:rPr>
        <w:t>加强城市面源污染治理</w:t>
      </w:r>
    </w:p>
    <w:p w14:paraId="7D4CABAC">
      <w:pPr>
        <w:ind w:firstLine="480"/>
        <w:rPr>
          <w:rFonts w:eastAsia="宋体" w:cs="Times New Roman"/>
          <w:szCs w:val="24"/>
        </w:rPr>
      </w:pPr>
      <w:r>
        <w:rPr>
          <w:rFonts w:hint="eastAsia" w:eastAsia="宋体" w:cs="Times New Roman"/>
          <w:szCs w:val="24"/>
          <w:lang w:bidi="ar"/>
        </w:rPr>
        <w:t>城市初期雨水是城市面源污染的主要来源，根据相关研究成果，雨水对城镇区道路与街道的冲刷，在最初的</w:t>
      </w:r>
      <w:r>
        <w:rPr>
          <w:rFonts w:eastAsia="宋体" w:cs="Times New Roman"/>
          <w:szCs w:val="24"/>
          <w:lang w:bidi="ar"/>
        </w:rPr>
        <w:t>60min</w:t>
      </w:r>
      <w:r>
        <w:rPr>
          <w:rFonts w:hint="eastAsia" w:eastAsia="宋体" w:cs="Times New Roman"/>
          <w:szCs w:val="24"/>
          <w:lang w:bidi="ar"/>
        </w:rPr>
        <w:t>内，暴雨强度</w:t>
      </w:r>
      <w:r>
        <w:rPr>
          <w:rFonts w:eastAsia="宋体" w:cs="Times New Roman"/>
          <w:szCs w:val="24"/>
          <w:lang w:bidi="ar"/>
        </w:rPr>
        <w:t>12.7mm</w:t>
      </w:r>
      <w:r>
        <w:rPr>
          <w:rFonts w:hint="eastAsia" w:eastAsia="宋体" w:cs="Times New Roman"/>
          <w:szCs w:val="24"/>
          <w:lang w:bidi="ar"/>
        </w:rPr>
        <w:t>以上的一次性降雨，可冲洗去城镇区</w:t>
      </w:r>
      <w:r>
        <w:rPr>
          <w:rFonts w:eastAsia="宋体" w:cs="Times New Roman"/>
          <w:szCs w:val="24"/>
          <w:lang w:bidi="ar"/>
        </w:rPr>
        <w:t>90%</w:t>
      </w:r>
      <w:r>
        <w:rPr>
          <w:rFonts w:hint="eastAsia" w:eastAsia="宋体" w:cs="Times New Roman"/>
          <w:szCs w:val="24"/>
          <w:lang w:bidi="ar"/>
        </w:rPr>
        <w:t>以上的表面污染物。因此，如何有效控制城市初期雨水，减小初期雨水的水体的污染是城市面源污染治理的主要措施。在城市初期雨水治理中执行</w:t>
      </w:r>
      <w:r>
        <w:rPr>
          <w:rFonts w:hint="eastAsia" w:ascii="宋体" w:hAnsi="宋体" w:eastAsia="宋体" w:cs="Times New Roman"/>
          <w:szCs w:val="24"/>
          <w:lang w:bidi="ar"/>
        </w:rPr>
        <w:t>“源头控污、过程减污、终端治污”的全过程消</w:t>
      </w:r>
      <w:r>
        <w:rPr>
          <w:rFonts w:hint="eastAsia" w:eastAsia="宋体" w:cs="Times New Roman"/>
          <w:szCs w:val="24"/>
          <w:lang w:bidi="ar"/>
        </w:rPr>
        <w:t>减污染物措施。在源头控污方面需与海绵城市建设相结合，减少城市初期雨水的外排量；过程减污方面需落实雨污分流制，避免雨污混合，造成初期雨水对管道残留污水的冲刷，加大初期雨水的污染，另外利用生态廊道与湿地公园建设，削减初期雨水的污染物入河量；终端治理方面，通过与湿地公园、调蓄湖建设相结合，建设初期雨水净化湿地，利用湿地水生动、植物的生态净化功能对初期雨水的水质进行净化，重点推进彩虹绿洲湿地公园、六涌休闲湿地公园等雨水净化生态湿地，用于净化区域初期雨水；同时通过沿河截污箱涵、截污生态沟渠建设，采用分布式截污治污的方式对初期雨水进行终端拦截治理。</w:t>
      </w:r>
    </w:p>
    <w:p w14:paraId="58F96E6B">
      <w:pPr>
        <w:ind w:firstLine="480"/>
        <w:rPr>
          <w:rFonts w:eastAsia="宋体" w:cs="Times New Roman"/>
          <w:szCs w:val="24"/>
          <w:lang w:bidi="ar"/>
        </w:rPr>
      </w:pPr>
      <w:r>
        <w:rPr>
          <w:rFonts w:hint="eastAsia" w:eastAsia="宋体" w:cs="Times New Roman"/>
          <w:szCs w:val="24"/>
          <w:lang w:bidi="ar"/>
        </w:rPr>
        <w:t>加强主干道路、商业区、工业区等城市面源污染主要产生区域的清扫与冲洗，减少地表污染负荷，加强对老旧小区、菜市场、批发市场等重点地区垃圾管理清扫，加大雨水口清捞工作，改进清通方式，增加管道清淤频率。增强对城市房地产开发、旧城改造等项目弃渣弃土临时防护措施，完善城市水土流失监督与执法，减少城市水土流失。</w:t>
      </w:r>
    </w:p>
    <w:p w14:paraId="44E569F5">
      <w:pPr>
        <w:autoSpaceDE w:val="0"/>
        <w:autoSpaceDN w:val="0"/>
        <w:adjustRightInd w:val="0"/>
        <w:spacing w:line="240" w:lineRule="auto"/>
        <w:ind w:firstLine="480"/>
        <w:rPr>
          <w:rFonts w:eastAsia="宋体" w:cs="Times New Roman"/>
          <w:szCs w:val="24"/>
        </w:rPr>
      </w:pPr>
    </w:p>
    <w:p w14:paraId="6FBD745B">
      <w:pPr>
        <w:pStyle w:val="3"/>
        <w:widowControl/>
        <w:spacing w:before="0" w:after="0" w:line="360" w:lineRule="auto"/>
        <w:rPr>
          <w:rFonts w:cs="Times New Roman"/>
        </w:rPr>
      </w:pPr>
      <w:bookmarkStart w:id="817" w:name="_Toc498447363"/>
      <w:bookmarkStart w:id="818" w:name="_Toc523306836"/>
      <w:bookmarkStart w:id="819" w:name="_Toc498877691"/>
      <w:bookmarkStart w:id="820" w:name="_Toc526004983"/>
      <w:bookmarkStart w:id="821" w:name="_Toc9780"/>
      <w:bookmarkStart w:id="822" w:name="_Toc7603"/>
      <w:bookmarkStart w:id="823" w:name="_Toc14173"/>
      <w:bookmarkStart w:id="824" w:name="_Toc28702"/>
      <w:bookmarkStart w:id="825" w:name="_Toc32392"/>
      <w:bookmarkStart w:id="826" w:name="_Toc528880344"/>
      <w:bookmarkStart w:id="827" w:name="_Toc16331"/>
      <w:bookmarkStart w:id="828" w:name="_Toc528607312"/>
      <w:bookmarkStart w:id="829" w:name="_Toc16675088"/>
      <w:bookmarkStart w:id="830" w:name="_Toc527881138"/>
      <w:r>
        <w:rPr>
          <w:rFonts w:hint="eastAsia" w:cs="Times New Roman"/>
        </w:rPr>
        <w:t>5.2.3</w:t>
      </w:r>
      <w:bookmarkEnd w:id="817"/>
      <w:bookmarkEnd w:id="818"/>
      <w:bookmarkEnd w:id="819"/>
      <w:r>
        <w:rPr>
          <w:rFonts w:hint="eastAsia" w:cs="Times New Roman"/>
        </w:rPr>
        <w:t>水节约和水监管</w:t>
      </w:r>
      <w:bookmarkEnd w:id="820"/>
      <w:bookmarkEnd w:id="821"/>
      <w:bookmarkEnd w:id="822"/>
      <w:bookmarkEnd w:id="823"/>
      <w:bookmarkEnd w:id="824"/>
      <w:bookmarkEnd w:id="825"/>
      <w:bookmarkEnd w:id="826"/>
      <w:bookmarkEnd w:id="827"/>
      <w:bookmarkEnd w:id="828"/>
      <w:bookmarkEnd w:id="829"/>
      <w:bookmarkEnd w:id="830"/>
    </w:p>
    <w:p w14:paraId="67AA4910">
      <w:pPr>
        <w:pStyle w:val="5"/>
        <w:widowControl/>
      </w:pPr>
      <w:r>
        <w:t>5.2.3.1</w:t>
      </w:r>
      <w:r>
        <w:rPr>
          <w:rFonts w:hint="eastAsia" w:cs="黑体"/>
        </w:rPr>
        <w:t>强化工业节水</w:t>
      </w:r>
    </w:p>
    <w:p w14:paraId="18533731">
      <w:pPr>
        <w:autoSpaceDE w:val="0"/>
        <w:autoSpaceDN w:val="0"/>
        <w:adjustRightInd w:val="0"/>
        <w:snapToGrid w:val="0"/>
        <w:ind w:firstLine="480"/>
        <w:rPr>
          <w:rFonts w:eastAsia="宋体" w:cs="Times New Roman"/>
          <w:szCs w:val="24"/>
        </w:rPr>
      </w:pPr>
      <w:r>
        <w:rPr>
          <w:rFonts w:hint="eastAsia" w:eastAsia="宋体" w:cs="Times New Roman"/>
          <w:szCs w:val="24"/>
          <w:lang w:bidi="ar"/>
        </w:rPr>
        <w:t>工业节水重点抓好支柱产业日用化工、造纸等高用水行业的节水工作。加快产业结构优化调整、对高用水行业进行节水技术改造，促进优化升级；积极开展节水型企业建设、严格市场准入及限制高消耗、高排放、低效率、产能过剩行业盲目发展。</w:t>
      </w:r>
    </w:p>
    <w:p w14:paraId="052F185B">
      <w:pPr>
        <w:autoSpaceDE w:val="0"/>
        <w:autoSpaceDN w:val="0"/>
        <w:adjustRightInd w:val="0"/>
        <w:snapToGrid w:val="0"/>
        <w:ind w:firstLine="480"/>
        <w:rPr>
          <w:rFonts w:eastAsia="宋体" w:cs="Times New Roman"/>
          <w:szCs w:val="24"/>
          <w:lang w:bidi="ar"/>
        </w:rPr>
      </w:pPr>
      <w:r>
        <w:rPr>
          <w:rFonts w:hint="eastAsia" w:eastAsia="宋体" w:cs="Times New Roman"/>
          <w:szCs w:val="24"/>
          <w:lang w:bidi="ar"/>
        </w:rPr>
        <w:t>抓紧节水型企业建设、继续加强工业企业水平衡测试与用水计划管理、系统节水改造及清洁生产等措施，积极深化水价改革，严格实施超计划累进加收水资源费制度。重点推进日用化工行业、造纸制造业的节水改造，建设一批工业节水示范项目，推广工业企业节水技术。</w:t>
      </w:r>
    </w:p>
    <w:p w14:paraId="0C73AE77">
      <w:pPr>
        <w:autoSpaceDE w:val="0"/>
        <w:autoSpaceDN w:val="0"/>
        <w:adjustRightInd w:val="0"/>
        <w:snapToGrid w:val="0"/>
        <w:ind w:firstLine="480"/>
        <w:rPr>
          <w:rFonts w:eastAsia="宋体" w:cs="Times New Roman"/>
          <w:szCs w:val="24"/>
        </w:rPr>
      </w:pPr>
      <w:r>
        <w:rPr>
          <w:rFonts w:hint="eastAsia" w:eastAsia="宋体" w:cs="Times New Roman"/>
          <w:szCs w:val="24"/>
        </w:rPr>
        <w:t>为了进一步推进节水型社会建设，切实提高西区工业企业节水能力和用水效率，减少废污水排放，力促产业转型升级，西区于2017年10月11日出文《西区加快推进中山市节水型工业企业建设补贴扶持实施细则》。</w:t>
      </w:r>
    </w:p>
    <w:p w14:paraId="53DFE7BE">
      <w:pPr>
        <w:pStyle w:val="5"/>
        <w:widowControl/>
      </w:pPr>
      <w:r>
        <w:t>5.2.3.2</w:t>
      </w:r>
      <w:r>
        <w:rPr>
          <w:rFonts w:hint="eastAsia" w:cs="黑体"/>
        </w:rPr>
        <w:t>强化生活节水</w:t>
      </w:r>
    </w:p>
    <w:p w14:paraId="5ECA0C9E">
      <w:pPr>
        <w:ind w:firstLine="480"/>
        <w:rPr>
          <w:rFonts w:eastAsia="宋体" w:cs="Times New Roman"/>
          <w:szCs w:val="24"/>
        </w:rPr>
      </w:pPr>
      <w:r>
        <w:rPr>
          <w:rFonts w:hint="eastAsia" w:eastAsia="宋体" w:cs="Times New Roman"/>
          <w:szCs w:val="24"/>
          <w:lang w:bidi="ar"/>
        </w:rPr>
        <w:t>生活节水应进一步推动居民生活用水定额管理，实施居民用水阶梯水价，加快改造城市供水管网，加强供水管网水量、水质监控，完善城市供水监测系统，强化用水管理，合理利用多种水源，强制使用节水及计量设备和器具，推广节水器具、改进施工技术等控制建筑业用水量等。实行计划用水管理，将按照市拟定出台文件实行居民用水阶梯水价制度</w:t>
      </w:r>
      <w:r>
        <w:rPr>
          <w:rFonts w:hint="eastAsia" w:eastAsia="宋体" w:cs="Times New Roman"/>
          <w:szCs w:val="24"/>
          <w:lang w:bidi="ar"/>
        </w:rPr>
        <w:tab/>
      </w:r>
    </w:p>
    <w:p w14:paraId="4DAC7148">
      <w:pPr>
        <w:ind w:firstLine="480"/>
        <w:rPr>
          <w:rFonts w:eastAsia="宋体" w:cs="Times New Roman"/>
          <w:szCs w:val="24"/>
        </w:rPr>
      </w:pPr>
      <w:r>
        <w:rPr>
          <w:rFonts w:hint="eastAsia" w:eastAsia="宋体" w:cs="Times New Roman"/>
          <w:szCs w:val="24"/>
          <w:lang w:bidi="ar"/>
        </w:rPr>
        <w:t>重点推进供水管网改造、供水管网网监测、节水器具推广和节水型社区、节水型学校、节水型单位建设，建设一批生活节水型示范工程。通过生活节水建设，到</w:t>
      </w:r>
      <w:r>
        <w:rPr>
          <w:rFonts w:eastAsia="宋体" w:cs="Times New Roman"/>
          <w:szCs w:val="24"/>
          <w:lang w:bidi="ar"/>
        </w:rPr>
        <w:t>2020</w:t>
      </w:r>
      <w:r>
        <w:rPr>
          <w:rFonts w:hint="eastAsia" w:eastAsia="宋体" w:cs="Times New Roman"/>
          <w:szCs w:val="24"/>
          <w:lang w:bidi="ar"/>
        </w:rPr>
        <w:t>年全市城镇供水管网漏失率</w:t>
      </w:r>
      <w:r>
        <w:rPr>
          <w:rFonts w:eastAsia="宋体" w:cs="Times New Roman"/>
          <w:szCs w:val="24"/>
          <w:lang w:bidi="ar"/>
        </w:rPr>
        <w:t>10%</w:t>
      </w:r>
      <w:r>
        <w:rPr>
          <w:rFonts w:hint="eastAsia" w:eastAsia="宋体" w:cs="Times New Roman"/>
          <w:szCs w:val="24"/>
          <w:lang w:bidi="ar"/>
        </w:rPr>
        <w:t>以下，节水器具普及率达到95</w:t>
      </w:r>
      <w:r>
        <w:rPr>
          <w:rFonts w:eastAsia="宋体" w:cs="Times New Roman"/>
          <w:szCs w:val="24"/>
          <w:lang w:bidi="ar"/>
        </w:rPr>
        <w:t>%</w:t>
      </w:r>
      <w:r>
        <w:rPr>
          <w:rFonts w:hint="eastAsia" w:eastAsia="宋体" w:cs="Times New Roman"/>
          <w:szCs w:val="24"/>
          <w:lang w:bidi="ar"/>
        </w:rPr>
        <w:t>以上；到</w:t>
      </w:r>
      <w:r>
        <w:rPr>
          <w:rFonts w:eastAsia="宋体" w:cs="Times New Roman"/>
          <w:szCs w:val="24"/>
          <w:lang w:bidi="ar"/>
        </w:rPr>
        <w:t>2030</w:t>
      </w:r>
      <w:r>
        <w:rPr>
          <w:rFonts w:hint="eastAsia" w:eastAsia="宋体" w:cs="Times New Roman"/>
          <w:szCs w:val="24"/>
          <w:lang w:bidi="ar"/>
        </w:rPr>
        <w:t>年全市城镇供水管网漏失率</w:t>
      </w:r>
      <w:r>
        <w:rPr>
          <w:rFonts w:eastAsia="宋体" w:cs="Times New Roman"/>
          <w:szCs w:val="24"/>
          <w:lang w:bidi="ar"/>
        </w:rPr>
        <w:t>8%</w:t>
      </w:r>
      <w:r>
        <w:rPr>
          <w:rFonts w:hint="eastAsia" w:eastAsia="宋体" w:cs="Times New Roman"/>
          <w:szCs w:val="24"/>
          <w:lang w:bidi="ar"/>
        </w:rPr>
        <w:t>以下，节水器具普及率达到</w:t>
      </w:r>
      <w:r>
        <w:rPr>
          <w:rFonts w:eastAsia="宋体" w:cs="Times New Roman"/>
          <w:szCs w:val="24"/>
          <w:lang w:bidi="ar"/>
        </w:rPr>
        <w:t>100%</w:t>
      </w:r>
      <w:r>
        <w:rPr>
          <w:rFonts w:hint="eastAsia" w:eastAsia="宋体" w:cs="Times New Roman"/>
          <w:szCs w:val="24"/>
          <w:lang w:bidi="ar"/>
        </w:rPr>
        <w:t>以上。</w:t>
      </w:r>
    </w:p>
    <w:p w14:paraId="656016A2">
      <w:pPr>
        <w:ind w:firstLine="480"/>
        <w:rPr>
          <w:rFonts w:eastAsia="宋体" w:cs="Times New Roman"/>
          <w:szCs w:val="24"/>
          <w:lang w:bidi="ar"/>
        </w:rPr>
      </w:pPr>
      <w:r>
        <w:rPr>
          <w:rFonts w:hint="eastAsia" w:eastAsia="宋体" w:cs="Times New Roman"/>
          <w:szCs w:val="24"/>
          <w:lang w:bidi="ar"/>
        </w:rPr>
        <w:t>农业节水以提高灌溉水利用效率为核心，调整农业种植结构，优化配置水资源，较快建设高效输配水工程等农业节水基础设施，进行节水改造，推广和普及节水技术。推进农业高效节水灌溉用水计量。将按照市拟定出台文件推行农业水价综合改革，建立健全农业水价形成机制，推进农业水权制度建设，建立农业用水精准补贴和节水奖励机制。</w:t>
      </w:r>
      <w:r>
        <w:rPr>
          <w:rFonts w:hint="eastAsia" w:eastAsia="宋体" w:cs="Times New Roman"/>
          <w:szCs w:val="24"/>
          <w:lang w:bidi="ar"/>
        </w:rPr>
        <w:tab/>
      </w:r>
    </w:p>
    <w:p w14:paraId="1501EC42">
      <w:pPr>
        <w:ind w:firstLine="480"/>
        <w:rPr>
          <w:rFonts w:eastAsia="宋体" w:cs="Times New Roman"/>
          <w:szCs w:val="24"/>
        </w:rPr>
      </w:pPr>
      <w:r>
        <w:rPr>
          <w:rFonts w:hint="eastAsia" w:eastAsia="宋体" w:cs="Times New Roman"/>
          <w:szCs w:val="24"/>
        </w:rPr>
        <w:t>西区为了全社会养成节水意识，利用信息、网站、微信、横幅、宣传画报、设摊宣传及五进（进机关、进学校、进企业、进社区、进居民）等多种形式开展节水宣传教育活动，让公众具有明显的节水意识。</w:t>
      </w:r>
    </w:p>
    <w:p w14:paraId="5F63BEBA">
      <w:pPr>
        <w:pStyle w:val="5"/>
        <w:widowControl/>
        <w:rPr>
          <w:rFonts w:eastAsia="宋体"/>
          <w:b/>
          <w:szCs w:val="24"/>
        </w:rPr>
      </w:pPr>
      <w:r>
        <w:t>5.2.3.3</w:t>
      </w:r>
      <w:r>
        <w:rPr>
          <w:rFonts w:hint="eastAsia" w:cs="黑体"/>
        </w:rPr>
        <w:t>开发利用非常规水源</w:t>
      </w:r>
    </w:p>
    <w:p w14:paraId="758C9AB1">
      <w:pPr>
        <w:ind w:firstLine="480"/>
        <w:rPr>
          <w:rFonts w:eastAsia="宋体" w:cs="Times New Roman"/>
          <w:szCs w:val="24"/>
        </w:rPr>
      </w:pPr>
      <w:r>
        <w:rPr>
          <w:rFonts w:hint="eastAsia" w:eastAsia="宋体" w:cs="Times New Roman"/>
          <w:szCs w:val="24"/>
          <w:lang w:bidi="ar"/>
        </w:rPr>
        <w:t>发展雨水收集利用系统，利用雨水调蓄池、雨水调蓄湖、湿地、绿地等系统调蓄雨水，在建城区尽量实现雨水渗透，城区采用在绿色植被与土壤之间增设储水层、透水层等办法减缓雨水地表径流的速度，增加城市土壤的相对含水量，减少城市绿化人工喷洒用水。在大型室外停车场、广场的建设中尽量减少硬化面积，改善透水条件。利用雨水改善城市生态环境。推广城区雨水直接利用技术，在城市绿地系统和生活小区，推广城市绿地草坪滞蓄直接利用技术，雨水直接用于绿地草坪浇灌；把雨水利用与天然洼地、公园的河湖等湿地保护和湿地恢复相结合。</w:t>
      </w:r>
    </w:p>
    <w:p w14:paraId="0857F6F4">
      <w:pPr>
        <w:ind w:firstLine="480"/>
        <w:rPr>
          <w:rFonts w:eastAsia="宋体" w:cs="Times New Roman"/>
          <w:szCs w:val="24"/>
        </w:rPr>
      </w:pPr>
      <w:r>
        <w:rPr>
          <w:rFonts w:hint="eastAsia" w:eastAsia="宋体" w:cs="Times New Roman"/>
          <w:szCs w:val="24"/>
          <w:lang w:bidi="ar"/>
        </w:rPr>
        <w:t>根据不同用水户对水质的要求，将处理后的雨水用于城镇绿化、浇洒道路、冲洗汽车、以及农村人畜饮水、农业灌溉等。将中水回用于冲洗、浇灌用水、园林绿化、景观娱乐用水、浇洒道路、洗车用水、冲厕用水、工业冷却用水，以及回用于内河涌生态补水等。</w:t>
      </w:r>
    </w:p>
    <w:p w14:paraId="7DE93E54">
      <w:pPr>
        <w:pStyle w:val="5"/>
        <w:widowControl/>
      </w:pPr>
      <w:r>
        <w:t>5.2.3.4</w:t>
      </w:r>
      <w:r>
        <w:rPr>
          <w:rFonts w:hint="eastAsia" w:cs="黑体"/>
        </w:rPr>
        <w:t>加强污染减排控制</w:t>
      </w:r>
    </w:p>
    <w:p w14:paraId="38D5006D">
      <w:pPr>
        <w:ind w:firstLine="480"/>
        <w:rPr>
          <w:rFonts w:eastAsia="宋体" w:cs="Times New Roman"/>
          <w:szCs w:val="24"/>
        </w:rPr>
      </w:pPr>
      <w:r>
        <w:rPr>
          <w:rFonts w:hint="eastAsia" w:eastAsia="宋体" w:cs="Times New Roman"/>
          <w:szCs w:val="24"/>
          <w:lang w:bidi="ar"/>
        </w:rPr>
        <w:t>根据《全国重要江河湖泊水功能区纳污能力核定和分阶段限排总量控制方案技术大纲》技术要求，开展中山市水功能区纳污能力核定和分阶段限排总量控制方案，明确中山市水功能区限制纳污能力与污染物限排红线。</w:t>
      </w:r>
    </w:p>
    <w:p w14:paraId="7B7407E3">
      <w:pPr>
        <w:ind w:firstLine="480"/>
        <w:rPr>
          <w:rFonts w:eastAsia="宋体" w:cs="Times New Roman"/>
          <w:szCs w:val="24"/>
        </w:rPr>
      </w:pPr>
      <w:r>
        <w:rPr>
          <w:rFonts w:hint="eastAsia" w:eastAsia="宋体" w:cs="Times New Roman"/>
          <w:szCs w:val="24"/>
          <w:lang w:bidi="ar"/>
        </w:rPr>
        <w:t>加强入河湖污染物总量控制与管理，从严核定水功能区纳污容量，</w:t>
      </w:r>
      <w:r>
        <w:rPr>
          <w:rFonts w:eastAsia="宋体" w:cs="Times New Roman"/>
          <w:szCs w:val="24"/>
          <w:lang w:bidi="ar"/>
        </w:rPr>
        <w:t>2020</w:t>
      </w:r>
      <w:r>
        <w:rPr>
          <w:rFonts w:hint="eastAsia" w:eastAsia="宋体" w:cs="Times New Roman"/>
          <w:szCs w:val="24"/>
          <w:lang w:bidi="ar"/>
        </w:rPr>
        <w:t>年前完成主要江河湖库水功能区的纳污能力核算，划定入河湖库污染物限排红线。加强污染物排放总量与水功能区限制排污红线的衔接，与环境保护部门充分协调，将水功能区水质目标及限排红线作为陆域排放总量控制的刚性约束，提出区域限排红线并分解到入河排污口，实现科学有序控源减排。严格按照入河湖限排红线控制入河湖排污总量，优化入河（江、湖、库）排污口，编制入河（江、湖、库）排污口整治规划，严格控制新建、改建、扩建入河排污口设置，限制审批排污量超过限排红线区域的新增取水口和入河排污口。</w:t>
      </w:r>
    </w:p>
    <w:p w14:paraId="3C94AC8D">
      <w:pPr>
        <w:ind w:firstLine="480"/>
        <w:rPr>
          <w:rFonts w:eastAsia="宋体" w:cs="Times New Roman"/>
          <w:b/>
          <w:szCs w:val="24"/>
        </w:rPr>
      </w:pPr>
      <w:r>
        <w:rPr>
          <w:rFonts w:hint="eastAsia" w:eastAsia="宋体" w:cs="Times New Roman"/>
          <w:szCs w:val="24"/>
          <w:lang w:bidi="ar"/>
        </w:rPr>
        <w:t>以强化源头防治水污染、改善河湖库水环境质量为目标，结合《中山市城市总体规划（2010-2020年）》，根据排污总量控制要求，优化产业布局与结构，制定准入企业名录，禁止高污染、限制高耗水产业发展，引导高新技术产业、先进制造业、工厂化农业等低耗水低污染产业发展，形成与水环境承载力相适应的产业布局与结构。</w:t>
      </w:r>
    </w:p>
    <w:p w14:paraId="1392E7E5">
      <w:pPr>
        <w:pStyle w:val="5"/>
        <w:widowControl/>
      </w:pPr>
      <w:r>
        <w:t>5.2.3.5</w:t>
      </w:r>
      <w:r>
        <w:rPr>
          <w:rFonts w:hint="eastAsia" w:cs="黑体"/>
        </w:rPr>
        <w:t>加强水资源监控能力建设</w:t>
      </w:r>
    </w:p>
    <w:p w14:paraId="145E4046">
      <w:pPr>
        <w:ind w:firstLine="480"/>
        <w:rPr>
          <w:rFonts w:eastAsia="宋体" w:cs="Times New Roman"/>
          <w:szCs w:val="24"/>
        </w:rPr>
      </w:pPr>
      <w:r>
        <w:rPr>
          <w:rFonts w:hint="eastAsia" w:eastAsia="宋体" w:cs="Times New Roman"/>
          <w:szCs w:val="24"/>
          <w:lang w:bidi="ar"/>
        </w:rPr>
        <w:t>加强水资源取、用、排水全过程监控系统、计划用水管理系统建设，通过重要控制断面与水功能区在线水质监测、入河排污口在线监测与管理、取用水监测与管理，逐步配套构建数据管理系统及预报预警系统，制定常规水生态监测计划及应急监测预案，推进镇街水务管理、运行调度的信息化工程建设，提高工作效率、提升运行效果。不断加强取用水监控体系建设、完善水功能区监测与预警能力建设、加强入河排污口监管工作、优化防洪排涝监控体系等建设。</w:t>
      </w:r>
    </w:p>
    <w:p w14:paraId="736D82F3">
      <w:pPr>
        <w:spacing w:line="240" w:lineRule="auto"/>
        <w:ind w:firstLine="480"/>
        <w:rPr>
          <w:rFonts w:eastAsia="宋体" w:cs="Times New Roman"/>
          <w:szCs w:val="24"/>
        </w:rPr>
      </w:pPr>
    </w:p>
    <w:p w14:paraId="571A508A">
      <w:pPr>
        <w:pStyle w:val="3"/>
        <w:widowControl/>
        <w:spacing w:before="0" w:after="0" w:line="360" w:lineRule="auto"/>
        <w:rPr>
          <w:rFonts w:cs="Times New Roman"/>
        </w:rPr>
      </w:pPr>
      <w:bookmarkStart w:id="831" w:name="_Toc31457"/>
      <w:bookmarkStart w:id="832" w:name="_Toc3714"/>
      <w:bookmarkStart w:id="833" w:name="_Toc528607313"/>
      <w:bookmarkStart w:id="834" w:name="_Toc2753"/>
      <w:bookmarkStart w:id="835" w:name="_Toc31021"/>
      <w:bookmarkStart w:id="836" w:name="_Toc523306838"/>
      <w:bookmarkStart w:id="837" w:name="_Toc7143"/>
      <w:bookmarkStart w:id="838" w:name="_Toc527881139"/>
      <w:bookmarkStart w:id="839" w:name="_Toc27308"/>
      <w:bookmarkStart w:id="840" w:name="_Toc528880345"/>
      <w:bookmarkStart w:id="841" w:name="_Toc526004984"/>
      <w:bookmarkStart w:id="842" w:name="_Toc16675089"/>
      <w:r>
        <w:rPr>
          <w:rFonts w:hint="eastAsia" w:cs="Times New Roman"/>
        </w:rPr>
        <w:t>5.2.4水文化和水生态文化制度</w:t>
      </w:r>
      <w:bookmarkEnd w:id="831"/>
      <w:bookmarkEnd w:id="832"/>
      <w:bookmarkEnd w:id="833"/>
      <w:bookmarkEnd w:id="834"/>
      <w:bookmarkEnd w:id="835"/>
      <w:bookmarkEnd w:id="836"/>
      <w:bookmarkEnd w:id="837"/>
      <w:bookmarkEnd w:id="838"/>
      <w:bookmarkEnd w:id="839"/>
      <w:bookmarkEnd w:id="840"/>
      <w:bookmarkEnd w:id="841"/>
      <w:bookmarkEnd w:id="842"/>
    </w:p>
    <w:p w14:paraId="21E17A4C">
      <w:pPr>
        <w:pStyle w:val="5"/>
        <w:widowControl/>
      </w:pPr>
      <w:r>
        <w:t>5.2.4.1</w:t>
      </w:r>
      <w:r>
        <w:rPr>
          <w:rFonts w:hint="eastAsia" w:cs="黑体"/>
        </w:rPr>
        <w:t>加强水文化宣传教育建设</w:t>
      </w:r>
    </w:p>
    <w:p w14:paraId="70884984">
      <w:pPr>
        <w:ind w:firstLine="480"/>
        <w:rPr>
          <w:rFonts w:eastAsia="宋体" w:cs="Times New Roman"/>
          <w:szCs w:val="24"/>
        </w:rPr>
      </w:pPr>
      <w:r>
        <w:rPr>
          <w:rFonts w:hint="eastAsia" w:eastAsia="宋体" w:cs="Times New Roman"/>
          <w:szCs w:val="24"/>
          <w:lang w:bidi="ar"/>
        </w:rPr>
        <w:t>充分利用广播、电视、报纸、网络等媒体，加强水务新闻宣传工作，及时全面宣传中央及水利、住建、环保等部门与水相关的方针政策和战略部署，总结、推广基层经验，营造良好舆论氛围。着重利</w:t>
      </w:r>
      <w:r>
        <w:rPr>
          <w:rFonts w:hint="eastAsia" w:ascii="宋体" w:hAnsi="宋体" w:eastAsia="宋体" w:cs="Times New Roman"/>
          <w:szCs w:val="24"/>
          <w:lang w:bidi="ar"/>
        </w:rPr>
        <w:t>用“世界水日”、“中国水周”等契机，</w:t>
      </w:r>
      <w:r>
        <w:rPr>
          <w:rFonts w:hint="eastAsia" w:eastAsia="宋体" w:cs="Times New Roman"/>
          <w:szCs w:val="24"/>
          <w:lang w:bidi="ar"/>
        </w:rPr>
        <w:t>组织活动宣传水生态文明理念，积极培育公众参与意识，增加民众对水文化精神的认知。重视水文化教育，将水文化教育列为职工教育培训的重要内容，积极开展水文化专题讲座、报告等活动，纳入到中小学水情教育，开设水生态文明理论和实践课程，开展防洪排涝、湿地保护等基本知识普及。积极利用涉水公共活动，进行节水、爱水、护水、亲水教育，提高民众水生态文明意识，开展创建水生态文明建设示范社区活动，引导全市水生态文明建设，建立广泛的水文化建设社会基础。</w:t>
      </w:r>
    </w:p>
    <w:p w14:paraId="59AD452F">
      <w:pPr>
        <w:pStyle w:val="5"/>
        <w:widowControl/>
      </w:pPr>
      <w:r>
        <w:t>5.2.4.2</w:t>
      </w:r>
      <w:r>
        <w:rPr>
          <w:rFonts w:hint="eastAsia" w:cs="黑体"/>
        </w:rPr>
        <w:t>推进水文化载体建设</w:t>
      </w:r>
    </w:p>
    <w:p w14:paraId="1C2352B6">
      <w:pPr>
        <w:ind w:firstLine="480"/>
        <w:rPr>
          <w:rFonts w:eastAsia="宋体" w:cs="Times New Roman"/>
          <w:szCs w:val="24"/>
        </w:rPr>
      </w:pPr>
      <w:r>
        <w:rPr>
          <w:rFonts w:hint="eastAsia" w:eastAsia="宋体" w:cs="Times New Roman"/>
          <w:szCs w:val="24"/>
          <w:lang w:bidi="ar"/>
        </w:rPr>
        <w:t>积极建设多种形式的水文化载体，打造互联网、新媒体、传统主流媒体等多种形式的水文化遗产的宣传与展示平台，加强水务新闻、报、刊、网站建设，做好水文化著作、音像制品的编辑出版工作，以及水务文学作品的创作，弘扬和传承西区悠久的治水兴水历史、水文化历史与香山名人文化史，丰富水文化内涵；充分挖掘西区当地水文化相关的风俗文化，如龙舟文化、船文化等，利用当地的水文化习俗，建设相应的水文化习俗宣传载体，让全体民众参与至水文化的建设中，通过与当地习俗相结合的水文化建设，树立西区的水文化自信。</w:t>
      </w:r>
    </w:p>
    <w:p w14:paraId="5146BCF0">
      <w:pPr>
        <w:ind w:firstLine="480"/>
        <w:rPr>
          <w:rFonts w:eastAsia="宋体" w:cs="Times New Roman"/>
          <w:szCs w:val="24"/>
        </w:rPr>
      </w:pPr>
      <w:r>
        <w:rPr>
          <w:rFonts w:hint="eastAsia" w:eastAsia="宋体" w:cs="Times New Roman"/>
          <w:szCs w:val="24"/>
          <w:lang w:bidi="ar"/>
        </w:rPr>
        <w:t>因地制宜地建设水务博物馆、水文化博物馆等水文化展示场馆，利用文化展示场馆建立水务爱国主义教育基地，适时引导企业、社会团体及学校参观学习。积极利用水利风景区、湿地公园、非常规水资源利用示范区等多种载体建设水文化科普展板，作为水务科技知识和建设成就的宣传、展示窗口，全面展示水务工程文化内涵。</w:t>
      </w:r>
    </w:p>
    <w:p w14:paraId="42ABF669">
      <w:pPr>
        <w:pStyle w:val="5"/>
        <w:widowControl/>
      </w:pPr>
      <w:r>
        <w:t>5.2.4.3</w:t>
      </w:r>
      <w:r>
        <w:rPr>
          <w:rFonts w:hint="eastAsia" w:cs="黑体"/>
        </w:rPr>
        <w:t>建立健全的水生态法律制度体系</w:t>
      </w:r>
    </w:p>
    <w:p w14:paraId="506EC29E">
      <w:pPr>
        <w:ind w:firstLine="480"/>
        <w:rPr>
          <w:rFonts w:cs="Times New Roman"/>
        </w:rPr>
      </w:pPr>
      <w:r>
        <w:rPr>
          <w:rFonts w:hint="eastAsia" w:eastAsia="宋体" w:cs="Times New Roman"/>
          <w:lang w:bidi="ar"/>
        </w:rPr>
        <w:t>建立健全资源有偿使用制度和生态环境补偿机制，严格落实环境责任追究制度，尽快补充修订相关环境保护法律法规，明确界定环境产权。加快建立健全生态法律制度体系，以制度规范人与自然的和谐关系，实现经济社会的可持续发展。</w:t>
      </w:r>
    </w:p>
    <w:p w14:paraId="4CCDB454">
      <w:pPr>
        <w:ind w:firstLine="480"/>
        <w:rPr>
          <w:rFonts w:cs="Times New Roman"/>
        </w:rPr>
      </w:pPr>
      <w:r>
        <w:rPr>
          <w:rFonts w:hint="eastAsia" w:eastAsia="宋体" w:cs="Times New Roman"/>
          <w:szCs w:val="24"/>
          <w:lang w:bidi="ar"/>
        </w:rPr>
        <w:t>完善水生态保护制度，</w:t>
      </w:r>
      <w:r>
        <w:rPr>
          <w:rFonts w:hint="eastAsia" w:ascii="宋体" w:hAnsi="宋体" w:eastAsia="宋体" w:cs="宋体"/>
          <w:szCs w:val="24"/>
          <w:lang w:bidi="ar"/>
        </w:rPr>
        <w:t>①</w:t>
      </w:r>
      <w:r>
        <w:rPr>
          <w:rFonts w:hint="eastAsia" w:eastAsia="宋体" w:cs="Times New Roman"/>
          <w:lang w:bidi="ar"/>
        </w:rPr>
        <w:t>建立水生态系统健康诊断制度：水生态系统健康诊断是评价、判断水生态系统健康状况的一种制度设计。当一个生态系统是稳定、持续和活跃的，能够维持其组织结构，受到干扰后能够在一段时间内自动恢复过来的话，则这个生态系统是健康和不受胁迫综合症影响的。水生态系统健康诊断包括水生态系统活力、组织结构和恢复力等的评价。通过水生态系统健康诊断，正确认识水环境对人类生存和发展的承载能力，以保护整个生命支撑系统和生态系统的完整性和持续性。</w:t>
      </w:r>
      <w:r>
        <w:rPr>
          <w:rFonts w:hint="eastAsia" w:ascii="宋体" w:hAnsi="宋体" w:eastAsia="宋体" w:cs="宋体"/>
          <w:lang w:bidi="ar"/>
        </w:rPr>
        <w:t>②</w:t>
      </w:r>
      <w:r>
        <w:rPr>
          <w:rFonts w:hint="eastAsia" w:eastAsia="宋体" w:cs="Times New Roman"/>
          <w:lang w:bidi="ar"/>
        </w:rPr>
        <w:t>建立水环境风险评估与安全分析制度：风险是指不幸事件发生的可能性及其发生后将要造成的损害。水环境风险评估是对水环境受到一个或多个胁迫因素影响后，对不利的后果出现的可能性进行评估。风险评价应区分最大允许水平和可忽略水平。环境风险评估与安全分析制度的防范范围主要是可能产生严重或不可逆转损害的威胁的行为。</w:t>
      </w:r>
      <w:r>
        <w:rPr>
          <w:rFonts w:hint="eastAsia" w:ascii="宋体" w:hAnsi="宋体" w:eastAsia="宋体" w:cs="宋体"/>
          <w:lang w:bidi="ar"/>
        </w:rPr>
        <w:t>③</w:t>
      </w:r>
      <w:r>
        <w:rPr>
          <w:rFonts w:hint="eastAsia" w:eastAsia="宋体" w:cs="Times New Roman"/>
          <w:lang w:bidi="ar"/>
        </w:rPr>
        <w:t>水环境安全预警制度：水环境安全预警从分析水环境系统要素和功</w:t>
      </w:r>
      <w:r>
        <w:rPr>
          <w:rFonts w:hint="eastAsia" w:ascii="宋体" w:hAnsi="宋体" w:eastAsia="宋体" w:cs="Times New Roman"/>
          <w:lang w:bidi="ar"/>
        </w:rPr>
        <w:t>能(过程)出</w:t>
      </w:r>
      <w:r>
        <w:rPr>
          <w:rFonts w:hint="eastAsia" w:eastAsia="宋体" w:cs="Times New Roman"/>
          <w:lang w:bidi="ar"/>
        </w:rPr>
        <w:t>发，探求维护系统安全的关键性要素和过程，通过对安全诊断指标的对比分析，划分安全等级，制定不同安全等级的预警标准。水环境安全预警强调人的积极主导作用，对社会、经济、环境的协调发展具有重要意义。</w:t>
      </w:r>
    </w:p>
    <w:p w14:paraId="6284F994">
      <w:pPr>
        <w:ind w:firstLine="480"/>
        <w:rPr>
          <w:rFonts w:eastAsia="宋体" w:cs="Times New Roman"/>
          <w:lang w:bidi="ar"/>
        </w:rPr>
      </w:pPr>
    </w:p>
    <w:p w14:paraId="1265EDA7">
      <w:pPr>
        <w:ind w:firstLine="480"/>
        <w:rPr>
          <w:rFonts w:eastAsia="宋体" w:cs="Times New Roman"/>
          <w:lang w:bidi="ar"/>
        </w:rPr>
        <w:sectPr>
          <w:pgSz w:w="11906" w:h="16838"/>
          <w:pgMar w:top="1440" w:right="1797" w:bottom="1440" w:left="1797" w:header="851" w:footer="992" w:gutter="0"/>
          <w:cols w:space="425" w:num="1"/>
          <w:docGrid w:type="lines" w:linePitch="326" w:charSpace="0"/>
        </w:sectPr>
      </w:pPr>
    </w:p>
    <w:p w14:paraId="7FBC8B67">
      <w:pPr>
        <w:pStyle w:val="2"/>
        <w:widowControl/>
        <w:spacing w:before="0" w:after="0" w:line="360" w:lineRule="auto"/>
        <w:rPr>
          <w:rFonts w:cs="Times New Roman"/>
        </w:rPr>
      </w:pPr>
      <w:bookmarkStart w:id="843" w:name="_Toc528607314"/>
      <w:bookmarkStart w:id="844" w:name="_Toc16675090"/>
      <w:r>
        <w:rPr>
          <w:rFonts w:cs="Times New Roman"/>
        </w:rPr>
        <w:t>6</w:t>
      </w:r>
      <w:r>
        <w:rPr>
          <w:rFonts w:hint="eastAsia" w:cs="Times New Roman"/>
        </w:rPr>
        <w:t>水生态文明建设的重点工程建设</w:t>
      </w:r>
      <w:bookmarkEnd w:id="843"/>
      <w:bookmarkEnd w:id="844"/>
    </w:p>
    <w:p w14:paraId="3987CAFA">
      <w:pPr>
        <w:ind w:firstLine="480"/>
        <w:rPr>
          <w:rFonts w:cs="Times New Roman"/>
        </w:rPr>
      </w:pPr>
      <w:r>
        <w:rPr>
          <w:rFonts w:hint="eastAsia" w:eastAsia="宋体" w:cs="Times New Roman"/>
          <w:lang w:bidi="ar"/>
        </w:rPr>
        <w:t>水生态文明的重点工程项目为加快建设西区水生态文明城市步伐提供基础条件，西区水生态文明建设规划总体布局衔接了《中山市生态文明建设规划（2013-2030）》、《中山市江河流域综合规划》（2012）、《中山市城市生态控制线划定规划》、</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eastAsia="宋体" w:cs="Times New Roman"/>
          <w:lang w:bidi="ar"/>
        </w:rPr>
        <w:t>等规划，并立足西区经济社会发展全局，着眼流域整体协调发展和布局，依据西区不同区域的水资源、水环境和水生态条件，优化生态功能区空间布局，充分发挥水生态文明重点项目带头作用，全面提升水生态文化建设，建设功能完善、协调统一、健康和谐的水生态系统总体格局，走资源节约、环境友好、经济高效、社会和谐、城乡协调发展、互促共进的水生态建设道路，打造具有岭南水乡特色、香山名人文化传承、生态环境良好、充满活力的新型生态城区，为区域水资源水环境水生态的改善奠定良好的基础。为实现西区水生态文明建设的发展目标，应结合西区水生态文明建设的指标体系现状与水生态文明建设总体布局，本着突出重点示范效应的原则，提出规划近、中、远期重点示范项目。</w:t>
      </w:r>
    </w:p>
    <w:p w14:paraId="3BAA97D8">
      <w:pPr>
        <w:pStyle w:val="4"/>
        <w:widowControl/>
        <w:spacing w:before="0" w:after="0" w:line="360" w:lineRule="auto"/>
        <w:rPr>
          <w:rFonts w:cs="Times New Roman"/>
        </w:rPr>
      </w:pPr>
      <w:bookmarkStart w:id="845" w:name="_Toc16675091"/>
      <w:bookmarkStart w:id="846" w:name="_Toc528607315"/>
      <w:r>
        <w:rPr>
          <w:rFonts w:cs="Times New Roman"/>
        </w:rPr>
        <w:t xml:space="preserve">6.1 </w:t>
      </w:r>
      <w:r>
        <w:rPr>
          <w:rFonts w:hint="eastAsia" w:cs="Times New Roman"/>
        </w:rPr>
        <w:t>指标体系现状分析</w:t>
      </w:r>
      <w:bookmarkEnd w:id="845"/>
      <w:bookmarkEnd w:id="846"/>
    </w:p>
    <w:p w14:paraId="5577072C">
      <w:pPr>
        <w:ind w:firstLine="480"/>
        <w:rPr>
          <w:rFonts w:cs="Times New Roman"/>
        </w:rPr>
      </w:pPr>
      <w:r>
        <w:rPr>
          <w:rFonts w:hint="eastAsia" w:eastAsia="宋体" w:cs="Times New Roman"/>
          <w:lang w:bidi="ar"/>
        </w:rPr>
        <w:t>分析西区水生态文明建设指标体系现状与存在的问题，结合西区水生态文明建设总体布局，并针对西区得分较低或目前没有措施的水生态文明建设指标进行重点工程建设，西区具体指标体系现状与规划目标如表</w:t>
      </w:r>
      <w:r>
        <w:rPr>
          <w:rFonts w:eastAsia="宋体" w:cs="Times New Roman"/>
          <w:lang w:bidi="ar"/>
        </w:rPr>
        <w:t>6-1</w:t>
      </w:r>
      <w:r>
        <w:rPr>
          <w:rFonts w:hint="eastAsia" w:eastAsia="宋体" w:cs="Times New Roman"/>
          <w:lang w:bidi="ar"/>
        </w:rPr>
        <w:t>。</w:t>
      </w:r>
    </w:p>
    <w:p w14:paraId="7B1FDF29">
      <w:pPr>
        <w:ind w:firstLine="480"/>
        <w:rPr>
          <w:rFonts w:cs="Times New Roman"/>
        </w:rPr>
      </w:pPr>
      <w:r>
        <w:rPr>
          <w:rFonts w:hint="eastAsia" w:eastAsia="宋体" w:cs="Times New Roman"/>
          <w:lang w:bidi="ar"/>
        </w:rPr>
        <w:t>西区水生态文明建设评价指标共</w:t>
      </w:r>
      <w:r>
        <w:rPr>
          <w:rFonts w:eastAsia="宋体" w:cs="Times New Roman"/>
          <w:lang w:bidi="ar"/>
        </w:rPr>
        <w:t>2</w:t>
      </w:r>
      <w:r>
        <w:rPr>
          <w:rFonts w:hint="eastAsia" w:eastAsia="宋体" w:cs="Times New Roman"/>
          <w:lang w:bidi="ar"/>
        </w:rPr>
        <w:t>3项，每项</w:t>
      </w:r>
      <w:r>
        <w:rPr>
          <w:rFonts w:eastAsia="宋体" w:cs="Times New Roman"/>
          <w:lang w:bidi="ar"/>
        </w:rPr>
        <w:t>4</w:t>
      </w:r>
      <w:r>
        <w:rPr>
          <w:rFonts w:hint="eastAsia" w:eastAsia="宋体" w:cs="Times New Roman"/>
          <w:lang w:bidi="ar"/>
        </w:rPr>
        <w:t>分，总分92分，每项指标根据评价区现状或最近一个完整统计年度的相关情况进行赋分，各项指标分级的阈值采取向上兼容的计分方式，达到总分</w:t>
      </w:r>
      <w:r>
        <w:rPr>
          <w:rFonts w:eastAsia="宋体" w:cs="Times New Roman"/>
          <w:lang w:bidi="ar"/>
        </w:rPr>
        <w:t>80%</w:t>
      </w:r>
      <w:r>
        <w:rPr>
          <w:rFonts w:hint="eastAsia" w:eastAsia="宋体" w:cs="Times New Roman"/>
          <w:lang w:bidi="ar"/>
        </w:rPr>
        <w:t>，即总分为74分的区域可评价为全国水生态文明城市。</w:t>
      </w:r>
    </w:p>
    <w:p w14:paraId="4AA5D33D">
      <w:pPr>
        <w:ind w:firstLine="480"/>
        <w:rPr>
          <w:rFonts w:cs="Times New Roman"/>
        </w:rPr>
      </w:pPr>
      <w:r>
        <w:rPr>
          <w:rFonts w:hint="eastAsia" w:eastAsia="宋体" w:cs="Times New Roman"/>
          <w:lang w:bidi="ar"/>
        </w:rPr>
        <w:t>依据表</w:t>
      </w:r>
      <w:r>
        <w:rPr>
          <w:rFonts w:eastAsia="宋体" w:cs="Times New Roman"/>
          <w:lang w:bidi="ar"/>
        </w:rPr>
        <w:t>6-1</w:t>
      </w:r>
      <w:r>
        <w:rPr>
          <w:rFonts w:hint="eastAsia" w:eastAsia="宋体" w:cs="Times New Roman"/>
          <w:lang w:bidi="ar"/>
        </w:rPr>
        <w:t>，西区水生态文明建设指标现状评价为</w:t>
      </w:r>
      <w:r>
        <w:rPr>
          <w:rFonts w:eastAsia="宋体" w:cs="Times New Roman"/>
          <w:lang w:bidi="ar"/>
        </w:rPr>
        <w:t>1</w:t>
      </w:r>
      <w:r>
        <w:rPr>
          <w:rFonts w:hint="eastAsia" w:eastAsia="宋体" w:cs="Times New Roman"/>
          <w:lang w:bidi="ar"/>
        </w:rPr>
        <w:t>分及以下的指标有降雨滞蓄率、水功能区水质达标率、水功能区限制纳污控制率、河湖生态护岸比例、水域面积率、建成区透水面积率、工业用水重复利用率、非常规水资源利用率、水文化传承载体数量等指标，</w:t>
      </w:r>
      <w:r>
        <w:rPr>
          <w:rFonts w:hint="eastAsia" w:eastAsia="宋体" w:cs="宋体"/>
          <w:lang w:bidi="ar"/>
        </w:rPr>
        <w:t>主要薄弱建设环节为水环境和水生态两大指标，因此应重点加强这些指标体系的建设，以达到基本的水生态文明建设的要求。</w:t>
      </w:r>
    </w:p>
    <w:p w14:paraId="304529E7">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6-1  </w:t>
      </w:r>
      <w:r>
        <w:rPr>
          <w:rFonts w:hint="eastAsia" w:eastAsia="宋体" w:cs="Times New Roman"/>
          <w:sz w:val="21"/>
          <w:lang w:bidi="ar"/>
        </w:rPr>
        <w:t>西区水生态文明建设指标体系现状及规划目标汇总</w:t>
      </w:r>
    </w:p>
    <w:tbl>
      <w:tblPr>
        <w:tblStyle w:val="25"/>
        <w:tblW w:w="110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5"/>
        <w:gridCol w:w="2152"/>
        <w:gridCol w:w="2146"/>
        <w:gridCol w:w="2102"/>
        <w:gridCol w:w="2070"/>
        <w:gridCol w:w="2037"/>
      </w:tblGrid>
      <w:tr w14:paraId="35AB1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5" w:type="dxa"/>
            <w:tcBorders>
              <w:top w:val="single" w:color="auto" w:sz="4" w:space="0"/>
              <w:left w:val="single" w:color="auto" w:sz="4" w:space="0"/>
              <w:bottom w:val="single" w:color="auto" w:sz="4" w:space="0"/>
              <w:right w:val="single" w:color="auto" w:sz="4" w:space="0"/>
            </w:tcBorders>
            <w:shd w:val="clear" w:color="auto" w:fill="auto"/>
            <w:vAlign w:val="center"/>
          </w:tcPr>
          <w:p w14:paraId="100F7231">
            <w:pPr>
              <w:spacing w:line="240" w:lineRule="auto"/>
              <w:ind w:firstLine="0" w:firstLineChars="0"/>
              <w:jc w:val="center"/>
              <w:rPr>
                <w:rFonts w:cs="Times New Roman"/>
                <w:sz w:val="21"/>
              </w:rPr>
            </w:pPr>
            <w:r>
              <w:rPr>
                <w:rFonts w:hint="eastAsia" w:eastAsia="宋体" w:cs="Times New Roman"/>
                <w:sz w:val="21"/>
                <w:lang w:bidi="ar"/>
              </w:rPr>
              <w:t>类别</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B05384B">
            <w:pPr>
              <w:spacing w:line="240" w:lineRule="auto"/>
              <w:ind w:firstLine="0" w:firstLineChars="0"/>
              <w:jc w:val="center"/>
              <w:rPr>
                <w:rFonts w:cs="Times New Roman"/>
                <w:sz w:val="21"/>
              </w:rPr>
            </w:pPr>
            <w:r>
              <w:rPr>
                <w:rFonts w:hint="eastAsia" w:eastAsia="宋体" w:cs="Times New Roman"/>
                <w:sz w:val="21"/>
                <w:lang w:bidi="ar"/>
              </w:rPr>
              <w:t>指标</w:t>
            </w:r>
          </w:p>
        </w:tc>
        <w:tc>
          <w:tcPr>
            <w:tcW w:w="2146" w:type="dxa"/>
            <w:tcBorders>
              <w:top w:val="single" w:color="auto" w:sz="4" w:space="0"/>
              <w:left w:val="single" w:color="auto" w:sz="4" w:space="0"/>
              <w:bottom w:val="single" w:color="auto" w:sz="4" w:space="0"/>
              <w:right w:val="single" w:color="auto" w:sz="4" w:space="0"/>
            </w:tcBorders>
            <w:shd w:val="clear" w:color="auto" w:fill="auto"/>
            <w:vAlign w:val="center"/>
          </w:tcPr>
          <w:p w14:paraId="580B6556">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宋体"/>
                <w:sz w:val="21"/>
                <w:lang w:bidi="ar"/>
              </w:rPr>
              <w:t>年现状值与指标分值</w:t>
            </w:r>
          </w:p>
        </w:tc>
        <w:tc>
          <w:tcPr>
            <w:tcW w:w="2102" w:type="dxa"/>
            <w:tcBorders>
              <w:top w:val="single" w:color="auto" w:sz="4" w:space="0"/>
              <w:left w:val="single" w:color="auto" w:sz="4" w:space="0"/>
              <w:bottom w:val="single" w:color="auto" w:sz="4" w:space="0"/>
              <w:right w:val="single" w:color="auto" w:sz="4" w:space="0"/>
            </w:tcBorders>
            <w:shd w:val="clear" w:color="auto" w:fill="auto"/>
            <w:vAlign w:val="center"/>
          </w:tcPr>
          <w:p w14:paraId="3E2013F4">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宋体"/>
                <w:sz w:val="21"/>
                <w:lang w:bidi="ar"/>
              </w:rPr>
              <w:t>年规划值与指标分值</w:t>
            </w:r>
          </w:p>
        </w:tc>
        <w:tc>
          <w:tcPr>
            <w:tcW w:w="2070" w:type="dxa"/>
            <w:tcBorders>
              <w:top w:val="single" w:color="auto" w:sz="4" w:space="0"/>
              <w:left w:val="single" w:color="auto" w:sz="4" w:space="0"/>
              <w:bottom w:val="single" w:color="auto" w:sz="4" w:space="0"/>
              <w:right w:val="single" w:color="auto" w:sz="4" w:space="0"/>
            </w:tcBorders>
            <w:shd w:val="clear" w:color="auto" w:fill="auto"/>
            <w:vAlign w:val="center"/>
          </w:tcPr>
          <w:p w14:paraId="0257B454">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宋体"/>
                <w:sz w:val="21"/>
                <w:lang w:bidi="ar"/>
              </w:rPr>
              <w:t>年规划值与指标分值</w:t>
            </w:r>
          </w:p>
        </w:tc>
        <w:tc>
          <w:tcPr>
            <w:tcW w:w="2037" w:type="dxa"/>
            <w:tcBorders>
              <w:top w:val="single" w:color="auto" w:sz="4" w:space="0"/>
              <w:left w:val="single" w:color="auto" w:sz="4" w:space="0"/>
              <w:bottom w:val="single" w:color="auto" w:sz="4" w:space="0"/>
              <w:right w:val="single" w:color="auto" w:sz="4" w:space="0"/>
            </w:tcBorders>
            <w:shd w:val="clear" w:color="auto" w:fill="auto"/>
            <w:vAlign w:val="center"/>
          </w:tcPr>
          <w:p w14:paraId="12DBB66D">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宋体"/>
                <w:sz w:val="21"/>
                <w:lang w:bidi="ar"/>
              </w:rPr>
              <w:t>年规划值与指标分值</w:t>
            </w:r>
          </w:p>
        </w:tc>
      </w:tr>
      <w:tr w14:paraId="5DB20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7C32565">
            <w:pPr>
              <w:spacing w:line="240" w:lineRule="auto"/>
              <w:ind w:firstLine="0" w:firstLineChars="0"/>
              <w:jc w:val="center"/>
              <w:rPr>
                <w:rFonts w:cs="Times New Roman"/>
                <w:kern w:val="0"/>
                <w:sz w:val="21"/>
              </w:rPr>
            </w:pPr>
            <w:r>
              <w:rPr>
                <w:rFonts w:hint="eastAsia" w:eastAsia="宋体" w:cs="Times New Roman"/>
                <w:kern w:val="0"/>
                <w:sz w:val="21"/>
                <w:lang w:bidi="ar"/>
              </w:rPr>
              <w:t>水安全</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3A642AEB">
            <w:pPr>
              <w:spacing w:line="240" w:lineRule="auto"/>
              <w:ind w:firstLine="0" w:firstLineChars="0"/>
              <w:jc w:val="center"/>
              <w:rPr>
                <w:rFonts w:eastAsia="宋体" w:cs="Times New Roman"/>
                <w:sz w:val="21"/>
              </w:rPr>
            </w:pPr>
            <w:r>
              <w:rPr>
                <w:rFonts w:hint="eastAsia" w:eastAsia="宋体" w:cs="Times New Roman"/>
                <w:sz w:val="21"/>
                <w:lang w:bidi="ar"/>
              </w:rPr>
              <w:t>防洪达标率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079C393E">
            <w:pPr>
              <w:widowControl/>
              <w:spacing w:line="240" w:lineRule="auto"/>
              <w:ind w:firstLine="0" w:firstLineChars="0"/>
              <w:rPr>
                <w:rFonts w:cs="Times New Roman"/>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D5F6F58">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18DB8CB4">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F075FF4">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4048D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75" w:type="dxa"/>
            <w:vMerge w:val="continue"/>
            <w:tcBorders>
              <w:left w:val="single" w:color="auto" w:sz="4" w:space="0"/>
              <w:right w:val="single" w:color="auto" w:sz="4" w:space="0"/>
            </w:tcBorders>
            <w:shd w:val="clear" w:color="auto" w:fill="auto"/>
            <w:vAlign w:val="center"/>
          </w:tcPr>
          <w:p w14:paraId="0A59705A">
            <w:pPr>
              <w:spacing w:line="240" w:lineRule="auto"/>
              <w:ind w:firstLine="0" w:firstLineChars="0"/>
              <w:jc w:val="center"/>
              <w:rPr>
                <w:rFonts w:eastAsia="宋体" w:cs="Times New Roman"/>
                <w:kern w:val="0"/>
                <w:sz w:val="21"/>
                <w:lang w:bidi="ar"/>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519B9BC8">
            <w:pPr>
              <w:spacing w:line="240" w:lineRule="auto"/>
              <w:ind w:firstLine="0" w:firstLineChars="0"/>
              <w:jc w:val="center"/>
              <w:rPr>
                <w:rFonts w:eastAsia="宋体" w:cs="Times New Roman"/>
                <w:sz w:val="21"/>
                <w:lang w:bidi="ar"/>
              </w:rPr>
            </w:pPr>
            <w:r>
              <w:rPr>
                <w:rFonts w:hint="eastAsia" w:eastAsia="宋体" w:cs="Times New Roman"/>
                <w:sz w:val="21"/>
                <w:lang w:bidi="ar"/>
              </w:rPr>
              <w:t>排涝达标率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3F6EB96E">
            <w:pPr>
              <w:widowControl/>
              <w:spacing w:line="240" w:lineRule="auto"/>
              <w:ind w:firstLine="0" w:firstLineChars="0"/>
              <w:rPr>
                <w:rFonts w:eastAsia="宋体" w:cs="Times New Roman"/>
                <w:kern w:val="0"/>
                <w:sz w:val="21"/>
                <w:lang w:bidi="ar"/>
              </w:rPr>
            </w:pPr>
            <w:r>
              <w:rPr>
                <w:rFonts w:hint="eastAsia" w:eastAsia="宋体" w:cs="Times New Roman"/>
                <w:kern w:val="0"/>
                <w:sz w:val="21"/>
                <w:lang w:bidi="ar"/>
              </w:rPr>
              <w:t>81.75</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03BD48C8">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EA5907E">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0033F1E">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73F41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D182EF">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E5277CF">
            <w:pPr>
              <w:spacing w:line="240" w:lineRule="auto"/>
              <w:ind w:firstLine="0" w:firstLineChars="0"/>
              <w:jc w:val="center"/>
              <w:rPr>
                <w:rFonts w:cs="Times New Roman"/>
                <w:sz w:val="21"/>
              </w:rPr>
            </w:pPr>
            <w:r>
              <w:rPr>
                <w:rFonts w:hint="eastAsia" w:eastAsia="宋体" w:cs="Times New Roman"/>
                <w:b/>
                <w:bCs/>
                <w:sz w:val="21"/>
                <w:lang w:bidi="ar"/>
              </w:rPr>
              <w:t>降雨滞蓄率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2A92C0E4">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105756D">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3869B8E">
            <w:pPr>
              <w:widowControl/>
              <w:spacing w:line="240" w:lineRule="auto"/>
              <w:ind w:firstLine="0" w:firstLineChars="0"/>
              <w:jc w:val="center"/>
              <w:rPr>
                <w:rFonts w:cs="Times New Roman"/>
                <w:kern w:val="0"/>
                <w:sz w:val="21"/>
              </w:rPr>
            </w:pPr>
            <w:r>
              <w:rPr>
                <w:rFonts w:eastAsia="宋体" w:cs="Times New Roman"/>
                <w:kern w:val="0"/>
                <w:sz w:val="21"/>
                <w:lang w:bidi="ar"/>
              </w:rPr>
              <w:t>1</w:t>
            </w:r>
            <w:r>
              <w:rPr>
                <w:rFonts w:hint="eastAsia" w:eastAsia="宋体" w:cs="Times New Roman"/>
                <w:kern w:val="0"/>
                <w:sz w:val="21"/>
                <w:lang w:bidi="ar"/>
              </w:rPr>
              <w:t>2</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28D36148">
            <w:pPr>
              <w:widowControl/>
              <w:spacing w:line="240" w:lineRule="auto"/>
              <w:ind w:firstLine="0" w:firstLineChars="0"/>
              <w:jc w:val="center"/>
              <w:rPr>
                <w:rFonts w:cs="Times New Roman"/>
                <w:kern w:val="0"/>
                <w:sz w:val="21"/>
              </w:rPr>
            </w:pPr>
            <w:r>
              <w:rPr>
                <w:rFonts w:hint="eastAsia" w:eastAsia="宋体" w:cs="Times New Roman"/>
                <w:kern w:val="0"/>
                <w:sz w:val="21"/>
                <w:lang w:bidi="ar"/>
              </w:rPr>
              <w:t>15</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3C60E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4D9A160">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59B72D6D">
            <w:pPr>
              <w:spacing w:line="240" w:lineRule="auto"/>
              <w:ind w:firstLine="0" w:firstLineChars="0"/>
              <w:jc w:val="center"/>
              <w:rPr>
                <w:rFonts w:cs="Times New Roman"/>
                <w:kern w:val="0"/>
                <w:sz w:val="21"/>
              </w:rPr>
            </w:pPr>
            <w:r>
              <w:rPr>
                <w:rFonts w:hint="eastAsia" w:eastAsia="宋体" w:cs="Times New Roman"/>
                <w:sz w:val="21"/>
                <w:lang w:bidi="ar"/>
              </w:rPr>
              <w:t>自来水普及率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32CA3409">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B87D694">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3F4488DC">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76C2FC8">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4A4C8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CBC3BC8">
            <w:pPr>
              <w:spacing w:line="240" w:lineRule="auto"/>
              <w:ind w:firstLine="0" w:firstLineChars="0"/>
              <w:jc w:val="center"/>
              <w:rPr>
                <w:rFonts w:cs="Times New Roman"/>
                <w:kern w:val="0"/>
                <w:sz w:val="21"/>
              </w:rPr>
            </w:pPr>
            <w:r>
              <w:rPr>
                <w:rFonts w:hint="eastAsia" w:eastAsia="宋体" w:cs="Times New Roman"/>
                <w:kern w:val="0"/>
                <w:sz w:val="21"/>
                <w:lang w:bidi="ar"/>
              </w:rPr>
              <w:t>水环境</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56CB4B9B">
            <w:pPr>
              <w:spacing w:line="240" w:lineRule="auto"/>
              <w:ind w:firstLine="0" w:firstLineChars="0"/>
              <w:jc w:val="center"/>
              <w:rPr>
                <w:rFonts w:eastAsia="宋体" w:cs="Times New Roman"/>
                <w:b/>
                <w:bCs/>
                <w:sz w:val="21"/>
              </w:rPr>
            </w:pPr>
            <w:r>
              <w:rPr>
                <w:rFonts w:hint="eastAsia" w:eastAsia="宋体" w:cs="Times New Roman"/>
                <w:b/>
                <w:bCs/>
                <w:sz w:val="21"/>
                <w:lang w:bidi="ar"/>
              </w:rPr>
              <w:t>水功能区水质达标率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1757A39D">
            <w:pPr>
              <w:widowControl/>
              <w:spacing w:line="240" w:lineRule="auto"/>
              <w:ind w:firstLine="0" w:firstLineChars="0"/>
              <w:jc w:val="center"/>
              <w:rPr>
                <w:rFonts w:cs="Times New Roman"/>
                <w:kern w:val="0"/>
                <w:sz w:val="21"/>
              </w:rPr>
            </w:pPr>
            <w:r>
              <w:rPr>
                <w:rFonts w:hint="eastAsia" w:eastAsia="宋体" w:cs="Times New Roman"/>
                <w:kern w:val="0"/>
                <w:sz w:val="21"/>
                <w:lang w:bidi="ar"/>
              </w:rPr>
              <w:t>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0F1FF88">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19599E07">
            <w:pPr>
              <w:widowControl/>
              <w:spacing w:line="240" w:lineRule="auto"/>
              <w:ind w:firstLine="0" w:firstLineChars="0"/>
              <w:jc w:val="center"/>
              <w:rPr>
                <w:rFonts w:cs="Times New Roman"/>
                <w:kern w:val="0"/>
                <w:sz w:val="21"/>
              </w:rPr>
            </w:pPr>
            <w:r>
              <w:rPr>
                <w:rFonts w:eastAsia="宋体" w:cs="Times New Roman"/>
                <w:kern w:val="0"/>
                <w:sz w:val="21"/>
                <w:lang w:bidi="ar"/>
              </w:rPr>
              <w:t>95%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40413615">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5BB7A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F59BCD">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35B3E43">
            <w:pPr>
              <w:spacing w:line="240" w:lineRule="auto"/>
              <w:ind w:firstLine="0" w:firstLineChars="0"/>
              <w:jc w:val="center"/>
              <w:rPr>
                <w:rFonts w:cs="Times New Roman"/>
                <w:b/>
                <w:bCs/>
                <w:sz w:val="21"/>
              </w:rPr>
            </w:pPr>
            <w:r>
              <w:rPr>
                <w:rFonts w:hint="eastAsia" w:eastAsia="宋体" w:cs="Times New Roman"/>
                <w:sz w:val="21"/>
                <w:lang w:bidi="ar"/>
              </w:rPr>
              <w:t>废污水达标处理率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58A5781E">
            <w:pPr>
              <w:widowControl/>
              <w:spacing w:line="240" w:lineRule="auto"/>
              <w:ind w:firstLine="0" w:firstLineChars="0"/>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、3分、II级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B61A6E7">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3C28E039">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0602B5E0">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53C65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FD8EB62">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01D0A6CE">
            <w:pPr>
              <w:spacing w:line="240" w:lineRule="auto"/>
              <w:ind w:firstLine="0" w:firstLineChars="0"/>
              <w:jc w:val="center"/>
              <w:rPr>
                <w:rFonts w:cs="Times New Roman"/>
                <w:b/>
                <w:bCs/>
                <w:sz w:val="21"/>
              </w:rPr>
            </w:pPr>
            <w:r>
              <w:rPr>
                <w:rFonts w:hint="eastAsia" w:eastAsia="宋体" w:cs="Times New Roman"/>
                <w:b/>
                <w:bCs/>
                <w:kern w:val="0"/>
                <w:sz w:val="21"/>
                <w:lang w:bidi="ar"/>
              </w:rPr>
              <w:t>水功能区限制纳污控制率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487A7EC8">
            <w:pPr>
              <w:widowControl/>
              <w:spacing w:line="240" w:lineRule="auto"/>
              <w:ind w:firstLine="0" w:firstLineChars="0"/>
              <w:jc w:val="center"/>
              <w:rPr>
                <w:rFonts w:cs="Times New Roman"/>
                <w:kern w:val="0"/>
                <w:sz w:val="21"/>
              </w:rPr>
            </w:pPr>
            <w:r>
              <w:rPr>
                <w:rFonts w:hint="eastAsia" w:eastAsia="宋体" w:cs="Times New Roman"/>
                <w:kern w:val="0"/>
                <w:sz w:val="21"/>
                <w:lang w:bidi="ar"/>
              </w:rPr>
              <w:t>12.5</w:t>
            </w:r>
            <w:r>
              <w:rPr>
                <w:rFonts w:eastAsia="宋体" w:cs="Times New Roman"/>
                <w:kern w:val="0"/>
                <w:sz w:val="21"/>
                <w:lang w:bidi="ar"/>
              </w:rPr>
              <w:t>%</w:t>
            </w:r>
            <w:r>
              <w:rPr>
                <w:rFonts w:hint="eastAsia" w:eastAsia="宋体" w:cs="Times New Roman"/>
                <w:kern w:val="0"/>
                <w:sz w:val="21"/>
                <w:lang w:bidi="ar"/>
              </w:rPr>
              <w:t>、0、V级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5C22739F">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0%</w:t>
            </w:r>
            <w:r>
              <w:rPr>
                <w:rFonts w:hint="eastAsia" w:eastAsia="宋体" w:cs="Times New Roman"/>
                <w:kern w:val="0"/>
                <w:sz w:val="21"/>
                <w:lang w:bidi="ar"/>
              </w:rPr>
              <w:t>、3、</w:t>
            </w:r>
            <w:r>
              <w:rPr>
                <w:rFonts w:eastAsia="宋体" w:cs="Times New Roman"/>
                <w:kern w:val="0"/>
                <w:sz w:val="21"/>
                <w:lang w:bidi="ar"/>
              </w:rPr>
              <w:t>I</w:t>
            </w:r>
            <w:r>
              <w:rPr>
                <w:rFonts w:hint="eastAsia" w:eastAsia="宋体" w:cs="Times New Roman"/>
                <w:kern w:val="0"/>
                <w:sz w:val="21"/>
                <w:lang w:bidi="ar"/>
              </w:rPr>
              <w:t>I级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0640E523">
            <w:pPr>
              <w:widowControl/>
              <w:spacing w:line="240" w:lineRule="auto"/>
              <w:ind w:firstLine="0" w:firstLineChars="0"/>
              <w:jc w:val="center"/>
              <w:rPr>
                <w:rFonts w:cs="Times New Roman"/>
                <w:kern w:val="0"/>
                <w:sz w:val="21"/>
              </w:rPr>
            </w:pPr>
            <w:r>
              <w:rPr>
                <w:rFonts w:hint="eastAsia" w:eastAsia="宋体" w:cs="Times New Roman"/>
                <w:kern w:val="0"/>
                <w:sz w:val="21"/>
                <w:lang w:bidi="ar"/>
              </w:rPr>
              <w:t>90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w:t>
            </w:r>
            <w:r>
              <w:rPr>
                <w:rFonts w:eastAsia="宋体" w:cs="Times New Roman"/>
                <w:kern w:val="0"/>
                <w:sz w:val="21"/>
                <w:lang w:bidi="ar"/>
              </w:rPr>
              <w:t>II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D83632E">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w:t>
            </w:r>
            <w:r>
              <w:rPr>
                <w:rFonts w:eastAsia="宋体" w:cs="Times New Roman"/>
                <w:kern w:val="0"/>
                <w:sz w:val="21"/>
                <w:lang w:bidi="ar"/>
              </w:rPr>
              <w:t>I</w:t>
            </w:r>
            <w:r>
              <w:rPr>
                <w:rFonts w:hint="eastAsia" w:eastAsia="宋体" w:cs="Times New Roman"/>
                <w:kern w:val="0"/>
                <w:sz w:val="21"/>
                <w:lang w:bidi="ar"/>
              </w:rPr>
              <w:t>级</w:t>
            </w:r>
          </w:p>
        </w:tc>
      </w:tr>
      <w:tr w14:paraId="0441B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10B046B">
            <w:pPr>
              <w:spacing w:line="240" w:lineRule="auto"/>
              <w:ind w:firstLine="0" w:firstLineChars="0"/>
              <w:jc w:val="center"/>
              <w:rPr>
                <w:rFonts w:cs="Times New Roman"/>
                <w:kern w:val="0"/>
                <w:sz w:val="21"/>
              </w:rPr>
            </w:pPr>
            <w:r>
              <w:rPr>
                <w:rFonts w:hint="eastAsia" w:eastAsia="宋体" w:cs="Times New Roman"/>
                <w:kern w:val="0"/>
                <w:sz w:val="21"/>
                <w:lang w:bidi="ar"/>
              </w:rPr>
              <w:t>水生态</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1C6E2B01">
            <w:pPr>
              <w:spacing w:line="240" w:lineRule="auto"/>
              <w:ind w:firstLine="0" w:firstLineChars="0"/>
              <w:jc w:val="center"/>
              <w:rPr>
                <w:rFonts w:eastAsia="宋体" w:cs="Times New Roman"/>
                <w:sz w:val="21"/>
              </w:rPr>
            </w:pPr>
            <w:r>
              <w:rPr>
                <w:rFonts w:hint="eastAsia" w:eastAsia="宋体" w:cs="宋体"/>
                <w:b/>
                <w:bCs/>
                <w:kern w:val="0"/>
                <w:sz w:val="21"/>
                <w:lang w:bidi="ar"/>
              </w:rPr>
              <w:t>河湖生态护岸比例</w:t>
            </w:r>
          </w:p>
        </w:tc>
        <w:tc>
          <w:tcPr>
            <w:tcW w:w="2146" w:type="dxa"/>
            <w:tcBorders>
              <w:top w:val="single" w:color="auto" w:sz="4" w:space="0"/>
              <w:left w:val="nil"/>
              <w:bottom w:val="single" w:color="auto" w:sz="4" w:space="0"/>
              <w:right w:val="single" w:color="auto" w:sz="4" w:space="0"/>
            </w:tcBorders>
            <w:shd w:val="clear" w:color="auto" w:fill="auto"/>
            <w:vAlign w:val="center"/>
          </w:tcPr>
          <w:p w14:paraId="68A869F1">
            <w:pPr>
              <w:widowControl/>
              <w:spacing w:line="240" w:lineRule="auto"/>
              <w:ind w:firstLine="0" w:firstLineChars="0"/>
              <w:rPr>
                <w:rFonts w:cs="Times New Roman"/>
                <w:kern w:val="0"/>
                <w:sz w:val="21"/>
              </w:rPr>
            </w:pPr>
            <w:r>
              <w:rPr>
                <w:rFonts w:eastAsia="宋体" w:cs="Times New Roman"/>
                <w:kern w:val="0"/>
                <w:sz w:val="21"/>
                <w:lang w:bidi="ar"/>
              </w:rPr>
              <w:t>3</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70FC7742">
            <w:pPr>
              <w:widowControl/>
              <w:spacing w:line="240" w:lineRule="auto"/>
              <w:ind w:firstLine="0" w:firstLineChars="0"/>
              <w:jc w:val="center"/>
              <w:rPr>
                <w:rFonts w:cs="Times New Roman"/>
                <w:kern w:val="0"/>
                <w:sz w:val="21"/>
              </w:rPr>
            </w:pPr>
            <w:r>
              <w:rPr>
                <w:rFonts w:eastAsia="宋体" w:cs="Times New Roman"/>
                <w:kern w:val="0"/>
                <w:sz w:val="21"/>
                <w:lang w:bidi="ar"/>
              </w:rPr>
              <w:t>4</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00C7575A">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EA566DE">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7203B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FC26748">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A27E6D4">
            <w:pPr>
              <w:spacing w:line="240" w:lineRule="auto"/>
              <w:ind w:firstLine="0" w:firstLineChars="0"/>
              <w:jc w:val="center"/>
              <w:rPr>
                <w:rFonts w:cs="Times New Roman"/>
                <w:sz w:val="21"/>
              </w:rPr>
            </w:pPr>
            <w:r>
              <w:rPr>
                <w:rFonts w:hint="eastAsia" w:eastAsia="宋体" w:cs="宋体"/>
                <w:b/>
                <w:bCs/>
                <w:kern w:val="0"/>
                <w:sz w:val="21"/>
                <w:lang w:bidi="ar"/>
              </w:rPr>
              <w:t>水域面积率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3A0D91DA">
            <w:pPr>
              <w:widowControl/>
              <w:spacing w:line="240" w:lineRule="auto"/>
              <w:ind w:firstLine="0" w:firstLineChars="0"/>
              <w:jc w:val="center"/>
              <w:rPr>
                <w:rFonts w:cs="Times New Roman"/>
                <w:kern w:val="0"/>
                <w:sz w:val="21"/>
              </w:rPr>
            </w:pPr>
            <w:r>
              <w:rPr>
                <w:rFonts w:hint="eastAsia" w:eastAsia="宋体" w:cs="Times New Roman"/>
                <w:kern w:val="0"/>
                <w:sz w:val="21"/>
                <w:lang w:bidi="ar"/>
              </w:rPr>
              <w:t>7.06</w:t>
            </w:r>
            <w:r>
              <w:rPr>
                <w:rFonts w:eastAsia="宋体" w:cs="Times New Roman"/>
                <w:kern w:val="0"/>
                <w:sz w:val="21"/>
                <w:lang w:bidi="ar"/>
              </w:rPr>
              <w:t>%</w:t>
            </w:r>
            <w:r>
              <w:rPr>
                <w:rFonts w:hint="eastAsia" w:eastAsia="宋体" w:cs="Times New Roman"/>
                <w:kern w:val="0"/>
                <w:sz w:val="21"/>
                <w:lang w:bidi="ar"/>
              </w:rPr>
              <w:t>、0分、</w:t>
            </w:r>
            <w:r>
              <w:rPr>
                <w:rFonts w:eastAsia="宋体" w:cs="Times New Roman"/>
                <w:kern w:val="0"/>
                <w:sz w:val="21"/>
                <w:lang w:bidi="ar"/>
              </w:rPr>
              <w:t>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101A023">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56F207B2">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0336EF6A">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46017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72A719">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1A86174">
            <w:pPr>
              <w:spacing w:line="240" w:lineRule="auto"/>
              <w:ind w:firstLine="0" w:firstLineChars="0"/>
              <w:jc w:val="center"/>
              <w:rPr>
                <w:rFonts w:cs="Times New Roman"/>
                <w:b/>
                <w:bCs/>
                <w:sz w:val="21"/>
              </w:rPr>
            </w:pPr>
            <w:r>
              <w:rPr>
                <w:rFonts w:hint="eastAsia" w:eastAsia="宋体" w:cs="宋体"/>
                <w:kern w:val="0"/>
                <w:sz w:val="21"/>
                <w:lang w:bidi="ar"/>
              </w:rPr>
              <w:t>水土流失治理程度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240CEF1C">
            <w:pPr>
              <w:widowControl/>
              <w:spacing w:line="240" w:lineRule="auto"/>
              <w:ind w:firstLine="0" w:firstLineChars="0"/>
              <w:rPr>
                <w:rFonts w:cs="Times New Roman"/>
                <w:kern w:val="0"/>
                <w:sz w:val="21"/>
              </w:rPr>
            </w:pPr>
            <w:r>
              <w:rPr>
                <w:rFonts w:hint="eastAsia" w:eastAsia="宋体" w:cs="Times New Roman"/>
                <w:kern w:val="0"/>
                <w:sz w:val="21"/>
                <w:lang w:bidi="ar"/>
              </w:rPr>
              <w:t>88</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分、</w:t>
            </w:r>
            <w:r>
              <w:rPr>
                <w:rFonts w:eastAsia="宋体" w:cs="Times New Roman"/>
                <w:kern w:val="0"/>
                <w:sz w:val="21"/>
                <w:lang w:bidi="ar"/>
              </w:rPr>
              <w:t>II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D5BAE18">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745C3DE3">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38C0EF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047F3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2AC663A">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054C3502">
            <w:pPr>
              <w:spacing w:line="240" w:lineRule="auto"/>
              <w:ind w:firstLine="0" w:firstLineChars="0"/>
              <w:jc w:val="center"/>
              <w:rPr>
                <w:rFonts w:cs="Times New Roman"/>
                <w:b/>
                <w:bCs/>
                <w:sz w:val="21"/>
              </w:rPr>
            </w:pPr>
            <w:r>
              <w:rPr>
                <w:rFonts w:hint="eastAsia" w:eastAsia="宋体" w:cs="宋体"/>
                <w:b/>
                <w:bCs/>
                <w:kern w:val="0"/>
                <w:sz w:val="21"/>
                <w:lang w:bidi="ar"/>
              </w:rPr>
              <w:t>建成区透水面积率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5F4BFE24">
            <w:pPr>
              <w:widowControl/>
              <w:spacing w:line="240" w:lineRule="auto"/>
              <w:ind w:firstLine="0" w:firstLineChars="0"/>
              <w:jc w:val="center"/>
              <w:rPr>
                <w:rFonts w:cs="Times New Roman"/>
                <w:kern w:val="0"/>
                <w:sz w:val="21"/>
              </w:rPr>
            </w:pPr>
            <w:r>
              <w:rPr>
                <w:rFonts w:hint="eastAsia" w:eastAsia="宋体" w:cs="Times New Roman"/>
                <w:kern w:val="0"/>
                <w:sz w:val="21"/>
                <w:lang w:bidi="ar"/>
              </w:rPr>
              <w:t>10.84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D5F1351">
            <w:pPr>
              <w:widowControl/>
              <w:spacing w:line="240" w:lineRule="auto"/>
              <w:ind w:firstLine="0" w:firstLineChars="0"/>
              <w:jc w:val="center"/>
              <w:rPr>
                <w:rFonts w:cs="Times New Roman"/>
                <w:kern w:val="0"/>
                <w:sz w:val="21"/>
              </w:rPr>
            </w:pPr>
            <w:r>
              <w:rPr>
                <w:rFonts w:hint="eastAsia" w:eastAsia="宋体" w:cs="Times New Roman"/>
                <w:kern w:val="0"/>
                <w:sz w:val="21"/>
                <w:lang w:bidi="ar"/>
              </w:rPr>
              <w:t>13.54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2A98FFC0">
            <w:pPr>
              <w:widowControl/>
              <w:spacing w:line="240" w:lineRule="auto"/>
              <w:ind w:firstLine="0" w:firstLineChars="0"/>
              <w:jc w:val="center"/>
              <w:rPr>
                <w:rFonts w:cs="Times New Roman"/>
                <w:kern w:val="0"/>
                <w:sz w:val="21"/>
              </w:rPr>
            </w:pPr>
            <w:r>
              <w:rPr>
                <w:rFonts w:hint="eastAsia" w:eastAsia="宋体" w:cs="Times New Roman"/>
                <w:kern w:val="0"/>
                <w:sz w:val="21"/>
                <w:lang w:bidi="ar"/>
              </w:rPr>
              <w:t>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220F4858">
            <w:pPr>
              <w:widowControl/>
              <w:spacing w:line="240" w:lineRule="auto"/>
              <w:ind w:firstLine="0" w:firstLineChars="0"/>
              <w:jc w:val="center"/>
              <w:rPr>
                <w:rFonts w:cs="Times New Roman"/>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67FAB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F68F19E">
            <w:pPr>
              <w:spacing w:line="240" w:lineRule="auto"/>
              <w:ind w:firstLine="0" w:firstLineChars="0"/>
              <w:jc w:val="center"/>
              <w:rPr>
                <w:rFonts w:cs="Times New Roman"/>
                <w:kern w:val="0"/>
                <w:sz w:val="21"/>
              </w:rPr>
            </w:pPr>
            <w:r>
              <w:rPr>
                <w:rFonts w:hint="eastAsia" w:eastAsia="宋体" w:cs="Times New Roman"/>
                <w:kern w:val="0"/>
                <w:sz w:val="21"/>
                <w:lang w:bidi="ar"/>
              </w:rPr>
              <w:t>水</w:t>
            </w:r>
          </w:p>
          <w:p w14:paraId="6C3E7CE1">
            <w:pPr>
              <w:spacing w:line="240" w:lineRule="auto"/>
              <w:ind w:firstLine="0" w:firstLineChars="0"/>
              <w:jc w:val="center"/>
              <w:rPr>
                <w:rFonts w:cs="Times New Roman"/>
                <w:kern w:val="0"/>
                <w:sz w:val="21"/>
              </w:rPr>
            </w:pPr>
            <w:r>
              <w:rPr>
                <w:rFonts w:hint="eastAsia" w:eastAsia="宋体" w:cs="Times New Roman"/>
                <w:kern w:val="0"/>
                <w:sz w:val="21"/>
                <w:lang w:bidi="ar"/>
              </w:rPr>
              <w:t>监</w:t>
            </w:r>
          </w:p>
          <w:p w14:paraId="0A3963BC">
            <w:pPr>
              <w:spacing w:line="240" w:lineRule="auto"/>
              <w:ind w:firstLine="0" w:firstLineChars="0"/>
              <w:jc w:val="center"/>
              <w:rPr>
                <w:rFonts w:cs="Times New Roman"/>
                <w:kern w:val="0"/>
                <w:sz w:val="21"/>
              </w:rPr>
            </w:pPr>
            <w:r>
              <w:rPr>
                <w:rFonts w:hint="eastAsia" w:eastAsia="宋体" w:cs="Times New Roman"/>
                <w:kern w:val="0"/>
                <w:sz w:val="21"/>
                <w:lang w:bidi="ar"/>
              </w:rPr>
              <w:t>管</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2786D4C3">
            <w:pPr>
              <w:spacing w:line="240" w:lineRule="auto"/>
              <w:ind w:firstLine="0" w:firstLineChars="0"/>
              <w:jc w:val="center"/>
              <w:rPr>
                <w:rFonts w:eastAsia="宋体" w:cs="Times New Roman"/>
                <w:sz w:val="21"/>
              </w:rPr>
            </w:pPr>
            <w:r>
              <w:rPr>
                <w:rFonts w:hint="eastAsia" w:eastAsia="宋体" w:cs="Times New Roman"/>
                <w:kern w:val="0"/>
                <w:sz w:val="21"/>
                <w:lang w:bidi="ar"/>
              </w:rPr>
              <w:t>用水总量控制达标情况</w:t>
            </w:r>
          </w:p>
        </w:tc>
        <w:tc>
          <w:tcPr>
            <w:tcW w:w="2146" w:type="dxa"/>
            <w:tcBorders>
              <w:top w:val="single" w:color="auto" w:sz="4" w:space="0"/>
              <w:left w:val="nil"/>
              <w:bottom w:val="single" w:color="auto" w:sz="4" w:space="0"/>
              <w:right w:val="single" w:color="auto" w:sz="4" w:space="0"/>
            </w:tcBorders>
            <w:shd w:val="clear" w:color="auto" w:fill="auto"/>
            <w:vAlign w:val="center"/>
          </w:tcPr>
          <w:p w14:paraId="41D6CF2D">
            <w:pPr>
              <w:widowControl/>
              <w:spacing w:line="240" w:lineRule="auto"/>
              <w:ind w:firstLine="0" w:firstLineChars="0"/>
              <w:jc w:val="center"/>
              <w:rPr>
                <w:rFonts w:cs="Times New Roman"/>
                <w:kern w:val="0"/>
                <w:sz w:val="21"/>
              </w:rPr>
            </w:pPr>
            <w:r>
              <w:rPr>
                <w:rFonts w:hint="eastAsia" w:eastAsia="宋体" w:cs="宋体"/>
                <w:kern w:val="0"/>
                <w:sz w:val="21"/>
                <w:lang w:bidi="ar"/>
              </w:rPr>
              <w:t>达标、</w:t>
            </w:r>
            <w:r>
              <w:rPr>
                <w:rFonts w:eastAsia="宋体" w:cs="Times New Roman"/>
                <w:kern w:val="0"/>
                <w:sz w:val="21"/>
                <w:lang w:bidi="ar"/>
              </w:rPr>
              <w:t>4</w:t>
            </w:r>
            <w:r>
              <w:rPr>
                <w:rFonts w:hint="eastAsia" w:eastAsia="宋体" w:cs="宋体"/>
                <w:kern w:val="0"/>
                <w:sz w:val="21"/>
                <w:lang w:bidi="ar"/>
              </w:rPr>
              <w:t>、</w:t>
            </w:r>
            <w:r>
              <w:rPr>
                <w:rFonts w:eastAsia="宋体" w:cs="Times New Roman"/>
                <w:kern w:val="0"/>
                <w:sz w:val="21"/>
                <w:lang w:bidi="ar"/>
              </w:rPr>
              <w:t>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23230452">
            <w:pPr>
              <w:spacing w:line="240" w:lineRule="auto"/>
              <w:ind w:firstLine="0" w:firstLineChars="0"/>
              <w:jc w:val="center"/>
              <w:rPr>
                <w:rFonts w:cs="Times New Roman"/>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2070" w:type="dxa"/>
            <w:tcBorders>
              <w:top w:val="single" w:color="auto" w:sz="4" w:space="0"/>
              <w:left w:val="nil"/>
              <w:bottom w:val="single" w:color="auto" w:sz="4" w:space="0"/>
              <w:right w:val="single" w:color="auto" w:sz="4" w:space="0"/>
            </w:tcBorders>
            <w:shd w:val="clear" w:color="auto" w:fill="auto"/>
          </w:tcPr>
          <w:p w14:paraId="3B678C95">
            <w:pPr>
              <w:spacing w:line="240" w:lineRule="auto"/>
              <w:ind w:firstLine="0" w:firstLineChars="0"/>
              <w:jc w:val="center"/>
              <w:rPr>
                <w:rFonts w:cs="Times New Roman"/>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2037" w:type="dxa"/>
            <w:tcBorders>
              <w:top w:val="single" w:color="auto" w:sz="4" w:space="0"/>
              <w:left w:val="nil"/>
              <w:bottom w:val="single" w:color="auto" w:sz="4" w:space="0"/>
              <w:right w:val="single" w:color="auto" w:sz="4" w:space="0"/>
            </w:tcBorders>
            <w:shd w:val="clear" w:color="auto" w:fill="auto"/>
          </w:tcPr>
          <w:p w14:paraId="187483AB">
            <w:pPr>
              <w:spacing w:line="240" w:lineRule="auto"/>
              <w:ind w:firstLine="0" w:firstLineChars="0"/>
              <w:jc w:val="center"/>
              <w:rPr>
                <w:rFonts w:cs="Times New Roman"/>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r>
      <w:tr w14:paraId="07189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4E2013B">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66910070">
            <w:pPr>
              <w:spacing w:line="240" w:lineRule="auto"/>
              <w:ind w:firstLine="0" w:firstLineChars="0"/>
              <w:jc w:val="center"/>
              <w:rPr>
                <w:rFonts w:cs="Times New Roman"/>
                <w:sz w:val="21"/>
              </w:rPr>
            </w:pPr>
            <w:r>
              <w:rPr>
                <w:rFonts w:hint="eastAsia" w:eastAsia="宋体" w:cs="Times New Roman"/>
                <w:kern w:val="0"/>
                <w:sz w:val="21"/>
                <w:lang w:bidi="ar"/>
              </w:rPr>
              <w:t>水资源监控能力指数</w:t>
            </w:r>
          </w:p>
        </w:tc>
        <w:tc>
          <w:tcPr>
            <w:tcW w:w="2146" w:type="dxa"/>
            <w:tcBorders>
              <w:top w:val="single" w:color="auto" w:sz="4" w:space="0"/>
              <w:left w:val="nil"/>
              <w:bottom w:val="single" w:color="auto" w:sz="4" w:space="0"/>
              <w:right w:val="single" w:color="auto" w:sz="4" w:space="0"/>
            </w:tcBorders>
            <w:shd w:val="clear" w:color="auto" w:fill="auto"/>
            <w:vAlign w:val="center"/>
          </w:tcPr>
          <w:p w14:paraId="248C9157">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9A124F7">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060510C3">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7013A45F">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606A4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242A450">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38B5728D">
            <w:pPr>
              <w:widowControl/>
              <w:spacing w:line="240" w:lineRule="auto"/>
              <w:ind w:firstLine="0" w:firstLineChars="0"/>
              <w:jc w:val="center"/>
              <w:rPr>
                <w:rFonts w:cs="Times New Roman"/>
                <w:sz w:val="21"/>
              </w:rPr>
            </w:pPr>
            <w:r>
              <w:rPr>
                <w:rFonts w:hint="eastAsia" w:eastAsia="宋体" w:cs="Times New Roman"/>
                <w:sz w:val="21"/>
                <w:lang w:bidi="ar"/>
              </w:rPr>
              <w:t>水生态文明建设重视度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56D62389">
            <w:pPr>
              <w:widowControl/>
              <w:spacing w:line="240" w:lineRule="auto"/>
              <w:ind w:firstLine="0" w:firstLineChars="0"/>
              <w:jc w:val="center"/>
              <w:rPr>
                <w:rFonts w:cs="Times New Roman"/>
                <w:sz w:val="21"/>
              </w:rPr>
            </w:pP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sz w:val="21"/>
                <w:lang w:bidi="ar"/>
              </w:rPr>
              <w:t>III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8C600B2">
            <w:pPr>
              <w:widowControl/>
              <w:spacing w:line="240" w:lineRule="auto"/>
              <w:ind w:firstLine="0" w:firstLineChars="0"/>
              <w:jc w:val="center"/>
              <w:rPr>
                <w:rFonts w:cs="Times New Roman"/>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CDADDFF">
            <w:pPr>
              <w:widowControl/>
              <w:spacing w:line="240" w:lineRule="auto"/>
              <w:ind w:firstLine="0" w:firstLineChars="0"/>
              <w:jc w:val="center"/>
              <w:rPr>
                <w:rFonts w:cs="Times New Roman"/>
                <w:sz w:val="21"/>
              </w:rPr>
            </w:pPr>
            <w:r>
              <w:rPr>
                <w:rFonts w:eastAsia="宋体" w:cs="Times New Roman"/>
                <w:kern w:val="0"/>
                <w:sz w:val="21"/>
                <w:lang w:bidi="ar"/>
              </w:rPr>
              <w:t>12%</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584C793">
            <w:pPr>
              <w:widowControl/>
              <w:spacing w:line="240" w:lineRule="auto"/>
              <w:ind w:firstLine="0" w:firstLineChars="0"/>
              <w:jc w:val="center"/>
              <w:rPr>
                <w:rFonts w:cs="Times New Roman"/>
                <w:sz w:val="21"/>
              </w:rPr>
            </w:pPr>
            <w:r>
              <w:rPr>
                <w:rFonts w:eastAsia="宋体" w:cs="Times New Roman"/>
                <w:kern w:val="0"/>
                <w:sz w:val="21"/>
                <w:lang w:bidi="ar"/>
              </w:rPr>
              <w:t>15%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2CC06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2E83824">
            <w:pPr>
              <w:spacing w:line="240" w:lineRule="auto"/>
              <w:ind w:firstLine="0" w:firstLineChars="0"/>
              <w:jc w:val="center"/>
              <w:rPr>
                <w:rFonts w:cs="Times New Roman"/>
                <w:kern w:val="0"/>
                <w:sz w:val="21"/>
              </w:rPr>
            </w:pPr>
            <w:r>
              <w:rPr>
                <w:rFonts w:hint="eastAsia" w:eastAsia="宋体" w:cs="Times New Roman"/>
                <w:kern w:val="0"/>
                <w:sz w:val="21"/>
                <w:lang w:bidi="ar"/>
              </w:rPr>
              <w:t>水节约</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1621AC5">
            <w:pPr>
              <w:spacing w:line="240" w:lineRule="auto"/>
              <w:ind w:firstLine="0" w:firstLineChars="0"/>
              <w:jc w:val="center"/>
              <w:rPr>
                <w:rFonts w:eastAsia="宋体" w:cs="Times New Roman"/>
                <w:sz w:val="21"/>
              </w:rPr>
            </w:pPr>
            <w:r>
              <w:rPr>
                <w:rFonts w:hint="eastAsia" w:eastAsia="宋体" w:cs="Times New Roman"/>
                <w:sz w:val="21"/>
                <w:lang w:bidi="ar"/>
              </w:rPr>
              <w:t>万元工业增加值用水量相对值</w:t>
            </w:r>
          </w:p>
        </w:tc>
        <w:tc>
          <w:tcPr>
            <w:tcW w:w="2146" w:type="dxa"/>
            <w:tcBorders>
              <w:top w:val="single" w:color="auto" w:sz="4" w:space="0"/>
              <w:left w:val="nil"/>
              <w:bottom w:val="single" w:color="auto" w:sz="4" w:space="0"/>
              <w:right w:val="single" w:color="auto" w:sz="4" w:space="0"/>
            </w:tcBorders>
            <w:shd w:val="clear" w:color="auto" w:fill="auto"/>
            <w:vAlign w:val="center"/>
          </w:tcPr>
          <w:p w14:paraId="371804B4">
            <w:pPr>
              <w:widowControl/>
              <w:spacing w:line="240" w:lineRule="auto"/>
              <w:ind w:firstLine="0" w:firstLineChars="0"/>
              <w:jc w:val="center"/>
              <w:rPr>
                <w:rFonts w:cs="Times New Roman"/>
                <w:sz w:val="21"/>
              </w:rPr>
            </w:pPr>
            <w:r>
              <w:rPr>
                <w:rFonts w:hint="eastAsia" w:eastAsia="宋体" w:cs="Times New Roman"/>
                <w:kern w:val="0"/>
                <w:sz w:val="21"/>
                <w:lang w:bidi="ar"/>
              </w:rPr>
              <w:t>17.12</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AC2BDA9">
            <w:pPr>
              <w:widowControl/>
              <w:spacing w:line="240" w:lineRule="auto"/>
              <w:ind w:firstLine="0" w:firstLineChars="0"/>
              <w:jc w:val="center"/>
              <w:rPr>
                <w:rFonts w:cs="Times New Roman"/>
                <w:kern w:val="0"/>
                <w:sz w:val="21"/>
              </w:rPr>
            </w:pPr>
            <w:r>
              <w:rPr>
                <w:rFonts w:hint="eastAsia" w:eastAsia="宋体" w:cs="Times New Roman"/>
                <w:kern w:val="0"/>
                <w:sz w:val="21"/>
                <w:lang w:bidi="ar"/>
              </w:rPr>
              <w:t>16.36</w:t>
            </w:r>
            <w:r>
              <w:rPr>
                <w:rFonts w:eastAsia="宋体" w:cs="Times New Roman"/>
                <w:kern w:val="0"/>
                <w:sz w:val="21"/>
                <w:lang w:bidi="ar"/>
              </w:rPr>
              <w:t>%</w:t>
            </w:r>
            <w:r>
              <w:rPr>
                <w:rFonts w:hint="eastAsia" w:eastAsia="宋体" w:cs="Times New Roman"/>
                <w:kern w:val="0"/>
                <w:sz w:val="21"/>
                <w:lang w:bidi="ar"/>
              </w:rPr>
              <w:t>、4分、I级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53E21CA">
            <w:pPr>
              <w:widowControl/>
              <w:spacing w:line="240" w:lineRule="auto"/>
              <w:ind w:firstLine="0" w:firstLineChars="0"/>
              <w:jc w:val="center"/>
              <w:rPr>
                <w:rFonts w:cs="Times New Roman"/>
                <w:kern w:val="0"/>
                <w:sz w:val="21"/>
              </w:rPr>
            </w:pPr>
            <w:r>
              <w:rPr>
                <w:rFonts w:hint="eastAsia" w:eastAsia="宋体" w:cs="Times New Roman"/>
                <w:kern w:val="0"/>
                <w:sz w:val="21"/>
                <w:lang w:bidi="ar"/>
              </w:rPr>
              <w:t>12</w:t>
            </w:r>
            <w:r>
              <w:rPr>
                <w:rFonts w:eastAsia="宋体" w:cs="Times New Roman"/>
                <w:kern w:val="0"/>
                <w:sz w:val="21"/>
                <w:lang w:bidi="ar"/>
              </w:rPr>
              <w:t>%</w:t>
            </w:r>
            <w:r>
              <w:rPr>
                <w:rFonts w:hint="eastAsia" w:eastAsia="宋体" w:cs="Times New Roman"/>
                <w:kern w:val="0"/>
                <w:sz w:val="21"/>
                <w:lang w:bidi="ar"/>
              </w:rPr>
              <w:t>、4分、I级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2CC6AE7A">
            <w:pPr>
              <w:widowControl/>
              <w:spacing w:line="240" w:lineRule="auto"/>
              <w:ind w:firstLine="0" w:firstLineChars="0"/>
              <w:jc w:val="center"/>
              <w:rPr>
                <w:rFonts w:cs="Times New Roman"/>
                <w:sz w:val="21"/>
              </w:rPr>
            </w:pPr>
            <w:r>
              <w:rPr>
                <w:rFonts w:hint="eastAsia" w:eastAsia="宋体" w:cs="Times New Roman"/>
                <w:kern w:val="0"/>
                <w:sz w:val="21"/>
                <w:lang w:bidi="ar"/>
              </w:rPr>
              <w:t>10</w:t>
            </w:r>
            <w:r>
              <w:rPr>
                <w:rFonts w:eastAsia="宋体" w:cs="Times New Roman"/>
                <w:kern w:val="0"/>
                <w:sz w:val="21"/>
                <w:lang w:bidi="ar"/>
              </w:rPr>
              <w:t>%</w:t>
            </w:r>
            <w:r>
              <w:rPr>
                <w:rFonts w:hint="eastAsia" w:eastAsia="宋体" w:cs="Times New Roman"/>
                <w:kern w:val="0"/>
                <w:sz w:val="21"/>
                <w:lang w:bidi="ar"/>
              </w:rPr>
              <w:t>、4分、I级</w:t>
            </w:r>
          </w:p>
        </w:tc>
      </w:tr>
      <w:tr w14:paraId="59227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74D1084">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FCE7832">
            <w:pPr>
              <w:spacing w:line="240" w:lineRule="auto"/>
              <w:ind w:firstLine="0" w:firstLineChars="0"/>
              <w:jc w:val="center"/>
              <w:rPr>
                <w:rFonts w:cs="Times New Roman"/>
                <w:sz w:val="21"/>
              </w:rPr>
            </w:pPr>
            <w:r>
              <w:rPr>
                <w:rFonts w:hint="eastAsia" w:eastAsia="宋体" w:cs="Times New Roman"/>
                <w:sz w:val="21"/>
                <w:lang w:bidi="ar"/>
              </w:rPr>
              <w:t>农田灌溉水有效利用系数</w:t>
            </w:r>
          </w:p>
        </w:tc>
        <w:tc>
          <w:tcPr>
            <w:tcW w:w="2146" w:type="dxa"/>
            <w:tcBorders>
              <w:top w:val="single" w:color="auto" w:sz="4" w:space="0"/>
              <w:left w:val="nil"/>
              <w:bottom w:val="single" w:color="auto" w:sz="4" w:space="0"/>
              <w:right w:val="single" w:color="auto" w:sz="4" w:space="0"/>
            </w:tcBorders>
            <w:shd w:val="clear" w:color="auto" w:fill="auto"/>
            <w:vAlign w:val="center"/>
          </w:tcPr>
          <w:p w14:paraId="00D330C2">
            <w:pPr>
              <w:widowControl/>
              <w:spacing w:line="240" w:lineRule="auto"/>
              <w:ind w:firstLine="0" w:firstLineChars="0"/>
              <w:jc w:val="center"/>
              <w:rPr>
                <w:rFonts w:cs="Times New Roman"/>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326342EC">
            <w:pPr>
              <w:widowControl/>
              <w:spacing w:line="240" w:lineRule="auto"/>
              <w:ind w:firstLine="0" w:firstLineChars="0"/>
              <w:jc w:val="center"/>
              <w:rPr>
                <w:rFonts w:cs="Times New Roman"/>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51179BC">
            <w:pPr>
              <w:widowControl/>
              <w:spacing w:line="240" w:lineRule="auto"/>
              <w:ind w:firstLine="0" w:firstLineChars="0"/>
              <w:jc w:val="center"/>
              <w:rPr>
                <w:rFonts w:cs="Times New Roman"/>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00EAE05">
            <w:pPr>
              <w:widowControl/>
              <w:spacing w:line="240" w:lineRule="auto"/>
              <w:ind w:firstLine="0" w:firstLineChars="0"/>
              <w:jc w:val="center"/>
              <w:rPr>
                <w:rFonts w:cs="Times New Roman"/>
                <w:kern w:val="0"/>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1A4A5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5720E71">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C47B74F">
            <w:pPr>
              <w:spacing w:line="240" w:lineRule="auto"/>
              <w:ind w:firstLine="0" w:firstLineChars="0"/>
              <w:jc w:val="center"/>
              <w:rPr>
                <w:rFonts w:cs="Times New Roman"/>
                <w:sz w:val="21"/>
              </w:rPr>
            </w:pPr>
            <w:r>
              <w:rPr>
                <w:rFonts w:hint="eastAsia" w:eastAsia="宋体" w:cs="Times New Roman"/>
                <w:sz w:val="21"/>
                <w:lang w:bidi="ar"/>
              </w:rPr>
              <w:t>生活节水器具普及率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44D35110">
            <w:pPr>
              <w:widowControl/>
              <w:spacing w:line="240" w:lineRule="auto"/>
              <w:ind w:firstLine="0" w:firstLineChars="0"/>
              <w:jc w:val="center"/>
              <w:rPr>
                <w:rFonts w:cs="Times New Roman"/>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087FE8D0">
            <w:pPr>
              <w:widowControl/>
              <w:spacing w:line="240" w:lineRule="auto"/>
              <w:ind w:firstLine="0" w:firstLineChars="0"/>
              <w:jc w:val="center"/>
              <w:rPr>
                <w:rFonts w:cs="Times New Roman"/>
                <w:sz w:val="21"/>
              </w:rPr>
            </w:pPr>
            <w:r>
              <w:rPr>
                <w:rFonts w:hint="eastAsia" w:eastAsia="宋体" w:cs="Times New Roman"/>
                <w:kern w:val="0"/>
                <w:sz w:val="21"/>
                <w:lang w:bidi="ar"/>
              </w:rPr>
              <w:t>98</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2857E1F5">
            <w:pPr>
              <w:widowControl/>
              <w:spacing w:line="240" w:lineRule="auto"/>
              <w:ind w:firstLine="0" w:firstLineChars="0"/>
              <w:jc w:val="center"/>
              <w:rPr>
                <w:rFonts w:cs="Times New Roman"/>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1FF10585">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26C90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C27DB9">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2E2E940E">
            <w:pPr>
              <w:spacing w:line="240" w:lineRule="auto"/>
              <w:ind w:firstLine="0" w:firstLineChars="0"/>
              <w:jc w:val="center"/>
              <w:rPr>
                <w:rFonts w:cs="Times New Roman"/>
                <w:kern w:val="0"/>
                <w:sz w:val="21"/>
              </w:rPr>
            </w:pPr>
            <w:r>
              <w:rPr>
                <w:rFonts w:hint="eastAsia" w:eastAsia="宋体" w:cs="Times New Roman"/>
                <w:sz w:val="21"/>
                <w:lang w:bidi="ar"/>
              </w:rPr>
              <w:t>公共供水管网漏损率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7EDFB138">
            <w:pPr>
              <w:widowControl/>
              <w:spacing w:line="240" w:lineRule="auto"/>
              <w:ind w:firstLine="0" w:firstLineChars="0"/>
              <w:jc w:val="center"/>
              <w:rPr>
                <w:rFonts w:cs="Times New Roman"/>
                <w:sz w:val="21"/>
              </w:rPr>
            </w:pPr>
            <w:r>
              <w:rPr>
                <w:rFonts w:hint="eastAsia" w:eastAsia="宋体" w:cs="Times New Roman"/>
                <w:kern w:val="0"/>
                <w:sz w:val="21"/>
                <w:lang w:bidi="ar"/>
              </w:rPr>
              <w:t>10.35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0B8173C5">
            <w:pPr>
              <w:widowControl/>
              <w:spacing w:line="240" w:lineRule="auto"/>
              <w:ind w:firstLine="0" w:firstLineChars="0"/>
              <w:jc w:val="center"/>
              <w:rPr>
                <w:rFonts w:cs="Times New Roman"/>
                <w:kern w:val="0"/>
                <w:sz w:val="21"/>
              </w:rPr>
            </w:pPr>
            <w:r>
              <w:rPr>
                <w:rFonts w:hint="eastAsia" w:eastAsia="宋体" w:cs="Times New Roman"/>
                <w:kern w:val="0"/>
                <w:sz w:val="21"/>
                <w:lang w:bidi="ar"/>
              </w:rPr>
              <w:t>10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1BF5378">
            <w:pPr>
              <w:widowControl/>
              <w:spacing w:line="240" w:lineRule="auto"/>
              <w:ind w:firstLine="0" w:firstLineChars="0"/>
              <w:jc w:val="center"/>
              <w:rPr>
                <w:rFonts w:cs="Times New Roman"/>
                <w:kern w:val="0"/>
                <w:sz w:val="21"/>
              </w:rPr>
            </w:pPr>
            <w:r>
              <w:rPr>
                <w:rFonts w:hint="eastAsia" w:eastAsia="宋体" w:cs="Times New Roman"/>
                <w:kern w:val="0"/>
                <w:sz w:val="21"/>
                <w:lang w:bidi="ar"/>
              </w:rPr>
              <w:t>9</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403325D">
            <w:pPr>
              <w:widowControl/>
              <w:spacing w:line="240" w:lineRule="auto"/>
              <w:ind w:firstLine="0" w:firstLineChars="0"/>
              <w:jc w:val="center"/>
              <w:rPr>
                <w:rFonts w:cs="Times New Roman"/>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45DE7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6C74BA">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2A953F2A">
            <w:pPr>
              <w:spacing w:line="240" w:lineRule="auto"/>
              <w:ind w:firstLine="0" w:firstLineChars="0"/>
              <w:jc w:val="center"/>
              <w:rPr>
                <w:rFonts w:cs="Times New Roman"/>
                <w:b/>
                <w:bCs/>
                <w:sz w:val="21"/>
              </w:rPr>
            </w:pPr>
            <w:r>
              <w:rPr>
                <w:rFonts w:hint="eastAsia" w:eastAsia="宋体" w:cs="Times New Roman"/>
                <w:b/>
                <w:bCs/>
                <w:kern w:val="0"/>
                <w:sz w:val="21"/>
                <w:lang w:bidi="ar"/>
              </w:rPr>
              <w:t>工业用水重复利用率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1B5B2E44">
            <w:pPr>
              <w:widowControl/>
              <w:spacing w:line="240" w:lineRule="auto"/>
              <w:ind w:firstLine="0" w:firstLineChars="0"/>
              <w:jc w:val="center"/>
              <w:rPr>
                <w:rFonts w:cs="Times New Roman"/>
                <w:kern w:val="0"/>
                <w:sz w:val="21"/>
              </w:rPr>
            </w:pPr>
            <w:r>
              <w:rPr>
                <w:rFonts w:hint="eastAsia" w:eastAsia="宋体" w:cs="Times New Roman"/>
                <w:kern w:val="0"/>
                <w:sz w:val="21"/>
                <w:lang w:bidi="ar"/>
              </w:rPr>
              <w:t>55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1</w:t>
            </w:r>
            <w:r>
              <w:rPr>
                <w:rFonts w:hint="eastAsia" w:eastAsia="宋体" w:cs="宋体"/>
                <w:kern w:val="0"/>
                <w:sz w:val="21"/>
                <w:lang w:bidi="ar"/>
              </w:rPr>
              <w:t>分、I</w:t>
            </w:r>
            <w:r>
              <w:rPr>
                <w:rFonts w:eastAsia="宋体" w:cs="Times New Roman"/>
                <w:kern w:val="0"/>
                <w:sz w:val="21"/>
                <w:lang w:bidi="ar"/>
              </w:rPr>
              <w:t>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756505D3">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72D2D1C5">
            <w:pPr>
              <w:widowControl/>
              <w:spacing w:line="240" w:lineRule="auto"/>
              <w:ind w:firstLine="0" w:firstLineChars="0"/>
              <w:jc w:val="center"/>
              <w:rPr>
                <w:rFonts w:cs="Times New Roman"/>
                <w:kern w:val="0"/>
                <w:sz w:val="21"/>
              </w:rPr>
            </w:pPr>
            <w:r>
              <w:rPr>
                <w:rFonts w:hint="eastAsia" w:eastAsia="宋体" w:cs="Times New Roman"/>
                <w:kern w:val="0"/>
                <w:sz w:val="21"/>
                <w:lang w:bidi="ar"/>
              </w:rPr>
              <w:t>65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5B11772">
            <w:pPr>
              <w:widowControl/>
              <w:spacing w:line="240" w:lineRule="auto"/>
              <w:ind w:firstLine="0" w:firstLineChars="0"/>
              <w:jc w:val="center"/>
              <w:rPr>
                <w:rFonts w:cs="Times New Roman"/>
                <w:kern w:val="0"/>
                <w:sz w:val="21"/>
              </w:rPr>
            </w:pPr>
            <w:r>
              <w:rPr>
                <w:rFonts w:eastAsia="宋体" w:cs="Times New Roman"/>
                <w:kern w:val="0"/>
                <w:sz w:val="21"/>
                <w:lang w:bidi="ar"/>
              </w:rPr>
              <w:t>7</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r>
      <w:tr w14:paraId="56600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A1A5FD">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097A6A03">
            <w:pPr>
              <w:spacing w:line="240" w:lineRule="auto"/>
              <w:ind w:firstLine="0" w:firstLineChars="0"/>
              <w:jc w:val="center"/>
              <w:rPr>
                <w:rFonts w:cs="Times New Roman"/>
                <w:b/>
                <w:bCs/>
                <w:sz w:val="21"/>
              </w:rPr>
            </w:pPr>
            <w:r>
              <w:rPr>
                <w:rFonts w:hint="eastAsia" w:eastAsia="宋体" w:cs="Times New Roman"/>
                <w:b/>
                <w:bCs/>
                <w:kern w:val="0"/>
                <w:sz w:val="21"/>
                <w:lang w:bidi="ar"/>
              </w:rPr>
              <w:t>非常规水资源利用率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4903D008">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0568A4D">
            <w:pPr>
              <w:widowControl/>
              <w:spacing w:line="240" w:lineRule="auto"/>
              <w:ind w:firstLine="0" w:firstLineChars="0"/>
              <w:jc w:val="center"/>
              <w:rPr>
                <w:rFonts w:cs="Times New Roman"/>
                <w:kern w:val="0"/>
                <w:sz w:val="21"/>
              </w:rPr>
            </w:pPr>
            <w:r>
              <w:rPr>
                <w:rFonts w:eastAsia="宋体" w:cs="Times New Roman"/>
                <w:kern w:val="0"/>
                <w:sz w:val="21"/>
                <w:lang w:bidi="ar"/>
              </w:rPr>
              <w:t>8.33%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23E6F3E0">
            <w:pPr>
              <w:widowControl/>
              <w:spacing w:line="240" w:lineRule="auto"/>
              <w:ind w:firstLine="0" w:firstLineChars="0"/>
              <w:jc w:val="center"/>
              <w:rPr>
                <w:rFonts w:cs="Times New Roman"/>
                <w:kern w:val="0"/>
                <w:sz w:val="21"/>
              </w:rPr>
            </w:pPr>
            <w:r>
              <w:rPr>
                <w:rFonts w:eastAsia="宋体" w:cs="Times New Roman"/>
                <w:kern w:val="0"/>
                <w:sz w:val="21"/>
                <w:lang w:bidi="ar"/>
              </w:rPr>
              <w:t>8.8%</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816E47E">
            <w:pPr>
              <w:widowControl/>
              <w:spacing w:line="240" w:lineRule="auto"/>
              <w:ind w:firstLine="0" w:firstLineChars="0"/>
              <w:jc w:val="center"/>
              <w:rPr>
                <w:rFonts w:cs="Times New Roman"/>
                <w:kern w:val="0"/>
                <w:sz w:val="21"/>
              </w:rPr>
            </w:pPr>
            <w:r>
              <w:rPr>
                <w:rFonts w:eastAsia="宋体" w:cs="Times New Roman"/>
                <w:kern w:val="0"/>
                <w:sz w:val="21"/>
                <w:lang w:bidi="ar"/>
              </w:rPr>
              <w:t>9.43%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r>
      <w:tr w14:paraId="13911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D842C72">
            <w:pPr>
              <w:spacing w:line="240" w:lineRule="auto"/>
              <w:ind w:firstLine="0" w:firstLineChars="0"/>
              <w:jc w:val="center"/>
              <w:rPr>
                <w:rFonts w:cs="Times New Roman"/>
                <w:kern w:val="0"/>
                <w:sz w:val="21"/>
              </w:rPr>
            </w:pPr>
            <w:r>
              <w:rPr>
                <w:rFonts w:hint="eastAsia" w:eastAsia="宋体" w:cs="Times New Roman"/>
                <w:kern w:val="0"/>
                <w:sz w:val="21"/>
                <w:lang w:bidi="ar"/>
              </w:rPr>
              <w:t>水文化</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1F8398A3">
            <w:pPr>
              <w:spacing w:line="240" w:lineRule="auto"/>
              <w:ind w:firstLine="0" w:firstLineChars="0"/>
              <w:jc w:val="center"/>
              <w:rPr>
                <w:rFonts w:eastAsia="宋体" w:cs="Times New Roman"/>
                <w:b/>
                <w:bCs/>
                <w:sz w:val="21"/>
              </w:rPr>
            </w:pPr>
            <w:r>
              <w:rPr>
                <w:rFonts w:hint="eastAsia" w:eastAsia="宋体" w:cs="Times New Roman"/>
                <w:b/>
                <w:bCs/>
                <w:sz w:val="21"/>
                <w:lang w:bidi="ar"/>
              </w:rPr>
              <w:t>水文化传承载体数量</w:t>
            </w:r>
          </w:p>
        </w:tc>
        <w:tc>
          <w:tcPr>
            <w:tcW w:w="2146" w:type="dxa"/>
            <w:tcBorders>
              <w:top w:val="single" w:color="auto" w:sz="4" w:space="0"/>
              <w:left w:val="nil"/>
              <w:bottom w:val="single" w:color="auto" w:sz="4" w:space="0"/>
              <w:right w:val="single" w:color="auto" w:sz="4" w:space="0"/>
            </w:tcBorders>
            <w:shd w:val="clear" w:color="auto" w:fill="auto"/>
            <w:vAlign w:val="center"/>
          </w:tcPr>
          <w:p w14:paraId="642AB3E7">
            <w:pPr>
              <w:widowControl/>
              <w:spacing w:line="240" w:lineRule="auto"/>
              <w:ind w:firstLine="0" w:firstLineChars="0"/>
              <w:jc w:val="center"/>
              <w:rPr>
                <w:rFonts w:cs="Times New Roman"/>
                <w:kern w:val="0"/>
                <w:sz w:val="21"/>
              </w:rPr>
            </w:pPr>
            <w:r>
              <w:rPr>
                <w:rFonts w:hint="eastAsia" w:eastAsia="宋体" w:cs="Times New Roman"/>
                <w:kern w:val="0"/>
                <w:sz w:val="21"/>
                <w:lang w:bidi="ar"/>
              </w:rPr>
              <w:t>2</w:t>
            </w:r>
            <w:r>
              <w:rPr>
                <w:rFonts w:hint="eastAsia" w:eastAsia="宋体" w:cs="宋体"/>
                <w:kern w:val="0"/>
                <w:sz w:val="21"/>
                <w:lang w:bidi="ar"/>
              </w:rPr>
              <w:t>个、</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77650793">
            <w:pPr>
              <w:widowControl/>
              <w:spacing w:line="240" w:lineRule="auto"/>
              <w:ind w:firstLine="0" w:firstLineChars="0"/>
              <w:jc w:val="center"/>
              <w:rPr>
                <w:rFonts w:cs="Times New Roman"/>
                <w:kern w:val="0"/>
                <w:sz w:val="21"/>
              </w:rPr>
            </w:pPr>
            <w:r>
              <w:rPr>
                <w:rFonts w:hint="eastAsia" w:eastAsia="宋体" w:cs="Times New Roman"/>
                <w:kern w:val="0"/>
                <w:sz w:val="21"/>
                <w:lang w:bidi="ar"/>
              </w:rPr>
              <w:t>3</w:t>
            </w:r>
            <w:r>
              <w:rPr>
                <w:rFonts w:hint="eastAsia" w:eastAsia="宋体" w:cs="宋体"/>
                <w:kern w:val="0"/>
                <w:sz w:val="21"/>
                <w:lang w:bidi="ar"/>
              </w:rPr>
              <w:t>个、</w:t>
            </w:r>
            <w:r>
              <w:rPr>
                <w:rFonts w:hint="eastAsia"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B5DDB8F">
            <w:pPr>
              <w:widowControl/>
              <w:spacing w:line="240" w:lineRule="auto"/>
              <w:ind w:firstLine="0" w:firstLineChars="0"/>
              <w:jc w:val="center"/>
              <w:rPr>
                <w:rFonts w:cs="Times New Roman"/>
                <w:kern w:val="0"/>
                <w:sz w:val="21"/>
              </w:rPr>
            </w:pPr>
            <w:r>
              <w:rPr>
                <w:rFonts w:hint="eastAsia" w:eastAsia="宋体" w:cs="Times New Roman"/>
                <w:kern w:val="0"/>
                <w:sz w:val="21"/>
                <w:lang w:bidi="ar"/>
              </w:rPr>
              <w:t>5</w:t>
            </w:r>
            <w:r>
              <w:rPr>
                <w:rFonts w:hint="eastAsia" w:eastAsia="宋体" w:cs="宋体"/>
                <w:kern w:val="0"/>
                <w:sz w:val="21"/>
                <w:lang w:bidi="ar"/>
              </w:rPr>
              <w:t>个、</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73B6ACF3">
            <w:pPr>
              <w:widowControl/>
              <w:spacing w:line="240" w:lineRule="auto"/>
              <w:ind w:firstLine="0" w:firstLineChars="0"/>
              <w:jc w:val="center"/>
              <w:rPr>
                <w:rFonts w:cs="Times New Roman"/>
                <w:kern w:val="0"/>
                <w:sz w:val="21"/>
              </w:rPr>
            </w:pPr>
            <w:r>
              <w:rPr>
                <w:rFonts w:hint="eastAsia" w:eastAsia="宋体" w:cs="Times New Roman"/>
                <w:kern w:val="0"/>
                <w:sz w:val="21"/>
                <w:lang w:bidi="ar"/>
              </w:rPr>
              <w:t>7</w:t>
            </w:r>
            <w:r>
              <w:rPr>
                <w:rFonts w:hint="eastAsia" w:eastAsia="宋体" w:cs="宋体"/>
                <w:kern w:val="0"/>
                <w:sz w:val="21"/>
                <w:lang w:bidi="ar"/>
              </w:rPr>
              <w:t>个、</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03259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2129B6">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DC70F85">
            <w:pPr>
              <w:spacing w:line="240" w:lineRule="auto"/>
              <w:ind w:firstLine="0" w:firstLineChars="0"/>
              <w:jc w:val="center"/>
              <w:rPr>
                <w:rFonts w:cs="Times New Roman"/>
                <w:sz w:val="21"/>
              </w:rPr>
            </w:pPr>
            <w:r>
              <w:rPr>
                <w:rFonts w:hint="eastAsia" w:eastAsia="宋体" w:cs="Times New Roman"/>
                <w:sz w:val="21"/>
                <w:lang w:bidi="ar"/>
              </w:rPr>
              <w:t>水生态文明建设公众认知度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4471E1F8">
            <w:pPr>
              <w:widowControl/>
              <w:spacing w:line="240" w:lineRule="auto"/>
              <w:ind w:firstLine="0" w:firstLineChars="0"/>
              <w:jc w:val="center"/>
              <w:rPr>
                <w:rFonts w:cs="Times New Roman"/>
                <w:kern w:val="0"/>
                <w:sz w:val="21"/>
              </w:rPr>
            </w:pPr>
            <w:r>
              <w:rPr>
                <w:rFonts w:eastAsia="宋体" w:cs="Times New Roman"/>
                <w:kern w:val="0"/>
                <w:sz w:val="21"/>
                <w:lang w:bidi="ar"/>
              </w:rPr>
              <w:t>1</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AA2EF8B">
            <w:pPr>
              <w:widowControl/>
              <w:spacing w:line="240" w:lineRule="auto"/>
              <w:ind w:firstLine="0" w:firstLineChars="0"/>
              <w:jc w:val="center"/>
              <w:rPr>
                <w:rFonts w:cs="Times New Roman"/>
                <w:kern w:val="0"/>
                <w:sz w:val="21"/>
              </w:rPr>
            </w:pPr>
            <w:r>
              <w:rPr>
                <w:rFonts w:eastAsia="宋体" w:cs="Times New Roman"/>
                <w:kern w:val="0"/>
                <w:sz w:val="21"/>
                <w:lang w:bidi="ar"/>
              </w:rPr>
              <w:t>20%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52107FA">
            <w:pPr>
              <w:widowControl/>
              <w:spacing w:line="240" w:lineRule="auto"/>
              <w:ind w:firstLine="0" w:firstLineChars="0"/>
              <w:jc w:val="center"/>
              <w:rPr>
                <w:rFonts w:cs="Times New Roman"/>
                <w:kern w:val="0"/>
                <w:sz w:val="21"/>
              </w:rPr>
            </w:pPr>
            <w:r>
              <w:rPr>
                <w:rFonts w:eastAsia="宋体" w:cs="Times New Roman"/>
                <w:kern w:val="0"/>
                <w:sz w:val="21"/>
                <w:lang w:bidi="ar"/>
              </w:rPr>
              <w:t>35%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D85AE25">
            <w:pPr>
              <w:widowControl/>
              <w:spacing w:line="240" w:lineRule="auto"/>
              <w:ind w:firstLine="0" w:firstLineChars="0"/>
              <w:jc w:val="center"/>
              <w:rPr>
                <w:rFonts w:cs="Times New Roman"/>
                <w:kern w:val="0"/>
                <w:sz w:val="21"/>
              </w:rPr>
            </w:pPr>
            <w:r>
              <w:rPr>
                <w:rFonts w:eastAsia="宋体" w:cs="Times New Roman"/>
                <w:kern w:val="0"/>
                <w:sz w:val="21"/>
                <w:lang w:bidi="ar"/>
              </w:rPr>
              <w:t>50%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7D293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E468EB">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19D9D5B">
            <w:pPr>
              <w:spacing w:line="240" w:lineRule="auto"/>
              <w:ind w:firstLine="0" w:firstLineChars="0"/>
              <w:jc w:val="center"/>
              <w:rPr>
                <w:rFonts w:cs="Times New Roman"/>
                <w:sz w:val="21"/>
              </w:rPr>
            </w:pPr>
            <w:r>
              <w:rPr>
                <w:rFonts w:hint="eastAsia" w:eastAsia="宋体" w:cs="Times New Roman"/>
                <w:sz w:val="21"/>
                <w:lang w:bidi="ar"/>
              </w:rPr>
              <w:t>水生态环境质量公众满意度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45DFEED5">
            <w:pPr>
              <w:widowControl/>
              <w:spacing w:line="240" w:lineRule="auto"/>
              <w:ind w:firstLine="0" w:firstLineChars="0"/>
              <w:rPr>
                <w:rFonts w:cs="Times New Roman"/>
                <w:kern w:val="0"/>
                <w:sz w:val="21"/>
              </w:rPr>
            </w:pPr>
            <w:r>
              <w:rPr>
                <w:rFonts w:eastAsia="宋体" w:cs="Times New Roman"/>
                <w:kern w:val="0"/>
                <w:sz w:val="21"/>
                <w:lang w:bidi="ar"/>
              </w:rPr>
              <w:t>70%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35093C2">
            <w:pPr>
              <w:widowControl/>
              <w:spacing w:line="240" w:lineRule="auto"/>
              <w:ind w:firstLine="0" w:firstLineChars="0"/>
              <w:jc w:val="center"/>
              <w:rPr>
                <w:rFonts w:cs="Times New Roman"/>
                <w:kern w:val="0"/>
                <w:sz w:val="21"/>
              </w:rPr>
            </w:pPr>
            <w:r>
              <w:rPr>
                <w:rFonts w:eastAsia="宋体" w:cs="Times New Roman"/>
                <w:kern w:val="0"/>
                <w:sz w:val="21"/>
                <w:lang w:bidi="ar"/>
              </w:rPr>
              <w:t>72%</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50B1DCA">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65BF6C1">
            <w:pPr>
              <w:widowControl/>
              <w:spacing w:line="240" w:lineRule="auto"/>
              <w:ind w:firstLine="0" w:firstLineChars="0"/>
              <w:jc w:val="center"/>
              <w:rPr>
                <w:rFonts w:cs="Times New Roman"/>
                <w:kern w:val="0"/>
                <w:sz w:val="21"/>
              </w:rPr>
            </w:pPr>
            <w:r>
              <w:rPr>
                <w:rFonts w:eastAsia="宋体" w:cs="Times New Roman"/>
                <w:kern w:val="0"/>
                <w:sz w:val="21"/>
                <w:lang w:bidi="ar"/>
              </w:rPr>
              <w:t>90%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0B139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72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0C5DD70">
            <w:pPr>
              <w:widowControl/>
              <w:spacing w:line="240" w:lineRule="auto"/>
              <w:ind w:firstLine="0" w:firstLineChars="0"/>
              <w:jc w:val="center"/>
              <w:rPr>
                <w:rFonts w:cs="Times New Roman"/>
                <w:kern w:val="0"/>
                <w:sz w:val="21"/>
              </w:rPr>
            </w:pPr>
            <w:r>
              <w:rPr>
                <w:rFonts w:hint="eastAsia" w:eastAsia="宋体" w:cs="Times New Roman"/>
                <w:kern w:val="0"/>
                <w:sz w:val="21"/>
                <w:lang w:bidi="ar"/>
              </w:rPr>
              <w:t>合计</w:t>
            </w:r>
          </w:p>
        </w:tc>
        <w:tc>
          <w:tcPr>
            <w:tcW w:w="2146" w:type="dxa"/>
            <w:tcBorders>
              <w:top w:val="single" w:color="auto" w:sz="4" w:space="0"/>
              <w:left w:val="single" w:color="auto" w:sz="4" w:space="0"/>
              <w:bottom w:val="single" w:color="auto" w:sz="4" w:space="0"/>
              <w:right w:val="single" w:color="auto" w:sz="4" w:space="0"/>
            </w:tcBorders>
            <w:shd w:val="clear" w:color="auto" w:fill="auto"/>
            <w:vAlign w:val="center"/>
          </w:tcPr>
          <w:p w14:paraId="652A196C">
            <w:pPr>
              <w:widowControl/>
              <w:spacing w:line="240" w:lineRule="auto"/>
              <w:ind w:firstLine="0" w:firstLineChars="0"/>
              <w:jc w:val="center"/>
              <w:rPr>
                <w:rFonts w:eastAsia="宋体" w:cs="Times New Roman"/>
                <w:b/>
                <w:kern w:val="0"/>
                <w:sz w:val="21"/>
              </w:rPr>
            </w:pPr>
            <w:r>
              <w:rPr>
                <w:rFonts w:hint="eastAsia" w:eastAsia="宋体" w:cs="Times New Roman"/>
                <w:b/>
                <w:kern w:val="0"/>
                <w:sz w:val="21"/>
                <w:lang w:bidi="ar"/>
              </w:rPr>
              <w:t>50</w:t>
            </w:r>
          </w:p>
        </w:tc>
        <w:tc>
          <w:tcPr>
            <w:tcW w:w="2102" w:type="dxa"/>
            <w:tcBorders>
              <w:top w:val="single" w:color="auto" w:sz="4" w:space="0"/>
              <w:left w:val="single" w:color="auto" w:sz="4" w:space="0"/>
              <w:bottom w:val="single" w:color="auto" w:sz="4" w:space="0"/>
              <w:right w:val="single" w:color="auto" w:sz="4" w:space="0"/>
            </w:tcBorders>
            <w:shd w:val="clear" w:color="auto" w:fill="auto"/>
            <w:vAlign w:val="center"/>
          </w:tcPr>
          <w:p w14:paraId="05EC9FF7">
            <w:pPr>
              <w:spacing w:line="240" w:lineRule="auto"/>
              <w:ind w:firstLine="0" w:firstLineChars="0"/>
              <w:jc w:val="center"/>
              <w:rPr>
                <w:rFonts w:eastAsia="宋体" w:cs="Times New Roman"/>
                <w:b/>
                <w:kern w:val="0"/>
                <w:sz w:val="21"/>
              </w:rPr>
            </w:pPr>
            <w:r>
              <w:rPr>
                <w:rFonts w:eastAsia="宋体" w:cs="Times New Roman"/>
                <w:b/>
                <w:kern w:val="0"/>
                <w:sz w:val="21"/>
                <w:lang w:bidi="ar"/>
              </w:rPr>
              <w:t>6</w:t>
            </w:r>
            <w:r>
              <w:rPr>
                <w:rFonts w:hint="eastAsia" w:eastAsia="宋体" w:cs="Times New Roman"/>
                <w:b/>
                <w:kern w:val="0"/>
                <w:sz w:val="21"/>
                <w:lang w:bidi="ar"/>
              </w:rPr>
              <w:t>4</w:t>
            </w:r>
          </w:p>
        </w:tc>
        <w:tc>
          <w:tcPr>
            <w:tcW w:w="2070" w:type="dxa"/>
            <w:tcBorders>
              <w:top w:val="single" w:color="auto" w:sz="4" w:space="0"/>
              <w:left w:val="single" w:color="auto" w:sz="4" w:space="0"/>
              <w:bottom w:val="single" w:color="auto" w:sz="4" w:space="0"/>
              <w:right w:val="single" w:color="auto" w:sz="4" w:space="0"/>
            </w:tcBorders>
            <w:shd w:val="clear" w:color="auto" w:fill="auto"/>
            <w:vAlign w:val="center"/>
          </w:tcPr>
          <w:p w14:paraId="0A2BDDA7">
            <w:pPr>
              <w:spacing w:line="240" w:lineRule="auto"/>
              <w:ind w:firstLine="0" w:firstLineChars="0"/>
              <w:jc w:val="center"/>
              <w:rPr>
                <w:rFonts w:cs="Times New Roman"/>
                <w:b/>
                <w:kern w:val="0"/>
                <w:sz w:val="21"/>
              </w:rPr>
            </w:pPr>
            <w:r>
              <w:rPr>
                <w:rFonts w:hint="eastAsia" w:cs="Times New Roman"/>
                <w:b/>
                <w:kern w:val="0"/>
                <w:sz w:val="21"/>
              </w:rPr>
              <w:t>71</w:t>
            </w:r>
          </w:p>
        </w:tc>
        <w:tc>
          <w:tcPr>
            <w:tcW w:w="2037" w:type="dxa"/>
            <w:tcBorders>
              <w:top w:val="single" w:color="auto" w:sz="4" w:space="0"/>
              <w:left w:val="single" w:color="auto" w:sz="4" w:space="0"/>
              <w:bottom w:val="single" w:color="auto" w:sz="4" w:space="0"/>
              <w:right w:val="single" w:color="auto" w:sz="4" w:space="0"/>
            </w:tcBorders>
            <w:shd w:val="clear" w:color="auto" w:fill="auto"/>
            <w:vAlign w:val="center"/>
          </w:tcPr>
          <w:p w14:paraId="5DCF6565">
            <w:pPr>
              <w:spacing w:line="240" w:lineRule="auto"/>
              <w:ind w:firstLine="0" w:firstLineChars="0"/>
              <w:jc w:val="center"/>
              <w:rPr>
                <w:rFonts w:eastAsia="宋体" w:cs="Times New Roman"/>
                <w:b/>
                <w:kern w:val="0"/>
                <w:sz w:val="21"/>
              </w:rPr>
            </w:pPr>
            <w:r>
              <w:rPr>
                <w:rFonts w:hint="eastAsia" w:eastAsia="宋体" w:cs="Times New Roman"/>
                <w:b/>
                <w:kern w:val="0"/>
                <w:sz w:val="21"/>
                <w:lang w:bidi="ar"/>
              </w:rPr>
              <w:t>78</w:t>
            </w:r>
          </w:p>
        </w:tc>
      </w:tr>
    </w:tbl>
    <w:p w14:paraId="6EDB8AD2">
      <w:pPr>
        <w:ind w:firstLine="480"/>
      </w:pPr>
      <w:r>
        <w:rPr>
          <w:rFonts w:hint="eastAsia" w:eastAsia="宋体" w:cs="宋体"/>
          <w:lang w:bidi="ar"/>
        </w:rPr>
        <w:t>依据表</w:t>
      </w:r>
      <w:r>
        <w:rPr>
          <w:rFonts w:eastAsia="宋体" w:cs="Times New Roman"/>
          <w:lang w:bidi="ar"/>
        </w:rPr>
        <w:t>6-1</w:t>
      </w:r>
      <w:r>
        <w:rPr>
          <w:rFonts w:hint="eastAsia" w:eastAsia="宋体" w:cs="宋体"/>
          <w:lang w:bidi="ar"/>
        </w:rPr>
        <w:t>，西区水生态文明建设评价指标现状总分</w:t>
      </w:r>
      <w:r>
        <w:rPr>
          <w:rFonts w:hint="eastAsia" w:eastAsia="宋体" w:cs="Times New Roman"/>
          <w:lang w:bidi="ar"/>
        </w:rPr>
        <w:t>50</w:t>
      </w:r>
      <w:r>
        <w:rPr>
          <w:rFonts w:hint="eastAsia" w:eastAsia="宋体" w:cs="宋体"/>
          <w:lang w:bidi="ar"/>
        </w:rPr>
        <w:t>分，</w:t>
      </w:r>
      <w:r>
        <w:rPr>
          <w:rFonts w:eastAsia="宋体" w:cs="Times New Roman"/>
          <w:lang w:bidi="ar"/>
        </w:rPr>
        <w:t>2020</w:t>
      </w:r>
      <w:r>
        <w:rPr>
          <w:rFonts w:hint="eastAsia" w:eastAsia="宋体" w:cs="宋体"/>
          <w:lang w:bidi="ar"/>
        </w:rPr>
        <w:t>年规划目标总分为</w:t>
      </w:r>
      <w:r>
        <w:rPr>
          <w:rFonts w:eastAsia="宋体" w:cs="Times New Roman"/>
          <w:lang w:bidi="ar"/>
        </w:rPr>
        <w:t>6</w:t>
      </w:r>
      <w:r>
        <w:rPr>
          <w:rFonts w:hint="eastAsia" w:eastAsia="宋体" w:cs="Times New Roman"/>
          <w:lang w:bidi="ar"/>
        </w:rPr>
        <w:t>4</w:t>
      </w:r>
      <w:r>
        <w:rPr>
          <w:rFonts w:hint="eastAsia" w:eastAsia="宋体" w:cs="宋体"/>
          <w:lang w:bidi="ar"/>
        </w:rPr>
        <w:t>分，</w:t>
      </w:r>
      <w:r>
        <w:rPr>
          <w:rFonts w:eastAsia="宋体" w:cs="Times New Roman"/>
          <w:lang w:bidi="ar"/>
        </w:rPr>
        <w:t>2025</w:t>
      </w:r>
      <w:r>
        <w:rPr>
          <w:rFonts w:hint="eastAsia" w:eastAsia="宋体" w:cs="宋体"/>
          <w:lang w:bidi="ar"/>
        </w:rPr>
        <w:t>年规划目标总分为</w:t>
      </w:r>
      <w:r>
        <w:rPr>
          <w:rFonts w:eastAsia="宋体" w:cs="Times New Roman"/>
          <w:lang w:bidi="ar"/>
        </w:rPr>
        <w:t>7</w:t>
      </w:r>
      <w:r>
        <w:rPr>
          <w:rFonts w:hint="eastAsia" w:eastAsia="宋体" w:cs="Times New Roman"/>
          <w:lang w:bidi="ar"/>
        </w:rPr>
        <w:t>1</w:t>
      </w:r>
      <w:r>
        <w:rPr>
          <w:rFonts w:hint="eastAsia" w:eastAsia="宋体" w:cs="宋体"/>
          <w:lang w:bidi="ar"/>
        </w:rPr>
        <w:t>分，</w:t>
      </w:r>
      <w:r>
        <w:rPr>
          <w:rFonts w:eastAsia="宋体" w:cs="Times New Roman"/>
          <w:lang w:bidi="ar"/>
        </w:rPr>
        <w:t>2030</w:t>
      </w:r>
      <w:r>
        <w:rPr>
          <w:rFonts w:hint="eastAsia" w:eastAsia="宋体" w:cs="宋体"/>
          <w:lang w:bidi="ar"/>
        </w:rPr>
        <w:t>年规划目标总分达</w:t>
      </w:r>
      <w:r>
        <w:rPr>
          <w:rFonts w:hint="eastAsia" w:eastAsia="宋体" w:cs="Times New Roman"/>
          <w:lang w:bidi="ar"/>
        </w:rPr>
        <w:t>78</w:t>
      </w:r>
      <w:r>
        <w:rPr>
          <w:rFonts w:hint="eastAsia" w:eastAsia="宋体" w:cs="宋体"/>
          <w:lang w:bidi="ar"/>
        </w:rPr>
        <w:t>分，</w:t>
      </w:r>
      <w:r>
        <w:rPr>
          <w:rFonts w:eastAsia="宋体" w:cs="Times New Roman"/>
          <w:lang w:bidi="ar"/>
        </w:rPr>
        <w:t>2020</w:t>
      </w:r>
      <w:r>
        <w:rPr>
          <w:rFonts w:hint="eastAsia" w:eastAsia="宋体" w:cs="宋体"/>
          <w:lang w:bidi="ar"/>
        </w:rPr>
        <w:t>年规划目标距离评价为全国水生态文明城市的最低要求还有</w:t>
      </w:r>
      <w:r>
        <w:rPr>
          <w:rFonts w:hint="eastAsia" w:eastAsia="宋体" w:cs="Times New Roman"/>
          <w:lang w:bidi="ar"/>
        </w:rPr>
        <w:t>10</w:t>
      </w:r>
      <w:r>
        <w:rPr>
          <w:rFonts w:hint="eastAsia" w:eastAsia="宋体" w:cs="宋体"/>
          <w:lang w:bidi="ar"/>
        </w:rPr>
        <w:t>分差距，</w:t>
      </w:r>
      <w:r>
        <w:rPr>
          <w:rFonts w:eastAsia="宋体" w:cs="Times New Roman"/>
          <w:lang w:bidi="ar"/>
        </w:rPr>
        <w:t>2025</w:t>
      </w:r>
      <w:r>
        <w:rPr>
          <w:rFonts w:hint="eastAsia" w:eastAsia="宋体" w:cs="宋体"/>
          <w:lang w:bidi="ar"/>
        </w:rPr>
        <w:t>年还有</w:t>
      </w:r>
      <w:r>
        <w:rPr>
          <w:rFonts w:hint="eastAsia" w:eastAsia="宋体" w:cs="Times New Roman"/>
          <w:lang w:bidi="ar"/>
        </w:rPr>
        <w:t>3</w:t>
      </w:r>
      <w:r>
        <w:rPr>
          <w:rFonts w:hint="eastAsia" w:eastAsia="宋体" w:cs="宋体"/>
          <w:lang w:bidi="ar"/>
        </w:rPr>
        <w:t>分差距，</w:t>
      </w:r>
      <w:r>
        <w:rPr>
          <w:rFonts w:eastAsia="宋体" w:cs="Times New Roman"/>
          <w:lang w:bidi="ar"/>
        </w:rPr>
        <w:t>2030</w:t>
      </w:r>
      <w:r>
        <w:rPr>
          <w:rFonts w:hint="eastAsia" w:eastAsia="宋体" w:cs="宋体"/>
          <w:lang w:bidi="ar"/>
        </w:rPr>
        <w:t>年规划目标符合评价为全国水生态文明城市的最低要求，因为目前距离</w:t>
      </w:r>
      <w:r>
        <w:rPr>
          <w:rFonts w:eastAsia="宋体" w:cs="Times New Roman"/>
          <w:lang w:bidi="ar"/>
        </w:rPr>
        <w:t>2020</w:t>
      </w:r>
      <w:r>
        <w:rPr>
          <w:rFonts w:hint="eastAsia" w:eastAsia="宋体" w:cs="宋体"/>
          <w:lang w:bidi="ar"/>
        </w:rPr>
        <w:t>年只有</w:t>
      </w:r>
      <w:r>
        <w:rPr>
          <w:rFonts w:hint="eastAsia" w:eastAsia="宋体" w:cs="Times New Roman"/>
          <w:lang w:bidi="ar"/>
        </w:rPr>
        <w:t>1</w:t>
      </w:r>
      <w:r>
        <w:rPr>
          <w:rFonts w:hint="eastAsia" w:eastAsia="宋体" w:cs="宋体"/>
          <w:lang w:bidi="ar"/>
        </w:rPr>
        <w:t>年时间，规划指标不宜定的过高，</w:t>
      </w:r>
      <w:r>
        <w:rPr>
          <w:rFonts w:eastAsia="宋体" w:cs="Times New Roman"/>
          <w:lang w:bidi="ar"/>
        </w:rPr>
        <w:t>2020</w:t>
      </w:r>
      <w:r>
        <w:rPr>
          <w:rFonts w:hint="eastAsia" w:eastAsia="宋体" w:cs="宋体"/>
          <w:lang w:bidi="ar"/>
        </w:rPr>
        <w:t>年、</w:t>
      </w:r>
      <w:r>
        <w:rPr>
          <w:rFonts w:eastAsia="宋体" w:cs="Times New Roman"/>
          <w:lang w:bidi="ar"/>
        </w:rPr>
        <w:t>2025</w:t>
      </w:r>
      <w:r>
        <w:rPr>
          <w:rFonts w:hint="eastAsia" w:eastAsia="宋体" w:cs="宋体"/>
          <w:lang w:bidi="ar"/>
        </w:rPr>
        <w:t>年达不到全国水生态文明城市的最低要求符合实际的情况，经过</w:t>
      </w:r>
      <w:r>
        <w:rPr>
          <w:rFonts w:eastAsia="宋体" w:cs="Times New Roman"/>
          <w:lang w:bidi="ar"/>
        </w:rPr>
        <w:t>10</w:t>
      </w:r>
      <w:r>
        <w:rPr>
          <w:rFonts w:hint="eastAsia" w:eastAsia="宋体" w:cs="宋体"/>
          <w:lang w:bidi="ar"/>
        </w:rPr>
        <w:t>年的建设工作，可达到要求，这说明规划的合理性。</w:t>
      </w:r>
    </w:p>
    <w:p w14:paraId="4C85FA15">
      <w:pPr>
        <w:spacing w:line="240" w:lineRule="auto"/>
        <w:ind w:firstLine="480"/>
      </w:pPr>
    </w:p>
    <w:p w14:paraId="0E0E29FA">
      <w:pPr>
        <w:pStyle w:val="4"/>
        <w:widowControl/>
        <w:spacing w:before="0" w:after="0" w:line="360" w:lineRule="auto"/>
        <w:rPr>
          <w:rFonts w:cs="Times New Roman"/>
        </w:rPr>
      </w:pPr>
      <w:bookmarkStart w:id="847" w:name="_Toc16675092"/>
      <w:bookmarkStart w:id="848" w:name="_Toc528607316"/>
      <w:r>
        <w:rPr>
          <w:rFonts w:cs="Times New Roman"/>
        </w:rPr>
        <w:t xml:space="preserve">6.2 </w:t>
      </w:r>
      <w:r>
        <w:rPr>
          <w:rFonts w:hint="eastAsia" w:cs="Times New Roman"/>
        </w:rPr>
        <w:t>重点工程项目</w:t>
      </w:r>
      <w:bookmarkEnd w:id="847"/>
      <w:bookmarkEnd w:id="848"/>
    </w:p>
    <w:p w14:paraId="184DFEFB">
      <w:pPr>
        <w:ind w:firstLine="480"/>
        <w:rPr>
          <w:rFonts w:cs="Times New Roman"/>
        </w:rPr>
      </w:pPr>
      <w:r>
        <w:rPr>
          <w:rFonts w:hint="eastAsia" w:eastAsia="宋体" w:cs="Times New Roman"/>
          <w:lang w:bidi="ar"/>
        </w:rPr>
        <w:t>为了达到规划目标值，实现西区水生态文明建设的发展目标，西区近期开展的重点工程项目如表</w:t>
      </w:r>
      <w:r>
        <w:rPr>
          <w:rFonts w:eastAsia="宋体" w:cs="Times New Roman"/>
          <w:lang w:bidi="ar"/>
        </w:rPr>
        <w:t>6-2</w:t>
      </w:r>
      <w:r>
        <w:rPr>
          <w:rFonts w:hint="eastAsia" w:eastAsia="宋体" w:cs="Times New Roman"/>
          <w:lang w:bidi="ar"/>
        </w:rPr>
        <w:t>和</w:t>
      </w:r>
      <w:r>
        <w:rPr>
          <w:rFonts w:hint="eastAsia" w:eastAsia="宋体" w:cs="Times New Roman"/>
          <w:b/>
          <w:bCs/>
          <w:lang w:bidi="ar"/>
        </w:rPr>
        <w:t>附图17</w:t>
      </w:r>
      <w:r>
        <w:rPr>
          <w:rFonts w:hint="eastAsia" w:eastAsia="宋体" w:cs="Times New Roman"/>
          <w:lang w:bidi="ar"/>
        </w:rPr>
        <w:t>，中期开展的重点工程项目表</w:t>
      </w:r>
      <w:r>
        <w:rPr>
          <w:rFonts w:eastAsia="宋体" w:cs="Times New Roman"/>
          <w:lang w:bidi="ar"/>
        </w:rPr>
        <w:t>6-</w:t>
      </w:r>
      <w:r>
        <w:rPr>
          <w:rFonts w:hint="eastAsia" w:eastAsia="宋体" w:cs="Times New Roman"/>
          <w:lang w:bidi="ar"/>
        </w:rPr>
        <w:t>3</w:t>
      </w:r>
      <w:r>
        <w:rPr>
          <w:rFonts w:hint="eastAsia" w:eastAsia="宋体" w:cs="Times New Roman"/>
          <w:b/>
          <w:bCs/>
          <w:lang w:bidi="ar"/>
        </w:rPr>
        <w:t>和附图18</w:t>
      </w:r>
      <w:r>
        <w:rPr>
          <w:rFonts w:hint="eastAsia" w:eastAsia="宋体" w:cs="Times New Roman"/>
          <w:lang w:bidi="ar"/>
        </w:rPr>
        <w:t>，远期开展的重点工程项目表</w:t>
      </w:r>
      <w:r>
        <w:rPr>
          <w:rFonts w:eastAsia="宋体" w:cs="Times New Roman"/>
          <w:lang w:bidi="ar"/>
        </w:rPr>
        <w:t>6-</w:t>
      </w:r>
      <w:r>
        <w:rPr>
          <w:rFonts w:hint="eastAsia" w:eastAsia="宋体" w:cs="Times New Roman"/>
          <w:lang w:bidi="ar"/>
        </w:rPr>
        <w:t>4</w:t>
      </w:r>
      <w:r>
        <w:rPr>
          <w:rFonts w:hint="eastAsia" w:eastAsia="宋体" w:cs="Times New Roman"/>
          <w:b/>
          <w:bCs/>
          <w:lang w:bidi="ar"/>
        </w:rPr>
        <w:t>和附图19</w:t>
      </w:r>
      <w:r>
        <w:rPr>
          <w:rFonts w:hint="eastAsia" w:eastAsia="宋体" w:cs="Times New Roman"/>
          <w:lang w:bidi="ar"/>
        </w:rPr>
        <w:t>。</w:t>
      </w:r>
    </w:p>
    <w:p w14:paraId="4498F27D">
      <w:pPr>
        <w:spacing w:line="240" w:lineRule="auto"/>
        <w:ind w:firstLine="0" w:firstLineChars="0"/>
        <w:jc w:val="center"/>
        <w:rPr>
          <w:rFonts w:eastAsia="宋体" w:cs="Times New Roman"/>
          <w:sz w:val="21"/>
        </w:rPr>
      </w:pPr>
      <w:r>
        <w:rPr>
          <w:rFonts w:hint="eastAsia" w:eastAsia="宋体" w:cs="Times New Roman"/>
          <w:sz w:val="21"/>
          <w:lang w:bidi="ar"/>
        </w:rPr>
        <w:t>表</w:t>
      </w:r>
      <w:r>
        <w:rPr>
          <w:rFonts w:eastAsia="宋体" w:cs="Times New Roman"/>
          <w:sz w:val="21"/>
          <w:lang w:bidi="ar"/>
        </w:rPr>
        <w:t xml:space="preserve">6-2  </w:t>
      </w:r>
      <w:r>
        <w:rPr>
          <w:rFonts w:hint="eastAsia" w:eastAsia="宋体" w:cs="Times New Roman"/>
          <w:sz w:val="21"/>
          <w:lang w:bidi="ar"/>
        </w:rPr>
        <w:t>西区近期开展的重点工程项目</w:t>
      </w:r>
    </w:p>
    <w:tbl>
      <w:tblPr>
        <w:tblStyle w:val="25"/>
        <w:tblW w:w="10484" w:type="dxa"/>
        <w:jc w:val="center"/>
        <w:tblLayout w:type="fixed"/>
        <w:tblCellMar>
          <w:top w:w="0" w:type="dxa"/>
          <w:left w:w="108" w:type="dxa"/>
          <w:bottom w:w="0" w:type="dxa"/>
          <w:right w:w="108" w:type="dxa"/>
        </w:tblCellMar>
      </w:tblPr>
      <w:tblGrid>
        <w:gridCol w:w="2097"/>
        <w:gridCol w:w="5262"/>
        <w:gridCol w:w="963"/>
        <w:gridCol w:w="2162"/>
      </w:tblGrid>
      <w:tr w14:paraId="7F99EB26">
        <w:tblPrEx>
          <w:tblCellMar>
            <w:top w:w="0" w:type="dxa"/>
            <w:left w:w="108" w:type="dxa"/>
            <w:bottom w:w="0" w:type="dxa"/>
            <w:right w:w="108" w:type="dxa"/>
          </w:tblCellMar>
        </w:tblPrEx>
        <w:trPr>
          <w:trHeight w:val="573"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3B69D790">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5262" w:type="dxa"/>
            <w:tcBorders>
              <w:top w:val="single" w:color="auto" w:sz="4" w:space="0"/>
              <w:left w:val="nil"/>
              <w:bottom w:val="single" w:color="auto" w:sz="4" w:space="0"/>
              <w:right w:val="single" w:color="auto" w:sz="4" w:space="0"/>
            </w:tcBorders>
            <w:shd w:val="clear" w:color="auto" w:fill="auto"/>
            <w:vAlign w:val="center"/>
          </w:tcPr>
          <w:p w14:paraId="3EF4DAEB">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63" w:type="dxa"/>
            <w:tcBorders>
              <w:top w:val="single" w:color="auto" w:sz="4" w:space="0"/>
              <w:left w:val="nil"/>
              <w:bottom w:val="single" w:color="auto" w:sz="4" w:space="0"/>
              <w:right w:val="single" w:color="auto" w:sz="4" w:space="0"/>
            </w:tcBorders>
            <w:shd w:val="clear" w:color="auto" w:fill="auto"/>
            <w:vAlign w:val="center"/>
          </w:tcPr>
          <w:p w14:paraId="7CD18A78">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336C8AB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162" w:type="dxa"/>
            <w:tcBorders>
              <w:top w:val="single" w:color="auto" w:sz="4" w:space="0"/>
              <w:left w:val="nil"/>
              <w:bottom w:val="single" w:color="auto" w:sz="4" w:space="0"/>
              <w:right w:val="single" w:color="auto" w:sz="4" w:space="0"/>
            </w:tcBorders>
            <w:shd w:val="clear" w:color="auto" w:fill="auto"/>
          </w:tcPr>
          <w:p w14:paraId="3E0C424D">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15EB9137">
        <w:tblPrEx>
          <w:tblCellMar>
            <w:top w:w="0" w:type="dxa"/>
            <w:left w:w="108" w:type="dxa"/>
            <w:bottom w:w="0" w:type="dxa"/>
            <w:right w:w="108" w:type="dxa"/>
          </w:tblCellMar>
        </w:tblPrEx>
        <w:trPr>
          <w:trHeight w:val="19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FED4FA2">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一、水安全工程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684EE366">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850</w:t>
            </w:r>
            <w:r>
              <w:rPr>
                <w:rFonts w:ascii="Times New Roman" w:hAnsi="Times New Roman" w:cs="Times New Roman"/>
                <w:b/>
                <w:sz w:val="21"/>
                <w:szCs w:val="21"/>
              </w:rPr>
              <w:t>0</w:t>
            </w:r>
          </w:p>
        </w:tc>
        <w:tc>
          <w:tcPr>
            <w:tcW w:w="2162" w:type="dxa"/>
            <w:tcBorders>
              <w:top w:val="single" w:color="auto" w:sz="4" w:space="0"/>
              <w:left w:val="nil"/>
              <w:bottom w:val="single" w:color="auto" w:sz="4" w:space="0"/>
              <w:right w:val="single" w:color="auto" w:sz="4" w:space="0"/>
            </w:tcBorders>
            <w:shd w:val="clear" w:color="auto" w:fill="auto"/>
          </w:tcPr>
          <w:p w14:paraId="66414F52">
            <w:pPr>
              <w:pStyle w:val="22"/>
              <w:adjustRightInd w:val="0"/>
              <w:spacing w:before="0" w:after="0"/>
              <w:jc w:val="center"/>
              <w:rPr>
                <w:rFonts w:ascii="Times New Roman" w:hAnsi="Times New Roman" w:cs="Times New Roman"/>
                <w:sz w:val="21"/>
                <w:szCs w:val="21"/>
              </w:rPr>
            </w:pPr>
          </w:p>
        </w:tc>
      </w:tr>
      <w:tr w14:paraId="33118587">
        <w:tblPrEx>
          <w:tblCellMar>
            <w:top w:w="0" w:type="dxa"/>
            <w:left w:w="108" w:type="dxa"/>
            <w:bottom w:w="0" w:type="dxa"/>
            <w:right w:w="108" w:type="dxa"/>
          </w:tblCellMar>
        </w:tblPrEx>
        <w:trPr>
          <w:trHeight w:val="766"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0A18C67D">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内涝治理工程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329C3212">
            <w:pPr>
              <w:pStyle w:val="22"/>
              <w:adjustRightInd w:val="0"/>
              <w:spacing w:before="0" w:after="0" w:line="300" w:lineRule="exact"/>
              <w:rPr>
                <w:rFonts w:ascii="Times New Roman" w:hAnsi="Times New Roman" w:cs="Times New Roman"/>
                <w:sz w:val="18"/>
                <w:szCs w:val="18"/>
              </w:rPr>
            </w:pPr>
            <w:r>
              <w:rPr>
                <w:rFonts w:hint="eastAsia" w:ascii="Times New Roman" w:hAnsi="Times New Roman"/>
                <w:sz w:val="18"/>
                <w:szCs w:val="18"/>
              </w:rPr>
              <w:t>近期规划改建排涝能力不足的泵站</w:t>
            </w:r>
            <w:r>
              <w:rPr>
                <w:rFonts w:hint="eastAsia" w:ascii="Times New Roman" w:hAnsi="Times New Roman" w:cs="Times New Roman"/>
                <w:sz w:val="18"/>
                <w:szCs w:val="18"/>
              </w:rPr>
              <w:t>2</w:t>
            </w:r>
            <w:r>
              <w:rPr>
                <w:rFonts w:hint="eastAsia" w:ascii="Times New Roman" w:hAnsi="Times New Roman"/>
                <w:sz w:val="18"/>
                <w:szCs w:val="18"/>
              </w:rPr>
              <w:t>宗，规划泵站均按</w:t>
            </w:r>
            <w:r>
              <w:rPr>
                <w:rFonts w:ascii="Times New Roman" w:hAnsi="Times New Roman" w:cs="Times New Roman"/>
                <w:sz w:val="18"/>
                <w:szCs w:val="18"/>
              </w:rPr>
              <w:t>20</w:t>
            </w:r>
            <w:r>
              <w:rPr>
                <w:rFonts w:hint="eastAsia" w:ascii="Times New Roman" w:hAnsi="Times New Roman"/>
                <w:sz w:val="18"/>
                <w:szCs w:val="18"/>
              </w:rPr>
              <w:t>年一遇</w:t>
            </w:r>
            <w:r>
              <w:rPr>
                <w:rFonts w:ascii="Times New Roman" w:hAnsi="Times New Roman" w:cs="Times New Roman"/>
                <w:sz w:val="18"/>
                <w:szCs w:val="18"/>
              </w:rPr>
              <w:t xml:space="preserve">24h </w:t>
            </w:r>
            <w:r>
              <w:rPr>
                <w:rFonts w:hint="eastAsia" w:ascii="Times New Roman" w:hAnsi="Times New Roman"/>
                <w:sz w:val="18"/>
                <w:szCs w:val="18"/>
              </w:rPr>
              <w:t>设计暴雨一天排干不致灾标准</w:t>
            </w:r>
          </w:p>
        </w:tc>
        <w:tc>
          <w:tcPr>
            <w:tcW w:w="963" w:type="dxa"/>
            <w:tcBorders>
              <w:top w:val="single" w:color="auto" w:sz="4" w:space="0"/>
              <w:left w:val="nil"/>
              <w:bottom w:val="single" w:color="auto" w:sz="4" w:space="0"/>
              <w:right w:val="single" w:color="auto" w:sz="4" w:space="0"/>
            </w:tcBorders>
            <w:shd w:val="clear" w:color="auto" w:fill="auto"/>
            <w:vAlign w:val="center"/>
          </w:tcPr>
          <w:p w14:paraId="04DF62AD">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85</w:t>
            </w:r>
            <w:r>
              <w:rPr>
                <w:rFonts w:ascii="Times New Roman" w:hAnsi="Times New Roman" w:cs="Times New Roman"/>
                <w:sz w:val="18"/>
                <w:szCs w:val="18"/>
              </w:rPr>
              <w:t>00</w:t>
            </w:r>
          </w:p>
        </w:tc>
        <w:tc>
          <w:tcPr>
            <w:tcW w:w="2162" w:type="dxa"/>
            <w:tcBorders>
              <w:top w:val="single" w:color="auto" w:sz="4" w:space="0"/>
              <w:left w:val="nil"/>
              <w:bottom w:val="single" w:color="auto" w:sz="4" w:space="0"/>
              <w:right w:val="single" w:color="auto" w:sz="4" w:space="0"/>
            </w:tcBorders>
            <w:shd w:val="clear" w:color="auto" w:fill="auto"/>
          </w:tcPr>
          <w:p w14:paraId="38199000">
            <w:pPr>
              <w:pStyle w:val="22"/>
              <w:adjustRightInd w:val="0"/>
              <w:spacing w:before="0" w:beforeAutospacing="0" w:after="0" w:afterAutospacing="0" w:line="300" w:lineRule="exact"/>
              <w:jc w:val="distribute"/>
              <w:rPr>
                <w:rFonts w:ascii="Times New Roman" w:hAnsi="Times New Roman" w:cs="Times New Roman"/>
                <w:sz w:val="18"/>
                <w:szCs w:val="18"/>
              </w:rPr>
            </w:pPr>
            <w:r>
              <w:rPr>
                <w:rFonts w:hint="eastAsia" w:ascii="Times New Roman" w:hAnsi="Times New Roman"/>
                <w:sz w:val="18"/>
                <w:szCs w:val="18"/>
              </w:rPr>
              <w:t>西区住房城乡建设局（资金由西区办事处筹措）</w:t>
            </w:r>
          </w:p>
        </w:tc>
      </w:tr>
      <w:tr w14:paraId="5A08045F">
        <w:tblPrEx>
          <w:tblCellMar>
            <w:top w:w="0" w:type="dxa"/>
            <w:left w:w="108" w:type="dxa"/>
            <w:bottom w:w="0" w:type="dxa"/>
            <w:right w:w="108" w:type="dxa"/>
          </w:tblCellMar>
        </w:tblPrEx>
        <w:trPr>
          <w:trHeight w:val="27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E5B90DC">
            <w:pPr>
              <w:pStyle w:val="22"/>
              <w:adjustRightInd w:val="0"/>
              <w:spacing w:before="0" w:after="0" w:line="300" w:lineRule="exact"/>
              <w:ind w:firstLine="422"/>
              <w:rPr>
                <w:rFonts w:ascii="Times New Roman" w:hAnsi="Times New Roman" w:cs="Times New Roman"/>
                <w:sz w:val="18"/>
                <w:szCs w:val="18"/>
              </w:rPr>
            </w:pPr>
            <w:r>
              <w:rPr>
                <w:rFonts w:hint="eastAsia" w:ascii="Times New Roman" w:hAnsi="Times New Roman" w:cs="Times New Roman"/>
                <w:b/>
                <w:sz w:val="21"/>
                <w:szCs w:val="21"/>
              </w:rPr>
              <w:t>二、水环境工程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0180D9D7">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237698</w:t>
            </w:r>
          </w:p>
        </w:tc>
        <w:tc>
          <w:tcPr>
            <w:tcW w:w="2162" w:type="dxa"/>
            <w:tcBorders>
              <w:top w:val="single" w:color="auto" w:sz="4" w:space="0"/>
              <w:left w:val="nil"/>
              <w:bottom w:val="single" w:color="auto" w:sz="4" w:space="0"/>
              <w:right w:val="single" w:color="auto" w:sz="4" w:space="0"/>
            </w:tcBorders>
            <w:shd w:val="clear" w:color="auto" w:fill="auto"/>
          </w:tcPr>
          <w:p w14:paraId="5B2ED160">
            <w:pPr>
              <w:pStyle w:val="22"/>
              <w:adjustRightInd w:val="0"/>
              <w:spacing w:before="0" w:beforeAutospacing="0" w:after="0" w:afterAutospacing="0"/>
              <w:jc w:val="center"/>
              <w:rPr>
                <w:rFonts w:ascii="Times New Roman" w:hAnsi="Times New Roman" w:cs="Times New Roman"/>
                <w:sz w:val="21"/>
                <w:szCs w:val="21"/>
              </w:rPr>
            </w:pPr>
          </w:p>
        </w:tc>
      </w:tr>
      <w:tr w14:paraId="38B43561">
        <w:tblPrEx>
          <w:tblCellMar>
            <w:top w:w="0" w:type="dxa"/>
            <w:left w:w="108" w:type="dxa"/>
            <w:bottom w:w="0" w:type="dxa"/>
            <w:right w:w="108" w:type="dxa"/>
          </w:tblCellMar>
        </w:tblPrEx>
        <w:trPr>
          <w:trHeight w:val="1175" w:hRule="atLeast"/>
          <w:jc w:val="center"/>
        </w:trPr>
        <w:tc>
          <w:tcPr>
            <w:tcW w:w="2097" w:type="dxa"/>
            <w:vMerge w:val="restart"/>
            <w:tcBorders>
              <w:top w:val="single" w:color="auto" w:sz="4" w:space="0"/>
              <w:left w:val="single" w:color="auto" w:sz="4" w:space="0"/>
              <w:right w:val="single" w:color="auto" w:sz="4" w:space="0"/>
            </w:tcBorders>
            <w:shd w:val="clear" w:color="auto" w:fill="auto"/>
            <w:vAlign w:val="center"/>
          </w:tcPr>
          <w:p w14:paraId="13BBFA5C">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水环境综合</w:t>
            </w:r>
          </w:p>
          <w:p w14:paraId="5BEB464B">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6072682E">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新建彩虹片区排洪渠总长度约2937m，其中一号渠河渠规划断面为</w:t>
            </w:r>
            <w:r>
              <w:rPr>
                <w:rFonts w:ascii="Times New Roman" w:hAnsi="Times New Roman" w:cs="Times New Roman"/>
                <w:sz w:val="18"/>
                <w:szCs w:val="18"/>
              </w:rPr>
              <w:t>B×H=10m×3m，全长约1641m（不含箱涵）；二号渠河渠规划断面为，B×H=6m×3m</w:t>
            </w:r>
            <w:r>
              <w:rPr>
                <w:rFonts w:hint="eastAsia" w:ascii="Times New Roman" w:hAnsi="Times New Roman" w:cs="Times New Roman"/>
                <w:sz w:val="18"/>
                <w:szCs w:val="18"/>
              </w:rPr>
              <w:t>（北段）</w:t>
            </w:r>
            <w:r>
              <w:rPr>
                <w:rFonts w:ascii="Times New Roman" w:hAnsi="Times New Roman" w:cs="Times New Roman"/>
                <w:sz w:val="18"/>
                <w:szCs w:val="18"/>
              </w:rPr>
              <w:t>长</w:t>
            </w:r>
            <w:r>
              <w:rPr>
                <w:rFonts w:hint="eastAsia" w:ascii="Times New Roman" w:hAnsi="Times New Roman" w:cs="Times New Roman"/>
                <w:sz w:val="18"/>
                <w:szCs w:val="18"/>
              </w:rPr>
              <w:t>689</w:t>
            </w:r>
            <w:r>
              <w:rPr>
                <w:rFonts w:ascii="Times New Roman" w:hAnsi="Times New Roman" w:cs="Times New Roman"/>
                <w:sz w:val="18"/>
                <w:szCs w:val="18"/>
              </w:rPr>
              <w:t>m</w:t>
            </w:r>
            <w:r>
              <w:rPr>
                <w:rFonts w:hint="eastAsia" w:ascii="Times New Roman" w:hAnsi="Times New Roman" w:cs="Times New Roman"/>
                <w:sz w:val="18"/>
                <w:szCs w:val="18"/>
              </w:rPr>
              <w:t>及B</w:t>
            </w:r>
            <w:r>
              <w:rPr>
                <w:rFonts w:ascii="Arial" w:hAnsi="Arial" w:cs="Arial"/>
                <w:sz w:val="18"/>
                <w:szCs w:val="18"/>
              </w:rPr>
              <w:t>×</w:t>
            </w:r>
            <w:r>
              <w:rPr>
                <w:rFonts w:hint="eastAsia" w:ascii="Times New Roman" w:hAnsi="Times New Roman" w:cs="Times New Roman"/>
                <w:sz w:val="18"/>
                <w:szCs w:val="18"/>
              </w:rPr>
              <w:t>H=10m</w:t>
            </w:r>
            <w:r>
              <w:rPr>
                <w:rFonts w:ascii="Arial" w:hAnsi="Arial" w:cs="Arial"/>
                <w:sz w:val="18"/>
                <w:szCs w:val="18"/>
              </w:rPr>
              <w:t>×</w:t>
            </w:r>
            <w:r>
              <w:rPr>
                <w:rFonts w:hint="eastAsia" w:ascii="Arial" w:hAnsi="Arial" w:cs="Arial"/>
                <w:sz w:val="18"/>
                <w:szCs w:val="18"/>
              </w:rPr>
              <w:t>4</w:t>
            </w:r>
            <w:r>
              <w:rPr>
                <w:rFonts w:hint="eastAsia" w:ascii="Times New Roman" w:hAnsi="Times New Roman" w:cs="Times New Roman"/>
                <w:sz w:val="18"/>
                <w:szCs w:val="18"/>
              </w:rPr>
              <w:t>m（南段）长607m，全长约为1296</w:t>
            </w:r>
            <w:r>
              <w:rPr>
                <w:rFonts w:ascii="Times New Roman" w:hAnsi="Times New Roman" w:cs="Times New Roman"/>
                <w:sz w:val="18"/>
                <w:szCs w:val="18"/>
              </w:rPr>
              <w:t>m（不含箱涵）</w:t>
            </w:r>
          </w:p>
        </w:tc>
        <w:tc>
          <w:tcPr>
            <w:tcW w:w="963" w:type="dxa"/>
            <w:tcBorders>
              <w:top w:val="single" w:color="auto" w:sz="4" w:space="0"/>
              <w:left w:val="nil"/>
              <w:bottom w:val="single" w:color="auto" w:sz="4" w:space="0"/>
              <w:right w:val="single" w:color="auto" w:sz="4" w:space="0"/>
            </w:tcBorders>
            <w:shd w:val="clear" w:color="auto" w:fill="auto"/>
            <w:vAlign w:val="center"/>
          </w:tcPr>
          <w:p w14:paraId="2E9A7E2B">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12213</w:t>
            </w:r>
          </w:p>
        </w:tc>
        <w:tc>
          <w:tcPr>
            <w:tcW w:w="2162" w:type="dxa"/>
            <w:tcBorders>
              <w:top w:val="single" w:color="auto" w:sz="4" w:space="0"/>
              <w:left w:val="nil"/>
              <w:bottom w:val="single" w:color="auto" w:sz="4" w:space="0"/>
              <w:right w:val="single" w:color="auto" w:sz="4" w:space="0"/>
            </w:tcBorders>
            <w:shd w:val="clear" w:color="auto" w:fill="auto"/>
          </w:tcPr>
          <w:p w14:paraId="7C3D9EC2">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西区住房城乡建设局（资金由西区办事处筹措）</w:t>
            </w:r>
          </w:p>
        </w:tc>
      </w:tr>
      <w:tr w14:paraId="0D0A0637">
        <w:tblPrEx>
          <w:tblCellMar>
            <w:top w:w="0" w:type="dxa"/>
            <w:left w:w="108" w:type="dxa"/>
            <w:bottom w:w="0" w:type="dxa"/>
            <w:right w:w="108" w:type="dxa"/>
          </w:tblCellMar>
        </w:tblPrEx>
        <w:trPr>
          <w:trHeight w:val="318" w:hRule="atLeast"/>
          <w:jc w:val="center"/>
        </w:trPr>
        <w:tc>
          <w:tcPr>
            <w:tcW w:w="2097" w:type="dxa"/>
            <w:vMerge w:val="continue"/>
            <w:tcBorders>
              <w:left w:val="single" w:color="auto" w:sz="4" w:space="0"/>
              <w:right w:val="single" w:color="auto" w:sz="4" w:space="0"/>
            </w:tcBorders>
            <w:shd w:val="clear" w:color="auto" w:fill="auto"/>
            <w:vAlign w:val="center"/>
          </w:tcPr>
          <w:p w14:paraId="66C02276">
            <w:pPr>
              <w:pStyle w:val="22"/>
              <w:adjustRightInd w:val="0"/>
              <w:spacing w:before="0" w:beforeAutospacing="0" w:after="0" w:afterAutospacing="0"/>
              <w:jc w:val="center"/>
              <w:rPr>
                <w:rFonts w:ascii="Times New Roman" w:hAnsi="Times New Roman" w:cs="Times New Roman"/>
                <w:sz w:val="21"/>
                <w:szCs w:val="21"/>
              </w:rPr>
            </w:pPr>
          </w:p>
        </w:tc>
        <w:tc>
          <w:tcPr>
            <w:tcW w:w="5262" w:type="dxa"/>
            <w:tcBorders>
              <w:top w:val="single" w:color="auto" w:sz="4" w:space="0"/>
              <w:left w:val="nil"/>
              <w:bottom w:val="single" w:color="auto" w:sz="4" w:space="0"/>
              <w:right w:val="single" w:color="auto" w:sz="4" w:space="0"/>
            </w:tcBorders>
            <w:shd w:val="clear" w:color="auto" w:fill="auto"/>
            <w:vAlign w:val="center"/>
          </w:tcPr>
          <w:p w14:paraId="34051103">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中山市西区狮滘河一河两岸改造提升工程，改造范围为岐江河（滨江一号处）至狮滘桥（105国道）</w:t>
            </w:r>
          </w:p>
        </w:tc>
        <w:tc>
          <w:tcPr>
            <w:tcW w:w="963" w:type="dxa"/>
            <w:tcBorders>
              <w:top w:val="single" w:color="auto" w:sz="4" w:space="0"/>
              <w:left w:val="nil"/>
              <w:bottom w:val="single" w:color="auto" w:sz="4" w:space="0"/>
              <w:right w:val="single" w:color="auto" w:sz="4" w:space="0"/>
            </w:tcBorders>
            <w:shd w:val="clear" w:color="auto" w:fill="auto"/>
            <w:vAlign w:val="center"/>
          </w:tcPr>
          <w:p w14:paraId="443D07E8">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12000</w:t>
            </w:r>
          </w:p>
        </w:tc>
        <w:tc>
          <w:tcPr>
            <w:tcW w:w="2162" w:type="dxa"/>
            <w:tcBorders>
              <w:top w:val="single" w:color="auto" w:sz="4" w:space="0"/>
              <w:left w:val="nil"/>
              <w:bottom w:val="single" w:color="auto" w:sz="4" w:space="0"/>
              <w:right w:val="single" w:color="auto" w:sz="4" w:space="0"/>
            </w:tcBorders>
            <w:shd w:val="clear" w:color="auto" w:fill="auto"/>
          </w:tcPr>
          <w:p w14:paraId="7214B148">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57EC1066">
        <w:tblPrEx>
          <w:tblCellMar>
            <w:top w:w="0" w:type="dxa"/>
            <w:left w:w="108" w:type="dxa"/>
            <w:bottom w:w="0" w:type="dxa"/>
            <w:right w:w="108" w:type="dxa"/>
          </w:tblCellMar>
        </w:tblPrEx>
        <w:trPr>
          <w:trHeight w:val="318" w:hRule="atLeast"/>
          <w:jc w:val="center"/>
        </w:trPr>
        <w:tc>
          <w:tcPr>
            <w:tcW w:w="2097" w:type="dxa"/>
            <w:vMerge w:val="continue"/>
            <w:tcBorders>
              <w:left w:val="single" w:color="auto" w:sz="4" w:space="0"/>
              <w:bottom w:val="single" w:color="auto" w:sz="4" w:space="0"/>
              <w:right w:val="single" w:color="auto" w:sz="4" w:space="0"/>
            </w:tcBorders>
            <w:shd w:val="clear" w:color="auto" w:fill="auto"/>
            <w:vAlign w:val="center"/>
          </w:tcPr>
          <w:p w14:paraId="4547310B">
            <w:pPr>
              <w:pStyle w:val="22"/>
              <w:adjustRightInd w:val="0"/>
              <w:spacing w:before="0" w:beforeAutospacing="0" w:after="0" w:afterAutospacing="0"/>
              <w:jc w:val="center"/>
              <w:rPr>
                <w:rFonts w:ascii="Times New Roman" w:hAnsi="Times New Roman" w:cs="Times New Roman"/>
                <w:sz w:val="21"/>
                <w:szCs w:val="21"/>
              </w:rPr>
            </w:pPr>
          </w:p>
        </w:tc>
        <w:tc>
          <w:tcPr>
            <w:tcW w:w="5262" w:type="dxa"/>
            <w:tcBorders>
              <w:top w:val="single" w:color="auto" w:sz="4" w:space="0"/>
              <w:left w:val="nil"/>
              <w:bottom w:val="single" w:color="auto" w:sz="4" w:space="0"/>
              <w:right w:val="single" w:color="auto" w:sz="4" w:space="0"/>
            </w:tcBorders>
            <w:shd w:val="clear" w:color="auto" w:fill="auto"/>
            <w:vAlign w:val="center"/>
          </w:tcPr>
          <w:p w14:paraId="665C2A36">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中山市中心组团黑臭〈未达标〉水体整治提升工程〈项目二〉，西区1</w:t>
            </w:r>
            <w:r>
              <w:rPr>
                <w:rFonts w:ascii="Times New Roman" w:hAnsi="Times New Roman" w:cs="Times New Roman"/>
                <w:sz w:val="18"/>
                <w:szCs w:val="18"/>
              </w:rPr>
              <w:t>5</w:t>
            </w:r>
            <w:r>
              <w:rPr>
                <w:rFonts w:hint="eastAsia" w:ascii="Times New Roman" w:hAnsi="Times New Roman" w:cs="Times New Roman"/>
                <w:sz w:val="18"/>
                <w:szCs w:val="18"/>
              </w:rPr>
              <w:t>条（段）河涌进行截污工程、河涌范围现状污水管道检查及修复工程、面源污染治理工程、清淤工程、生态修复工程、水系循环及补水工程等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37070288">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163485</w:t>
            </w:r>
          </w:p>
        </w:tc>
        <w:tc>
          <w:tcPr>
            <w:tcW w:w="2162" w:type="dxa"/>
            <w:tcBorders>
              <w:top w:val="single" w:color="auto" w:sz="4" w:space="0"/>
              <w:left w:val="nil"/>
              <w:bottom w:val="single" w:color="auto" w:sz="4" w:space="0"/>
              <w:right w:val="single" w:color="auto" w:sz="4" w:space="0"/>
            </w:tcBorders>
            <w:shd w:val="clear" w:color="auto" w:fill="auto"/>
          </w:tcPr>
          <w:p w14:paraId="33CA5AE9">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15C44B9F">
        <w:tblPrEx>
          <w:tblCellMar>
            <w:top w:w="0" w:type="dxa"/>
            <w:left w:w="108" w:type="dxa"/>
            <w:bottom w:w="0" w:type="dxa"/>
            <w:right w:w="108" w:type="dxa"/>
          </w:tblCellMar>
        </w:tblPrEx>
        <w:trPr>
          <w:trHeight w:val="90"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95D5165">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污水工程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6BB7ECFA">
            <w:pPr>
              <w:pStyle w:val="22"/>
              <w:adjustRightInd w:val="0"/>
              <w:spacing w:before="0" w:after="0" w:line="300" w:lineRule="exact"/>
              <w:rPr>
                <w:rFonts w:ascii="Times New Roman" w:hAnsi="Times New Roman" w:cs="Times New Roman"/>
                <w:sz w:val="18"/>
                <w:szCs w:val="18"/>
              </w:rPr>
            </w:pPr>
            <w:r>
              <w:rPr>
                <w:rFonts w:hint="eastAsia" w:ascii="Times New Roman" w:hAnsi="Times New Roman" w:cs="Times New Roman"/>
                <w:sz w:val="18"/>
                <w:szCs w:val="18"/>
              </w:rPr>
              <w:t>完善城区片4个片区污水管网建设，推进建设沙朗片7个片区工程等污水管网工程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1DC5983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50000</w:t>
            </w:r>
          </w:p>
        </w:tc>
        <w:tc>
          <w:tcPr>
            <w:tcW w:w="2162" w:type="dxa"/>
            <w:tcBorders>
              <w:top w:val="single" w:color="auto" w:sz="4" w:space="0"/>
              <w:left w:val="nil"/>
              <w:bottom w:val="single" w:color="auto" w:sz="4" w:space="0"/>
              <w:right w:val="single" w:color="auto" w:sz="4" w:space="0"/>
            </w:tcBorders>
            <w:shd w:val="clear" w:color="auto" w:fill="auto"/>
          </w:tcPr>
          <w:p w14:paraId="20E29AA1">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西区住房城乡建设局（资金由市统筹18000万元，区统筹32000万元）</w:t>
            </w:r>
          </w:p>
        </w:tc>
      </w:tr>
      <w:tr w14:paraId="7CBB3AC8">
        <w:tblPrEx>
          <w:tblCellMar>
            <w:top w:w="0" w:type="dxa"/>
            <w:left w:w="108" w:type="dxa"/>
            <w:bottom w:w="0" w:type="dxa"/>
            <w:right w:w="108" w:type="dxa"/>
          </w:tblCellMar>
        </w:tblPrEx>
        <w:trPr>
          <w:trHeight w:val="90"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6E0AFC4">
            <w:pPr>
              <w:pStyle w:val="22"/>
              <w:adjustRightInd w:val="0"/>
              <w:spacing w:before="0" w:after="0"/>
              <w:ind w:firstLine="422"/>
              <w:rPr>
                <w:rFonts w:ascii="Times New Roman" w:hAnsi="Times New Roman" w:cs="Times New Roman"/>
                <w:b/>
                <w:sz w:val="21"/>
                <w:szCs w:val="21"/>
              </w:rPr>
            </w:pPr>
            <w:r>
              <w:rPr>
                <w:rFonts w:hint="eastAsia" w:ascii="Times New Roman" w:hAnsi="Times New Roman" w:cs="Times New Roman"/>
                <w:b/>
                <w:sz w:val="21"/>
                <w:szCs w:val="21"/>
              </w:rPr>
              <w:t>三、水生态工程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5833AF69">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58</w:t>
            </w:r>
            <w:r>
              <w:rPr>
                <w:rFonts w:ascii="Times New Roman" w:hAnsi="Times New Roman" w:cs="Times New Roman"/>
                <w:b/>
                <w:sz w:val="21"/>
                <w:szCs w:val="21"/>
              </w:rPr>
              <w:t>00</w:t>
            </w:r>
          </w:p>
        </w:tc>
        <w:tc>
          <w:tcPr>
            <w:tcW w:w="2162" w:type="dxa"/>
            <w:tcBorders>
              <w:top w:val="single" w:color="auto" w:sz="4" w:space="0"/>
              <w:left w:val="nil"/>
              <w:bottom w:val="single" w:color="auto" w:sz="4" w:space="0"/>
              <w:right w:val="single" w:color="auto" w:sz="4" w:space="0"/>
            </w:tcBorders>
            <w:shd w:val="clear" w:color="auto" w:fill="auto"/>
          </w:tcPr>
          <w:p w14:paraId="4C9705FC">
            <w:pPr>
              <w:pStyle w:val="22"/>
              <w:adjustRightInd w:val="0"/>
              <w:spacing w:before="0" w:beforeAutospacing="0" w:after="0" w:afterAutospacing="0"/>
              <w:jc w:val="center"/>
              <w:rPr>
                <w:rFonts w:ascii="Times New Roman" w:hAnsi="Times New Roman" w:cs="Times New Roman"/>
                <w:sz w:val="18"/>
                <w:szCs w:val="18"/>
              </w:rPr>
            </w:pPr>
          </w:p>
        </w:tc>
      </w:tr>
      <w:tr w14:paraId="70B42887">
        <w:tblPrEx>
          <w:tblCellMar>
            <w:top w:w="0" w:type="dxa"/>
            <w:left w:w="108" w:type="dxa"/>
            <w:bottom w:w="0" w:type="dxa"/>
            <w:right w:w="108" w:type="dxa"/>
          </w:tblCellMar>
        </w:tblPrEx>
        <w:trPr>
          <w:trHeight w:val="90"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CCD1DC6">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河涌、水道滨岸景观带建设</w:t>
            </w:r>
          </w:p>
        </w:tc>
        <w:tc>
          <w:tcPr>
            <w:tcW w:w="5262" w:type="dxa"/>
            <w:tcBorders>
              <w:top w:val="single" w:color="auto" w:sz="4" w:space="0"/>
              <w:left w:val="nil"/>
              <w:bottom w:val="single" w:color="auto" w:sz="4" w:space="0"/>
              <w:right w:val="single" w:color="auto" w:sz="4" w:space="0"/>
            </w:tcBorders>
            <w:shd w:val="clear" w:color="auto" w:fill="auto"/>
            <w:vAlign w:val="center"/>
          </w:tcPr>
          <w:p w14:paraId="5272F1E0">
            <w:pPr>
              <w:pStyle w:val="22"/>
              <w:adjustRightInd w:val="0"/>
              <w:spacing w:before="0" w:after="0"/>
              <w:rPr>
                <w:rFonts w:ascii="Times New Roman" w:hAnsi="Times New Roman" w:cs="Times New Roman"/>
                <w:sz w:val="20"/>
                <w:szCs w:val="20"/>
              </w:rPr>
            </w:pPr>
            <w:r>
              <w:rPr>
                <w:rFonts w:hint="eastAsia" w:ascii="Times New Roman" w:hAnsi="Times New Roman" w:cs="Times New Roman"/>
                <w:sz w:val="18"/>
                <w:szCs w:val="18"/>
              </w:rPr>
              <w:t>狮滘河、十六顷排灌渠、悦生涌、石特涌、沙朗涌、南八涌、南六涌、岐江河滨岸带美化绿化建设、沿江路硬化、沿江公园建设等。支流河涌绿化、引水、生态净化等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1870C160">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sz w:val="21"/>
                <w:szCs w:val="21"/>
              </w:rPr>
              <w:t>58</w:t>
            </w:r>
            <w:r>
              <w:rPr>
                <w:rFonts w:ascii="Times New Roman" w:hAnsi="Times New Roman" w:cs="Times New Roman"/>
                <w:sz w:val="21"/>
                <w:szCs w:val="21"/>
              </w:rPr>
              <w:t>00</w:t>
            </w:r>
          </w:p>
        </w:tc>
        <w:tc>
          <w:tcPr>
            <w:tcW w:w="2162" w:type="dxa"/>
            <w:tcBorders>
              <w:top w:val="single" w:color="auto" w:sz="4" w:space="0"/>
              <w:left w:val="nil"/>
              <w:bottom w:val="single" w:color="auto" w:sz="4" w:space="0"/>
              <w:right w:val="single" w:color="auto" w:sz="4" w:space="0"/>
            </w:tcBorders>
            <w:shd w:val="clear" w:color="auto" w:fill="auto"/>
          </w:tcPr>
          <w:p w14:paraId="5E223DDC">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sz w:val="18"/>
                <w:szCs w:val="18"/>
              </w:rPr>
              <w:t>西区住房城乡建设局、西区农业和社区工作局（资金由西区办事处筹措）</w:t>
            </w:r>
          </w:p>
        </w:tc>
      </w:tr>
    </w:tbl>
    <w:p w14:paraId="31DE9620">
      <w:pPr>
        <w:spacing w:line="240" w:lineRule="auto"/>
        <w:ind w:firstLine="480"/>
        <w:jc w:val="center"/>
        <w:rPr>
          <w:rFonts w:eastAsia="宋体" w:cs="Times New Roman"/>
          <w:szCs w:val="24"/>
        </w:rPr>
      </w:pPr>
      <w:r>
        <w:rPr>
          <w:rFonts w:eastAsia="宋体" w:cs="Times New Roman"/>
          <w:szCs w:val="24"/>
          <w:lang w:bidi="ar"/>
        </w:rPr>
        <w:br w:type="page"/>
      </w:r>
      <w:r>
        <w:rPr>
          <w:rFonts w:hint="eastAsia" w:eastAsia="宋体" w:cs="Times New Roman"/>
          <w:sz w:val="18"/>
          <w:szCs w:val="18"/>
          <w:lang w:bidi="ar"/>
        </w:rPr>
        <w:t>续</w:t>
      </w:r>
      <w:r>
        <w:rPr>
          <w:rFonts w:hint="eastAsia" w:eastAsia="宋体" w:cs="Times New Roman"/>
          <w:sz w:val="21"/>
          <w:lang w:bidi="ar"/>
        </w:rPr>
        <w:t>表</w:t>
      </w:r>
      <w:r>
        <w:rPr>
          <w:rFonts w:eastAsia="宋体" w:cs="Times New Roman"/>
          <w:sz w:val="21"/>
          <w:lang w:bidi="ar"/>
        </w:rPr>
        <w:t xml:space="preserve">6-2  </w:t>
      </w:r>
      <w:r>
        <w:rPr>
          <w:rFonts w:hint="eastAsia" w:eastAsia="宋体" w:cs="Times New Roman"/>
          <w:sz w:val="21"/>
          <w:lang w:bidi="ar"/>
        </w:rPr>
        <w:t>西区近期开展的重点工程项目</w:t>
      </w:r>
    </w:p>
    <w:tbl>
      <w:tblPr>
        <w:tblStyle w:val="25"/>
        <w:tblW w:w="9859" w:type="dxa"/>
        <w:jc w:val="center"/>
        <w:tblLayout w:type="fixed"/>
        <w:tblCellMar>
          <w:top w:w="0" w:type="dxa"/>
          <w:left w:w="108" w:type="dxa"/>
          <w:bottom w:w="0" w:type="dxa"/>
          <w:right w:w="108" w:type="dxa"/>
        </w:tblCellMar>
      </w:tblPr>
      <w:tblGrid>
        <w:gridCol w:w="2364"/>
        <w:gridCol w:w="4011"/>
        <w:gridCol w:w="993"/>
        <w:gridCol w:w="2491"/>
      </w:tblGrid>
      <w:tr w14:paraId="6CC96225">
        <w:tblPrEx>
          <w:tblCellMar>
            <w:top w:w="0" w:type="dxa"/>
            <w:left w:w="108" w:type="dxa"/>
            <w:bottom w:w="0" w:type="dxa"/>
            <w:right w:w="108" w:type="dxa"/>
          </w:tblCellMar>
        </w:tblPrEx>
        <w:trPr>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6409D790">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4011" w:type="dxa"/>
            <w:tcBorders>
              <w:top w:val="single" w:color="auto" w:sz="4" w:space="0"/>
              <w:left w:val="nil"/>
              <w:bottom w:val="single" w:color="auto" w:sz="4" w:space="0"/>
              <w:right w:val="single" w:color="auto" w:sz="4" w:space="0"/>
            </w:tcBorders>
            <w:shd w:val="clear" w:color="auto" w:fill="auto"/>
            <w:vAlign w:val="center"/>
          </w:tcPr>
          <w:p w14:paraId="28A214F2">
            <w:pPr>
              <w:pStyle w:val="22"/>
              <w:adjustRightInd w:val="0"/>
              <w:spacing w:before="0" w:beforeAutospacing="0" w:after="0" w:afterAutospacing="0"/>
              <w:ind w:firstLine="36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93" w:type="dxa"/>
            <w:tcBorders>
              <w:top w:val="single" w:color="auto" w:sz="4" w:space="0"/>
              <w:left w:val="nil"/>
              <w:bottom w:val="single" w:color="auto" w:sz="4" w:space="0"/>
              <w:right w:val="single" w:color="auto" w:sz="4" w:space="0"/>
            </w:tcBorders>
            <w:shd w:val="clear" w:color="auto" w:fill="auto"/>
            <w:vAlign w:val="center"/>
          </w:tcPr>
          <w:p w14:paraId="2E7EB918">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4E4D40C5">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491" w:type="dxa"/>
            <w:tcBorders>
              <w:top w:val="single" w:color="auto" w:sz="4" w:space="0"/>
              <w:left w:val="nil"/>
              <w:bottom w:val="single" w:color="auto" w:sz="4" w:space="0"/>
              <w:right w:val="single" w:color="auto" w:sz="4" w:space="0"/>
            </w:tcBorders>
            <w:shd w:val="clear" w:color="auto" w:fill="auto"/>
          </w:tcPr>
          <w:p w14:paraId="0420F757">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7A5CC985">
        <w:tblPrEx>
          <w:tblCellMar>
            <w:top w:w="0" w:type="dxa"/>
            <w:left w:w="108" w:type="dxa"/>
            <w:bottom w:w="0" w:type="dxa"/>
            <w:right w:w="108" w:type="dxa"/>
          </w:tblCellMar>
        </w:tblPrEx>
        <w:trPr>
          <w:trHeight w:val="371"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EE954E4">
            <w:pPr>
              <w:pStyle w:val="22"/>
              <w:adjustRightInd w:val="0"/>
              <w:spacing w:before="0" w:after="0"/>
              <w:ind w:firstLine="361"/>
              <w:rPr>
                <w:rFonts w:ascii="Times New Roman" w:hAnsi="Times New Roman" w:cs="Times New Roman"/>
                <w:b/>
                <w:sz w:val="18"/>
                <w:szCs w:val="18"/>
              </w:rPr>
            </w:pPr>
            <w:r>
              <w:rPr>
                <w:rFonts w:hint="eastAsia" w:ascii="Times New Roman" w:hAnsi="Times New Roman" w:cs="Times New Roman"/>
                <w:b/>
                <w:sz w:val="21"/>
                <w:szCs w:val="21"/>
              </w:rPr>
              <w:t>四、水监管</w:t>
            </w:r>
          </w:p>
        </w:tc>
        <w:tc>
          <w:tcPr>
            <w:tcW w:w="993" w:type="dxa"/>
            <w:tcBorders>
              <w:top w:val="single" w:color="auto" w:sz="4" w:space="0"/>
              <w:left w:val="nil"/>
              <w:bottom w:val="single" w:color="auto" w:sz="4" w:space="0"/>
              <w:right w:val="single" w:color="auto" w:sz="4" w:space="0"/>
            </w:tcBorders>
            <w:shd w:val="clear" w:color="auto" w:fill="auto"/>
            <w:vAlign w:val="center"/>
          </w:tcPr>
          <w:p w14:paraId="540413D5">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28</w:t>
            </w:r>
            <w:r>
              <w:rPr>
                <w:rFonts w:ascii="Times New Roman" w:hAnsi="Times New Roman" w:cs="Times New Roman"/>
                <w:b/>
                <w:sz w:val="21"/>
                <w:szCs w:val="21"/>
              </w:rPr>
              <w:t>0</w:t>
            </w:r>
          </w:p>
        </w:tc>
        <w:tc>
          <w:tcPr>
            <w:tcW w:w="2491" w:type="dxa"/>
            <w:tcBorders>
              <w:top w:val="single" w:color="auto" w:sz="4" w:space="0"/>
              <w:left w:val="nil"/>
              <w:bottom w:val="single" w:color="auto" w:sz="4" w:space="0"/>
              <w:right w:val="single" w:color="auto" w:sz="4" w:space="0"/>
            </w:tcBorders>
            <w:shd w:val="clear" w:color="auto" w:fill="auto"/>
          </w:tcPr>
          <w:p w14:paraId="557F020F">
            <w:pPr>
              <w:pStyle w:val="22"/>
              <w:adjustRightInd w:val="0"/>
              <w:spacing w:before="0" w:after="0"/>
              <w:ind w:firstLine="361"/>
              <w:jc w:val="center"/>
              <w:rPr>
                <w:rFonts w:ascii="Times New Roman" w:hAnsi="Times New Roman" w:cs="Times New Roman"/>
                <w:b/>
                <w:sz w:val="21"/>
                <w:szCs w:val="21"/>
              </w:rPr>
            </w:pPr>
          </w:p>
        </w:tc>
      </w:tr>
      <w:tr w14:paraId="5881AC62">
        <w:tblPrEx>
          <w:tblCellMar>
            <w:top w:w="0" w:type="dxa"/>
            <w:left w:w="108" w:type="dxa"/>
            <w:bottom w:w="0" w:type="dxa"/>
            <w:right w:w="108" w:type="dxa"/>
          </w:tblCellMar>
        </w:tblPrEx>
        <w:trPr>
          <w:trHeight w:val="1108"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0E9E4E3F">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定期监测入河排污口</w:t>
            </w:r>
          </w:p>
        </w:tc>
        <w:tc>
          <w:tcPr>
            <w:tcW w:w="4011" w:type="dxa"/>
            <w:tcBorders>
              <w:top w:val="single" w:color="auto" w:sz="4" w:space="0"/>
              <w:left w:val="nil"/>
              <w:bottom w:val="single" w:color="auto" w:sz="4" w:space="0"/>
              <w:right w:val="single" w:color="auto" w:sz="4" w:space="0"/>
            </w:tcBorders>
            <w:shd w:val="clear" w:color="auto" w:fill="auto"/>
            <w:vAlign w:val="center"/>
          </w:tcPr>
          <w:p w14:paraId="310DBA59">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排查清楚境内狮滘河、十六顷排灌渠、悦生涌、石特涌、沙朗涌、南八涌、南六涌、岐江河等列入中山市水功能区的主要河涌的入河排污口，并开展定期监测</w:t>
            </w:r>
          </w:p>
        </w:tc>
        <w:tc>
          <w:tcPr>
            <w:tcW w:w="993" w:type="dxa"/>
            <w:tcBorders>
              <w:top w:val="single" w:color="auto" w:sz="4" w:space="0"/>
              <w:left w:val="nil"/>
              <w:bottom w:val="single" w:color="auto" w:sz="4" w:space="0"/>
              <w:right w:val="single" w:color="auto" w:sz="4" w:space="0"/>
            </w:tcBorders>
            <w:shd w:val="clear" w:color="auto" w:fill="auto"/>
            <w:vAlign w:val="center"/>
          </w:tcPr>
          <w:p w14:paraId="69F11AD7">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28</w:t>
            </w:r>
            <w:r>
              <w:rPr>
                <w:rFonts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05E6971E">
            <w:pPr>
              <w:pStyle w:val="22"/>
              <w:adjustRightInd w:val="0"/>
              <w:spacing w:before="0" w:beforeAutospacing="0" w:after="0" w:afterAutospacing="0"/>
              <w:jc w:val="center"/>
              <w:rPr>
                <w:rFonts w:ascii="Times New Roman" w:hAnsi="Times New Roman" w:cs="Times New Roman"/>
                <w:sz w:val="18"/>
                <w:szCs w:val="18"/>
              </w:rPr>
            </w:pPr>
          </w:p>
          <w:p w14:paraId="4E05827A">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西区水利所（资金由西区办事处筹措）</w:t>
            </w:r>
          </w:p>
        </w:tc>
      </w:tr>
      <w:tr w14:paraId="7276BF09">
        <w:tblPrEx>
          <w:tblCellMar>
            <w:top w:w="0" w:type="dxa"/>
            <w:left w:w="108" w:type="dxa"/>
            <w:bottom w:w="0" w:type="dxa"/>
            <w:right w:w="108" w:type="dxa"/>
          </w:tblCellMar>
        </w:tblPrEx>
        <w:trPr>
          <w:trHeight w:val="400"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68ECEF5">
            <w:pPr>
              <w:pStyle w:val="22"/>
              <w:adjustRightInd w:val="0"/>
              <w:spacing w:before="0" w:after="0"/>
              <w:ind w:firstLine="361"/>
              <w:rPr>
                <w:rFonts w:ascii="Times New Roman" w:hAnsi="Times New Roman" w:cs="Times New Roman"/>
                <w:b/>
                <w:sz w:val="18"/>
                <w:szCs w:val="18"/>
              </w:rPr>
            </w:pPr>
            <w:r>
              <w:rPr>
                <w:rFonts w:hint="eastAsia" w:ascii="Times New Roman" w:hAnsi="Times New Roman" w:cs="Times New Roman"/>
                <w:b/>
                <w:sz w:val="21"/>
                <w:szCs w:val="21"/>
              </w:rPr>
              <w:t>五、水节约工程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49419C84">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11</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491" w:type="dxa"/>
            <w:tcBorders>
              <w:top w:val="single" w:color="auto" w:sz="4" w:space="0"/>
              <w:left w:val="nil"/>
              <w:bottom w:val="single" w:color="auto" w:sz="4" w:space="0"/>
              <w:right w:val="single" w:color="auto" w:sz="4" w:space="0"/>
            </w:tcBorders>
            <w:shd w:val="clear" w:color="auto" w:fill="auto"/>
          </w:tcPr>
          <w:p w14:paraId="703DB8E5">
            <w:pPr>
              <w:pStyle w:val="22"/>
              <w:adjustRightInd w:val="0"/>
              <w:spacing w:before="0" w:after="0"/>
              <w:ind w:firstLine="361"/>
              <w:jc w:val="center"/>
              <w:rPr>
                <w:rFonts w:ascii="Times New Roman" w:hAnsi="Times New Roman" w:cs="Times New Roman"/>
                <w:b/>
                <w:sz w:val="21"/>
                <w:szCs w:val="21"/>
              </w:rPr>
            </w:pPr>
          </w:p>
        </w:tc>
      </w:tr>
      <w:tr w14:paraId="62DB9D41">
        <w:tblPrEx>
          <w:tblCellMar>
            <w:top w:w="0" w:type="dxa"/>
            <w:left w:w="108" w:type="dxa"/>
            <w:bottom w:w="0" w:type="dxa"/>
            <w:right w:w="108" w:type="dxa"/>
          </w:tblCellMar>
        </w:tblPrEx>
        <w:trPr>
          <w:trHeight w:val="489"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7003580">
            <w:pPr>
              <w:pStyle w:val="22"/>
              <w:adjustRightInd w:val="0"/>
              <w:spacing w:before="0" w:after="0"/>
              <w:ind w:firstLine="402"/>
              <w:rPr>
                <w:rFonts w:ascii="Times New Roman" w:hAnsi="Times New Roman" w:cs="Times New Roman"/>
                <w:b/>
                <w:sz w:val="18"/>
                <w:szCs w:val="18"/>
              </w:rPr>
            </w:pPr>
            <w:r>
              <w:rPr>
                <w:rFonts w:ascii="Times New Roman" w:hAnsi="Times New Roman" w:cs="Times New Roman"/>
                <w:b/>
                <w:sz w:val="21"/>
                <w:szCs w:val="21"/>
              </w:rPr>
              <w:t>1</w:t>
            </w:r>
            <w:r>
              <w:rPr>
                <w:rFonts w:hint="eastAsia" w:ascii="Times New Roman" w:hAnsi="Times New Roman" w:cs="Times New Roman"/>
                <w:b/>
                <w:sz w:val="21"/>
                <w:szCs w:val="21"/>
              </w:rPr>
              <w:t>、工业节水工程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5E694C5B">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w:t>
            </w:r>
            <w:r>
              <w:rPr>
                <w:rFonts w:ascii="Times New Roman" w:hAnsi="Times New Roman" w:cs="Times New Roman"/>
                <w:b/>
                <w:sz w:val="21"/>
                <w:szCs w:val="21"/>
              </w:rPr>
              <w:t>80</w:t>
            </w:r>
          </w:p>
        </w:tc>
        <w:tc>
          <w:tcPr>
            <w:tcW w:w="2491" w:type="dxa"/>
            <w:tcBorders>
              <w:top w:val="single" w:color="auto" w:sz="4" w:space="0"/>
              <w:left w:val="nil"/>
              <w:bottom w:val="single" w:color="auto" w:sz="4" w:space="0"/>
              <w:right w:val="single" w:color="auto" w:sz="4" w:space="0"/>
            </w:tcBorders>
            <w:shd w:val="clear" w:color="auto" w:fill="auto"/>
          </w:tcPr>
          <w:p w14:paraId="7BC18619">
            <w:pPr>
              <w:pStyle w:val="22"/>
              <w:adjustRightInd w:val="0"/>
              <w:spacing w:before="0" w:after="0"/>
              <w:ind w:firstLine="361"/>
              <w:jc w:val="center"/>
              <w:rPr>
                <w:rFonts w:ascii="Times New Roman" w:hAnsi="Times New Roman" w:cs="Times New Roman"/>
                <w:b/>
                <w:sz w:val="21"/>
                <w:szCs w:val="21"/>
              </w:rPr>
            </w:pPr>
          </w:p>
        </w:tc>
      </w:tr>
      <w:tr w14:paraId="3718B8EB">
        <w:tblPrEx>
          <w:tblCellMar>
            <w:top w:w="0" w:type="dxa"/>
            <w:left w:w="108" w:type="dxa"/>
            <w:bottom w:w="0" w:type="dxa"/>
            <w:right w:w="108" w:type="dxa"/>
          </w:tblCellMar>
        </w:tblPrEx>
        <w:trPr>
          <w:trHeight w:val="1860"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1C6823DD">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sz w:val="21"/>
                <w:szCs w:val="21"/>
              </w:rPr>
              <w:t>重点行业</w:t>
            </w:r>
          </w:p>
        </w:tc>
        <w:tc>
          <w:tcPr>
            <w:tcW w:w="4011" w:type="dxa"/>
            <w:tcBorders>
              <w:top w:val="single" w:color="auto" w:sz="4" w:space="0"/>
              <w:left w:val="nil"/>
              <w:bottom w:val="single" w:color="auto" w:sz="4" w:space="0"/>
              <w:right w:val="single" w:color="auto" w:sz="4" w:space="0"/>
            </w:tcBorders>
            <w:shd w:val="clear" w:color="auto" w:fill="auto"/>
            <w:vAlign w:val="center"/>
          </w:tcPr>
          <w:p w14:paraId="357C7714">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对中山瑞德卫生纸品有限公司、中山市朗科包装有限公司、</w:t>
            </w:r>
            <w:r>
              <w:rPr>
                <w:rFonts w:hint="eastAsia" w:ascii="Times New Roman" w:hAnsi="Times New Roman" w:cs="Times New Roman"/>
                <w:kern w:val="2"/>
                <w:sz w:val="18"/>
                <w:szCs w:val="18"/>
                <w:lang w:bidi="ar"/>
              </w:rPr>
              <w:t>好来化工（中山）有限公司、广东颐丰食品股份有限公司、中山市恒生药业有限公司、冰锐实业（广东）有限公司6家企业</w:t>
            </w:r>
            <w:r>
              <w:rPr>
                <w:rFonts w:hint="eastAsia" w:ascii="Times New Roman" w:hAnsi="Times New Roman" w:cs="Times New Roman"/>
                <w:sz w:val="18"/>
                <w:szCs w:val="18"/>
              </w:rPr>
              <w:t>等的化工、食品、造纸和纸制品业、印刷和记录媒介复制业等用水量大的企业进行重点节水改造工程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119C00D8">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8</w:t>
            </w:r>
            <w:r>
              <w:rPr>
                <w:rFonts w:hint="eastAsia"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33499316">
            <w:pPr>
              <w:pStyle w:val="22"/>
              <w:adjustRightInd w:val="0"/>
              <w:spacing w:before="0" w:beforeAutospacing="0" w:after="0" w:afterAutospacing="0"/>
              <w:jc w:val="center"/>
              <w:rPr>
                <w:rFonts w:ascii="Times New Roman" w:hAnsi="Times New Roman" w:cs="Times New Roman"/>
                <w:sz w:val="18"/>
                <w:szCs w:val="18"/>
              </w:rPr>
            </w:pPr>
          </w:p>
          <w:p w14:paraId="2EF141C9">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w:t>
            </w:r>
          </w:p>
          <w:p w14:paraId="20963F0D">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（资金由西区办事处补助奖励金和企业自筹）</w:t>
            </w:r>
          </w:p>
        </w:tc>
      </w:tr>
      <w:tr w14:paraId="1FB00820">
        <w:tblPrEx>
          <w:tblCellMar>
            <w:top w:w="0" w:type="dxa"/>
            <w:left w:w="108" w:type="dxa"/>
            <w:bottom w:w="0" w:type="dxa"/>
            <w:right w:w="108" w:type="dxa"/>
          </w:tblCellMar>
        </w:tblPrEx>
        <w:trPr>
          <w:trHeight w:val="417"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019A979">
            <w:pPr>
              <w:pStyle w:val="22"/>
              <w:adjustRightInd w:val="0"/>
              <w:spacing w:before="0" w:after="0"/>
              <w:ind w:firstLine="400"/>
              <w:rPr>
                <w:rFonts w:ascii="Times New Roman" w:hAnsi="Times New Roman" w:cs="Times New Roman"/>
                <w:sz w:val="18"/>
                <w:szCs w:val="18"/>
              </w:rPr>
            </w:pPr>
            <w:r>
              <w:rPr>
                <w:rFonts w:ascii="Times New Roman" w:hAnsi="Times New Roman" w:cs="Times New Roman"/>
                <w:b/>
                <w:sz w:val="21"/>
                <w:szCs w:val="21"/>
              </w:rPr>
              <w:t>2</w:t>
            </w:r>
            <w:r>
              <w:rPr>
                <w:rFonts w:hint="eastAsia" w:ascii="Times New Roman" w:hAnsi="Times New Roman"/>
                <w:b/>
                <w:sz w:val="21"/>
                <w:szCs w:val="21"/>
              </w:rPr>
              <w:t>、生活节水工程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3181C24">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920</w:t>
            </w:r>
          </w:p>
        </w:tc>
        <w:tc>
          <w:tcPr>
            <w:tcW w:w="2491" w:type="dxa"/>
            <w:tcBorders>
              <w:top w:val="single" w:color="auto" w:sz="4" w:space="0"/>
              <w:left w:val="nil"/>
              <w:bottom w:val="single" w:color="auto" w:sz="4" w:space="0"/>
              <w:right w:val="single" w:color="auto" w:sz="4" w:space="0"/>
            </w:tcBorders>
            <w:shd w:val="clear" w:color="auto" w:fill="auto"/>
          </w:tcPr>
          <w:p w14:paraId="5BA83FF1">
            <w:pPr>
              <w:pStyle w:val="22"/>
              <w:adjustRightInd w:val="0"/>
              <w:spacing w:before="0" w:after="0"/>
              <w:ind w:firstLine="360"/>
              <w:jc w:val="center"/>
              <w:rPr>
                <w:rFonts w:ascii="Times New Roman" w:hAnsi="Times New Roman" w:cs="Times New Roman"/>
                <w:sz w:val="21"/>
                <w:szCs w:val="21"/>
              </w:rPr>
            </w:pPr>
          </w:p>
        </w:tc>
      </w:tr>
      <w:tr w14:paraId="790CBA1E">
        <w:tblPrEx>
          <w:tblCellMar>
            <w:top w:w="0" w:type="dxa"/>
            <w:left w:w="108" w:type="dxa"/>
            <w:bottom w:w="0" w:type="dxa"/>
            <w:right w:w="108" w:type="dxa"/>
          </w:tblCellMar>
        </w:tblPrEx>
        <w:trPr>
          <w:trHeight w:val="806"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23FCC38C">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居民小区节水工程</w:t>
            </w:r>
          </w:p>
        </w:tc>
        <w:tc>
          <w:tcPr>
            <w:tcW w:w="4011" w:type="dxa"/>
            <w:tcBorders>
              <w:top w:val="single" w:color="auto" w:sz="4" w:space="0"/>
              <w:left w:val="nil"/>
              <w:bottom w:val="single" w:color="auto" w:sz="4" w:space="0"/>
              <w:right w:val="single" w:color="auto" w:sz="4" w:space="0"/>
            </w:tcBorders>
            <w:shd w:val="clear" w:color="auto" w:fill="auto"/>
            <w:vAlign w:val="center"/>
          </w:tcPr>
          <w:p w14:paraId="58D334AB">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对水悦熙园、水悦馨园、御水湾、沁美家园、尚湖轩、棕榈彩虹、大信新家园、奥园爱琴湾、美林假日、剑桥郡、广浩华庭、蓝波水岸等12个小区进行</w:t>
            </w:r>
            <w:r>
              <w:rPr>
                <w:rFonts w:hint="eastAsia" w:ascii="Times New Roman" w:hAnsi="Times New Roman"/>
                <w:sz w:val="18"/>
                <w:szCs w:val="18"/>
              </w:rPr>
              <w:t>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DC2BA93">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36</w:t>
            </w:r>
            <w:r>
              <w:rPr>
                <w:rFonts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77A232E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w:t>
            </w:r>
          </w:p>
          <w:p w14:paraId="039C33C4">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（资金由西区办事处筹措）</w:t>
            </w:r>
          </w:p>
        </w:tc>
      </w:tr>
      <w:tr w14:paraId="7099CE3A">
        <w:tblPrEx>
          <w:tblCellMar>
            <w:top w:w="0" w:type="dxa"/>
            <w:left w:w="108" w:type="dxa"/>
            <w:bottom w:w="0" w:type="dxa"/>
            <w:right w:w="108" w:type="dxa"/>
          </w:tblCellMar>
        </w:tblPrEx>
        <w:trPr>
          <w:trHeight w:val="1579"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79E9B1DE">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公共机构节水工程</w:t>
            </w:r>
          </w:p>
        </w:tc>
        <w:tc>
          <w:tcPr>
            <w:tcW w:w="4011" w:type="dxa"/>
            <w:tcBorders>
              <w:top w:val="single" w:color="auto" w:sz="4" w:space="0"/>
              <w:left w:val="nil"/>
              <w:bottom w:val="single" w:color="auto" w:sz="4" w:space="0"/>
              <w:right w:val="single" w:color="auto" w:sz="4" w:space="0"/>
            </w:tcBorders>
            <w:shd w:val="clear" w:color="auto" w:fill="auto"/>
            <w:vAlign w:val="center"/>
          </w:tcPr>
          <w:p w14:paraId="5E09B668">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中山市公安局西区分局、西区烟洲派出所、西区沙朗派出所、西区昌平派出所、西区西苑派出所、西区医院、中山市公安局交通警察支队城区大队西区中队、西区综合行政执法局、中山市西区供电分局等</w:t>
            </w:r>
            <w:r>
              <w:rPr>
                <w:rFonts w:ascii="Times New Roman" w:hAnsi="Times New Roman" w:cs="Times New Roman"/>
                <w:sz w:val="18"/>
                <w:szCs w:val="18"/>
              </w:rPr>
              <w:t>9</w:t>
            </w:r>
            <w:r>
              <w:rPr>
                <w:rFonts w:hint="eastAsia" w:ascii="Times New Roman" w:hAnsi="Times New Roman" w:cs="Times New Roman"/>
                <w:sz w:val="18"/>
                <w:szCs w:val="18"/>
              </w:rPr>
              <w:t>家公共机构进行</w:t>
            </w:r>
            <w:r>
              <w:rPr>
                <w:rFonts w:hint="eastAsia" w:ascii="Times New Roman" w:hAnsi="Times New Roman"/>
                <w:sz w:val="18"/>
                <w:szCs w:val="18"/>
              </w:rPr>
              <w:t>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79E054A">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280</w:t>
            </w:r>
          </w:p>
        </w:tc>
        <w:tc>
          <w:tcPr>
            <w:tcW w:w="2491" w:type="dxa"/>
            <w:tcBorders>
              <w:top w:val="single" w:color="auto" w:sz="4" w:space="0"/>
              <w:left w:val="nil"/>
              <w:bottom w:val="single" w:color="auto" w:sz="4" w:space="0"/>
              <w:right w:val="single" w:color="auto" w:sz="4" w:space="0"/>
            </w:tcBorders>
            <w:shd w:val="clear" w:color="auto" w:fill="auto"/>
          </w:tcPr>
          <w:p w14:paraId="49A56646">
            <w:pPr>
              <w:pStyle w:val="22"/>
              <w:adjustRightInd w:val="0"/>
              <w:spacing w:before="0" w:beforeAutospacing="0" w:after="0" w:afterAutospacing="0"/>
              <w:jc w:val="center"/>
              <w:rPr>
                <w:rFonts w:ascii="Times New Roman" w:hAnsi="Times New Roman" w:cs="Times New Roman"/>
                <w:sz w:val="18"/>
                <w:szCs w:val="18"/>
              </w:rPr>
            </w:pPr>
          </w:p>
          <w:p w14:paraId="7EAD2C2E">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西区各创建单位、西区水利所</w:t>
            </w:r>
          </w:p>
          <w:p w14:paraId="23BE3288">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（资金由西区办事处筹措）</w:t>
            </w:r>
          </w:p>
        </w:tc>
      </w:tr>
      <w:tr w14:paraId="65472EB1">
        <w:tblPrEx>
          <w:tblCellMar>
            <w:top w:w="0" w:type="dxa"/>
            <w:left w:w="108" w:type="dxa"/>
            <w:bottom w:w="0" w:type="dxa"/>
            <w:right w:w="108" w:type="dxa"/>
          </w:tblCellMar>
        </w:tblPrEx>
        <w:trPr>
          <w:trHeight w:val="1075"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6C87401C">
            <w:pPr>
              <w:pStyle w:val="22"/>
              <w:adjustRightInd w:val="0"/>
              <w:spacing w:before="0" w:after="0"/>
              <w:jc w:val="center"/>
              <w:rPr>
                <w:rFonts w:ascii="Times New Roman" w:hAnsi="Times New Roman"/>
                <w:sz w:val="21"/>
                <w:szCs w:val="21"/>
              </w:rPr>
            </w:pPr>
            <w:r>
              <w:rPr>
                <w:rFonts w:hint="eastAsia" w:ascii="Times New Roman" w:hAnsi="Times New Roman"/>
                <w:sz w:val="21"/>
                <w:szCs w:val="21"/>
              </w:rPr>
              <w:t>学校节水工程</w:t>
            </w:r>
          </w:p>
        </w:tc>
        <w:tc>
          <w:tcPr>
            <w:tcW w:w="4011" w:type="dxa"/>
            <w:tcBorders>
              <w:top w:val="single" w:color="auto" w:sz="4" w:space="0"/>
              <w:left w:val="nil"/>
              <w:bottom w:val="single" w:color="auto" w:sz="4" w:space="0"/>
              <w:right w:val="single" w:color="auto" w:sz="4" w:space="0"/>
            </w:tcBorders>
            <w:shd w:val="clear" w:color="auto" w:fill="auto"/>
            <w:vAlign w:val="center"/>
          </w:tcPr>
          <w:p w14:paraId="55553B79">
            <w:pPr>
              <w:pStyle w:val="22"/>
              <w:adjustRightInd w:val="0"/>
              <w:spacing w:before="0" w:after="0"/>
              <w:rPr>
                <w:rFonts w:ascii="Times New Roman" w:hAnsi="Times New Roman"/>
                <w:sz w:val="18"/>
                <w:szCs w:val="18"/>
              </w:rPr>
            </w:pPr>
            <w:r>
              <w:rPr>
                <w:rFonts w:hint="eastAsia" w:ascii="Times New Roman" w:hAnsi="Times New Roman"/>
                <w:sz w:val="18"/>
                <w:szCs w:val="18"/>
              </w:rPr>
              <w:t>西区聚星学校、西区翠景东方小学、西区广丰小学、西区昌平小学、西区铁城小学、西区铁城初级中学</w:t>
            </w:r>
            <w:r>
              <w:rPr>
                <w:rFonts w:hint="eastAsia" w:ascii="Times New Roman" w:hAnsi="Times New Roman" w:cs="Times New Roman"/>
                <w:sz w:val="18"/>
                <w:szCs w:val="18"/>
              </w:rPr>
              <w:t>等</w:t>
            </w:r>
            <w:r>
              <w:rPr>
                <w:rFonts w:ascii="Times New Roman" w:hAnsi="Times New Roman" w:cs="Times New Roman"/>
                <w:sz w:val="18"/>
                <w:szCs w:val="18"/>
              </w:rPr>
              <w:t>6</w:t>
            </w:r>
            <w:r>
              <w:rPr>
                <w:rFonts w:hint="eastAsia" w:ascii="Times New Roman" w:hAnsi="Times New Roman" w:cs="Times New Roman"/>
                <w:sz w:val="18"/>
                <w:szCs w:val="18"/>
              </w:rPr>
              <w:t>家学校进行</w:t>
            </w:r>
            <w:r>
              <w:rPr>
                <w:rFonts w:hint="eastAsia" w:ascii="Times New Roman" w:hAnsi="Times New Roman"/>
                <w:sz w:val="18"/>
                <w:szCs w:val="18"/>
              </w:rPr>
              <w:t>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BD9680A">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18</w:t>
            </w:r>
            <w:r>
              <w:rPr>
                <w:rFonts w:hint="eastAsia"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3AE66A3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西区文体教育局、西区水利所</w:t>
            </w:r>
          </w:p>
          <w:p w14:paraId="7F40B693">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（资金由西区办事处筹措）</w:t>
            </w:r>
          </w:p>
        </w:tc>
      </w:tr>
      <w:tr w14:paraId="728D6EC1">
        <w:tblPrEx>
          <w:tblCellMar>
            <w:top w:w="0" w:type="dxa"/>
            <w:left w:w="108" w:type="dxa"/>
            <w:bottom w:w="0" w:type="dxa"/>
            <w:right w:w="108" w:type="dxa"/>
          </w:tblCellMar>
        </w:tblPrEx>
        <w:trPr>
          <w:trHeight w:val="519"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0C44B0C">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六、水文化工程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7AEC82E4">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500</w:t>
            </w:r>
          </w:p>
        </w:tc>
        <w:tc>
          <w:tcPr>
            <w:tcW w:w="2491" w:type="dxa"/>
            <w:tcBorders>
              <w:top w:val="single" w:color="auto" w:sz="4" w:space="0"/>
              <w:left w:val="nil"/>
              <w:bottom w:val="single" w:color="auto" w:sz="4" w:space="0"/>
              <w:right w:val="single" w:color="auto" w:sz="4" w:space="0"/>
            </w:tcBorders>
            <w:shd w:val="clear" w:color="auto" w:fill="auto"/>
          </w:tcPr>
          <w:p w14:paraId="62AF3AC1">
            <w:pPr>
              <w:pStyle w:val="22"/>
              <w:adjustRightInd w:val="0"/>
              <w:spacing w:before="0" w:beforeAutospacing="0" w:after="0" w:afterAutospacing="0"/>
              <w:jc w:val="center"/>
              <w:rPr>
                <w:rFonts w:ascii="Times New Roman" w:hAnsi="Times New Roman" w:cs="Times New Roman"/>
                <w:sz w:val="18"/>
                <w:szCs w:val="18"/>
              </w:rPr>
            </w:pPr>
          </w:p>
        </w:tc>
      </w:tr>
      <w:tr w14:paraId="3A06A12C">
        <w:tblPrEx>
          <w:tblCellMar>
            <w:top w:w="0" w:type="dxa"/>
            <w:left w:w="108" w:type="dxa"/>
            <w:bottom w:w="0" w:type="dxa"/>
            <w:right w:w="108" w:type="dxa"/>
          </w:tblCellMar>
        </w:tblPrEx>
        <w:trPr>
          <w:trHeight w:val="132"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63DB8F05">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水土保持教育基地</w:t>
            </w:r>
          </w:p>
        </w:tc>
        <w:tc>
          <w:tcPr>
            <w:tcW w:w="4011" w:type="dxa"/>
            <w:tcBorders>
              <w:top w:val="single" w:color="auto" w:sz="4" w:space="0"/>
              <w:left w:val="nil"/>
              <w:bottom w:val="single" w:color="auto" w:sz="4" w:space="0"/>
              <w:right w:val="single" w:color="auto" w:sz="4" w:space="0"/>
            </w:tcBorders>
            <w:shd w:val="clear" w:color="auto" w:fill="auto"/>
            <w:vAlign w:val="center"/>
          </w:tcPr>
          <w:p w14:paraId="17079764">
            <w:pPr>
              <w:pStyle w:val="22"/>
              <w:adjustRightInd w:val="0"/>
              <w:spacing w:before="0" w:after="0"/>
              <w:rPr>
                <w:rFonts w:ascii="Times New Roman" w:hAnsi="Times New Roman" w:cs="Times New Roman"/>
                <w:sz w:val="18"/>
                <w:szCs w:val="18"/>
              </w:rPr>
            </w:pPr>
            <w:r>
              <w:rPr>
                <w:rFonts w:hint="eastAsia" w:ascii="Times New Roman" w:hAnsi="Times New Roman" w:cs="Times New Roman"/>
                <w:kern w:val="2"/>
                <w:sz w:val="18"/>
                <w:szCs w:val="18"/>
                <w:lang w:bidi="ar"/>
              </w:rPr>
              <w:t>结合西北部现代农业基地的生态农业保护区域建设节水和水土保持教育基地1个</w:t>
            </w:r>
          </w:p>
        </w:tc>
        <w:tc>
          <w:tcPr>
            <w:tcW w:w="993" w:type="dxa"/>
            <w:tcBorders>
              <w:top w:val="single" w:color="auto" w:sz="4" w:space="0"/>
              <w:left w:val="nil"/>
              <w:bottom w:val="single" w:color="auto" w:sz="4" w:space="0"/>
              <w:right w:val="single" w:color="auto" w:sz="4" w:space="0"/>
            </w:tcBorders>
            <w:shd w:val="clear" w:color="auto" w:fill="auto"/>
            <w:vAlign w:val="center"/>
          </w:tcPr>
          <w:p w14:paraId="1EA9A4EB">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500</w:t>
            </w:r>
          </w:p>
        </w:tc>
        <w:tc>
          <w:tcPr>
            <w:tcW w:w="2491" w:type="dxa"/>
            <w:tcBorders>
              <w:top w:val="single" w:color="auto" w:sz="4" w:space="0"/>
              <w:left w:val="nil"/>
              <w:bottom w:val="single" w:color="auto" w:sz="4" w:space="0"/>
              <w:right w:val="single" w:color="auto" w:sz="4" w:space="0"/>
            </w:tcBorders>
            <w:shd w:val="clear" w:color="auto" w:fill="auto"/>
          </w:tcPr>
          <w:p w14:paraId="44BAB68F">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西区水利所（资金西区办事处筹措、社会筹措各半）</w:t>
            </w:r>
          </w:p>
        </w:tc>
      </w:tr>
      <w:tr w14:paraId="0805B920">
        <w:tblPrEx>
          <w:tblCellMar>
            <w:top w:w="0" w:type="dxa"/>
            <w:left w:w="108" w:type="dxa"/>
            <w:bottom w:w="0" w:type="dxa"/>
            <w:right w:w="108" w:type="dxa"/>
          </w:tblCellMar>
        </w:tblPrEx>
        <w:trPr>
          <w:trHeight w:val="788"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198EC6F5">
            <w:pPr>
              <w:pStyle w:val="22"/>
              <w:adjustRightInd w:val="0"/>
              <w:spacing w:before="0" w:after="0"/>
              <w:jc w:val="center"/>
              <w:rPr>
                <w:rFonts w:ascii="Times New Roman" w:hAnsi="Times New Roman"/>
                <w:sz w:val="21"/>
                <w:szCs w:val="21"/>
              </w:rPr>
            </w:pPr>
            <w:bookmarkStart w:id="849" w:name="_Hlk16589148"/>
            <w:r>
              <w:rPr>
                <w:rFonts w:hint="eastAsia" w:ascii="Times New Roman" w:hAnsi="Times New Roman" w:cs="Times New Roman"/>
                <w:b/>
                <w:sz w:val="21"/>
                <w:szCs w:val="21"/>
              </w:rPr>
              <w:t>合计</w:t>
            </w:r>
          </w:p>
        </w:tc>
        <w:tc>
          <w:tcPr>
            <w:tcW w:w="7495" w:type="dxa"/>
            <w:gridSpan w:val="3"/>
            <w:tcBorders>
              <w:top w:val="single" w:color="auto" w:sz="4" w:space="0"/>
              <w:left w:val="nil"/>
              <w:bottom w:val="single" w:color="auto" w:sz="4" w:space="0"/>
              <w:right w:val="single" w:color="auto" w:sz="4" w:space="0"/>
            </w:tcBorders>
            <w:shd w:val="clear" w:color="auto" w:fill="auto"/>
            <w:vAlign w:val="center"/>
          </w:tcPr>
          <w:p w14:paraId="6EEB9A74">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2</w:t>
            </w:r>
            <w:r>
              <w:rPr>
                <w:rFonts w:ascii="Times New Roman" w:hAnsi="Times New Roman" w:cs="Times New Roman"/>
                <w:b/>
                <w:sz w:val="21"/>
                <w:szCs w:val="21"/>
              </w:rPr>
              <w:t>53878</w:t>
            </w:r>
            <w:r>
              <w:rPr>
                <w:rFonts w:hint="eastAsia" w:ascii="Times New Roman" w:hAnsi="Times New Roman" w:cs="Times New Roman"/>
                <w:b/>
                <w:sz w:val="21"/>
                <w:szCs w:val="21"/>
              </w:rPr>
              <w:t>万元</w:t>
            </w:r>
          </w:p>
          <w:p w14:paraId="30724B2A">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sz w:val="18"/>
                <w:szCs w:val="18"/>
              </w:rPr>
              <w:t>（西区办事处筹措资金</w:t>
            </w:r>
            <w:r>
              <w:rPr>
                <w:rFonts w:ascii="Times New Roman" w:hAnsi="Times New Roman"/>
                <w:sz w:val="18"/>
                <w:szCs w:val="18"/>
              </w:rPr>
              <w:t>600</w:t>
            </w:r>
            <w:r>
              <w:rPr>
                <w:rFonts w:ascii="Times New Roman" w:hAnsi="Times New Roman" w:cs="Times New Roman"/>
                <w:sz w:val="18"/>
                <w:szCs w:val="18"/>
              </w:rPr>
              <w:t>83</w:t>
            </w:r>
            <w:r>
              <w:rPr>
                <w:rFonts w:hint="eastAsia" w:ascii="Times New Roman" w:hAnsi="Times New Roman"/>
                <w:sz w:val="18"/>
                <w:szCs w:val="18"/>
              </w:rPr>
              <w:t>万元，市政府筹措资金</w:t>
            </w:r>
            <w:r>
              <w:rPr>
                <w:rFonts w:ascii="Times New Roman" w:hAnsi="Times New Roman"/>
                <w:sz w:val="18"/>
                <w:szCs w:val="18"/>
              </w:rPr>
              <w:t>193485</w:t>
            </w:r>
            <w:r>
              <w:rPr>
                <w:rFonts w:hint="eastAsia" w:ascii="Times New Roman" w:hAnsi="Times New Roman"/>
                <w:sz w:val="18"/>
                <w:szCs w:val="18"/>
              </w:rPr>
              <w:t>万元，企业筹措资金</w:t>
            </w:r>
            <w:r>
              <w:rPr>
                <w:rFonts w:ascii="Times New Roman" w:hAnsi="Times New Roman" w:cs="Times New Roman"/>
                <w:sz w:val="18"/>
                <w:szCs w:val="18"/>
              </w:rPr>
              <w:t>60</w:t>
            </w:r>
            <w:r>
              <w:rPr>
                <w:rFonts w:hint="eastAsia" w:ascii="Times New Roman" w:hAnsi="Times New Roman"/>
                <w:sz w:val="18"/>
                <w:szCs w:val="18"/>
              </w:rPr>
              <w:t>万元，社会集资</w:t>
            </w:r>
            <w:r>
              <w:rPr>
                <w:rFonts w:ascii="Times New Roman" w:hAnsi="Times New Roman"/>
                <w:sz w:val="18"/>
                <w:szCs w:val="18"/>
              </w:rPr>
              <w:t>250</w:t>
            </w:r>
            <w:r>
              <w:rPr>
                <w:rFonts w:hint="eastAsia" w:ascii="Times New Roman" w:hAnsi="Times New Roman"/>
                <w:sz w:val="18"/>
                <w:szCs w:val="18"/>
              </w:rPr>
              <w:t>万元。）</w:t>
            </w:r>
          </w:p>
        </w:tc>
      </w:tr>
      <w:bookmarkEnd w:id="849"/>
    </w:tbl>
    <w:p w14:paraId="5A1E30DC">
      <w:pPr>
        <w:spacing w:line="240" w:lineRule="auto"/>
        <w:ind w:firstLine="0" w:firstLineChars="0"/>
        <w:rPr>
          <w:rFonts w:eastAsia="宋体" w:cs="Times New Roman"/>
          <w:sz w:val="18"/>
          <w:szCs w:val="18"/>
          <w:lang w:bidi="ar"/>
        </w:rPr>
      </w:pPr>
      <w:r>
        <w:rPr>
          <w:rFonts w:hint="eastAsia" w:eastAsia="宋体" w:cs="Times New Roman"/>
          <w:sz w:val="18"/>
          <w:szCs w:val="18"/>
          <w:lang w:bidi="ar"/>
        </w:rPr>
        <w:t>注：①水环境综合治理工程投资见《中山市中心组团黑臭〈未达标〉水体整治提升工程〈项目一~项目三〉项目建议书》、中山市彩虹片区排洪渠工程可研报告、中山市西区狮滘河一河两岸改造提升工程。</w:t>
      </w:r>
    </w:p>
    <w:p w14:paraId="229195D9">
      <w:pPr>
        <w:spacing w:line="240" w:lineRule="auto"/>
        <w:ind w:firstLine="0" w:firstLineChars="0"/>
        <w:rPr>
          <w:rFonts w:eastAsia="宋体" w:cs="Times New Roman"/>
          <w:sz w:val="18"/>
          <w:szCs w:val="18"/>
          <w:lang w:bidi="ar"/>
        </w:rPr>
      </w:pPr>
      <w:r>
        <w:rPr>
          <w:rFonts w:hint="eastAsia" w:ascii="宋体" w:hAnsi="宋体" w:eastAsia="宋体" w:cs="宋体"/>
          <w:sz w:val="18"/>
          <w:szCs w:val="18"/>
          <w:lang w:bidi="ar"/>
        </w:rPr>
        <w:t>②</w:t>
      </w:r>
      <w:r>
        <w:rPr>
          <w:rFonts w:hint="eastAsia" w:eastAsia="宋体" w:cs="Times New Roman"/>
          <w:sz w:val="18"/>
          <w:szCs w:val="18"/>
          <w:lang w:bidi="ar"/>
        </w:rPr>
        <w:t>污水工程的投资见《中山市市政府雨污分流建设总体方案》。</w:t>
      </w:r>
    </w:p>
    <w:p w14:paraId="3A6BF78A">
      <w:pPr>
        <w:spacing w:line="240" w:lineRule="auto"/>
        <w:ind w:firstLine="0" w:firstLineChars="0"/>
        <w:rPr>
          <w:rFonts w:eastAsia="宋体" w:cs="Times New Roman"/>
          <w:sz w:val="18"/>
          <w:szCs w:val="18"/>
          <w:lang w:bidi="ar"/>
        </w:rPr>
      </w:pPr>
    </w:p>
    <w:p w14:paraId="1852D278">
      <w:pPr>
        <w:spacing w:line="240" w:lineRule="auto"/>
        <w:ind w:firstLine="420"/>
        <w:jc w:val="center"/>
        <w:rPr>
          <w:rFonts w:eastAsia="宋体" w:cs="Times New Roman"/>
          <w:szCs w:val="24"/>
        </w:rPr>
      </w:pPr>
      <w:r>
        <w:rPr>
          <w:rFonts w:hint="eastAsia" w:eastAsia="宋体" w:cs="Times New Roman"/>
          <w:sz w:val="21"/>
          <w:lang w:bidi="ar"/>
        </w:rPr>
        <w:t>表</w:t>
      </w:r>
      <w:r>
        <w:rPr>
          <w:rFonts w:eastAsia="宋体" w:cs="Times New Roman"/>
          <w:sz w:val="21"/>
          <w:lang w:bidi="ar"/>
        </w:rPr>
        <w:t>6-</w:t>
      </w:r>
      <w:r>
        <w:rPr>
          <w:rFonts w:hint="eastAsia" w:eastAsia="宋体" w:cs="Times New Roman"/>
          <w:sz w:val="21"/>
          <w:lang w:bidi="ar"/>
        </w:rPr>
        <w:t>3</w:t>
      </w:r>
      <w:r>
        <w:rPr>
          <w:rFonts w:eastAsia="宋体" w:cs="Times New Roman"/>
          <w:sz w:val="21"/>
          <w:lang w:bidi="ar"/>
        </w:rPr>
        <w:t xml:space="preserve">  </w:t>
      </w:r>
      <w:r>
        <w:rPr>
          <w:rFonts w:hint="eastAsia" w:eastAsia="宋体" w:cs="Times New Roman"/>
          <w:sz w:val="21"/>
          <w:lang w:bidi="ar"/>
        </w:rPr>
        <w:t>西区中期开展的重点工程项目</w:t>
      </w:r>
    </w:p>
    <w:tbl>
      <w:tblPr>
        <w:tblStyle w:val="25"/>
        <w:tblW w:w="11092" w:type="dxa"/>
        <w:jc w:val="center"/>
        <w:tblLayout w:type="fixed"/>
        <w:tblCellMar>
          <w:top w:w="0" w:type="dxa"/>
          <w:left w:w="108" w:type="dxa"/>
          <w:bottom w:w="0" w:type="dxa"/>
          <w:right w:w="108" w:type="dxa"/>
        </w:tblCellMar>
      </w:tblPr>
      <w:tblGrid>
        <w:gridCol w:w="2097"/>
        <w:gridCol w:w="5262"/>
        <w:gridCol w:w="963"/>
        <w:gridCol w:w="2770"/>
      </w:tblGrid>
      <w:tr w14:paraId="764DCF5A">
        <w:tblPrEx>
          <w:tblCellMar>
            <w:top w:w="0" w:type="dxa"/>
            <w:left w:w="108" w:type="dxa"/>
            <w:bottom w:w="0" w:type="dxa"/>
            <w:right w:w="108" w:type="dxa"/>
          </w:tblCellMar>
        </w:tblPrEx>
        <w:trPr>
          <w:trHeight w:val="573"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3D00F33">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5262" w:type="dxa"/>
            <w:tcBorders>
              <w:top w:val="single" w:color="auto" w:sz="4" w:space="0"/>
              <w:left w:val="nil"/>
              <w:bottom w:val="single" w:color="auto" w:sz="4" w:space="0"/>
              <w:right w:val="single" w:color="auto" w:sz="4" w:space="0"/>
            </w:tcBorders>
            <w:shd w:val="clear" w:color="auto" w:fill="auto"/>
            <w:vAlign w:val="center"/>
          </w:tcPr>
          <w:p w14:paraId="2EC5637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63" w:type="dxa"/>
            <w:tcBorders>
              <w:top w:val="single" w:color="auto" w:sz="4" w:space="0"/>
              <w:left w:val="nil"/>
              <w:bottom w:val="single" w:color="auto" w:sz="4" w:space="0"/>
              <w:right w:val="single" w:color="auto" w:sz="4" w:space="0"/>
            </w:tcBorders>
            <w:shd w:val="clear" w:color="auto" w:fill="auto"/>
            <w:vAlign w:val="center"/>
          </w:tcPr>
          <w:p w14:paraId="6EAA35C7">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3B9DD658">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770" w:type="dxa"/>
            <w:tcBorders>
              <w:top w:val="single" w:color="auto" w:sz="4" w:space="0"/>
              <w:left w:val="nil"/>
              <w:bottom w:val="single" w:color="auto" w:sz="4" w:space="0"/>
              <w:right w:val="single" w:color="auto" w:sz="4" w:space="0"/>
            </w:tcBorders>
            <w:shd w:val="clear" w:color="auto" w:fill="auto"/>
          </w:tcPr>
          <w:p w14:paraId="79F36FE3">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1B5AF464">
        <w:tblPrEx>
          <w:tblCellMar>
            <w:top w:w="0" w:type="dxa"/>
            <w:left w:w="108" w:type="dxa"/>
            <w:bottom w:w="0" w:type="dxa"/>
            <w:right w:w="108" w:type="dxa"/>
          </w:tblCellMar>
        </w:tblPrEx>
        <w:trPr>
          <w:trHeight w:val="19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FDA0C5F">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一、水安全工程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651001B8">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300</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46FC878B">
            <w:pPr>
              <w:pStyle w:val="22"/>
              <w:adjustRightInd w:val="0"/>
              <w:spacing w:before="0" w:after="0"/>
              <w:jc w:val="center"/>
              <w:rPr>
                <w:rFonts w:ascii="Times New Roman" w:hAnsi="Times New Roman" w:cs="Times New Roman"/>
                <w:sz w:val="21"/>
                <w:szCs w:val="21"/>
              </w:rPr>
            </w:pPr>
          </w:p>
        </w:tc>
      </w:tr>
      <w:tr w14:paraId="548B8A24">
        <w:tblPrEx>
          <w:tblCellMar>
            <w:top w:w="0" w:type="dxa"/>
            <w:left w:w="108" w:type="dxa"/>
            <w:bottom w:w="0" w:type="dxa"/>
            <w:right w:w="108" w:type="dxa"/>
          </w:tblCellMar>
        </w:tblPrEx>
        <w:trPr>
          <w:trHeight w:val="122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256985F8">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降雨滞蓄工程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020649E0">
            <w:pPr>
              <w:pStyle w:val="22"/>
              <w:adjustRightInd w:val="0"/>
              <w:spacing w:before="0" w:after="0" w:line="300" w:lineRule="exact"/>
              <w:rPr>
                <w:rFonts w:ascii="Times New Roman" w:hAnsi="Times New Roman" w:cs="Times New Roman"/>
                <w:sz w:val="18"/>
                <w:szCs w:val="18"/>
              </w:rPr>
            </w:pPr>
            <w:r>
              <w:rPr>
                <w:rFonts w:hint="eastAsia" w:ascii="Times New Roman" w:hAnsi="Times New Roman" w:cs="Times New Roman"/>
                <w:sz w:val="18"/>
                <w:szCs w:val="18"/>
              </w:rPr>
              <w:t>在西区服务业综合改革试验区、</w:t>
            </w:r>
            <w:r>
              <w:rPr>
                <w:rFonts w:hint="eastAsia" w:ascii="Times New Roman" w:hAnsi="Times New Roman" w:cs="Times New Roman"/>
                <w:kern w:val="2"/>
                <w:sz w:val="18"/>
                <w:szCs w:val="18"/>
                <w:lang w:bidi="ar"/>
              </w:rPr>
              <w:t>中部城区</w:t>
            </w:r>
            <w:r>
              <w:rPr>
                <w:rFonts w:hint="eastAsia" w:ascii="Times New Roman" w:hAnsi="Times New Roman" w:cs="Times New Roman"/>
                <w:sz w:val="18"/>
                <w:szCs w:val="18"/>
              </w:rPr>
              <w:t>增加透水砖铺装、下沉绿地、生物滞留带、雨水花园、生态树池、透水水泥和沥青混凝土路面、雨水湿地、湿塘、调节塘、调节池、植草沟、渗管、渗渠、植被缓冲带、初期雨水弃流设施，增加调蓄容积为1</w:t>
            </w:r>
            <w:r>
              <w:rPr>
                <w:rFonts w:ascii="Times New Roman" w:hAnsi="Times New Roman" w:cs="Times New Roman"/>
                <w:sz w:val="18"/>
                <w:szCs w:val="18"/>
              </w:rPr>
              <w:t>82mm</w:t>
            </w:r>
          </w:p>
        </w:tc>
        <w:tc>
          <w:tcPr>
            <w:tcW w:w="963" w:type="dxa"/>
            <w:tcBorders>
              <w:top w:val="single" w:color="auto" w:sz="4" w:space="0"/>
              <w:left w:val="nil"/>
              <w:bottom w:val="single" w:color="auto" w:sz="4" w:space="0"/>
              <w:right w:val="single" w:color="auto" w:sz="4" w:space="0"/>
            </w:tcBorders>
            <w:shd w:val="clear" w:color="auto" w:fill="auto"/>
            <w:vAlign w:val="center"/>
          </w:tcPr>
          <w:p w14:paraId="332E0707">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80</w:t>
            </w:r>
            <w:r>
              <w:rPr>
                <w:rFonts w:ascii="Times New Roman" w:hAnsi="Times New Roman" w:cs="Times New Roman"/>
                <w:sz w:val="18"/>
                <w:szCs w:val="18"/>
              </w:rPr>
              <w:t>00</w:t>
            </w:r>
          </w:p>
        </w:tc>
        <w:tc>
          <w:tcPr>
            <w:tcW w:w="2770" w:type="dxa"/>
            <w:tcBorders>
              <w:top w:val="single" w:color="auto" w:sz="4" w:space="0"/>
              <w:left w:val="nil"/>
              <w:bottom w:val="single" w:color="auto" w:sz="4" w:space="0"/>
              <w:right w:val="single" w:color="auto" w:sz="4" w:space="0"/>
            </w:tcBorders>
            <w:shd w:val="clear" w:color="auto" w:fill="auto"/>
          </w:tcPr>
          <w:p w14:paraId="13C56425">
            <w:pPr>
              <w:pStyle w:val="22"/>
              <w:adjustRightInd w:val="0"/>
              <w:spacing w:before="0" w:beforeAutospacing="0" w:after="0" w:afterAutospacing="0" w:line="300" w:lineRule="exact"/>
              <w:jc w:val="distribute"/>
              <w:rPr>
                <w:rFonts w:ascii="Times New Roman" w:hAnsi="Times New Roman" w:cs="Times New Roman"/>
                <w:sz w:val="18"/>
                <w:szCs w:val="18"/>
              </w:rPr>
            </w:pPr>
          </w:p>
          <w:p w14:paraId="0AA6932F">
            <w:pPr>
              <w:pStyle w:val="22"/>
              <w:adjustRightInd w:val="0"/>
              <w:spacing w:before="0" w:beforeAutospacing="0" w:after="0" w:afterAutospacing="0" w:line="300" w:lineRule="exact"/>
              <w:rPr>
                <w:rFonts w:ascii="Times New Roman" w:hAnsi="Times New Roman" w:cs="Times New Roman"/>
                <w:sz w:val="18"/>
                <w:szCs w:val="18"/>
              </w:rPr>
            </w:pPr>
            <w:r>
              <w:rPr>
                <w:rFonts w:hint="eastAsia" w:ascii="Times New Roman" w:hAnsi="Times New Roman" w:cs="Times New Roman"/>
                <w:sz w:val="18"/>
                <w:szCs w:val="18"/>
              </w:rPr>
              <w:t>西区住房城乡建设局（资金由西区办事处筹措）</w:t>
            </w:r>
          </w:p>
        </w:tc>
      </w:tr>
      <w:tr w14:paraId="0586342A">
        <w:tblPrEx>
          <w:tblCellMar>
            <w:top w:w="0" w:type="dxa"/>
            <w:left w:w="108" w:type="dxa"/>
            <w:bottom w:w="0" w:type="dxa"/>
            <w:right w:w="108" w:type="dxa"/>
          </w:tblCellMar>
        </w:tblPrEx>
        <w:trPr>
          <w:trHeight w:val="766"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12161DC8">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内涝治理工程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2B60237C">
            <w:pPr>
              <w:pStyle w:val="22"/>
              <w:adjustRightInd w:val="0"/>
              <w:spacing w:before="0" w:after="0" w:line="300" w:lineRule="exact"/>
              <w:rPr>
                <w:rFonts w:ascii="Times New Roman" w:hAnsi="Times New Roman" w:cs="Times New Roman"/>
                <w:sz w:val="18"/>
                <w:szCs w:val="18"/>
              </w:rPr>
            </w:pPr>
            <w:r>
              <w:rPr>
                <w:rFonts w:hint="eastAsia" w:ascii="Times New Roman" w:hAnsi="Times New Roman"/>
                <w:sz w:val="18"/>
                <w:szCs w:val="18"/>
              </w:rPr>
              <w:t>规划排涝泵站</w:t>
            </w:r>
            <w:r>
              <w:rPr>
                <w:rFonts w:hint="eastAsia" w:ascii="Times New Roman" w:hAnsi="Times New Roman" w:cs="Times New Roman"/>
                <w:sz w:val="18"/>
                <w:szCs w:val="18"/>
              </w:rPr>
              <w:t>3</w:t>
            </w:r>
            <w:r>
              <w:rPr>
                <w:rFonts w:hint="eastAsia" w:ascii="Times New Roman" w:hAnsi="Times New Roman"/>
                <w:sz w:val="18"/>
                <w:szCs w:val="18"/>
              </w:rPr>
              <w:t>宗和雨水管网建设，规划泵站均按</w:t>
            </w:r>
            <w:r>
              <w:rPr>
                <w:rFonts w:ascii="Times New Roman" w:hAnsi="Times New Roman" w:cs="Times New Roman"/>
                <w:sz w:val="18"/>
                <w:szCs w:val="18"/>
              </w:rPr>
              <w:t>20</w:t>
            </w:r>
            <w:r>
              <w:rPr>
                <w:rFonts w:hint="eastAsia" w:ascii="Times New Roman" w:hAnsi="Times New Roman"/>
                <w:sz w:val="18"/>
                <w:szCs w:val="18"/>
              </w:rPr>
              <w:t>年一遇</w:t>
            </w:r>
            <w:r>
              <w:rPr>
                <w:rFonts w:ascii="Times New Roman" w:hAnsi="Times New Roman" w:cs="Times New Roman"/>
                <w:sz w:val="18"/>
                <w:szCs w:val="18"/>
              </w:rPr>
              <w:t xml:space="preserve">24h </w:t>
            </w:r>
            <w:r>
              <w:rPr>
                <w:rFonts w:hint="eastAsia" w:ascii="Times New Roman" w:hAnsi="Times New Roman"/>
                <w:sz w:val="18"/>
                <w:szCs w:val="18"/>
              </w:rPr>
              <w:t>设计暴雨一天排干不致灾标准</w:t>
            </w:r>
          </w:p>
        </w:tc>
        <w:tc>
          <w:tcPr>
            <w:tcW w:w="963" w:type="dxa"/>
            <w:tcBorders>
              <w:top w:val="single" w:color="auto" w:sz="4" w:space="0"/>
              <w:left w:val="nil"/>
              <w:bottom w:val="single" w:color="auto" w:sz="4" w:space="0"/>
              <w:right w:val="single" w:color="auto" w:sz="4" w:space="0"/>
            </w:tcBorders>
            <w:shd w:val="clear" w:color="auto" w:fill="auto"/>
            <w:vAlign w:val="center"/>
          </w:tcPr>
          <w:p w14:paraId="4BDB7FC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2000</w:t>
            </w:r>
          </w:p>
        </w:tc>
        <w:tc>
          <w:tcPr>
            <w:tcW w:w="2770" w:type="dxa"/>
            <w:tcBorders>
              <w:top w:val="single" w:color="auto" w:sz="4" w:space="0"/>
              <w:left w:val="nil"/>
              <w:bottom w:val="single" w:color="auto" w:sz="4" w:space="0"/>
              <w:right w:val="single" w:color="auto" w:sz="4" w:space="0"/>
            </w:tcBorders>
            <w:shd w:val="clear" w:color="auto" w:fill="auto"/>
          </w:tcPr>
          <w:p w14:paraId="1075C4BF">
            <w:pPr>
              <w:pStyle w:val="22"/>
              <w:adjustRightInd w:val="0"/>
              <w:spacing w:before="0" w:beforeAutospacing="0" w:after="0" w:afterAutospacing="0" w:line="300" w:lineRule="exact"/>
              <w:rPr>
                <w:rFonts w:ascii="Times New Roman" w:hAnsi="Times New Roman"/>
                <w:sz w:val="18"/>
                <w:szCs w:val="18"/>
              </w:rPr>
            </w:pPr>
            <w:r>
              <w:rPr>
                <w:rFonts w:hint="eastAsia" w:ascii="Times New Roman" w:hAnsi="Times New Roman"/>
                <w:sz w:val="18"/>
                <w:szCs w:val="18"/>
              </w:rPr>
              <w:t>西区住房城乡建设局（资金由西区办事处筹措）</w:t>
            </w:r>
          </w:p>
        </w:tc>
      </w:tr>
      <w:tr w14:paraId="312E8C87">
        <w:tblPrEx>
          <w:tblCellMar>
            <w:top w:w="0" w:type="dxa"/>
            <w:left w:w="108" w:type="dxa"/>
            <w:bottom w:w="0" w:type="dxa"/>
            <w:right w:w="108" w:type="dxa"/>
          </w:tblCellMar>
        </w:tblPrEx>
        <w:trPr>
          <w:trHeight w:val="27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C994D29">
            <w:pPr>
              <w:pStyle w:val="22"/>
              <w:adjustRightInd w:val="0"/>
              <w:spacing w:before="0" w:after="0" w:line="300" w:lineRule="exact"/>
              <w:ind w:firstLine="422"/>
              <w:rPr>
                <w:rFonts w:ascii="Times New Roman" w:hAnsi="Times New Roman" w:cs="Times New Roman"/>
                <w:sz w:val="18"/>
                <w:szCs w:val="18"/>
              </w:rPr>
            </w:pPr>
            <w:r>
              <w:rPr>
                <w:rFonts w:hint="eastAsia" w:ascii="Times New Roman" w:hAnsi="Times New Roman" w:cs="Times New Roman"/>
                <w:b/>
                <w:sz w:val="21"/>
                <w:szCs w:val="21"/>
              </w:rPr>
              <w:t>二、水环境工程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3FED3C43">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10000</w:t>
            </w:r>
          </w:p>
        </w:tc>
        <w:tc>
          <w:tcPr>
            <w:tcW w:w="2770" w:type="dxa"/>
            <w:tcBorders>
              <w:top w:val="single" w:color="auto" w:sz="4" w:space="0"/>
              <w:left w:val="nil"/>
              <w:bottom w:val="single" w:color="auto" w:sz="4" w:space="0"/>
              <w:right w:val="single" w:color="auto" w:sz="4" w:space="0"/>
            </w:tcBorders>
            <w:shd w:val="clear" w:color="auto" w:fill="auto"/>
          </w:tcPr>
          <w:p w14:paraId="3E41FA5A">
            <w:pPr>
              <w:pStyle w:val="22"/>
              <w:adjustRightInd w:val="0"/>
              <w:spacing w:before="0" w:beforeAutospacing="0" w:after="0" w:afterAutospacing="0"/>
              <w:jc w:val="center"/>
              <w:rPr>
                <w:rFonts w:ascii="Times New Roman" w:hAnsi="Times New Roman" w:cs="Times New Roman"/>
                <w:sz w:val="21"/>
                <w:szCs w:val="21"/>
              </w:rPr>
            </w:pPr>
          </w:p>
        </w:tc>
      </w:tr>
      <w:tr w14:paraId="7AF8323C">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6532B0F">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水环境综合</w:t>
            </w:r>
          </w:p>
          <w:p w14:paraId="653F9D82">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74EB4C0C">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各河涌实行自动化联合调度控制，各站点设置水情监测、水位记录、水位自动控制和调度等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585022FC">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10</w:t>
            </w:r>
            <w:r>
              <w:rPr>
                <w:rFonts w:ascii="Times New Roman" w:hAnsi="Times New Roman" w:cs="Times New Roman"/>
                <w:sz w:val="18"/>
                <w:szCs w:val="18"/>
              </w:rPr>
              <w:t>000</w:t>
            </w:r>
          </w:p>
        </w:tc>
        <w:tc>
          <w:tcPr>
            <w:tcW w:w="2770" w:type="dxa"/>
            <w:tcBorders>
              <w:top w:val="single" w:color="auto" w:sz="4" w:space="0"/>
              <w:left w:val="nil"/>
              <w:bottom w:val="single" w:color="auto" w:sz="4" w:space="0"/>
              <w:right w:val="single" w:color="auto" w:sz="4" w:space="0"/>
            </w:tcBorders>
            <w:shd w:val="clear" w:color="auto" w:fill="auto"/>
          </w:tcPr>
          <w:p w14:paraId="74E47A59">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5F6B656F">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5092224">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三、水生态工程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15569D02">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b/>
                <w:sz w:val="21"/>
                <w:szCs w:val="21"/>
              </w:rPr>
              <w:t>10</w:t>
            </w:r>
            <w:r>
              <w:rPr>
                <w:rFonts w:ascii="Times New Roman" w:hAnsi="Times New Roman" w:cs="Times New Roman"/>
                <w:b/>
                <w:sz w:val="21"/>
                <w:szCs w:val="21"/>
              </w:rPr>
              <w:t>000</w:t>
            </w:r>
          </w:p>
        </w:tc>
        <w:tc>
          <w:tcPr>
            <w:tcW w:w="2770" w:type="dxa"/>
            <w:tcBorders>
              <w:top w:val="single" w:color="auto" w:sz="4" w:space="0"/>
              <w:left w:val="nil"/>
              <w:bottom w:val="single" w:color="auto" w:sz="4" w:space="0"/>
              <w:right w:val="single" w:color="auto" w:sz="4" w:space="0"/>
            </w:tcBorders>
            <w:shd w:val="clear" w:color="auto" w:fill="auto"/>
          </w:tcPr>
          <w:p w14:paraId="7484A75E">
            <w:pPr>
              <w:pStyle w:val="22"/>
              <w:adjustRightInd w:val="0"/>
              <w:spacing w:before="0" w:beforeAutospacing="0" w:after="0" w:afterAutospacing="0"/>
              <w:jc w:val="both"/>
              <w:rPr>
                <w:rFonts w:ascii="Times New Roman" w:hAnsi="Times New Roman" w:cs="Times New Roman"/>
                <w:sz w:val="18"/>
                <w:szCs w:val="18"/>
              </w:rPr>
            </w:pPr>
          </w:p>
        </w:tc>
      </w:tr>
      <w:tr w14:paraId="46573B0D">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0C986051">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河涌、水道滨岸景观带建设</w:t>
            </w:r>
          </w:p>
        </w:tc>
        <w:tc>
          <w:tcPr>
            <w:tcW w:w="5262" w:type="dxa"/>
            <w:tcBorders>
              <w:top w:val="single" w:color="auto" w:sz="4" w:space="0"/>
              <w:left w:val="nil"/>
              <w:bottom w:val="single" w:color="auto" w:sz="4" w:space="0"/>
              <w:right w:val="single" w:color="auto" w:sz="4" w:space="0"/>
            </w:tcBorders>
            <w:shd w:val="clear" w:color="auto" w:fill="auto"/>
            <w:vAlign w:val="center"/>
          </w:tcPr>
          <w:p w14:paraId="586731EA">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朗滘涌、西河涌、十六顷涌、沙朗新开涌、后山新开涌、朗心渠、新涌滨岸带美化绿化建设、沿江路硬化、沿江公园建设等。支流河涌绿化、引水、生态净化等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69FD8251">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21"/>
                <w:szCs w:val="21"/>
              </w:rPr>
              <w:t>38</w:t>
            </w:r>
            <w:r>
              <w:rPr>
                <w:rFonts w:ascii="Times New Roman" w:hAnsi="Times New Roman" w:cs="Times New Roman"/>
                <w:sz w:val="21"/>
                <w:szCs w:val="21"/>
              </w:rPr>
              <w:t>00</w:t>
            </w:r>
          </w:p>
        </w:tc>
        <w:tc>
          <w:tcPr>
            <w:tcW w:w="2770" w:type="dxa"/>
            <w:tcBorders>
              <w:top w:val="single" w:color="auto" w:sz="4" w:space="0"/>
              <w:left w:val="nil"/>
              <w:bottom w:val="single" w:color="auto" w:sz="4" w:space="0"/>
              <w:right w:val="single" w:color="auto" w:sz="4" w:space="0"/>
            </w:tcBorders>
            <w:shd w:val="clear" w:color="auto" w:fill="auto"/>
          </w:tcPr>
          <w:p w14:paraId="2155F47C">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西区住房城乡建设局、西区农业和社区工作局（资金由西区办事处筹措）</w:t>
            </w:r>
          </w:p>
        </w:tc>
      </w:tr>
      <w:tr w14:paraId="2A11F6B3">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9679C05">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生态护岸工程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58B86BA5">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对狮滘河、岐江河、十六顷排灌渠、悦生涌等采取散铺砂卵石岸坡、自然缓坡、植树、植草等生态工程护堤</w:t>
            </w:r>
          </w:p>
        </w:tc>
        <w:tc>
          <w:tcPr>
            <w:tcW w:w="963" w:type="dxa"/>
            <w:tcBorders>
              <w:top w:val="single" w:color="auto" w:sz="4" w:space="0"/>
              <w:left w:val="nil"/>
              <w:bottom w:val="single" w:color="auto" w:sz="4" w:space="0"/>
              <w:right w:val="single" w:color="auto" w:sz="4" w:space="0"/>
            </w:tcBorders>
            <w:shd w:val="clear" w:color="auto" w:fill="auto"/>
            <w:vAlign w:val="center"/>
          </w:tcPr>
          <w:p w14:paraId="6989CB34">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bCs/>
                <w:sz w:val="21"/>
                <w:szCs w:val="21"/>
              </w:rPr>
              <w:t>62</w:t>
            </w:r>
            <w:r>
              <w:rPr>
                <w:rFonts w:ascii="Times New Roman" w:hAnsi="Times New Roman" w:cs="Times New Roman"/>
                <w:bCs/>
                <w:sz w:val="21"/>
                <w:szCs w:val="21"/>
              </w:rPr>
              <w:t>00</w:t>
            </w:r>
          </w:p>
        </w:tc>
        <w:tc>
          <w:tcPr>
            <w:tcW w:w="2770" w:type="dxa"/>
            <w:tcBorders>
              <w:top w:val="single" w:color="auto" w:sz="4" w:space="0"/>
              <w:left w:val="nil"/>
              <w:bottom w:val="single" w:color="auto" w:sz="4" w:space="0"/>
              <w:right w:val="single" w:color="auto" w:sz="4" w:space="0"/>
            </w:tcBorders>
            <w:shd w:val="clear" w:color="auto" w:fill="auto"/>
          </w:tcPr>
          <w:p w14:paraId="473E7EB1">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西区住房城乡建设局、西区水利所（资金由西区办事处筹措）</w:t>
            </w:r>
          </w:p>
        </w:tc>
      </w:tr>
      <w:tr w14:paraId="2D20EAD5">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CC81D6B">
            <w:pPr>
              <w:pStyle w:val="22"/>
              <w:adjustRightInd w:val="0"/>
              <w:spacing w:before="0" w:after="0"/>
              <w:ind w:firstLine="361"/>
              <w:rPr>
                <w:rFonts w:ascii="Times New Roman" w:hAnsi="Times New Roman" w:cs="Times New Roman"/>
                <w:sz w:val="18"/>
                <w:szCs w:val="18"/>
              </w:rPr>
            </w:pPr>
            <w:r>
              <w:rPr>
                <w:rFonts w:hint="eastAsia" w:ascii="Times New Roman" w:hAnsi="Times New Roman" w:cs="Times New Roman"/>
                <w:b/>
                <w:sz w:val="21"/>
                <w:szCs w:val="21"/>
              </w:rPr>
              <w:t>四、水监管</w:t>
            </w:r>
          </w:p>
        </w:tc>
        <w:tc>
          <w:tcPr>
            <w:tcW w:w="963" w:type="dxa"/>
            <w:tcBorders>
              <w:top w:val="single" w:color="auto" w:sz="4" w:space="0"/>
              <w:left w:val="nil"/>
              <w:bottom w:val="single" w:color="auto" w:sz="4" w:space="0"/>
              <w:right w:val="single" w:color="auto" w:sz="4" w:space="0"/>
            </w:tcBorders>
            <w:shd w:val="clear" w:color="auto" w:fill="auto"/>
            <w:vAlign w:val="center"/>
          </w:tcPr>
          <w:p w14:paraId="0CE167C9">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b/>
                <w:sz w:val="21"/>
                <w:szCs w:val="21"/>
              </w:rPr>
              <w:t>26</w:t>
            </w:r>
            <w:r>
              <w:rPr>
                <w:rFonts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17C6C858">
            <w:pPr>
              <w:pStyle w:val="22"/>
              <w:adjustRightInd w:val="0"/>
              <w:spacing w:before="0" w:beforeAutospacing="0" w:after="0" w:afterAutospacing="0"/>
              <w:jc w:val="both"/>
              <w:rPr>
                <w:rFonts w:ascii="Times New Roman" w:hAnsi="Times New Roman" w:cs="Times New Roman"/>
                <w:sz w:val="18"/>
                <w:szCs w:val="18"/>
              </w:rPr>
            </w:pPr>
          </w:p>
        </w:tc>
      </w:tr>
      <w:tr w14:paraId="19765C8B">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D7B5160">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定期监测入河排污口</w:t>
            </w:r>
          </w:p>
        </w:tc>
        <w:tc>
          <w:tcPr>
            <w:tcW w:w="5262" w:type="dxa"/>
            <w:tcBorders>
              <w:top w:val="single" w:color="auto" w:sz="4" w:space="0"/>
              <w:left w:val="nil"/>
              <w:bottom w:val="single" w:color="auto" w:sz="4" w:space="0"/>
              <w:right w:val="single" w:color="auto" w:sz="4" w:space="0"/>
            </w:tcBorders>
            <w:shd w:val="clear" w:color="auto" w:fill="auto"/>
            <w:vAlign w:val="center"/>
          </w:tcPr>
          <w:p w14:paraId="67176BDA">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排查清楚境内朗滘涌、西河涌、十六顷涌、沙朗新开涌、后山新开涌、朗心渠、新涌等河涌的入河排污口，并开展定期监测</w:t>
            </w:r>
          </w:p>
        </w:tc>
        <w:tc>
          <w:tcPr>
            <w:tcW w:w="963" w:type="dxa"/>
            <w:tcBorders>
              <w:top w:val="single" w:color="auto" w:sz="4" w:space="0"/>
              <w:left w:val="nil"/>
              <w:bottom w:val="single" w:color="auto" w:sz="4" w:space="0"/>
              <w:right w:val="single" w:color="auto" w:sz="4" w:space="0"/>
            </w:tcBorders>
            <w:shd w:val="clear" w:color="auto" w:fill="auto"/>
            <w:vAlign w:val="center"/>
          </w:tcPr>
          <w:p w14:paraId="71AA5E3E">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26</w:t>
            </w:r>
            <w:r>
              <w:rPr>
                <w:rFonts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69E1B742">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西区水利所（资金由西区办事处筹措）</w:t>
            </w:r>
          </w:p>
        </w:tc>
      </w:tr>
      <w:tr w14:paraId="5DF07642">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CDA2D8B">
            <w:pPr>
              <w:pStyle w:val="22"/>
              <w:adjustRightInd w:val="0"/>
              <w:spacing w:before="0" w:after="0"/>
              <w:ind w:firstLine="361"/>
              <w:rPr>
                <w:rFonts w:ascii="Times New Roman" w:hAnsi="Times New Roman" w:cs="Times New Roman"/>
                <w:sz w:val="18"/>
                <w:szCs w:val="18"/>
              </w:rPr>
            </w:pPr>
            <w:r>
              <w:rPr>
                <w:rFonts w:hint="eastAsia" w:ascii="Times New Roman" w:hAnsi="Times New Roman" w:cs="Times New Roman"/>
                <w:b/>
                <w:sz w:val="21"/>
                <w:szCs w:val="21"/>
              </w:rPr>
              <w:t>五、水节约工程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04E858F7">
            <w:pPr>
              <w:pStyle w:val="22"/>
              <w:adjustRightInd w:val="0"/>
              <w:spacing w:before="0" w:after="0"/>
              <w:jc w:val="center"/>
              <w:rPr>
                <w:rFonts w:ascii="Times New Roman" w:hAnsi="Times New Roman" w:cs="Times New Roman"/>
                <w:b/>
                <w:bCs/>
                <w:sz w:val="18"/>
                <w:szCs w:val="18"/>
              </w:rPr>
            </w:pPr>
            <w:r>
              <w:rPr>
                <w:rFonts w:hint="eastAsia" w:ascii="Times New Roman" w:hAnsi="Times New Roman" w:cs="Times New Roman"/>
                <w:b/>
                <w:bCs/>
                <w:sz w:val="18"/>
                <w:szCs w:val="18"/>
              </w:rPr>
              <w:t>1</w:t>
            </w:r>
            <w:r>
              <w:rPr>
                <w:rFonts w:ascii="Times New Roman" w:hAnsi="Times New Roman" w:cs="Times New Roman"/>
                <w:b/>
                <w:bCs/>
                <w:sz w:val="18"/>
                <w:szCs w:val="18"/>
              </w:rPr>
              <w:t>850</w:t>
            </w:r>
          </w:p>
        </w:tc>
        <w:tc>
          <w:tcPr>
            <w:tcW w:w="2770" w:type="dxa"/>
            <w:tcBorders>
              <w:top w:val="single" w:color="auto" w:sz="4" w:space="0"/>
              <w:left w:val="nil"/>
              <w:bottom w:val="single" w:color="auto" w:sz="4" w:space="0"/>
              <w:right w:val="single" w:color="auto" w:sz="4" w:space="0"/>
            </w:tcBorders>
            <w:shd w:val="clear" w:color="auto" w:fill="auto"/>
          </w:tcPr>
          <w:p w14:paraId="2789DEEA">
            <w:pPr>
              <w:pStyle w:val="22"/>
              <w:adjustRightInd w:val="0"/>
              <w:spacing w:before="0" w:beforeAutospacing="0" w:after="0" w:afterAutospacing="0"/>
              <w:jc w:val="both"/>
              <w:rPr>
                <w:rFonts w:ascii="Times New Roman" w:hAnsi="Times New Roman" w:cs="Times New Roman"/>
                <w:sz w:val="18"/>
                <w:szCs w:val="18"/>
              </w:rPr>
            </w:pPr>
          </w:p>
        </w:tc>
      </w:tr>
      <w:tr w14:paraId="461BD351">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B160DC5">
            <w:pPr>
              <w:pStyle w:val="22"/>
              <w:adjustRightInd w:val="0"/>
              <w:spacing w:before="0" w:after="0"/>
              <w:ind w:firstLine="402"/>
              <w:rPr>
                <w:rFonts w:ascii="Times New Roman" w:hAnsi="Times New Roman" w:cs="Times New Roman"/>
                <w:sz w:val="18"/>
                <w:szCs w:val="18"/>
              </w:rPr>
            </w:pPr>
            <w:r>
              <w:rPr>
                <w:rFonts w:ascii="Times New Roman" w:hAnsi="Times New Roman" w:cs="Times New Roman"/>
                <w:b/>
                <w:sz w:val="21"/>
                <w:szCs w:val="21"/>
              </w:rPr>
              <w:t>1</w:t>
            </w:r>
            <w:r>
              <w:rPr>
                <w:rFonts w:hint="eastAsia" w:ascii="Times New Roman" w:hAnsi="Times New Roman" w:cs="Times New Roman"/>
                <w:b/>
                <w:sz w:val="21"/>
                <w:szCs w:val="21"/>
              </w:rPr>
              <w:t>、工业节水工程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729E2F1E">
            <w:pPr>
              <w:pStyle w:val="22"/>
              <w:adjustRightInd w:val="0"/>
              <w:spacing w:before="0" w:after="0"/>
              <w:jc w:val="center"/>
              <w:rPr>
                <w:rFonts w:ascii="Times New Roman" w:hAnsi="Times New Roman" w:cs="Times New Roman"/>
                <w:sz w:val="18"/>
                <w:szCs w:val="18"/>
              </w:rPr>
            </w:pPr>
            <w:r>
              <w:rPr>
                <w:rFonts w:ascii="Times New Roman" w:hAnsi="Times New Roman" w:cs="Times New Roman"/>
                <w:b/>
                <w:sz w:val="21"/>
                <w:szCs w:val="21"/>
              </w:rPr>
              <w:t>12</w:t>
            </w:r>
            <w:r>
              <w:rPr>
                <w:rFonts w:hint="eastAsia"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697E6506">
            <w:pPr>
              <w:pStyle w:val="22"/>
              <w:adjustRightInd w:val="0"/>
              <w:spacing w:before="0" w:beforeAutospacing="0" w:after="0" w:afterAutospacing="0"/>
              <w:jc w:val="both"/>
              <w:rPr>
                <w:rFonts w:ascii="Times New Roman" w:hAnsi="Times New Roman" w:cs="Times New Roman"/>
                <w:sz w:val="18"/>
                <w:szCs w:val="18"/>
              </w:rPr>
            </w:pPr>
          </w:p>
        </w:tc>
      </w:tr>
      <w:tr w14:paraId="4D5498AA">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4BD9959">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重点行业</w:t>
            </w:r>
          </w:p>
        </w:tc>
        <w:tc>
          <w:tcPr>
            <w:tcW w:w="5262" w:type="dxa"/>
            <w:tcBorders>
              <w:top w:val="single" w:color="auto" w:sz="4" w:space="0"/>
              <w:left w:val="nil"/>
              <w:bottom w:val="single" w:color="auto" w:sz="4" w:space="0"/>
              <w:right w:val="single" w:color="auto" w:sz="4" w:space="0"/>
            </w:tcBorders>
            <w:shd w:val="clear" w:color="auto" w:fill="auto"/>
            <w:vAlign w:val="center"/>
          </w:tcPr>
          <w:p w14:paraId="2659C5BA">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对</w:t>
            </w:r>
            <w:r>
              <w:rPr>
                <w:rFonts w:hint="eastAsia" w:ascii="Times New Roman" w:hAnsi="Times New Roman" w:cs="Times New Roman"/>
                <w:kern w:val="2"/>
                <w:sz w:val="18"/>
                <w:szCs w:val="18"/>
                <w:lang w:bidi="ar"/>
              </w:rPr>
              <w:t>中山新洋水产食品有限公司、广东日丰电缆股份有限公司、中山市格林曼光电科技有限公司、中山市尊宝实业有限公司</w:t>
            </w:r>
            <w:r>
              <w:rPr>
                <w:rFonts w:ascii="Times New Roman" w:hAnsi="Times New Roman" w:cs="Times New Roman"/>
                <w:kern w:val="2"/>
                <w:sz w:val="18"/>
                <w:szCs w:val="18"/>
                <w:lang w:bidi="ar"/>
              </w:rPr>
              <w:t>4</w:t>
            </w:r>
            <w:r>
              <w:rPr>
                <w:rFonts w:hint="eastAsia" w:ascii="Times New Roman" w:hAnsi="Times New Roman" w:cs="Times New Roman"/>
                <w:kern w:val="2"/>
                <w:sz w:val="18"/>
                <w:szCs w:val="18"/>
                <w:lang w:bidi="ar"/>
              </w:rPr>
              <w:t>家企业</w:t>
            </w:r>
            <w:r>
              <w:rPr>
                <w:rFonts w:hint="eastAsia" w:ascii="Times New Roman" w:hAnsi="Times New Roman" w:cs="Times New Roman"/>
                <w:sz w:val="18"/>
                <w:szCs w:val="18"/>
              </w:rPr>
              <w:t>等的食品、电缆、药业、灯饰、电器等用水量大的企业进行重点节水改造工程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23E9E3E2">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12</w:t>
            </w:r>
            <w:r>
              <w:rPr>
                <w:rFonts w:hint="eastAsia"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60039DC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西区经济发展和科技信息化局、西区水利所（资金由西区办事处补助奖励金和企业自筹）</w:t>
            </w:r>
          </w:p>
        </w:tc>
      </w:tr>
      <w:tr w14:paraId="12D58E7D">
        <w:tblPrEx>
          <w:tblCellMar>
            <w:top w:w="0" w:type="dxa"/>
            <w:left w:w="108" w:type="dxa"/>
            <w:bottom w:w="0" w:type="dxa"/>
            <w:right w:w="108" w:type="dxa"/>
          </w:tblCellMar>
        </w:tblPrEx>
        <w:trPr>
          <w:trHeight w:val="204"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9067F0D">
            <w:pPr>
              <w:pStyle w:val="22"/>
              <w:adjustRightInd w:val="0"/>
              <w:spacing w:before="0" w:after="0"/>
              <w:ind w:firstLine="400"/>
              <w:rPr>
                <w:rFonts w:ascii="Times New Roman" w:hAnsi="Times New Roman" w:cs="Times New Roman"/>
                <w:sz w:val="18"/>
                <w:szCs w:val="18"/>
              </w:rPr>
            </w:pPr>
            <w:r>
              <w:rPr>
                <w:rFonts w:ascii="Times New Roman" w:hAnsi="Times New Roman" w:cs="Times New Roman"/>
                <w:b/>
                <w:sz w:val="21"/>
                <w:szCs w:val="21"/>
              </w:rPr>
              <w:t>2</w:t>
            </w:r>
            <w:r>
              <w:rPr>
                <w:rFonts w:hint="eastAsia" w:ascii="Times New Roman" w:hAnsi="Times New Roman"/>
                <w:b/>
                <w:sz w:val="21"/>
                <w:szCs w:val="21"/>
              </w:rPr>
              <w:t>、非常规水源利用工程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37602D3A">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17</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418E3B2E">
            <w:pPr>
              <w:pStyle w:val="22"/>
              <w:adjustRightInd w:val="0"/>
              <w:spacing w:before="0" w:beforeAutospacing="0" w:after="0" w:afterAutospacing="0"/>
              <w:jc w:val="both"/>
              <w:rPr>
                <w:rFonts w:ascii="Times New Roman" w:hAnsi="Times New Roman" w:cs="Times New Roman"/>
                <w:sz w:val="18"/>
                <w:szCs w:val="18"/>
              </w:rPr>
            </w:pPr>
          </w:p>
        </w:tc>
      </w:tr>
      <w:tr w14:paraId="1688DF2B">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17DDAAD9">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雨水利用工程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5FD1E5AB">
            <w:pPr>
              <w:pStyle w:val="22"/>
              <w:adjustRightInd w:val="0"/>
              <w:spacing w:before="0" w:after="0"/>
              <w:jc w:val="center"/>
              <w:rPr>
                <w:rFonts w:ascii="Times New Roman" w:hAnsi="Times New Roman" w:cs="Times New Roman"/>
                <w:sz w:val="18"/>
                <w:szCs w:val="18"/>
              </w:rPr>
            </w:pPr>
            <w:r>
              <w:rPr>
                <w:rFonts w:hint="eastAsia" w:ascii="Times New Roman" w:hAnsi="Times New Roman"/>
                <w:sz w:val="18"/>
                <w:szCs w:val="18"/>
              </w:rPr>
              <w:t>构建蓄水池、绿色屋顶</w:t>
            </w:r>
          </w:p>
        </w:tc>
        <w:tc>
          <w:tcPr>
            <w:tcW w:w="963" w:type="dxa"/>
            <w:tcBorders>
              <w:top w:val="single" w:color="auto" w:sz="4" w:space="0"/>
              <w:left w:val="nil"/>
              <w:bottom w:val="single" w:color="auto" w:sz="4" w:space="0"/>
              <w:right w:val="single" w:color="auto" w:sz="4" w:space="0"/>
            </w:tcBorders>
            <w:shd w:val="clear" w:color="auto" w:fill="auto"/>
            <w:vAlign w:val="center"/>
          </w:tcPr>
          <w:p w14:paraId="58F504FD">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500</w:t>
            </w:r>
          </w:p>
        </w:tc>
        <w:tc>
          <w:tcPr>
            <w:tcW w:w="2770" w:type="dxa"/>
            <w:tcBorders>
              <w:top w:val="single" w:color="auto" w:sz="4" w:space="0"/>
              <w:left w:val="nil"/>
              <w:bottom w:val="single" w:color="auto" w:sz="4" w:space="0"/>
              <w:right w:val="single" w:color="auto" w:sz="4" w:space="0"/>
            </w:tcBorders>
            <w:shd w:val="clear" w:color="auto" w:fill="auto"/>
          </w:tcPr>
          <w:p w14:paraId="28E198F4">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w:t>
            </w:r>
          </w:p>
          <w:p w14:paraId="0CA1365E">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（资金由开发商自筹）</w:t>
            </w:r>
          </w:p>
        </w:tc>
      </w:tr>
      <w:tr w14:paraId="1B1921E5">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1DE17883">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再生水利用工程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4BAB91FE">
            <w:pPr>
              <w:pStyle w:val="22"/>
              <w:adjustRightInd w:val="0"/>
              <w:spacing w:before="0" w:after="0"/>
              <w:rPr>
                <w:rFonts w:ascii="Times New Roman" w:hAnsi="Times New Roman" w:cs="Times New Roman"/>
                <w:sz w:val="18"/>
                <w:szCs w:val="18"/>
              </w:rPr>
            </w:pPr>
            <w:r>
              <w:rPr>
                <w:rFonts w:hint="eastAsia" w:ascii="Times New Roman" w:hAnsi="Times New Roman"/>
                <w:sz w:val="18"/>
                <w:szCs w:val="18"/>
              </w:rPr>
              <w:t>对用水量巨大的企业配备污水再生处理回用装置，采用膜分离技术，回用再生水</w:t>
            </w:r>
          </w:p>
        </w:tc>
        <w:tc>
          <w:tcPr>
            <w:tcW w:w="963" w:type="dxa"/>
            <w:tcBorders>
              <w:top w:val="single" w:color="auto" w:sz="4" w:space="0"/>
              <w:left w:val="nil"/>
              <w:bottom w:val="single" w:color="auto" w:sz="4" w:space="0"/>
              <w:right w:val="single" w:color="auto" w:sz="4" w:space="0"/>
            </w:tcBorders>
            <w:shd w:val="clear" w:color="auto" w:fill="auto"/>
            <w:vAlign w:val="center"/>
          </w:tcPr>
          <w:p w14:paraId="547FCAD1">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1200</w:t>
            </w:r>
          </w:p>
        </w:tc>
        <w:tc>
          <w:tcPr>
            <w:tcW w:w="2770" w:type="dxa"/>
            <w:tcBorders>
              <w:top w:val="single" w:color="auto" w:sz="4" w:space="0"/>
              <w:left w:val="nil"/>
              <w:bottom w:val="single" w:color="auto" w:sz="4" w:space="0"/>
              <w:right w:val="single" w:color="auto" w:sz="4" w:space="0"/>
            </w:tcBorders>
            <w:shd w:val="clear" w:color="auto" w:fill="auto"/>
          </w:tcPr>
          <w:p w14:paraId="377B1CFD">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西区经济发展和科技信息化局、西区水利所（资金由企业自筹）</w:t>
            </w:r>
          </w:p>
        </w:tc>
      </w:tr>
      <w:tr w14:paraId="408A9016">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AF21041">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六、水文化工程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5A46E703">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2600</w:t>
            </w:r>
          </w:p>
        </w:tc>
        <w:tc>
          <w:tcPr>
            <w:tcW w:w="2770" w:type="dxa"/>
            <w:tcBorders>
              <w:top w:val="single" w:color="auto" w:sz="4" w:space="0"/>
              <w:left w:val="nil"/>
              <w:bottom w:val="single" w:color="auto" w:sz="4" w:space="0"/>
              <w:right w:val="single" w:color="auto" w:sz="4" w:space="0"/>
            </w:tcBorders>
            <w:shd w:val="clear" w:color="auto" w:fill="auto"/>
          </w:tcPr>
          <w:p w14:paraId="60C2C0D3">
            <w:pPr>
              <w:pStyle w:val="22"/>
              <w:adjustRightInd w:val="0"/>
              <w:spacing w:before="0" w:beforeAutospacing="0" w:after="0" w:afterAutospacing="0"/>
              <w:jc w:val="center"/>
              <w:rPr>
                <w:rFonts w:ascii="Times New Roman" w:hAnsi="Times New Roman" w:cs="Times New Roman"/>
                <w:sz w:val="18"/>
                <w:szCs w:val="18"/>
              </w:rPr>
            </w:pPr>
          </w:p>
        </w:tc>
      </w:tr>
      <w:tr w14:paraId="3F00944F">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5EE135D4">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生态旅游休闲建设工程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3DBEF874">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建设</w:t>
            </w:r>
            <w:r>
              <w:rPr>
                <w:rFonts w:hint="eastAsia" w:ascii="Times New Roman" w:hAnsi="Times New Roman" w:cs="Times New Roman"/>
                <w:kern w:val="2"/>
                <w:sz w:val="18"/>
                <w:szCs w:val="18"/>
                <w:lang w:bidi="ar"/>
              </w:rPr>
              <w:t>彩虹绿洲公园生态功能片区</w:t>
            </w:r>
            <w:r>
              <w:rPr>
                <w:rFonts w:hint="eastAsia" w:ascii="Times New Roman" w:hAnsi="Times New Roman" w:cs="Times New Roman"/>
                <w:sz w:val="18"/>
                <w:szCs w:val="18"/>
              </w:rPr>
              <w:t>的生态旅游休闲工程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66186EE2">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6</w:t>
            </w:r>
            <w:r>
              <w:rPr>
                <w:rFonts w:hint="eastAsia" w:ascii="Times New Roman" w:hAnsi="Times New Roman" w:cs="Times New Roman"/>
                <w:sz w:val="18"/>
                <w:szCs w:val="18"/>
              </w:rPr>
              <w:t>0</w:t>
            </w:r>
            <w:r>
              <w:rPr>
                <w:rFonts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1E7D8DEF">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37249E4A">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2C042FF">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水利风景区</w:t>
            </w:r>
          </w:p>
        </w:tc>
        <w:tc>
          <w:tcPr>
            <w:tcW w:w="5262" w:type="dxa"/>
            <w:tcBorders>
              <w:top w:val="single" w:color="auto" w:sz="4" w:space="0"/>
              <w:left w:val="nil"/>
              <w:bottom w:val="single" w:color="auto" w:sz="4" w:space="0"/>
              <w:right w:val="single" w:color="auto" w:sz="4" w:space="0"/>
            </w:tcBorders>
            <w:shd w:val="clear" w:color="auto" w:fill="auto"/>
            <w:vAlign w:val="center"/>
          </w:tcPr>
          <w:p w14:paraId="5DD42E5F">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完成</w:t>
            </w:r>
            <w:r>
              <w:rPr>
                <w:rFonts w:hint="eastAsia" w:ascii="Times New Roman" w:hAnsi="Times New Roman" w:cs="Times New Roman"/>
                <w:kern w:val="2"/>
                <w:sz w:val="18"/>
                <w:szCs w:val="18"/>
                <w:lang w:bidi="ar"/>
              </w:rPr>
              <w:t>以狮山公园为中心，结合狮滘河建设水利风景区；以岐江公园为中心，结合岐江河建设水利风景区</w:t>
            </w:r>
          </w:p>
        </w:tc>
        <w:tc>
          <w:tcPr>
            <w:tcW w:w="963" w:type="dxa"/>
            <w:tcBorders>
              <w:top w:val="single" w:color="auto" w:sz="4" w:space="0"/>
              <w:left w:val="nil"/>
              <w:bottom w:val="single" w:color="auto" w:sz="4" w:space="0"/>
              <w:right w:val="single" w:color="auto" w:sz="4" w:space="0"/>
            </w:tcBorders>
            <w:shd w:val="clear" w:color="auto" w:fill="auto"/>
            <w:vAlign w:val="center"/>
          </w:tcPr>
          <w:p w14:paraId="467BFBB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200</w:t>
            </w:r>
            <w:r>
              <w:rPr>
                <w:rFonts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2DE50030">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0FDE9ADB">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06533551">
            <w:pPr>
              <w:pStyle w:val="22"/>
              <w:adjustRightInd w:val="0"/>
              <w:spacing w:before="0" w:after="0"/>
              <w:jc w:val="center"/>
              <w:rPr>
                <w:rFonts w:ascii="Times New Roman" w:hAnsi="Times New Roman"/>
                <w:sz w:val="21"/>
                <w:szCs w:val="21"/>
              </w:rPr>
            </w:pPr>
            <w:r>
              <w:rPr>
                <w:rFonts w:hint="eastAsia" w:ascii="Times New Roman" w:hAnsi="Times New Roman" w:cs="Times New Roman"/>
                <w:b/>
                <w:sz w:val="21"/>
                <w:szCs w:val="21"/>
              </w:rPr>
              <w:t>合计</w:t>
            </w:r>
          </w:p>
        </w:tc>
        <w:tc>
          <w:tcPr>
            <w:tcW w:w="8995" w:type="dxa"/>
            <w:gridSpan w:val="3"/>
            <w:tcBorders>
              <w:top w:val="single" w:color="auto" w:sz="4" w:space="0"/>
              <w:left w:val="nil"/>
              <w:bottom w:val="single" w:color="auto" w:sz="4" w:space="0"/>
              <w:right w:val="single" w:color="auto" w:sz="4" w:space="0"/>
            </w:tcBorders>
            <w:shd w:val="clear" w:color="auto" w:fill="auto"/>
            <w:vAlign w:val="center"/>
          </w:tcPr>
          <w:p w14:paraId="36AA02B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5</w:t>
            </w:r>
            <w:r>
              <w:rPr>
                <w:rFonts w:ascii="Times New Roman" w:hAnsi="Times New Roman" w:cs="Times New Roman"/>
                <w:b/>
                <w:sz w:val="21"/>
                <w:szCs w:val="21"/>
              </w:rPr>
              <w:t>44</w:t>
            </w:r>
            <w:r>
              <w:rPr>
                <w:rFonts w:hint="eastAsia" w:ascii="Times New Roman" w:hAnsi="Times New Roman" w:cs="Times New Roman"/>
                <w:b/>
                <w:sz w:val="21"/>
                <w:szCs w:val="21"/>
              </w:rPr>
              <w:t>2</w:t>
            </w:r>
            <w:r>
              <w:rPr>
                <w:rFonts w:ascii="Times New Roman" w:hAnsi="Times New Roman" w:cs="Times New Roman"/>
                <w:b/>
                <w:sz w:val="21"/>
                <w:szCs w:val="21"/>
              </w:rPr>
              <w:t>0</w:t>
            </w:r>
            <w:r>
              <w:rPr>
                <w:rFonts w:hint="eastAsia" w:ascii="Times New Roman" w:hAnsi="Times New Roman" w:cs="Times New Roman"/>
                <w:b/>
                <w:sz w:val="21"/>
                <w:szCs w:val="21"/>
              </w:rPr>
              <w:t>万元</w:t>
            </w:r>
          </w:p>
          <w:p w14:paraId="6761F1A7">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sz w:val="18"/>
                <w:szCs w:val="18"/>
              </w:rPr>
              <w:t>（西区办事处筹措资金4</w:t>
            </w:r>
            <w:r>
              <w:rPr>
                <w:rFonts w:ascii="Times New Roman" w:hAnsi="Times New Roman"/>
                <w:sz w:val="18"/>
                <w:szCs w:val="18"/>
              </w:rPr>
              <w:t>0930</w:t>
            </w:r>
            <w:r>
              <w:rPr>
                <w:rFonts w:hint="eastAsia" w:ascii="Times New Roman" w:hAnsi="Times New Roman"/>
                <w:sz w:val="18"/>
                <w:szCs w:val="18"/>
              </w:rPr>
              <w:t>万元，市政府筹措资金1</w:t>
            </w:r>
            <w:r>
              <w:rPr>
                <w:rFonts w:ascii="Times New Roman" w:hAnsi="Times New Roman"/>
                <w:sz w:val="18"/>
                <w:szCs w:val="18"/>
              </w:rPr>
              <w:t>0000</w:t>
            </w:r>
            <w:r>
              <w:rPr>
                <w:rFonts w:hint="eastAsia" w:ascii="Times New Roman" w:hAnsi="Times New Roman"/>
                <w:sz w:val="18"/>
                <w:szCs w:val="18"/>
              </w:rPr>
              <w:t>万元，企业筹措资金2</w:t>
            </w:r>
            <w:r>
              <w:rPr>
                <w:rFonts w:ascii="Times New Roman" w:hAnsi="Times New Roman"/>
                <w:sz w:val="18"/>
                <w:szCs w:val="18"/>
              </w:rPr>
              <w:t>190</w:t>
            </w:r>
            <w:r>
              <w:rPr>
                <w:rFonts w:hint="eastAsia" w:ascii="Times New Roman" w:hAnsi="Times New Roman"/>
                <w:sz w:val="18"/>
                <w:szCs w:val="18"/>
              </w:rPr>
              <w:t>万元，社会集资1</w:t>
            </w:r>
            <w:r>
              <w:rPr>
                <w:rFonts w:ascii="Times New Roman" w:hAnsi="Times New Roman"/>
                <w:sz w:val="18"/>
                <w:szCs w:val="18"/>
              </w:rPr>
              <w:t>300</w:t>
            </w:r>
            <w:r>
              <w:rPr>
                <w:rFonts w:hint="eastAsia" w:ascii="Times New Roman" w:hAnsi="Times New Roman"/>
                <w:sz w:val="18"/>
                <w:szCs w:val="18"/>
              </w:rPr>
              <w:t>万元。）</w:t>
            </w:r>
          </w:p>
        </w:tc>
      </w:tr>
    </w:tbl>
    <w:p w14:paraId="1EA67B6D">
      <w:pPr>
        <w:spacing w:line="240" w:lineRule="auto"/>
        <w:ind w:firstLine="0" w:firstLineChars="0"/>
        <w:jc w:val="center"/>
        <w:rPr>
          <w:rFonts w:eastAsia="宋体" w:cs="Times New Roman"/>
          <w:sz w:val="21"/>
        </w:rPr>
      </w:pPr>
      <w:r>
        <w:rPr>
          <w:rFonts w:eastAsia="宋体" w:cs="Times New Roman"/>
          <w:szCs w:val="24"/>
          <w:lang w:bidi="ar"/>
        </w:rPr>
        <w:br w:type="page"/>
      </w:r>
      <w:r>
        <w:rPr>
          <w:rFonts w:hint="eastAsia" w:eastAsia="宋体" w:cs="Times New Roman"/>
          <w:sz w:val="21"/>
          <w:lang w:bidi="ar"/>
        </w:rPr>
        <w:t>表</w:t>
      </w:r>
      <w:r>
        <w:rPr>
          <w:rFonts w:eastAsia="宋体" w:cs="Times New Roman"/>
          <w:sz w:val="21"/>
          <w:lang w:bidi="ar"/>
        </w:rPr>
        <w:t xml:space="preserve">6-4  </w:t>
      </w:r>
      <w:r>
        <w:rPr>
          <w:rFonts w:hint="eastAsia" w:eastAsia="宋体" w:cs="Times New Roman"/>
          <w:sz w:val="21"/>
          <w:lang w:bidi="ar"/>
        </w:rPr>
        <w:t>西区远期开展的重点工程项目</w:t>
      </w:r>
    </w:p>
    <w:tbl>
      <w:tblPr>
        <w:tblStyle w:val="25"/>
        <w:tblW w:w="10691" w:type="dxa"/>
        <w:jc w:val="center"/>
        <w:tblLayout w:type="fixed"/>
        <w:tblCellMar>
          <w:top w:w="0" w:type="dxa"/>
          <w:left w:w="108" w:type="dxa"/>
          <w:bottom w:w="0" w:type="dxa"/>
          <w:right w:w="108" w:type="dxa"/>
        </w:tblCellMar>
      </w:tblPr>
      <w:tblGrid>
        <w:gridCol w:w="2097"/>
        <w:gridCol w:w="5472"/>
        <w:gridCol w:w="992"/>
        <w:gridCol w:w="2130"/>
      </w:tblGrid>
      <w:tr w14:paraId="38D74E7A">
        <w:tblPrEx>
          <w:tblCellMar>
            <w:top w:w="0" w:type="dxa"/>
            <w:left w:w="108" w:type="dxa"/>
            <w:bottom w:w="0" w:type="dxa"/>
            <w:right w:w="108" w:type="dxa"/>
          </w:tblCellMar>
        </w:tblPrEx>
        <w:trPr>
          <w:trHeight w:val="573"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2CDB72A3">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5472" w:type="dxa"/>
            <w:tcBorders>
              <w:top w:val="single" w:color="auto" w:sz="4" w:space="0"/>
              <w:left w:val="nil"/>
              <w:bottom w:val="single" w:color="auto" w:sz="4" w:space="0"/>
              <w:right w:val="single" w:color="auto" w:sz="4" w:space="0"/>
            </w:tcBorders>
            <w:shd w:val="clear" w:color="auto" w:fill="auto"/>
            <w:vAlign w:val="center"/>
          </w:tcPr>
          <w:p w14:paraId="0652AC57">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92" w:type="dxa"/>
            <w:tcBorders>
              <w:top w:val="single" w:color="auto" w:sz="4" w:space="0"/>
              <w:left w:val="nil"/>
              <w:bottom w:val="single" w:color="auto" w:sz="4" w:space="0"/>
              <w:right w:val="single" w:color="auto" w:sz="4" w:space="0"/>
            </w:tcBorders>
            <w:shd w:val="clear" w:color="auto" w:fill="auto"/>
            <w:vAlign w:val="center"/>
          </w:tcPr>
          <w:p w14:paraId="4BD45AC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3F849B9B">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130" w:type="dxa"/>
            <w:tcBorders>
              <w:top w:val="single" w:color="auto" w:sz="4" w:space="0"/>
              <w:left w:val="nil"/>
              <w:bottom w:val="single" w:color="auto" w:sz="4" w:space="0"/>
              <w:right w:val="single" w:color="auto" w:sz="4" w:space="0"/>
            </w:tcBorders>
            <w:shd w:val="clear" w:color="auto" w:fill="auto"/>
          </w:tcPr>
          <w:p w14:paraId="6ED13847">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5C750FA6">
        <w:tblPrEx>
          <w:tblCellMar>
            <w:top w:w="0" w:type="dxa"/>
            <w:left w:w="108" w:type="dxa"/>
            <w:bottom w:w="0" w:type="dxa"/>
            <w:right w:w="108" w:type="dxa"/>
          </w:tblCellMar>
        </w:tblPrEx>
        <w:trPr>
          <w:trHeight w:val="274"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8E41BE4">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一、水安全工程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0BA9F68C">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w:t>
            </w:r>
            <w:r>
              <w:rPr>
                <w:rFonts w:ascii="Times New Roman" w:hAnsi="Times New Roman" w:cs="Times New Roman"/>
                <w:b/>
                <w:sz w:val="21"/>
                <w:szCs w:val="21"/>
              </w:rPr>
              <w:t>80</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130" w:type="dxa"/>
            <w:tcBorders>
              <w:top w:val="single" w:color="auto" w:sz="4" w:space="0"/>
              <w:left w:val="nil"/>
              <w:bottom w:val="single" w:color="auto" w:sz="4" w:space="0"/>
              <w:right w:val="single" w:color="auto" w:sz="4" w:space="0"/>
            </w:tcBorders>
            <w:shd w:val="clear" w:color="auto" w:fill="auto"/>
          </w:tcPr>
          <w:p w14:paraId="3E26A93F">
            <w:pPr>
              <w:pStyle w:val="22"/>
              <w:adjustRightInd w:val="0"/>
              <w:spacing w:before="0" w:after="0"/>
              <w:jc w:val="center"/>
              <w:rPr>
                <w:rFonts w:ascii="Times New Roman" w:hAnsi="Times New Roman" w:cs="Times New Roman"/>
                <w:sz w:val="21"/>
                <w:szCs w:val="21"/>
              </w:rPr>
            </w:pPr>
          </w:p>
        </w:tc>
      </w:tr>
      <w:tr w14:paraId="36AF4047">
        <w:tblPrEx>
          <w:tblCellMar>
            <w:top w:w="0" w:type="dxa"/>
            <w:left w:w="108" w:type="dxa"/>
            <w:bottom w:w="0" w:type="dxa"/>
            <w:right w:w="108" w:type="dxa"/>
          </w:tblCellMar>
        </w:tblPrEx>
        <w:trPr>
          <w:trHeight w:val="1404"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305A451">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降雨滞蓄工程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637A77B9">
            <w:pPr>
              <w:pStyle w:val="22"/>
              <w:adjustRightInd w:val="0"/>
              <w:spacing w:before="0" w:after="0" w:line="300" w:lineRule="exact"/>
              <w:rPr>
                <w:rFonts w:ascii="Times New Roman" w:hAnsi="Times New Roman" w:cs="Times New Roman"/>
                <w:sz w:val="18"/>
                <w:szCs w:val="18"/>
              </w:rPr>
            </w:pPr>
            <w:r>
              <w:rPr>
                <w:rFonts w:hint="eastAsia" w:ascii="Times New Roman" w:hAnsi="Times New Roman" w:cs="Times New Roman"/>
                <w:sz w:val="18"/>
                <w:szCs w:val="18"/>
              </w:rPr>
              <w:t>在</w:t>
            </w:r>
            <w:r>
              <w:rPr>
                <w:rFonts w:hint="eastAsia" w:ascii="Times New Roman" w:hAnsi="Times New Roman" w:cs="Times New Roman"/>
                <w:kern w:val="2"/>
                <w:sz w:val="18"/>
                <w:szCs w:val="18"/>
                <w:lang w:bidi="ar"/>
              </w:rPr>
              <w:t>中北部城区</w:t>
            </w:r>
            <w:r>
              <w:rPr>
                <w:rFonts w:hint="eastAsia" w:ascii="Times New Roman" w:hAnsi="Times New Roman" w:cs="Times New Roman"/>
                <w:sz w:val="18"/>
                <w:szCs w:val="18"/>
              </w:rPr>
              <w:t>增加透水砖铺装、下沉绿地、生物滞留带、雨水花园、生态树池、透水水泥和沥青混凝土路面、雨水湿地、湿塘、调节塘、调节池、植草沟、渗管、渗渠、植被缓冲带、初期雨水弃流设施，增加调蓄容积为</w:t>
            </w:r>
            <w:r>
              <w:rPr>
                <w:rFonts w:ascii="Times New Roman" w:hAnsi="Times New Roman" w:cs="Times New Roman"/>
                <w:sz w:val="18"/>
                <w:szCs w:val="18"/>
              </w:rPr>
              <w:t>182mm</w:t>
            </w:r>
          </w:p>
        </w:tc>
        <w:tc>
          <w:tcPr>
            <w:tcW w:w="992" w:type="dxa"/>
            <w:tcBorders>
              <w:top w:val="single" w:color="auto" w:sz="4" w:space="0"/>
              <w:left w:val="nil"/>
              <w:bottom w:val="single" w:color="auto" w:sz="4" w:space="0"/>
              <w:right w:val="single" w:color="auto" w:sz="4" w:space="0"/>
            </w:tcBorders>
            <w:shd w:val="clear" w:color="auto" w:fill="auto"/>
            <w:vAlign w:val="center"/>
          </w:tcPr>
          <w:p w14:paraId="28C2F011">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18</w:t>
            </w:r>
            <w:r>
              <w:rPr>
                <w:rFonts w:hint="eastAsia" w:ascii="Times New Roman" w:hAnsi="Times New Roman" w:cs="Times New Roman"/>
                <w:sz w:val="18"/>
                <w:szCs w:val="18"/>
              </w:rPr>
              <w:t>0</w:t>
            </w:r>
            <w:r>
              <w:rPr>
                <w:rFonts w:ascii="Times New Roman" w:hAnsi="Times New Roman" w:cs="Times New Roman"/>
                <w:sz w:val="18"/>
                <w:szCs w:val="18"/>
              </w:rPr>
              <w:t>00</w:t>
            </w:r>
          </w:p>
        </w:tc>
        <w:tc>
          <w:tcPr>
            <w:tcW w:w="2130" w:type="dxa"/>
            <w:tcBorders>
              <w:top w:val="single" w:color="auto" w:sz="4" w:space="0"/>
              <w:left w:val="nil"/>
              <w:bottom w:val="single" w:color="auto" w:sz="4" w:space="0"/>
              <w:right w:val="single" w:color="auto" w:sz="4" w:space="0"/>
            </w:tcBorders>
            <w:shd w:val="clear" w:color="auto" w:fill="auto"/>
          </w:tcPr>
          <w:p w14:paraId="5B585C3A">
            <w:pPr>
              <w:pStyle w:val="22"/>
              <w:adjustRightInd w:val="0"/>
              <w:spacing w:before="0" w:beforeAutospacing="0" w:after="0" w:afterAutospacing="0" w:line="300" w:lineRule="exact"/>
              <w:rPr>
                <w:rFonts w:ascii="Times New Roman" w:hAnsi="Times New Roman" w:cs="Times New Roman"/>
                <w:sz w:val="18"/>
                <w:szCs w:val="18"/>
              </w:rPr>
            </w:pPr>
            <w:r>
              <w:rPr>
                <w:rFonts w:hint="eastAsia" w:ascii="Times New Roman" w:hAnsi="Times New Roman" w:cs="Times New Roman"/>
                <w:sz w:val="18"/>
                <w:szCs w:val="18"/>
              </w:rPr>
              <w:t>西区住房城乡建设局（资金由西区办事处筹措）</w:t>
            </w:r>
          </w:p>
        </w:tc>
      </w:tr>
      <w:tr w14:paraId="348A4B6F">
        <w:tblPrEx>
          <w:tblCellMar>
            <w:top w:w="0" w:type="dxa"/>
            <w:left w:w="108" w:type="dxa"/>
            <w:bottom w:w="0" w:type="dxa"/>
            <w:right w:w="108" w:type="dxa"/>
          </w:tblCellMar>
        </w:tblPrEx>
        <w:trPr>
          <w:trHeight w:val="413"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6CBF98D">
            <w:pPr>
              <w:pStyle w:val="22"/>
              <w:adjustRightInd w:val="0"/>
              <w:spacing w:before="0" w:after="0" w:line="300" w:lineRule="exact"/>
              <w:ind w:firstLine="422"/>
              <w:rPr>
                <w:rFonts w:ascii="Times New Roman" w:hAnsi="Times New Roman" w:cs="Times New Roman"/>
                <w:sz w:val="18"/>
                <w:szCs w:val="18"/>
              </w:rPr>
            </w:pPr>
            <w:r>
              <w:rPr>
                <w:rFonts w:hint="eastAsia" w:ascii="Times New Roman" w:hAnsi="Times New Roman" w:cs="Times New Roman"/>
                <w:b/>
                <w:sz w:val="21"/>
                <w:szCs w:val="21"/>
              </w:rPr>
              <w:t>二、水环境工程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5FF87CCE">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5</w:t>
            </w:r>
            <w:r>
              <w:rPr>
                <w:rFonts w:hint="eastAsia" w:ascii="Times New Roman" w:hAnsi="Times New Roman" w:cs="Times New Roman"/>
                <w:b/>
                <w:sz w:val="21"/>
                <w:szCs w:val="21"/>
              </w:rPr>
              <w:t>000</w:t>
            </w:r>
          </w:p>
        </w:tc>
        <w:tc>
          <w:tcPr>
            <w:tcW w:w="2130" w:type="dxa"/>
            <w:tcBorders>
              <w:top w:val="single" w:color="auto" w:sz="4" w:space="0"/>
              <w:left w:val="nil"/>
              <w:bottom w:val="single" w:color="auto" w:sz="4" w:space="0"/>
              <w:right w:val="single" w:color="auto" w:sz="4" w:space="0"/>
            </w:tcBorders>
            <w:shd w:val="clear" w:color="auto" w:fill="auto"/>
          </w:tcPr>
          <w:p w14:paraId="0FFB2081">
            <w:pPr>
              <w:pStyle w:val="22"/>
              <w:adjustRightInd w:val="0"/>
              <w:spacing w:before="0" w:beforeAutospacing="0" w:after="0" w:afterAutospacing="0"/>
              <w:jc w:val="center"/>
              <w:rPr>
                <w:rFonts w:ascii="Times New Roman" w:hAnsi="Times New Roman" w:cs="Times New Roman"/>
                <w:sz w:val="21"/>
                <w:szCs w:val="21"/>
              </w:rPr>
            </w:pPr>
          </w:p>
        </w:tc>
      </w:tr>
      <w:tr w14:paraId="73B74743">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3DB3792">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水环境综合</w:t>
            </w:r>
          </w:p>
          <w:p w14:paraId="1C425378">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治理工程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3E767DC6">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各河涌实行自动化联合调度控制，各站点设置水情监测、水位记录、水位自动控制和调度等</w:t>
            </w:r>
          </w:p>
        </w:tc>
        <w:tc>
          <w:tcPr>
            <w:tcW w:w="992" w:type="dxa"/>
            <w:tcBorders>
              <w:top w:val="single" w:color="auto" w:sz="4" w:space="0"/>
              <w:left w:val="nil"/>
              <w:bottom w:val="single" w:color="auto" w:sz="4" w:space="0"/>
              <w:right w:val="single" w:color="auto" w:sz="4" w:space="0"/>
            </w:tcBorders>
            <w:shd w:val="clear" w:color="auto" w:fill="auto"/>
            <w:vAlign w:val="center"/>
          </w:tcPr>
          <w:p w14:paraId="78065F0E">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w:t>
            </w:r>
            <w:r>
              <w:rPr>
                <w:rFonts w:hint="eastAsia" w:ascii="Times New Roman" w:hAnsi="Times New Roman" w:cs="Times New Roman"/>
                <w:sz w:val="18"/>
                <w:szCs w:val="18"/>
              </w:rPr>
              <w:t>0</w:t>
            </w:r>
            <w:r>
              <w:rPr>
                <w:rFonts w:ascii="Times New Roman" w:hAnsi="Times New Roman" w:cs="Times New Roman"/>
                <w:sz w:val="18"/>
                <w:szCs w:val="18"/>
              </w:rPr>
              <w:t>00</w:t>
            </w:r>
          </w:p>
        </w:tc>
        <w:tc>
          <w:tcPr>
            <w:tcW w:w="2130" w:type="dxa"/>
            <w:tcBorders>
              <w:top w:val="single" w:color="auto" w:sz="4" w:space="0"/>
              <w:left w:val="nil"/>
              <w:bottom w:val="single" w:color="auto" w:sz="4" w:space="0"/>
              <w:right w:val="single" w:color="auto" w:sz="4" w:space="0"/>
            </w:tcBorders>
            <w:shd w:val="clear" w:color="auto" w:fill="auto"/>
          </w:tcPr>
          <w:p w14:paraId="42EE88B8">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6324A7BE">
        <w:tblPrEx>
          <w:tblCellMar>
            <w:top w:w="0" w:type="dxa"/>
            <w:left w:w="108" w:type="dxa"/>
            <w:bottom w:w="0" w:type="dxa"/>
            <w:right w:w="108" w:type="dxa"/>
          </w:tblCellMar>
        </w:tblPrEx>
        <w:trPr>
          <w:trHeight w:val="459"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722A9BA">
            <w:pPr>
              <w:pStyle w:val="22"/>
              <w:adjustRightInd w:val="0"/>
              <w:spacing w:before="0" w:after="0"/>
              <w:ind w:firstLine="422"/>
              <w:rPr>
                <w:rFonts w:ascii="Times New Roman" w:hAnsi="Times New Roman" w:cs="Times New Roman"/>
                <w:b/>
                <w:sz w:val="21"/>
                <w:szCs w:val="21"/>
              </w:rPr>
            </w:pPr>
            <w:r>
              <w:rPr>
                <w:rFonts w:hint="eastAsia" w:ascii="Times New Roman" w:hAnsi="Times New Roman" w:cs="Times New Roman"/>
                <w:b/>
                <w:sz w:val="21"/>
                <w:szCs w:val="21"/>
              </w:rPr>
              <w:t>三、水生态工程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1FA2EE40">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6000</w:t>
            </w:r>
          </w:p>
        </w:tc>
        <w:tc>
          <w:tcPr>
            <w:tcW w:w="2130" w:type="dxa"/>
            <w:tcBorders>
              <w:top w:val="single" w:color="auto" w:sz="4" w:space="0"/>
              <w:left w:val="nil"/>
              <w:bottom w:val="single" w:color="auto" w:sz="4" w:space="0"/>
              <w:right w:val="single" w:color="auto" w:sz="4" w:space="0"/>
            </w:tcBorders>
            <w:shd w:val="clear" w:color="auto" w:fill="auto"/>
          </w:tcPr>
          <w:p w14:paraId="3887E8D3">
            <w:pPr>
              <w:pStyle w:val="22"/>
              <w:adjustRightInd w:val="0"/>
              <w:spacing w:before="0" w:beforeAutospacing="0" w:after="0" w:afterAutospacing="0"/>
              <w:jc w:val="both"/>
              <w:rPr>
                <w:rFonts w:ascii="Times New Roman" w:hAnsi="Times New Roman" w:cs="Times New Roman"/>
                <w:sz w:val="18"/>
                <w:szCs w:val="18"/>
              </w:rPr>
            </w:pPr>
          </w:p>
        </w:tc>
      </w:tr>
      <w:tr w14:paraId="4DC2B210">
        <w:tblPrEx>
          <w:tblCellMar>
            <w:top w:w="0" w:type="dxa"/>
            <w:left w:w="108" w:type="dxa"/>
            <w:bottom w:w="0" w:type="dxa"/>
            <w:right w:w="108" w:type="dxa"/>
          </w:tblCellMar>
        </w:tblPrEx>
        <w:trPr>
          <w:trHeight w:val="710"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48DFEA6">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生态护岸工程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1F49F538">
            <w:pPr>
              <w:pStyle w:val="22"/>
              <w:adjustRightInd w:val="0"/>
              <w:spacing w:before="0" w:after="0"/>
              <w:rPr>
                <w:rFonts w:ascii="Times New Roman" w:hAnsi="Times New Roman" w:cs="Times New Roman"/>
                <w:sz w:val="20"/>
                <w:szCs w:val="20"/>
              </w:rPr>
            </w:pPr>
            <w:r>
              <w:rPr>
                <w:rFonts w:hint="eastAsia" w:ascii="Times New Roman" w:hAnsi="Times New Roman" w:cs="Times New Roman"/>
                <w:sz w:val="18"/>
                <w:szCs w:val="18"/>
              </w:rPr>
              <w:t>对石特涌、沙朗涌、南八涌、南六涌等采取散铺砂卵石岸坡、自然缓坡、植树、植草等生态工程护堤</w:t>
            </w:r>
          </w:p>
        </w:tc>
        <w:tc>
          <w:tcPr>
            <w:tcW w:w="992" w:type="dxa"/>
            <w:tcBorders>
              <w:top w:val="single" w:color="auto" w:sz="4" w:space="0"/>
              <w:left w:val="nil"/>
              <w:bottom w:val="single" w:color="auto" w:sz="4" w:space="0"/>
              <w:right w:val="single" w:color="auto" w:sz="4" w:space="0"/>
            </w:tcBorders>
            <w:shd w:val="clear" w:color="auto" w:fill="auto"/>
            <w:vAlign w:val="center"/>
          </w:tcPr>
          <w:p w14:paraId="34DDA9E9">
            <w:pPr>
              <w:pStyle w:val="22"/>
              <w:adjustRightInd w:val="0"/>
              <w:spacing w:before="0" w:after="0"/>
              <w:jc w:val="center"/>
              <w:rPr>
                <w:rFonts w:ascii="Times New Roman" w:hAnsi="Times New Roman" w:cs="Times New Roman"/>
                <w:b/>
                <w:bCs/>
                <w:sz w:val="21"/>
                <w:szCs w:val="21"/>
              </w:rPr>
            </w:pPr>
            <w:r>
              <w:rPr>
                <w:rFonts w:ascii="Times New Roman" w:hAnsi="Times New Roman" w:cs="Times New Roman"/>
                <w:bCs/>
                <w:sz w:val="21"/>
                <w:szCs w:val="21"/>
              </w:rPr>
              <w:t>6000</w:t>
            </w:r>
          </w:p>
        </w:tc>
        <w:tc>
          <w:tcPr>
            <w:tcW w:w="2130" w:type="dxa"/>
            <w:tcBorders>
              <w:top w:val="single" w:color="auto" w:sz="4" w:space="0"/>
              <w:left w:val="nil"/>
              <w:bottom w:val="single" w:color="auto" w:sz="4" w:space="0"/>
              <w:right w:val="single" w:color="auto" w:sz="4" w:space="0"/>
            </w:tcBorders>
            <w:shd w:val="clear" w:color="auto" w:fill="auto"/>
          </w:tcPr>
          <w:p w14:paraId="7BBE04FE">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sz w:val="18"/>
                <w:szCs w:val="18"/>
              </w:rPr>
              <w:t>西区住房城乡建设局、西区水利所（资金由西区办事处筹措）</w:t>
            </w:r>
          </w:p>
        </w:tc>
      </w:tr>
      <w:tr w14:paraId="37DDDC35">
        <w:tblPrEx>
          <w:tblCellMar>
            <w:top w:w="0" w:type="dxa"/>
            <w:left w:w="108" w:type="dxa"/>
            <w:bottom w:w="0" w:type="dxa"/>
            <w:right w:w="108" w:type="dxa"/>
          </w:tblCellMar>
        </w:tblPrEx>
        <w:trPr>
          <w:trHeight w:val="409"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EE8A055">
            <w:pPr>
              <w:pStyle w:val="22"/>
              <w:adjustRightInd w:val="0"/>
              <w:spacing w:before="0" w:after="0"/>
              <w:ind w:firstLine="361"/>
              <w:rPr>
                <w:rFonts w:ascii="Times New Roman" w:hAnsi="Times New Roman" w:cs="Times New Roman"/>
                <w:b/>
                <w:sz w:val="18"/>
                <w:szCs w:val="18"/>
              </w:rPr>
            </w:pPr>
            <w:r>
              <w:rPr>
                <w:rFonts w:hint="eastAsia" w:ascii="Times New Roman" w:hAnsi="Times New Roman" w:cs="Times New Roman"/>
                <w:b/>
                <w:sz w:val="21"/>
                <w:szCs w:val="21"/>
              </w:rPr>
              <w:t>五、水节约工程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5C8892E2">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3</w:t>
            </w:r>
            <w:r>
              <w:rPr>
                <w:rFonts w:ascii="Times New Roman" w:hAnsi="Times New Roman" w:cs="Times New Roman"/>
                <w:b/>
                <w:sz w:val="21"/>
                <w:szCs w:val="21"/>
              </w:rPr>
              <w:t>000</w:t>
            </w:r>
          </w:p>
        </w:tc>
        <w:tc>
          <w:tcPr>
            <w:tcW w:w="2130" w:type="dxa"/>
            <w:tcBorders>
              <w:top w:val="single" w:color="auto" w:sz="4" w:space="0"/>
              <w:left w:val="nil"/>
              <w:bottom w:val="single" w:color="auto" w:sz="4" w:space="0"/>
              <w:right w:val="single" w:color="auto" w:sz="4" w:space="0"/>
            </w:tcBorders>
            <w:shd w:val="clear" w:color="auto" w:fill="auto"/>
          </w:tcPr>
          <w:p w14:paraId="7738501C">
            <w:pPr>
              <w:pStyle w:val="22"/>
              <w:adjustRightInd w:val="0"/>
              <w:spacing w:before="0" w:beforeAutospacing="0" w:after="0" w:afterAutospacing="0"/>
              <w:jc w:val="both"/>
              <w:rPr>
                <w:rFonts w:ascii="Times New Roman" w:hAnsi="Times New Roman" w:cs="Times New Roman"/>
                <w:sz w:val="18"/>
                <w:szCs w:val="18"/>
              </w:rPr>
            </w:pPr>
          </w:p>
        </w:tc>
      </w:tr>
      <w:tr w14:paraId="5EAFCD55">
        <w:tblPrEx>
          <w:tblCellMar>
            <w:top w:w="0" w:type="dxa"/>
            <w:left w:w="108" w:type="dxa"/>
            <w:bottom w:w="0" w:type="dxa"/>
            <w:right w:w="108" w:type="dxa"/>
          </w:tblCellMar>
        </w:tblPrEx>
        <w:trPr>
          <w:trHeight w:val="286"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DAC3713">
            <w:pPr>
              <w:pStyle w:val="22"/>
              <w:adjustRightInd w:val="0"/>
              <w:spacing w:before="0" w:after="0"/>
              <w:ind w:firstLine="402"/>
              <w:rPr>
                <w:rFonts w:ascii="Times New Roman" w:hAnsi="Times New Roman" w:cs="Times New Roman"/>
                <w:b/>
                <w:sz w:val="18"/>
                <w:szCs w:val="18"/>
              </w:rPr>
            </w:pPr>
            <w:r>
              <w:rPr>
                <w:rFonts w:ascii="Times New Roman" w:hAnsi="Times New Roman" w:cs="Times New Roman"/>
                <w:b/>
                <w:sz w:val="21"/>
                <w:szCs w:val="21"/>
              </w:rPr>
              <w:t>1</w:t>
            </w:r>
            <w:r>
              <w:rPr>
                <w:rFonts w:hint="eastAsia" w:ascii="Times New Roman" w:hAnsi="Times New Roman" w:cs="Times New Roman"/>
                <w:b/>
                <w:sz w:val="21"/>
                <w:szCs w:val="21"/>
              </w:rPr>
              <w:t>、工业节水工程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116B2011">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w:t>
            </w:r>
            <w:r>
              <w:rPr>
                <w:rFonts w:ascii="Times New Roman" w:hAnsi="Times New Roman" w:cs="Times New Roman"/>
                <w:b/>
                <w:sz w:val="21"/>
                <w:szCs w:val="21"/>
              </w:rPr>
              <w:t>500</w:t>
            </w:r>
          </w:p>
        </w:tc>
        <w:tc>
          <w:tcPr>
            <w:tcW w:w="2130" w:type="dxa"/>
            <w:tcBorders>
              <w:top w:val="single" w:color="auto" w:sz="4" w:space="0"/>
              <w:left w:val="nil"/>
              <w:bottom w:val="single" w:color="auto" w:sz="4" w:space="0"/>
              <w:right w:val="single" w:color="auto" w:sz="4" w:space="0"/>
            </w:tcBorders>
            <w:shd w:val="clear" w:color="auto" w:fill="auto"/>
          </w:tcPr>
          <w:p w14:paraId="24D70D0A">
            <w:pPr>
              <w:pStyle w:val="22"/>
              <w:adjustRightInd w:val="0"/>
              <w:spacing w:before="0" w:beforeAutospacing="0" w:after="0" w:afterAutospacing="0"/>
              <w:jc w:val="both"/>
              <w:rPr>
                <w:rFonts w:ascii="Times New Roman" w:hAnsi="Times New Roman" w:cs="Times New Roman"/>
                <w:sz w:val="18"/>
                <w:szCs w:val="18"/>
              </w:rPr>
            </w:pPr>
          </w:p>
        </w:tc>
      </w:tr>
      <w:tr w14:paraId="47B5AB13">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2C3B51F0">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重点行业</w:t>
            </w:r>
          </w:p>
        </w:tc>
        <w:tc>
          <w:tcPr>
            <w:tcW w:w="5472" w:type="dxa"/>
            <w:tcBorders>
              <w:top w:val="single" w:color="auto" w:sz="4" w:space="0"/>
              <w:left w:val="nil"/>
              <w:bottom w:val="single" w:color="auto" w:sz="4" w:space="0"/>
              <w:right w:val="single" w:color="auto" w:sz="4" w:space="0"/>
            </w:tcBorders>
            <w:shd w:val="clear" w:color="auto" w:fill="auto"/>
            <w:vAlign w:val="center"/>
          </w:tcPr>
          <w:p w14:paraId="51FB4331">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bookmarkStart w:id="850" w:name="_Hlk16626382"/>
            <w:r>
              <w:rPr>
                <w:rFonts w:hint="eastAsia" w:ascii="Times New Roman" w:hAnsi="Times New Roman" w:cs="Times New Roman"/>
                <w:sz w:val="18"/>
                <w:szCs w:val="18"/>
              </w:rPr>
              <w:t>对</w:t>
            </w:r>
            <w:r>
              <w:rPr>
                <w:rFonts w:hint="eastAsia" w:ascii="Times New Roman" w:hAnsi="Times New Roman" w:cs="Times New Roman"/>
                <w:kern w:val="2"/>
                <w:sz w:val="18"/>
                <w:szCs w:val="18"/>
                <w:lang w:bidi="ar"/>
              </w:rPr>
              <w:t>中山瑞德卫生纸品有限公司、中山市朗科包装有限公司、好来化工（中山）有限公司、广东颐丰食品股份有限公司中山市恒生药业有限公司、冰锐实业（广东）有限公司、中山新洋水产食品有限公司、广东日丰电缆股份有限公司、中山市格林曼光电科技有限公司、中山市尊宝实业有限公司</w:t>
            </w:r>
            <w:r>
              <w:rPr>
                <w:rFonts w:hint="eastAsia" w:ascii="Times New Roman" w:hAnsi="Times New Roman" w:cs="Times New Roman"/>
                <w:sz w:val="18"/>
                <w:szCs w:val="18"/>
              </w:rPr>
              <w:t>等用水量大的企业进行安装自动在线监控装置，中水回用装置</w:t>
            </w:r>
            <w:bookmarkEnd w:id="850"/>
          </w:p>
        </w:tc>
        <w:tc>
          <w:tcPr>
            <w:tcW w:w="992" w:type="dxa"/>
            <w:tcBorders>
              <w:top w:val="single" w:color="auto" w:sz="4" w:space="0"/>
              <w:left w:val="nil"/>
              <w:bottom w:val="single" w:color="auto" w:sz="4" w:space="0"/>
              <w:right w:val="single" w:color="auto" w:sz="4" w:space="0"/>
            </w:tcBorders>
            <w:shd w:val="clear" w:color="auto" w:fill="auto"/>
            <w:vAlign w:val="center"/>
          </w:tcPr>
          <w:p w14:paraId="08BA90AB">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50</w:t>
            </w:r>
            <w:r>
              <w:rPr>
                <w:rFonts w:ascii="Times New Roman" w:hAnsi="Times New Roman" w:cs="Times New Roman"/>
                <w:sz w:val="18"/>
                <w:szCs w:val="18"/>
              </w:rPr>
              <w:t>0</w:t>
            </w:r>
          </w:p>
        </w:tc>
        <w:tc>
          <w:tcPr>
            <w:tcW w:w="2130" w:type="dxa"/>
            <w:tcBorders>
              <w:top w:val="single" w:color="auto" w:sz="4" w:space="0"/>
              <w:left w:val="nil"/>
              <w:bottom w:val="single" w:color="auto" w:sz="4" w:space="0"/>
              <w:right w:val="single" w:color="auto" w:sz="4" w:space="0"/>
            </w:tcBorders>
            <w:shd w:val="clear" w:color="auto" w:fill="auto"/>
          </w:tcPr>
          <w:p w14:paraId="7A060905">
            <w:pPr>
              <w:pStyle w:val="22"/>
              <w:adjustRightInd w:val="0"/>
              <w:spacing w:before="0" w:beforeAutospacing="0" w:after="0" w:afterAutospacing="0"/>
              <w:jc w:val="center"/>
              <w:rPr>
                <w:rFonts w:ascii="Times New Roman" w:hAnsi="Times New Roman" w:cs="Times New Roman"/>
                <w:sz w:val="18"/>
                <w:szCs w:val="18"/>
              </w:rPr>
            </w:pPr>
          </w:p>
          <w:p w14:paraId="12F0FC33">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w:t>
            </w:r>
          </w:p>
          <w:p w14:paraId="45A08333">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（资金由企业自筹）</w:t>
            </w:r>
          </w:p>
        </w:tc>
      </w:tr>
      <w:tr w14:paraId="470B6EEF">
        <w:tblPrEx>
          <w:tblCellMar>
            <w:top w:w="0" w:type="dxa"/>
            <w:left w:w="108" w:type="dxa"/>
            <w:bottom w:w="0" w:type="dxa"/>
            <w:right w:w="108" w:type="dxa"/>
          </w:tblCellMar>
        </w:tblPrEx>
        <w:trPr>
          <w:trHeight w:val="261"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18CE29C">
            <w:pPr>
              <w:pStyle w:val="22"/>
              <w:adjustRightInd w:val="0"/>
              <w:spacing w:before="0" w:after="0"/>
              <w:ind w:firstLine="400"/>
              <w:rPr>
                <w:rFonts w:ascii="Times New Roman" w:hAnsi="Times New Roman" w:cs="Times New Roman"/>
                <w:sz w:val="18"/>
                <w:szCs w:val="18"/>
              </w:rPr>
            </w:pPr>
            <w:r>
              <w:rPr>
                <w:rFonts w:ascii="Times New Roman" w:hAnsi="Times New Roman" w:cs="Times New Roman"/>
                <w:b/>
                <w:sz w:val="21"/>
                <w:szCs w:val="21"/>
              </w:rPr>
              <w:t>2</w:t>
            </w:r>
            <w:r>
              <w:rPr>
                <w:rFonts w:hint="eastAsia" w:ascii="Times New Roman" w:hAnsi="Times New Roman"/>
                <w:b/>
                <w:sz w:val="21"/>
                <w:szCs w:val="21"/>
              </w:rPr>
              <w:t>、非常规水源利用工程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2CCE1D03">
            <w:pPr>
              <w:pStyle w:val="22"/>
              <w:adjustRightInd w:val="0"/>
              <w:spacing w:before="0" w:after="0"/>
              <w:jc w:val="center"/>
              <w:rPr>
                <w:rFonts w:ascii="Times New Roman" w:hAnsi="Times New Roman" w:cs="Times New Roman"/>
                <w:sz w:val="18"/>
                <w:szCs w:val="18"/>
              </w:rPr>
            </w:pPr>
            <w:r>
              <w:rPr>
                <w:rFonts w:ascii="Times New Roman" w:hAnsi="Times New Roman" w:cs="Times New Roman"/>
                <w:b/>
                <w:sz w:val="21"/>
                <w:szCs w:val="21"/>
              </w:rPr>
              <w:t>15</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130" w:type="dxa"/>
            <w:tcBorders>
              <w:top w:val="single" w:color="auto" w:sz="4" w:space="0"/>
              <w:left w:val="nil"/>
              <w:bottom w:val="single" w:color="auto" w:sz="4" w:space="0"/>
              <w:right w:val="single" w:color="auto" w:sz="4" w:space="0"/>
            </w:tcBorders>
            <w:shd w:val="clear" w:color="auto" w:fill="auto"/>
          </w:tcPr>
          <w:p w14:paraId="085D78C9">
            <w:pPr>
              <w:pStyle w:val="22"/>
              <w:adjustRightInd w:val="0"/>
              <w:spacing w:before="0" w:beforeAutospacing="0" w:after="0" w:afterAutospacing="0"/>
              <w:jc w:val="both"/>
              <w:rPr>
                <w:rFonts w:ascii="Times New Roman" w:hAnsi="Times New Roman" w:cs="Times New Roman"/>
                <w:sz w:val="18"/>
                <w:szCs w:val="18"/>
              </w:rPr>
            </w:pPr>
          </w:p>
        </w:tc>
      </w:tr>
      <w:tr w14:paraId="75490D78">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C742EDA">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雨水利用工程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0A9A3E41">
            <w:pPr>
              <w:pStyle w:val="22"/>
              <w:adjustRightInd w:val="0"/>
              <w:spacing w:before="0" w:after="0"/>
              <w:jc w:val="center"/>
              <w:rPr>
                <w:rFonts w:ascii="Times New Roman" w:hAnsi="Times New Roman" w:cs="Times New Roman"/>
                <w:sz w:val="18"/>
                <w:szCs w:val="18"/>
              </w:rPr>
            </w:pPr>
            <w:r>
              <w:rPr>
                <w:rFonts w:hint="eastAsia" w:ascii="Times New Roman" w:hAnsi="Times New Roman"/>
                <w:sz w:val="18"/>
                <w:szCs w:val="18"/>
              </w:rPr>
              <w:t>构建蓄水池、绿色屋顶</w:t>
            </w:r>
          </w:p>
        </w:tc>
        <w:tc>
          <w:tcPr>
            <w:tcW w:w="992" w:type="dxa"/>
            <w:tcBorders>
              <w:top w:val="single" w:color="auto" w:sz="4" w:space="0"/>
              <w:left w:val="nil"/>
              <w:bottom w:val="single" w:color="auto" w:sz="4" w:space="0"/>
              <w:right w:val="single" w:color="auto" w:sz="4" w:space="0"/>
            </w:tcBorders>
            <w:shd w:val="clear" w:color="auto" w:fill="auto"/>
            <w:vAlign w:val="center"/>
          </w:tcPr>
          <w:p w14:paraId="41C79FFA">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w:t>
            </w:r>
            <w:r>
              <w:rPr>
                <w:rFonts w:hint="eastAsia" w:ascii="Times New Roman" w:hAnsi="Times New Roman" w:cs="Times New Roman"/>
                <w:sz w:val="18"/>
                <w:szCs w:val="18"/>
              </w:rPr>
              <w:t>0</w:t>
            </w:r>
            <w:r>
              <w:rPr>
                <w:rFonts w:ascii="Times New Roman" w:hAnsi="Times New Roman" w:cs="Times New Roman"/>
                <w:sz w:val="18"/>
                <w:szCs w:val="18"/>
              </w:rPr>
              <w:t>0</w:t>
            </w:r>
          </w:p>
        </w:tc>
        <w:tc>
          <w:tcPr>
            <w:tcW w:w="2130" w:type="dxa"/>
            <w:tcBorders>
              <w:top w:val="single" w:color="auto" w:sz="4" w:space="0"/>
              <w:left w:val="nil"/>
              <w:bottom w:val="single" w:color="auto" w:sz="4" w:space="0"/>
              <w:right w:val="single" w:color="auto" w:sz="4" w:space="0"/>
            </w:tcBorders>
            <w:shd w:val="clear" w:color="auto" w:fill="auto"/>
          </w:tcPr>
          <w:p w14:paraId="7A9D34CC">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西区住房城乡建设局（资金由开发商自筹）</w:t>
            </w:r>
          </w:p>
        </w:tc>
      </w:tr>
      <w:tr w14:paraId="04195A7E">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083F292">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再生水利用工程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1524C5CE">
            <w:pPr>
              <w:pStyle w:val="22"/>
              <w:adjustRightInd w:val="0"/>
              <w:spacing w:before="0" w:after="0"/>
              <w:rPr>
                <w:rFonts w:ascii="Times New Roman" w:hAnsi="Times New Roman" w:cs="Times New Roman"/>
                <w:sz w:val="18"/>
                <w:szCs w:val="18"/>
              </w:rPr>
            </w:pPr>
            <w:r>
              <w:rPr>
                <w:rFonts w:hint="eastAsia" w:ascii="Times New Roman" w:hAnsi="Times New Roman"/>
                <w:sz w:val="18"/>
                <w:szCs w:val="18"/>
              </w:rPr>
              <w:t>对用水量巨大的企业配备污水再生处理回用装置，采用膜分离技术，回用再生水</w:t>
            </w:r>
          </w:p>
        </w:tc>
        <w:tc>
          <w:tcPr>
            <w:tcW w:w="992" w:type="dxa"/>
            <w:tcBorders>
              <w:top w:val="single" w:color="auto" w:sz="4" w:space="0"/>
              <w:left w:val="nil"/>
              <w:bottom w:val="single" w:color="auto" w:sz="4" w:space="0"/>
              <w:right w:val="single" w:color="auto" w:sz="4" w:space="0"/>
            </w:tcBorders>
            <w:shd w:val="clear" w:color="auto" w:fill="auto"/>
            <w:vAlign w:val="center"/>
          </w:tcPr>
          <w:p w14:paraId="249A9AB5">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10</w:t>
            </w:r>
            <w:r>
              <w:rPr>
                <w:rFonts w:ascii="Times New Roman" w:hAnsi="Times New Roman" w:cs="Times New Roman"/>
                <w:sz w:val="18"/>
                <w:szCs w:val="18"/>
              </w:rPr>
              <w:t>00</w:t>
            </w:r>
          </w:p>
        </w:tc>
        <w:tc>
          <w:tcPr>
            <w:tcW w:w="2130" w:type="dxa"/>
            <w:tcBorders>
              <w:top w:val="single" w:color="auto" w:sz="4" w:space="0"/>
              <w:left w:val="nil"/>
              <w:bottom w:val="single" w:color="auto" w:sz="4" w:space="0"/>
              <w:right w:val="single" w:color="auto" w:sz="4" w:space="0"/>
            </w:tcBorders>
            <w:shd w:val="clear" w:color="auto" w:fill="auto"/>
          </w:tcPr>
          <w:p w14:paraId="77C00D2F">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西区经济发展和科技信息化局、西区水利所（资金由企业自筹）</w:t>
            </w:r>
          </w:p>
        </w:tc>
      </w:tr>
      <w:tr w14:paraId="3045A64D">
        <w:tblPrEx>
          <w:tblCellMar>
            <w:top w:w="0" w:type="dxa"/>
            <w:left w:w="108" w:type="dxa"/>
            <w:bottom w:w="0" w:type="dxa"/>
            <w:right w:w="108" w:type="dxa"/>
          </w:tblCellMar>
        </w:tblPrEx>
        <w:trPr>
          <w:trHeight w:val="318"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619FFA4">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六、水文化工程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76ECE2FC">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2</w:t>
            </w:r>
            <w:r>
              <w:rPr>
                <w:rFonts w:ascii="Times New Roman" w:hAnsi="Times New Roman" w:cs="Times New Roman"/>
                <w:b/>
                <w:sz w:val="21"/>
                <w:szCs w:val="21"/>
              </w:rPr>
              <w:t>200</w:t>
            </w:r>
          </w:p>
        </w:tc>
        <w:tc>
          <w:tcPr>
            <w:tcW w:w="2130" w:type="dxa"/>
            <w:tcBorders>
              <w:top w:val="single" w:color="auto" w:sz="4" w:space="0"/>
              <w:left w:val="nil"/>
              <w:bottom w:val="single" w:color="auto" w:sz="4" w:space="0"/>
              <w:right w:val="single" w:color="auto" w:sz="4" w:space="0"/>
            </w:tcBorders>
            <w:shd w:val="clear" w:color="auto" w:fill="auto"/>
          </w:tcPr>
          <w:p w14:paraId="5BD517E8">
            <w:pPr>
              <w:pStyle w:val="22"/>
              <w:adjustRightInd w:val="0"/>
              <w:spacing w:before="0" w:beforeAutospacing="0" w:after="0" w:afterAutospacing="0"/>
              <w:jc w:val="center"/>
              <w:rPr>
                <w:rFonts w:ascii="Times New Roman" w:hAnsi="Times New Roman" w:cs="Times New Roman"/>
                <w:sz w:val="18"/>
                <w:szCs w:val="18"/>
              </w:rPr>
            </w:pPr>
          </w:p>
        </w:tc>
      </w:tr>
      <w:tr w14:paraId="37AC1415">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FD27383">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生态旅游休闲建设工程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373CDF66">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建设</w:t>
            </w:r>
            <w:r>
              <w:rPr>
                <w:rFonts w:hint="eastAsia" w:ascii="Times New Roman" w:hAnsi="Times New Roman" w:cs="Times New Roman"/>
                <w:kern w:val="2"/>
                <w:sz w:val="18"/>
                <w:szCs w:val="18"/>
                <w:lang w:bidi="ar"/>
              </w:rPr>
              <w:t>彩西北部石特涌现代农业基地生态功能片区、东北部鱼塘养殖基地生态功能片区</w:t>
            </w:r>
            <w:r>
              <w:rPr>
                <w:rFonts w:hint="eastAsia" w:ascii="Times New Roman" w:hAnsi="Times New Roman" w:cs="Times New Roman"/>
                <w:sz w:val="18"/>
                <w:szCs w:val="18"/>
              </w:rPr>
              <w:t>的生态旅游休闲工程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6856461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0</w:t>
            </w:r>
            <w:r>
              <w:rPr>
                <w:rFonts w:hint="eastAsia" w:ascii="Times New Roman" w:hAnsi="Times New Roman" w:cs="Times New Roman"/>
                <w:sz w:val="18"/>
                <w:szCs w:val="18"/>
              </w:rPr>
              <w:t>0</w:t>
            </w:r>
            <w:r>
              <w:rPr>
                <w:rFonts w:ascii="Times New Roman" w:hAnsi="Times New Roman" w:cs="Times New Roman"/>
                <w:sz w:val="18"/>
                <w:szCs w:val="18"/>
              </w:rPr>
              <w:t>0</w:t>
            </w:r>
          </w:p>
        </w:tc>
        <w:tc>
          <w:tcPr>
            <w:tcW w:w="2130" w:type="dxa"/>
            <w:tcBorders>
              <w:top w:val="single" w:color="auto" w:sz="4" w:space="0"/>
              <w:left w:val="nil"/>
              <w:bottom w:val="single" w:color="auto" w:sz="4" w:space="0"/>
              <w:right w:val="single" w:color="auto" w:sz="4" w:space="0"/>
            </w:tcBorders>
            <w:shd w:val="clear" w:color="auto" w:fill="auto"/>
          </w:tcPr>
          <w:p w14:paraId="6D19F0FC">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4C760F00">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EFC5C25">
            <w:pPr>
              <w:pStyle w:val="22"/>
              <w:adjustRightInd w:val="0"/>
              <w:spacing w:before="0" w:after="0"/>
              <w:jc w:val="center"/>
              <w:rPr>
                <w:rFonts w:ascii="Times New Roman" w:hAnsi="Times New Roman"/>
                <w:sz w:val="21"/>
                <w:szCs w:val="21"/>
              </w:rPr>
            </w:pPr>
            <w:r>
              <w:rPr>
                <w:rFonts w:hint="eastAsia" w:ascii="Times New Roman" w:hAnsi="Times New Roman" w:cs="Times New Roman"/>
                <w:sz w:val="21"/>
                <w:szCs w:val="21"/>
              </w:rPr>
              <w:t>湿地工程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1A84894D">
            <w:pPr>
              <w:pStyle w:val="22"/>
              <w:adjustRightInd w:val="0"/>
              <w:spacing w:before="0" w:after="0"/>
              <w:jc w:val="center"/>
              <w:rPr>
                <w:rFonts w:ascii="Times New Roman" w:hAnsi="Times New Roman"/>
                <w:sz w:val="18"/>
                <w:szCs w:val="18"/>
              </w:rPr>
            </w:pPr>
            <w:r>
              <w:rPr>
                <w:rFonts w:hint="eastAsia" w:ascii="Times New Roman" w:hAnsi="Times New Roman" w:cs="Times New Roman"/>
                <w:sz w:val="18"/>
                <w:szCs w:val="18"/>
              </w:rPr>
              <w:t>完成马山公园湿地和东北部悦生涌渔业养殖基地湿地</w:t>
            </w:r>
          </w:p>
        </w:tc>
        <w:tc>
          <w:tcPr>
            <w:tcW w:w="992" w:type="dxa"/>
            <w:tcBorders>
              <w:top w:val="single" w:color="auto" w:sz="4" w:space="0"/>
              <w:left w:val="nil"/>
              <w:bottom w:val="single" w:color="auto" w:sz="4" w:space="0"/>
              <w:right w:val="single" w:color="auto" w:sz="4" w:space="0"/>
            </w:tcBorders>
            <w:shd w:val="clear" w:color="auto" w:fill="auto"/>
            <w:vAlign w:val="center"/>
          </w:tcPr>
          <w:p w14:paraId="5848D47E">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200</w:t>
            </w:r>
          </w:p>
        </w:tc>
        <w:tc>
          <w:tcPr>
            <w:tcW w:w="2130" w:type="dxa"/>
            <w:tcBorders>
              <w:top w:val="single" w:color="auto" w:sz="4" w:space="0"/>
              <w:left w:val="nil"/>
              <w:bottom w:val="single" w:color="auto" w:sz="4" w:space="0"/>
              <w:right w:val="single" w:color="auto" w:sz="4" w:space="0"/>
            </w:tcBorders>
            <w:shd w:val="clear" w:color="auto" w:fill="auto"/>
          </w:tcPr>
          <w:p w14:paraId="24BBBF6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0BEA16BD">
        <w:tblPrEx>
          <w:tblCellMar>
            <w:top w:w="0" w:type="dxa"/>
            <w:left w:w="108" w:type="dxa"/>
            <w:bottom w:w="0" w:type="dxa"/>
            <w:right w:w="108" w:type="dxa"/>
          </w:tblCellMar>
        </w:tblPrEx>
        <w:trPr>
          <w:trHeight w:val="1147"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32C0D244">
            <w:pPr>
              <w:pStyle w:val="22"/>
              <w:adjustRightInd w:val="0"/>
              <w:spacing w:before="0" w:after="0"/>
              <w:jc w:val="center"/>
              <w:rPr>
                <w:rFonts w:ascii="Times New Roman" w:hAnsi="Times New Roman"/>
                <w:sz w:val="21"/>
                <w:szCs w:val="21"/>
              </w:rPr>
            </w:pPr>
            <w:r>
              <w:rPr>
                <w:rFonts w:hint="eastAsia" w:ascii="Times New Roman" w:hAnsi="Times New Roman" w:cs="Times New Roman"/>
                <w:b/>
                <w:sz w:val="21"/>
                <w:szCs w:val="21"/>
              </w:rPr>
              <w:t>合计</w:t>
            </w:r>
          </w:p>
        </w:tc>
        <w:tc>
          <w:tcPr>
            <w:tcW w:w="8594" w:type="dxa"/>
            <w:gridSpan w:val="3"/>
            <w:tcBorders>
              <w:top w:val="single" w:color="auto" w:sz="4" w:space="0"/>
              <w:left w:val="nil"/>
              <w:bottom w:val="single" w:color="auto" w:sz="4" w:space="0"/>
              <w:right w:val="single" w:color="auto" w:sz="4" w:space="0"/>
            </w:tcBorders>
            <w:shd w:val="clear" w:color="auto" w:fill="auto"/>
            <w:vAlign w:val="center"/>
          </w:tcPr>
          <w:p w14:paraId="0B4652CE">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3</w:t>
            </w:r>
            <w:r>
              <w:rPr>
                <w:rFonts w:ascii="Times New Roman" w:hAnsi="Times New Roman" w:cs="Times New Roman"/>
                <w:b/>
                <w:sz w:val="21"/>
                <w:szCs w:val="21"/>
              </w:rPr>
              <w:t>4200</w:t>
            </w:r>
            <w:r>
              <w:rPr>
                <w:rFonts w:hint="eastAsia" w:ascii="Times New Roman" w:hAnsi="Times New Roman" w:cs="Times New Roman"/>
                <w:b/>
                <w:sz w:val="21"/>
                <w:szCs w:val="21"/>
              </w:rPr>
              <w:t>万元</w:t>
            </w:r>
          </w:p>
          <w:p w14:paraId="5696BD56">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sz w:val="18"/>
                <w:szCs w:val="18"/>
              </w:rPr>
              <w:t>（西区办事处筹措资金2</w:t>
            </w:r>
            <w:r>
              <w:rPr>
                <w:rFonts w:ascii="Times New Roman" w:hAnsi="Times New Roman"/>
                <w:sz w:val="18"/>
                <w:szCs w:val="18"/>
              </w:rPr>
              <w:t>5100</w:t>
            </w:r>
            <w:r>
              <w:rPr>
                <w:rFonts w:hint="eastAsia" w:ascii="Times New Roman" w:hAnsi="Times New Roman"/>
                <w:sz w:val="18"/>
                <w:szCs w:val="18"/>
              </w:rPr>
              <w:t>万元，市政府筹措资金5</w:t>
            </w:r>
            <w:r>
              <w:rPr>
                <w:rFonts w:ascii="Times New Roman" w:hAnsi="Times New Roman"/>
                <w:sz w:val="18"/>
                <w:szCs w:val="18"/>
              </w:rPr>
              <w:t>000</w:t>
            </w:r>
            <w:r>
              <w:rPr>
                <w:rFonts w:hint="eastAsia" w:ascii="Times New Roman" w:hAnsi="Times New Roman"/>
                <w:sz w:val="18"/>
                <w:szCs w:val="18"/>
              </w:rPr>
              <w:t>万元，企业筹措资金3</w:t>
            </w:r>
            <w:r>
              <w:rPr>
                <w:rFonts w:ascii="Times New Roman" w:hAnsi="Times New Roman"/>
                <w:sz w:val="18"/>
                <w:szCs w:val="18"/>
              </w:rPr>
              <w:t>000</w:t>
            </w:r>
            <w:r>
              <w:rPr>
                <w:rFonts w:hint="eastAsia" w:ascii="Times New Roman" w:hAnsi="Times New Roman"/>
                <w:sz w:val="18"/>
                <w:szCs w:val="18"/>
              </w:rPr>
              <w:t>万元，社会集资1</w:t>
            </w:r>
            <w:r>
              <w:rPr>
                <w:rFonts w:ascii="Times New Roman" w:hAnsi="Times New Roman"/>
                <w:sz w:val="18"/>
                <w:szCs w:val="18"/>
              </w:rPr>
              <w:t>100</w:t>
            </w:r>
            <w:r>
              <w:rPr>
                <w:rFonts w:hint="eastAsia" w:ascii="Times New Roman" w:hAnsi="Times New Roman"/>
                <w:sz w:val="18"/>
                <w:szCs w:val="18"/>
              </w:rPr>
              <w:t>万元。）</w:t>
            </w:r>
          </w:p>
        </w:tc>
      </w:tr>
    </w:tbl>
    <w:p w14:paraId="24D32AEE">
      <w:pPr>
        <w:spacing w:line="240" w:lineRule="auto"/>
        <w:ind w:firstLine="0" w:firstLineChars="0"/>
        <w:rPr>
          <w:rFonts w:eastAsia="宋体" w:cs="Times New Roman"/>
          <w:lang w:bidi="ar"/>
        </w:rPr>
      </w:pPr>
    </w:p>
    <w:p w14:paraId="476D33E6">
      <w:pPr>
        <w:pStyle w:val="4"/>
        <w:widowControl/>
        <w:spacing w:before="0" w:after="0" w:line="360" w:lineRule="auto"/>
        <w:rPr>
          <w:rFonts w:cs="Times New Roman"/>
        </w:rPr>
      </w:pPr>
      <w:bookmarkStart w:id="851" w:name="_Toc16675093"/>
      <w:r>
        <w:rPr>
          <w:rFonts w:cs="Times New Roman"/>
        </w:rPr>
        <w:t>6.</w:t>
      </w:r>
      <w:r>
        <w:rPr>
          <w:rFonts w:hint="eastAsia" w:cs="Times New Roman"/>
        </w:rPr>
        <w:t>3</w:t>
      </w:r>
      <w:r>
        <w:rPr>
          <w:rFonts w:cs="Times New Roman"/>
        </w:rPr>
        <w:t xml:space="preserve"> </w:t>
      </w:r>
      <w:r>
        <w:rPr>
          <w:rFonts w:hint="eastAsia" w:cs="Times New Roman"/>
        </w:rPr>
        <w:t>非工程措施</w:t>
      </w:r>
      <w:bookmarkEnd w:id="851"/>
    </w:p>
    <w:p w14:paraId="0B519A93">
      <w:pPr>
        <w:ind w:firstLine="480"/>
        <w:rPr>
          <w:rFonts w:eastAsia="宋体" w:cs="Times New Roman"/>
          <w:lang w:bidi="ar"/>
        </w:rPr>
      </w:pPr>
      <w:r>
        <w:rPr>
          <w:rFonts w:hint="eastAsia" w:eastAsia="宋体" w:cs="Times New Roman"/>
          <w:lang w:bidi="ar"/>
        </w:rPr>
        <w:t>工程措施与非工程措施应和谐发展。水生态文明建设并不是只考虑水生态系统保护，而是发展与保护协调发展。水生态文明建设既包括工程建设措施，也包括水资源管理制度、考核制度、宣传、教育等非工程措施。单一重视工程措施或过分强调非工程措施都不是科学的态度，要使工程措施与非工程措施和谐发展，共同支撑水生态文明建设。本规划从中山市西区实际出发，提出西区水生态文明建设非工程措施如下：</w:t>
      </w:r>
    </w:p>
    <w:p w14:paraId="4252E8AB">
      <w:pPr>
        <w:pStyle w:val="3"/>
        <w:widowControl/>
        <w:spacing w:before="0" w:after="0" w:line="360" w:lineRule="auto"/>
        <w:rPr>
          <w:rFonts w:cs="Times New Roman"/>
        </w:rPr>
      </w:pPr>
      <w:bookmarkStart w:id="852" w:name="_Toc16675094"/>
      <w:bookmarkStart w:id="853" w:name="_Hlk16629527"/>
      <w:r>
        <w:rPr>
          <w:rFonts w:hint="eastAsia" w:cs="Times New Roman"/>
        </w:rPr>
        <w:t>6</w:t>
      </w:r>
      <w:r>
        <w:rPr>
          <w:rFonts w:cs="Times New Roman"/>
        </w:rPr>
        <w:t xml:space="preserve">.3.1 </w:t>
      </w:r>
      <w:r>
        <w:rPr>
          <w:rFonts w:hint="eastAsia" w:cs="Times New Roman"/>
        </w:rPr>
        <w:t>管理制度</w:t>
      </w:r>
      <w:bookmarkEnd w:id="852"/>
    </w:p>
    <w:bookmarkEnd w:id="853"/>
    <w:p w14:paraId="27C022CD">
      <w:pPr>
        <w:pStyle w:val="5"/>
      </w:pPr>
      <w:r>
        <w:t>6.3.1.1</w:t>
      </w:r>
      <w:r>
        <w:rPr>
          <w:rFonts w:hint="eastAsia"/>
        </w:rPr>
        <w:t>最严格水资源管理制度</w:t>
      </w:r>
      <w:r>
        <w:t xml:space="preserve"> </w:t>
      </w:r>
    </w:p>
    <w:p w14:paraId="16C9AB19">
      <w:pPr>
        <w:ind w:firstLine="480" w:firstLineChars="0"/>
        <w:rPr>
          <w:rFonts w:eastAsia="宋体" w:cs="Times New Roman"/>
          <w:lang w:bidi="ar"/>
        </w:rPr>
      </w:pPr>
      <w:r>
        <w:rPr>
          <w:rFonts w:hint="eastAsia" w:eastAsia="宋体" w:cs="Times New Roman"/>
          <w:lang w:bidi="ar"/>
        </w:rPr>
        <w:t>西区应以《中山市水资源管理控制规划（ 2016-2020 年）》、《中山市2016-2020 年度最严格水资源管理制度考核实施细则》、《广东省实行最严格水资源管理制度考核办法》为基础，对水资源进行管理，继续落实最严格水资源管理制度，严守“三条红线”。</w:t>
      </w:r>
    </w:p>
    <w:p w14:paraId="45B57FA5">
      <w:pPr>
        <w:ind w:firstLine="480" w:firstLineChars="0"/>
        <w:rPr>
          <w:rFonts w:eastAsia="宋体" w:cs="Times New Roman"/>
          <w:lang w:bidi="ar"/>
        </w:rPr>
      </w:pPr>
      <w:r>
        <w:rPr>
          <w:rFonts w:hint="eastAsia" w:eastAsia="宋体" w:cs="Times New Roman"/>
          <w:lang w:bidi="ar"/>
        </w:rPr>
        <w:t>西区应在中山市正式出台《中山市建设项目节水设施“三同时”管理办法》后，逐步实施节水“三同时”管理。</w:t>
      </w:r>
    </w:p>
    <w:p w14:paraId="7EC51697">
      <w:pPr>
        <w:ind w:firstLine="480" w:firstLineChars="0"/>
        <w:rPr>
          <w:rFonts w:eastAsia="宋体" w:cs="Times New Roman"/>
          <w:lang w:bidi="ar"/>
        </w:rPr>
      </w:pPr>
      <w:r>
        <w:rPr>
          <w:rFonts w:hint="eastAsia" w:eastAsia="宋体" w:cs="Times New Roman"/>
          <w:lang w:bidi="ar"/>
        </w:rPr>
        <w:t>根据《中山市人民政府办公室关于印发中山市农业水价综合改革实施方案的通知》（中府办〔2017〕46号），西区将实施农业水价综合改革，以《中山市农业水价综合改革实施方案》为指导，建立与完善供水计量设施及收费机制以及农事管理体制改革（包括建立用水户协会以及农业用水水权交易）等非工程措施，建立农业水权制度、探索创新终端水管理模式、加强农业用水需求管理、逐步健全农业水价形成机制、积极稳妥推进建立精准补贴和节水奖励机制、完善机制，加大宣传引导。</w:t>
      </w:r>
    </w:p>
    <w:p w14:paraId="1A03B697">
      <w:pPr>
        <w:ind w:firstLine="480"/>
        <w:rPr>
          <w:rFonts w:eastAsia="宋体" w:cs="Times New Roman"/>
          <w:lang w:bidi="ar"/>
        </w:rPr>
      </w:pPr>
      <w:r>
        <w:rPr>
          <w:rFonts w:hint="eastAsia" w:eastAsia="宋体" w:cs="Times New Roman"/>
          <w:lang w:bidi="ar"/>
        </w:rPr>
        <w:t>按照《中山市城区居民生活用水阶梯式计量水价实施方案》和中山市发展和改革委员会（物价局）《关于中山市调整本市居民用户水价的复函》，西区实行居民用水阶梯水价制度和实行非居民用水超计划定额累进加价制度。</w:t>
      </w:r>
    </w:p>
    <w:p w14:paraId="13B2540F">
      <w:pPr>
        <w:ind w:firstLine="480"/>
        <w:rPr>
          <w:rFonts w:eastAsia="宋体" w:cs="Times New Roman"/>
          <w:lang w:bidi="ar"/>
        </w:rPr>
      </w:pPr>
      <w:r>
        <w:rPr>
          <w:rFonts w:hint="eastAsia" w:eastAsia="宋体" w:cs="Times New Roman"/>
          <w:lang w:bidi="ar"/>
        </w:rPr>
        <w:t>西区于2017年10月11日出文《西区加快推进中山市节水型工业企业建设补贴扶持实施细则》。</w:t>
      </w:r>
    </w:p>
    <w:p w14:paraId="4F27B00A">
      <w:pPr>
        <w:pStyle w:val="5"/>
      </w:pPr>
      <w:r>
        <w:t>6.3.1.2</w:t>
      </w:r>
      <w:r>
        <w:rPr>
          <w:rFonts w:hint="eastAsia"/>
        </w:rPr>
        <w:t>水监管机制</w:t>
      </w:r>
    </w:p>
    <w:p w14:paraId="109DCE1D">
      <w:pPr>
        <w:ind w:firstLine="480"/>
        <w:rPr>
          <w:rFonts w:eastAsia="宋体" w:cs="Times New Roman"/>
          <w:lang w:bidi="ar"/>
        </w:rPr>
      </w:pPr>
      <w:r>
        <w:rPr>
          <w:rFonts w:hint="eastAsia" w:eastAsia="宋体" w:cs="Times New Roman"/>
          <w:lang w:bidi="ar"/>
        </w:rPr>
        <w:t>建立科学的水监管机制，是建设水生态文明城市的保障，通过加强水监管、引导发展方式转变、倒逼产业结构调整，实现节约资源利用，改善水环境，保护与修复水生态。以数据化、网络化技术优化水资源监督管理，以落实最严格水资源管理制度为核心，以完善规划水资源论证制度、健全完善建设项目水资源论证制度、建立建设项目节水评估制度、加强入河排污口监管工作、建立水生态系统长期监测和定期评价制度、完善水权交易制度、水资源有偿使用和生态补偿制度、水环境损坏赔偿制度、构建智慧水务综合体系、落实河长制与一河一策、建立水资源资产离任审计制和责任追究制度为重点，以制度促进水环境治理与水生态保护，支撑和保障中山市西区水生态文明建设。</w:t>
      </w:r>
    </w:p>
    <w:p w14:paraId="64AF99B4">
      <w:pPr>
        <w:ind w:firstLine="480"/>
        <w:rPr>
          <w:rFonts w:eastAsia="宋体" w:cs="Times New Roman"/>
          <w:lang w:bidi="ar"/>
        </w:rPr>
      </w:pPr>
      <w:r>
        <w:rPr>
          <w:rFonts w:hint="eastAsia" w:eastAsia="宋体" w:cs="Times New Roman"/>
          <w:lang w:bidi="ar"/>
        </w:rPr>
        <w:t>（1）定期开展河湖健康评估工作：根据《水利部办公厅关于印发&lt;全国重要河湖健康评估(试点)工作大纲&gt;和&lt;河流健康评估指标、标准与方法(试点工作用)&gt;的通知》（办资源〔2010〕484 号），开展河湖健康评估工作，对西区河涌的水文状况、水质状况、水系联通状况、河流岸带生境及生态、河道内生物栖息地状态、河道内生物多样性状况等生态和环境状况进行全面梳理、调查、分类。每隔5 年定期开展河湖健康评估，摸清河湖健康状况，评估水生态文明建设成果，找出河湖水生态、水环境等存在的主要问题，并及时研究相应的对策，为进一步落实水生态文明建设与完善水生态文明建设措施提供基础依据。</w:t>
      </w:r>
    </w:p>
    <w:p w14:paraId="17412EC8">
      <w:pPr>
        <w:ind w:firstLine="480"/>
        <w:rPr>
          <w:rFonts w:eastAsia="宋体" w:cs="Times New Roman"/>
          <w:lang w:bidi="ar"/>
        </w:rPr>
      </w:pPr>
      <w:r>
        <w:rPr>
          <w:rFonts w:hint="eastAsia" w:eastAsia="宋体" w:cs="Times New Roman"/>
          <w:lang w:bidi="ar"/>
        </w:rPr>
        <w:t>（2）水功能区管理：严格落实《中山市水功能区管理办法》的管理要求，设立明显标志，明确管理责任单位，明确水功能区分类保护和管理要求，强化功水能区水量、水质状况统一监测，建立水功能区管理信息系统，并定期向社会公布水功能区质量状况。</w:t>
      </w:r>
    </w:p>
    <w:p w14:paraId="221C3DDA">
      <w:pPr>
        <w:ind w:firstLine="480"/>
        <w:rPr>
          <w:rFonts w:eastAsia="宋体" w:cs="Times New Roman"/>
          <w:lang w:bidi="ar"/>
        </w:rPr>
      </w:pPr>
      <w:r>
        <w:rPr>
          <w:rFonts w:hint="eastAsia" w:eastAsia="宋体" w:cs="Times New Roman"/>
          <w:lang w:bidi="ar"/>
        </w:rPr>
        <w:t>（3）加强水行政执法：加强水资源无序开发、违法违规排污、侵占河湖水域岸线、人为水土流失、河道非法采砂、河湖水环境污染、水生态破坏等重点领域法律监督与行政督察。加强执法队伍业务培训，提升水务采砂执法及湖泊违法执法队伍能力，增强水政执法队伍自身本领，强化执法能力，严厉惩处违法违规行为。完善执法队伍及装备建设，明确并保证执法总队及各支队人员编制，确保外勤人员装备标准配置和后勤管理设施齐备，及时对落后设施、设备进行升级和更新换代。</w:t>
      </w:r>
    </w:p>
    <w:p w14:paraId="303D86E4">
      <w:pPr>
        <w:ind w:firstLine="480"/>
        <w:rPr>
          <w:rFonts w:eastAsia="宋体" w:cs="Times New Roman"/>
          <w:lang w:bidi="ar"/>
        </w:rPr>
      </w:pPr>
      <w:r>
        <w:rPr>
          <w:rFonts w:hint="eastAsia" w:eastAsia="宋体" w:cs="Times New Roman"/>
          <w:lang w:bidi="ar"/>
        </w:rPr>
        <w:t>（4）完善基层水务服务体系建设：以基层水务服务机构为主体，社区（农村）自主管理组织参与的基层水务服务体系，制定基层水务服务体系建设标准，建立基层水务服务体系管理考核奖补机制，促进基层水务服务规范化建设。以行政村为单位，建设村级水务员队伍，落实乡镇和村共同负担的经费补助机制，明确以港渠、小型水库巡查、保洁、农田灌溉、自来水管理为主的工作责任，加强建设指导，建立扶持政策，落实运行经费，扶持村民治水管水自治组织建设良性发展。</w:t>
      </w:r>
    </w:p>
    <w:p w14:paraId="153BFB8F">
      <w:pPr>
        <w:keepNext/>
        <w:keepLines/>
        <w:widowControl/>
        <w:ind w:firstLine="0" w:firstLineChars="0"/>
        <w:outlineLvl w:val="2"/>
        <w:rPr>
          <w:rFonts w:eastAsia="黑体" w:cs="Times New Roman"/>
          <w:bCs/>
          <w:sz w:val="28"/>
          <w:szCs w:val="32"/>
        </w:rPr>
      </w:pPr>
      <w:bookmarkStart w:id="854" w:name="_Toc16675095"/>
      <w:r>
        <w:rPr>
          <w:rFonts w:hint="eastAsia" w:eastAsia="黑体" w:cs="Times New Roman"/>
          <w:bCs/>
          <w:sz w:val="28"/>
          <w:szCs w:val="32"/>
        </w:rPr>
        <w:t>6</w:t>
      </w:r>
      <w:r>
        <w:rPr>
          <w:rFonts w:eastAsia="黑体" w:cs="Times New Roman"/>
          <w:bCs/>
          <w:sz w:val="28"/>
          <w:szCs w:val="32"/>
        </w:rPr>
        <w:t xml:space="preserve">.3.2 </w:t>
      </w:r>
      <w:r>
        <w:rPr>
          <w:rFonts w:hint="eastAsia" w:eastAsia="黑体" w:cs="Times New Roman"/>
          <w:bCs/>
          <w:sz w:val="28"/>
          <w:szCs w:val="32"/>
        </w:rPr>
        <w:t>考核制度</w:t>
      </w:r>
      <w:bookmarkEnd w:id="854"/>
    </w:p>
    <w:p w14:paraId="0CAE2F44">
      <w:pPr>
        <w:ind w:firstLine="480"/>
        <w:rPr>
          <w:rFonts w:eastAsia="宋体" w:cs="Times New Roman"/>
          <w:lang w:bidi="ar"/>
        </w:rPr>
      </w:pPr>
      <w:r>
        <w:rPr>
          <w:rFonts w:hint="eastAsia" w:eastAsia="宋体" w:cs="Times New Roman"/>
          <w:lang w:bidi="ar"/>
        </w:rPr>
        <w:t>以中山市水生态文明建设相关文件为基础和指导，建立水资源资产离任审计制和责任追究制度绩效评价考核和责任追究制度，加快建立水资源环境承载能力监测预警机制，探索领导干部自然资源资产离任审计与重大水生态环境损害责任终身追究制，对推动和保障中山市西区水生态文明建设具有重要意义。对超过或接近承载能力的区域，实行预警提醒和限制性措施。把水资源消耗、水环境损害、生态保护与建设成效以及当地民生改善成效等纳入经济社会发展评价体系，作为各级党政干部考核的重要内容，实行目标责任制，纳入年度考核，实行奖惩制度。</w:t>
      </w:r>
    </w:p>
    <w:p w14:paraId="31F88FC7">
      <w:pPr>
        <w:keepNext/>
        <w:keepLines/>
        <w:widowControl/>
        <w:ind w:firstLine="0" w:firstLineChars="0"/>
        <w:outlineLvl w:val="2"/>
        <w:rPr>
          <w:rFonts w:eastAsia="黑体" w:cs="Times New Roman"/>
          <w:bCs/>
          <w:sz w:val="28"/>
          <w:szCs w:val="32"/>
        </w:rPr>
      </w:pPr>
      <w:bookmarkStart w:id="855" w:name="_Toc16675096"/>
      <w:r>
        <w:rPr>
          <w:rFonts w:hint="eastAsia" w:eastAsia="黑体" w:cs="Times New Roman"/>
          <w:bCs/>
          <w:sz w:val="28"/>
          <w:szCs w:val="32"/>
        </w:rPr>
        <w:t>6</w:t>
      </w:r>
      <w:r>
        <w:rPr>
          <w:rFonts w:eastAsia="黑体" w:cs="Times New Roman"/>
          <w:bCs/>
          <w:sz w:val="28"/>
          <w:szCs w:val="32"/>
        </w:rPr>
        <w:t xml:space="preserve">.3.3 </w:t>
      </w:r>
      <w:r>
        <w:rPr>
          <w:rFonts w:hint="eastAsia" w:eastAsia="黑体" w:cs="Times New Roman"/>
          <w:bCs/>
          <w:sz w:val="28"/>
          <w:szCs w:val="32"/>
        </w:rPr>
        <w:t>宣传和教育</w:t>
      </w:r>
      <w:bookmarkEnd w:id="855"/>
    </w:p>
    <w:p w14:paraId="442E9445">
      <w:pPr>
        <w:ind w:firstLine="480"/>
        <w:rPr>
          <w:lang w:bidi="ar"/>
        </w:rPr>
      </w:pPr>
      <w:r>
        <w:rPr>
          <w:rFonts w:hint="eastAsia"/>
          <w:lang w:bidi="ar"/>
        </w:rPr>
        <w:t>通过水生态文明展厅建设或生态廊道建设、节水型学校与节水型单位建设、门户网站宣传、开展主题宣传活动等全方位开展水生态文明理念和特色水文化的宣传教育活动，充分利用现代信息技术（微博、微信、移动终端</w:t>
      </w:r>
      <w:r>
        <w:rPr>
          <w:lang w:bidi="ar"/>
        </w:rPr>
        <w:t>APP</w:t>
      </w:r>
      <w:r>
        <w:rPr>
          <w:rFonts w:hint="eastAsia"/>
          <w:lang w:bidi="ar"/>
        </w:rPr>
        <w:t>等即时通讯工具）、网站、微信、横幅、宣传画报、设摊宣传及五进（进机关、进学校、进企业、进社区、进居民）等多种形式开展水生态文明宣传教育活动，结合历史水文化气息与水利示范项目构建立体式、全覆盖的宣传格局，提升各行业、各层次人群的水资源节约保护意识和水生态文明理念及参与度，鼓励社会公众广泛参与，让公众具有明显的水生态文明意识，开展创建水生态文明建设示范社区活动，引导全区水生态文明建设，建立广泛的水文化建设社会基础。</w:t>
      </w:r>
    </w:p>
    <w:p w14:paraId="4E23BC81">
      <w:pPr>
        <w:ind w:firstLine="480"/>
        <w:rPr>
          <w:rFonts w:eastAsia="宋体" w:cs="Times New Roman"/>
          <w:szCs w:val="28"/>
          <w:lang w:bidi="ar"/>
        </w:rPr>
        <w:sectPr>
          <w:pgSz w:w="11906" w:h="16838"/>
          <w:pgMar w:top="1440" w:right="1797" w:bottom="1440" w:left="1797" w:header="851" w:footer="992" w:gutter="0"/>
          <w:cols w:space="425" w:num="1"/>
          <w:docGrid w:type="linesAndChars" w:linePitch="326" w:charSpace="0"/>
        </w:sectPr>
      </w:pPr>
    </w:p>
    <w:p w14:paraId="4F90F249">
      <w:pPr>
        <w:pStyle w:val="2"/>
        <w:widowControl/>
        <w:spacing w:before="0" w:after="0" w:line="360" w:lineRule="auto"/>
        <w:rPr>
          <w:rFonts w:cs="Times New Roman"/>
        </w:rPr>
      </w:pPr>
      <w:bookmarkStart w:id="856" w:name="_Toc528607317"/>
      <w:bookmarkStart w:id="857" w:name="_Toc16675097"/>
      <w:r>
        <w:rPr>
          <w:rFonts w:cs="Times New Roman"/>
        </w:rPr>
        <w:t xml:space="preserve">7 </w:t>
      </w:r>
      <w:r>
        <w:rPr>
          <w:rFonts w:hint="eastAsia" w:cs="Times New Roman"/>
        </w:rPr>
        <w:t>规划工程实施安排及效果评价</w:t>
      </w:r>
      <w:bookmarkEnd w:id="856"/>
      <w:bookmarkEnd w:id="857"/>
    </w:p>
    <w:p w14:paraId="7F68605B">
      <w:pPr>
        <w:pStyle w:val="4"/>
        <w:widowControl/>
        <w:spacing w:before="0" w:after="0" w:line="360" w:lineRule="auto"/>
        <w:rPr>
          <w:rFonts w:cs="Times New Roman"/>
        </w:rPr>
      </w:pPr>
      <w:bookmarkStart w:id="858" w:name="_Toc16675098"/>
      <w:bookmarkStart w:id="859" w:name="_Toc528607318"/>
      <w:r>
        <w:rPr>
          <w:rFonts w:cs="Times New Roman"/>
        </w:rPr>
        <w:t>7.1</w:t>
      </w:r>
      <w:r>
        <w:rPr>
          <w:rFonts w:hint="eastAsia" w:cs="Times New Roman"/>
        </w:rPr>
        <w:t>规划分期实施意见</w:t>
      </w:r>
      <w:bookmarkEnd w:id="858"/>
      <w:bookmarkEnd w:id="859"/>
    </w:p>
    <w:p w14:paraId="10E623F2">
      <w:pPr>
        <w:pStyle w:val="3"/>
        <w:widowControl/>
        <w:spacing w:before="0" w:after="0" w:line="360" w:lineRule="auto"/>
        <w:rPr>
          <w:rFonts w:cs="Times New Roman"/>
        </w:rPr>
      </w:pPr>
      <w:bookmarkStart w:id="860" w:name="_Toc528880351"/>
      <w:bookmarkStart w:id="861" w:name="_Toc25262"/>
      <w:bookmarkStart w:id="862" w:name="_Toc527881145"/>
      <w:bookmarkStart w:id="863" w:name="_Toc523306844"/>
      <w:bookmarkStart w:id="864" w:name="_Toc13789"/>
      <w:bookmarkStart w:id="865" w:name="_Toc498877705"/>
      <w:bookmarkStart w:id="866" w:name="_Toc526004990"/>
      <w:bookmarkStart w:id="867" w:name="_Toc8060"/>
      <w:bookmarkStart w:id="868" w:name="_Toc498447377"/>
      <w:bookmarkStart w:id="869" w:name="_Toc528607319"/>
      <w:bookmarkStart w:id="870" w:name="_Toc27958"/>
      <w:bookmarkStart w:id="871" w:name="_Toc2718"/>
      <w:bookmarkStart w:id="872" w:name="_Toc16675099"/>
      <w:bookmarkStart w:id="873" w:name="_Toc20106"/>
      <w:r>
        <w:rPr>
          <w:rFonts w:cs="Times New Roman"/>
        </w:rPr>
        <w:t>7.1.1</w:t>
      </w:r>
      <w:r>
        <w:rPr>
          <w:rFonts w:hint="eastAsia" w:cs="Times New Roman"/>
        </w:rPr>
        <w:t>规划分期实施意见</w:t>
      </w:r>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p w14:paraId="7219289B">
      <w:pPr>
        <w:ind w:firstLine="480"/>
        <w:rPr>
          <w:rFonts w:cs="Times New Roman"/>
          <w:szCs w:val="28"/>
        </w:rPr>
      </w:pPr>
      <w:r>
        <w:rPr>
          <w:rFonts w:hint="eastAsia" w:eastAsia="宋体" w:cs="Times New Roman"/>
          <w:szCs w:val="28"/>
          <w:lang w:bidi="ar"/>
        </w:rPr>
        <w:t>本规划为确保各工程顺利实施和完成，将工程分为近期、中期和远期，近期为</w:t>
      </w:r>
      <w:r>
        <w:rPr>
          <w:rFonts w:eastAsia="宋体" w:cs="Times New Roman"/>
          <w:szCs w:val="28"/>
          <w:lang w:bidi="ar"/>
        </w:rPr>
        <w:t>2020</w:t>
      </w:r>
      <w:r>
        <w:rPr>
          <w:rFonts w:hint="eastAsia" w:eastAsia="宋体" w:cs="Times New Roman"/>
          <w:szCs w:val="28"/>
          <w:lang w:bidi="ar"/>
        </w:rPr>
        <w:t>年，中期为</w:t>
      </w:r>
      <w:r>
        <w:rPr>
          <w:rFonts w:eastAsia="宋体" w:cs="Times New Roman"/>
          <w:szCs w:val="28"/>
          <w:lang w:bidi="ar"/>
        </w:rPr>
        <w:t>2025</w:t>
      </w:r>
      <w:r>
        <w:rPr>
          <w:rFonts w:hint="eastAsia" w:eastAsia="宋体" w:cs="Times New Roman"/>
          <w:szCs w:val="28"/>
          <w:lang w:bidi="ar"/>
        </w:rPr>
        <w:t>年、远期为</w:t>
      </w:r>
      <w:r>
        <w:rPr>
          <w:rFonts w:eastAsia="宋体" w:cs="Times New Roman"/>
          <w:szCs w:val="28"/>
          <w:lang w:bidi="ar"/>
        </w:rPr>
        <w:t>2030</w:t>
      </w:r>
      <w:r>
        <w:rPr>
          <w:rFonts w:hint="eastAsia" w:eastAsia="宋体" w:cs="Times New Roman"/>
          <w:szCs w:val="28"/>
          <w:lang w:bidi="ar"/>
        </w:rPr>
        <w:t>年。</w:t>
      </w:r>
    </w:p>
    <w:p w14:paraId="658B355A">
      <w:pPr>
        <w:ind w:firstLine="480"/>
        <w:rPr>
          <w:rFonts w:cs="Times New Roman"/>
          <w:szCs w:val="28"/>
        </w:rPr>
      </w:pPr>
      <w:r>
        <w:rPr>
          <w:rFonts w:hint="eastAsia" w:eastAsia="宋体" w:cs="Times New Roman"/>
          <w:szCs w:val="28"/>
          <w:lang w:bidi="ar"/>
        </w:rPr>
        <w:t>规划工程的实施应当考虑到工程的重要性，是否能解决西区水生态文明建设过程中存在的问题，并要考虑工程实施的可行性及资金落实等因素，具体原则如下：</w:t>
      </w:r>
    </w:p>
    <w:p w14:paraId="3C2EC93F">
      <w:pPr>
        <w:ind w:firstLine="480"/>
        <w:rPr>
          <w:rFonts w:cs="Times New Roman"/>
          <w:szCs w:val="28"/>
        </w:rPr>
      </w:pPr>
      <w:r>
        <w:rPr>
          <w:rFonts w:hint="eastAsia" w:eastAsia="宋体" w:cs="Times New Roman"/>
          <w:szCs w:val="28"/>
          <w:lang w:bidi="ar"/>
        </w:rPr>
        <w:t>（</w:t>
      </w:r>
      <w:r>
        <w:rPr>
          <w:rFonts w:eastAsia="宋体" w:cs="Times New Roman"/>
          <w:szCs w:val="28"/>
          <w:lang w:bidi="ar"/>
        </w:rPr>
        <w:t>1</w:t>
      </w:r>
      <w:r>
        <w:rPr>
          <w:rFonts w:hint="eastAsia" w:eastAsia="宋体" w:cs="Times New Roman"/>
          <w:szCs w:val="28"/>
          <w:lang w:bidi="ar"/>
        </w:rPr>
        <w:t>）应注意配合其它规划的实施时间，某些工程的实施是以其它规划的落实为条件的，其实施时间的近、中、远期规划应以实施条件是否成熟为依据。</w:t>
      </w:r>
    </w:p>
    <w:p w14:paraId="5A999243">
      <w:pPr>
        <w:ind w:firstLine="480"/>
        <w:rPr>
          <w:rFonts w:cs="Times New Roman"/>
          <w:szCs w:val="28"/>
        </w:rPr>
      </w:pPr>
      <w:r>
        <w:rPr>
          <w:rFonts w:hint="eastAsia" w:eastAsia="宋体" w:cs="Times New Roman"/>
          <w:szCs w:val="28"/>
          <w:lang w:bidi="ar"/>
        </w:rPr>
        <w:t>（</w:t>
      </w:r>
      <w:r>
        <w:rPr>
          <w:rFonts w:eastAsia="宋体" w:cs="Times New Roman"/>
          <w:szCs w:val="28"/>
          <w:lang w:bidi="ar"/>
        </w:rPr>
        <w:t>2</w:t>
      </w:r>
      <w:r>
        <w:rPr>
          <w:rFonts w:hint="eastAsia" w:eastAsia="宋体" w:cs="Times New Roman"/>
          <w:szCs w:val="28"/>
          <w:lang w:bidi="ar"/>
        </w:rPr>
        <w:t>）经济效益、社会效益好，资金较易落实的工程，安排近期实施。</w:t>
      </w:r>
    </w:p>
    <w:p w14:paraId="2240EE55">
      <w:pPr>
        <w:ind w:firstLine="480"/>
        <w:rPr>
          <w:rFonts w:cs="Times New Roman"/>
          <w:szCs w:val="28"/>
        </w:rPr>
      </w:pPr>
      <w:r>
        <w:rPr>
          <w:rFonts w:hint="eastAsia" w:eastAsia="宋体" w:cs="Times New Roman"/>
          <w:szCs w:val="28"/>
          <w:lang w:bidi="ar"/>
        </w:rPr>
        <w:t>（</w:t>
      </w:r>
      <w:r>
        <w:rPr>
          <w:rFonts w:eastAsia="宋体" w:cs="Times New Roman"/>
          <w:szCs w:val="28"/>
          <w:lang w:bidi="ar"/>
        </w:rPr>
        <w:t>3</w:t>
      </w:r>
      <w:r>
        <w:rPr>
          <w:rFonts w:hint="eastAsia" w:eastAsia="宋体" w:cs="Times New Roman"/>
          <w:szCs w:val="28"/>
          <w:lang w:bidi="ar"/>
        </w:rPr>
        <w:t>）重点落实示范工程项目建设。</w:t>
      </w:r>
    </w:p>
    <w:p w14:paraId="440AF47C">
      <w:pPr>
        <w:ind w:firstLine="480"/>
        <w:rPr>
          <w:rFonts w:cs="Times New Roman"/>
          <w:szCs w:val="28"/>
        </w:rPr>
      </w:pPr>
      <w:r>
        <w:rPr>
          <w:rFonts w:hint="eastAsia" w:eastAsia="宋体" w:cs="Times New Roman"/>
          <w:szCs w:val="28"/>
          <w:lang w:bidi="ar"/>
        </w:rPr>
        <w:t>（</w:t>
      </w:r>
      <w:r>
        <w:rPr>
          <w:rFonts w:eastAsia="宋体" w:cs="Times New Roman"/>
          <w:szCs w:val="28"/>
          <w:lang w:bidi="ar"/>
        </w:rPr>
        <w:t>4</w:t>
      </w:r>
      <w:r>
        <w:rPr>
          <w:rFonts w:hint="eastAsia" w:eastAsia="宋体" w:cs="Times New Roman"/>
          <w:szCs w:val="28"/>
          <w:lang w:bidi="ar"/>
        </w:rPr>
        <w:t>）各级政府和当地群众较为关心，并有积极性兴建工程，安排近期实施。</w:t>
      </w:r>
    </w:p>
    <w:p w14:paraId="3EF93AF8">
      <w:pPr>
        <w:ind w:firstLine="480"/>
        <w:rPr>
          <w:rFonts w:cs="Times New Roman"/>
          <w:szCs w:val="28"/>
        </w:rPr>
      </w:pPr>
      <w:r>
        <w:rPr>
          <w:rFonts w:hint="eastAsia" w:eastAsia="宋体" w:cs="Times New Roman"/>
          <w:szCs w:val="28"/>
          <w:lang w:bidi="ar"/>
        </w:rPr>
        <w:t>（</w:t>
      </w:r>
      <w:r>
        <w:rPr>
          <w:rFonts w:eastAsia="宋体" w:cs="Times New Roman"/>
          <w:szCs w:val="28"/>
          <w:lang w:bidi="ar"/>
        </w:rPr>
        <w:t>5</w:t>
      </w:r>
      <w:r>
        <w:rPr>
          <w:rFonts w:hint="eastAsia" w:eastAsia="宋体" w:cs="Times New Roman"/>
          <w:szCs w:val="28"/>
          <w:lang w:bidi="ar"/>
        </w:rPr>
        <w:t>）工程量较大、内容较多，短时期内无法完成，应分阶段，划分近、中、远期工程目标。</w:t>
      </w:r>
    </w:p>
    <w:p w14:paraId="22802204">
      <w:pPr>
        <w:ind w:firstLine="480"/>
        <w:rPr>
          <w:rFonts w:cs="Times New Roman"/>
          <w:szCs w:val="28"/>
        </w:rPr>
      </w:pPr>
      <w:r>
        <w:rPr>
          <w:rFonts w:hint="eastAsia" w:eastAsia="宋体" w:cs="Times New Roman"/>
          <w:szCs w:val="28"/>
          <w:lang w:bidi="ar"/>
        </w:rPr>
        <w:t>（</w:t>
      </w:r>
      <w:r>
        <w:rPr>
          <w:rFonts w:eastAsia="宋体" w:cs="Times New Roman"/>
          <w:szCs w:val="28"/>
          <w:lang w:bidi="ar"/>
        </w:rPr>
        <w:t>6</w:t>
      </w:r>
      <w:r>
        <w:rPr>
          <w:rFonts w:hint="eastAsia" w:eastAsia="宋体" w:cs="Times New Roman"/>
          <w:szCs w:val="28"/>
          <w:lang w:bidi="ar"/>
        </w:rPr>
        <w:t>）其余非急需的工程或投入较大的工程量的工程，安排远期实施。</w:t>
      </w:r>
    </w:p>
    <w:p w14:paraId="1AA709D8">
      <w:pPr>
        <w:ind w:firstLine="480"/>
        <w:rPr>
          <w:rFonts w:cs="Times New Roman"/>
          <w:szCs w:val="28"/>
        </w:rPr>
      </w:pPr>
      <w:r>
        <w:rPr>
          <w:rFonts w:hint="eastAsia" w:eastAsia="宋体" w:cs="Times New Roman"/>
          <w:szCs w:val="28"/>
          <w:lang w:bidi="ar"/>
        </w:rPr>
        <w:t>按照上述原则，本次规划工程实施情况如表</w:t>
      </w:r>
      <w:r>
        <w:rPr>
          <w:rFonts w:eastAsia="宋体" w:cs="Times New Roman"/>
          <w:szCs w:val="28"/>
          <w:lang w:bidi="ar"/>
        </w:rPr>
        <w:t>6-2</w:t>
      </w:r>
      <w:r>
        <w:rPr>
          <w:rFonts w:hint="eastAsia" w:eastAsia="宋体" w:cs="Times New Roman"/>
          <w:szCs w:val="28"/>
          <w:lang w:bidi="ar"/>
        </w:rPr>
        <w:t>-表6-</w:t>
      </w:r>
      <w:r>
        <w:rPr>
          <w:rFonts w:eastAsia="宋体" w:cs="Times New Roman"/>
          <w:szCs w:val="28"/>
          <w:lang w:bidi="ar"/>
        </w:rPr>
        <w:t>4</w:t>
      </w:r>
      <w:r>
        <w:rPr>
          <w:rFonts w:hint="eastAsia" w:eastAsia="宋体" w:cs="Times New Roman"/>
          <w:szCs w:val="28"/>
          <w:lang w:bidi="ar"/>
        </w:rPr>
        <w:t>。</w:t>
      </w:r>
    </w:p>
    <w:p w14:paraId="312AC082">
      <w:pPr>
        <w:spacing w:line="240" w:lineRule="auto"/>
        <w:ind w:firstLine="480"/>
        <w:rPr>
          <w:rFonts w:cs="Times New Roman"/>
          <w:szCs w:val="24"/>
        </w:rPr>
      </w:pPr>
    </w:p>
    <w:p w14:paraId="7398ACBF">
      <w:pPr>
        <w:pStyle w:val="4"/>
        <w:widowControl/>
        <w:spacing w:before="0" w:after="0" w:line="360" w:lineRule="auto"/>
        <w:rPr>
          <w:rFonts w:cs="Times New Roman"/>
        </w:rPr>
      </w:pPr>
      <w:bookmarkStart w:id="874" w:name="_Toc528607320"/>
      <w:bookmarkStart w:id="875" w:name="_Toc16675100"/>
      <w:r>
        <w:rPr>
          <w:rFonts w:cs="Times New Roman"/>
        </w:rPr>
        <w:t>7.2</w:t>
      </w:r>
      <w:r>
        <w:rPr>
          <w:rFonts w:hint="eastAsia" w:cs="Times New Roman"/>
        </w:rPr>
        <w:t>工程安排和投资估算</w:t>
      </w:r>
      <w:bookmarkEnd w:id="874"/>
      <w:bookmarkEnd w:id="875"/>
    </w:p>
    <w:p w14:paraId="2123427E">
      <w:pPr>
        <w:ind w:firstLine="480"/>
        <w:rPr>
          <w:rFonts w:eastAsia="宋体" w:cs="Times New Roman"/>
          <w:szCs w:val="24"/>
        </w:rPr>
      </w:pPr>
      <w:r>
        <w:rPr>
          <w:rFonts w:hint="eastAsia" w:eastAsia="宋体" w:cs="Times New Roman"/>
          <w:szCs w:val="24"/>
          <w:lang w:bidi="ar"/>
        </w:rPr>
        <w:t>根据水生态文明建设指标体系和西区的实际发展，西区</w:t>
      </w:r>
      <w:r>
        <w:rPr>
          <w:rFonts w:eastAsia="宋体" w:cs="Times New Roman"/>
          <w:szCs w:val="24"/>
          <w:lang w:bidi="ar"/>
        </w:rPr>
        <w:t>2020</w:t>
      </w:r>
      <w:r>
        <w:rPr>
          <w:rFonts w:hint="eastAsia" w:eastAsia="宋体" w:cs="Times New Roman"/>
          <w:szCs w:val="24"/>
          <w:lang w:bidi="ar"/>
        </w:rPr>
        <w:t>年与</w:t>
      </w:r>
      <w:r>
        <w:rPr>
          <w:rFonts w:eastAsia="宋体" w:cs="Times New Roman"/>
          <w:szCs w:val="24"/>
          <w:lang w:bidi="ar"/>
        </w:rPr>
        <w:t>2030</w:t>
      </w:r>
      <w:r>
        <w:rPr>
          <w:rFonts w:hint="eastAsia" w:eastAsia="宋体" w:cs="Times New Roman"/>
          <w:szCs w:val="24"/>
          <w:lang w:bidi="ar"/>
        </w:rPr>
        <w:t>年水生态文明建设规划的工程和投资估算按照水安全工程、水环境工程、水生态工程、水监管工程、水节约工程、水文化工程</w:t>
      </w:r>
      <w:r>
        <w:rPr>
          <w:rFonts w:eastAsia="宋体" w:cs="Times New Roman"/>
          <w:szCs w:val="24"/>
          <w:lang w:bidi="ar"/>
        </w:rPr>
        <w:t>6</w:t>
      </w:r>
      <w:r>
        <w:rPr>
          <w:rFonts w:hint="eastAsia" w:eastAsia="宋体" w:cs="Times New Roman"/>
          <w:szCs w:val="24"/>
          <w:lang w:bidi="ar"/>
        </w:rPr>
        <w:t>个方面进行，本次规划参照全国统一安装工程预算定额第八册《给排水、采暖、燃气工程》、广东省安装工程综合定额（</w:t>
      </w:r>
      <w:r>
        <w:rPr>
          <w:rFonts w:eastAsia="宋体" w:cs="Times New Roman"/>
          <w:szCs w:val="24"/>
          <w:lang w:bidi="ar"/>
        </w:rPr>
        <w:t>2010</w:t>
      </w:r>
      <w:r>
        <w:rPr>
          <w:rFonts w:hint="eastAsia" w:eastAsia="宋体" w:cs="Times New Roman"/>
          <w:szCs w:val="24"/>
          <w:lang w:bidi="ar"/>
        </w:rPr>
        <w:t>年）、中山市工程造价信息（2019年</w:t>
      </w:r>
      <w:r>
        <w:rPr>
          <w:rFonts w:eastAsia="宋体" w:cs="Times New Roman"/>
          <w:szCs w:val="24"/>
          <w:lang w:bidi="ar"/>
        </w:rPr>
        <w:t>7</w:t>
      </w:r>
      <w:r>
        <w:rPr>
          <w:rFonts w:hint="eastAsia" w:eastAsia="宋体" w:cs="Times New Roman"/>
          <w:szCs w:val="24"/>
          <w:lang w:bidi="ar"/>
        </w:rPr>
        <w:t>月份）以及根据有关规程规范，并结合中山地区已建同类地区同类工程的主要工程单价，并考虑取费等因素，估算各类工程建设总投资。其中</w:t>
      </w:r>
      <w:r>
        <w:rPr>
          <w:rFonts w:hint="eastAsia" w:eastAsia="宋体" w:cs="Times New Roman"/>
          <w:b/>
          <w:bCs/>
          <w:szCs w:val="24"/>
          <w:lang w:bidi="ar"/>
        </w:rPr>
        <w:t>规划建设重点工程总投资</w:t>
      </w:r>
      <w:r>
        <w:rPr>
          <w:rFonts w:eastAsia="宋体" w:cs="Times New Roman"/>
          <w:b/>
          <w:bCs/>
          <w:szCs w:val="24"/>
          <w:lang w:bidi="ar"/>
        </w:rPr>
        <w:t>342498</w:t>
      </w:r>
      <w:r>
        <w:rPr>
          <w:rFonts w:hint="eastAsia" w:eastAsia="宋体" w:cs="Times New Roman"/>
          <w:b/>
          <w:bCs/>
          <w:szCs w:val="24"/>
          <w:lang w:bidi="ar"/>
        </w:rPr>
        <w:t>万元，近、中、远期重点工程投资分别为</w:t>
      </w:r>
      <w:r>
        <w:rPr>
          <w:rFonts w:eastAsia="宋体" w:cs="Times New Roman"/>
          <w:b/>
          <w:bCs/>
          <w:szCs w:val="24"/>
          <w:lang w:bidi="ar"/>
        </w:rPr>
        <w:t>253878</w:t>
      </w:r>
      <w:r>
        <w:rPr>
          <w:rFonts w:hint="eastAsia" w:eastAsia="宋体" w:cs="Times New Roman"/>
          <w:b/>
          <w:bCs/>
          <w:szCs w:val="24"/>
          <w:lang w:bidi="ar"/>
        </w:rPr>
        <w:t>万元、</w:t>
      </w:r>
      <w:r>
        <w:rPr>
          <w:rFonts w:eastAsia="宋体" w:cs="Times New Roman"/>
          <w:b/>
          <w:bCs/>
          <w:szCs w:val="24"/>
          <w:lang w:bidi="ar"/>
        </w:rPr>
        <w:t>54450</w:t>
      </w:r>
      <w:r>
        <w:rPr>
          <w:rFonts w:hint="eastAsia" w:eastAsia="宋体" w:cs="Times New Roman"/>
          <w:b/>
          <w:bCs/>
          <w:szCs w:val="24"/>
          <w:lang w:bidi="ar"/>
        </w:rPr>
        <w:t>万元、</w:t>
      </w:r>
      <w:r>
        <w:rPr>
          <w:rFonts w:eastAsia="宋体" w:cs="Times New Roman"/>
          <w:b/>
          <w:bCs/>
          <w:szCs w:val="24"/>
          <w:lang w:bidi="ar"/>
        </w:rPr>
        <w:t>34200</w:t>
      </w:r>
      <w:r>
        <w:rPr>
          <w:rFonts w:hint="eastAsia" w:eastAsia="宋体" w:cs="Times New Roman"/>
          <w:b/>
          <w:bCs/>
          <w:szCs w:val="24"/>
          <w:lang w:bidi="ar"/>
        </w:rPr>
        <w:t>万元</w:t>
      </w:r>
      <w:r>
        <w:rPr>
          <w:rFonts w:hint="eastAsia" w:eastAsia="宋体" w:cs="Times New Roman"/>
          <w:szCs w:val="24"/>
          <w:lang w:bidi="ar"/>
        </w:rPr>
        <w:t>，规划投资明细见表6-2至表6-</w:t>
      </w:r>
      <w:r>
        <w:rPr>
          <w:rFonts w:eastAsia="宋体" w:cs="Times New Roman"/>
          <w:szCs w:val="24"/>
          <w:lang w:bidi="ar"/>
        </w:rPr>
        <w:t>4</w:t>
      </w:r>
      <w:r>
        <w:rPr>
          <w:rFonts w:hint="eastAsia" w:eastAsia="宋体" w:cs="Times New Roman"/>
          <w:szCs w:val="24"/>
          <w:lang w:bidi="ar"/>
        </w:rPr>
        <w:t>，具体内容如下：</w:t>
      </w:r>
    </w:p>
    <w:p w14:paraId="6274B60A">
      <w:pPr>
        <w:pStyle w:val="3"/>
        <w:widowControl/>
        <w:spacing w:before="0" w:after="0" w:line="360" w:lineRule="auto"/>
        <w:rPr>
          <w:rFonts w:cs="Times New Roman"/>
        </w:rPr>
      </w:pPr>
      <w:bookmarkStart w:id="876" w:name="_Toc20633"/>
      <w:bookmarkStart w:id="877" w:name="_Toc528880353"/>
      <w:bookmarkStart w:id="878" w:name="_Toc527881147"/>
      <w:bookmarkStart w:id="879" w:name="_Toc528607321"/>
      <w:bookmarkStart w:id="880" w:name="_Toc19019"/>
      <w:bookmarkStart w:id="881" w:name="_Toc24133"/>
      <w:bookmarkStart w:id="882" w:name="_Toc15902"/>
      <w:bookmarkStart w:id="883" w:name="_Toc526004992"/>
      <w:bookmarkStart w:id="884" w:name="_Toc28978"/>
      <w:bookmarkStart w:id="885" w:name="_Toc16675101"/>
      <w:bookmarkStart w:id="886" w:name="_Toc27394"/>
      <w:r>
        <w:rPr>
          <w:rFonts w:cs="Times New Roman"/>
        </w:rPr>
        <w:t>7.2.1</w:t>
      </w:r>
      <w:bookmarkStart w:id="887" w:name="_Hlk16622616"/>
      <w:r>
        <w:rPr>
          <w:rFonts w:hint="eastAsia" w:cs="Times New Roman"/>
        </w:rPr>
        <w:t>水安全工程</w:t>
      </w:r>
      <w:bookmarkEnd w:id="876"/>
      <w:bookmarkEnd w:id="877"/>
      <w:bookmarkEnd w:id="878"/>
      <w:bookmarkEnd w:id="879"/>
      <w:bookmarkEnd w:id="880"/>
      <w:bookmarkEnd w:id="881"/>
      <w:bookmarkEnd w:id="882"/>
      <w:bookmarkEnd w:id="883"/>
      <w:bookmarkEnd w:id="884"/>
      <w:bookmarkEnd w:id="885"/>
      <w:bookmarkEnd w:id="886"/>
      <w:bookmarkEnd w:id="887"/>
    </w:p>
    <w:p w14:paraId="6681A03B">
      <w:pPr>
        <w:pStyle w:val="5"/>
        <w:widowControl/>
      </w:pPr>
      <w:r>
        <w:t>7.2.1.1</w:t>
      </w:r>
      <w:r>
        <w:rPr>
          <w:rFonts w:hint="eastAsia" w:cs="黑体"/>
        </w:rPr>
        <w:t>重点工程</w:t>
      </w:r>
    </w:p>
    <w:p w14:paraId="23347F1E">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：依据《中山市海绵城市专项规划》，改建排涝能力不足的泵站2宗，规划泵站均按20年一遇24h 设计暴雨一天排干不致灾标准，预计投资</w:t>
      </w:r>
      <w:r>
        <w:rPr>
          <w:rFonts w:eastAsia="宋体" w:cs="Times New Roman"/>
          <w:szCs w:val="24"/>
          <w:lang w:bidi="ar"/>
        </w:rPr>
        <w:t>8500</w:t>
      </w:r>
      <w:r>
        <w:rPr>
          <w:rFonts w:hint="eastAsia" w:eastAsia="宋体" w:cs="Times New Roman"/>
          <w:szCs w:val="24"/>
          <w:lang w:bidi="ar"/>
        </w:rPr>
        <w:t>万元，资金来自西区办事处筹措。</w:t>
      </w:r>
    </w:p>
    <w:p w14:paraId="69853C42">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依据《中山市海绵城市专项规划》，在西区服务业综合改革试验区、中部城区增加透水砖铺装、下沉绿地、生物滞留带、雨水花园、生态树池、透水水泥和沥青混凝土路面、雨水湿地、湿塘、调节塘、调节池、植草沟、渗管、渗渠、植被缓冲带、初期雨水弃流设施，增加调蓄容积为182mm，预计投资</w:t>
      </w:r>
      <w:r>
        <w:rPr>
          <w:rFonts w:eastAsia="宋体" w:cs="Times New Roman"/>
          <w:szCs w:val="24"/>
          <w:lang w:bidi="ar"/>
        </w:rPr>
        <w:t>18000</w:t>
      </w:r>
      <w:r>
        <w:rPr>
          <w:rFonts w:hint="eastAsia" w:eastAsia="宋体" w:cs="Times New Roman"/>
          <w:szCs w:val="24"/>
          <w:lang w:bidi="ar"/>
        </w:rPr>
        <w:t>万元，资金来自西区办事处筹措。</w:t>
      </w:r>
    </w:p>
    <w:p w14:paraId="4678594F">
      <w:pPr>
        <w:ind w:firstLine="480"/>
        <w:rPr>
          <w:rFonts w:eastAsia="宋体" w:cs="Times New Roman"/>
          <w:szCs w:val="24"/>
          <w:lang w:bidi="ar"/>
        </w:rPr>
      </w:pPr>
      <w:r>
        <w:rPr>
          <w:rFonts w:hint="eastAsia" w:eastAsia="宋体" w:cs="Times New Roman"/>
          <w:szCs w:val="24"/>
          <w:lang w:bidi="ar"/>
        </w:rPr>
        <w:t>规划排涝泵站3宗和雨水管网建设，规划泵站均按20年一遇24h 设计暴雨一天排干不致灾标准，预计投资</w:t>
      </w:r>
      <w:r>
        <w:rPr>
          <w:rFonts w:eastAsia="宋体" w:cs="Times New Roman"/>
          <w:szCs w:val="24"/>
          <w:lang w:bidi="ar"/>
        </w:rPr>
        <w:t>12000</w:t>
      </w:r>
      <w:r>
        <w:rPr>
          <w:rFonts w:hint="eastAsia" w:eastAsia="宋体" w:cs="Times New Roman"/>
          <w:szCs w:val="24"/>
          <w:lang w:bidi="ar"/>
        </w:rPr>
        <w:t>万元，资金来自西区办事处筹措。</w:t>
      </w:r>
    </w:p>
    <w:p w14:paraId="73A434EE">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在中北部城区增加透水砖铺装、下沉绿地、生物滞留带、雨水花园、生态树池、透水水泥和沥青混凝土路面、雨水湿地、湿塘、调节塘、调节池、植草沟、渗管、渗渠、植被缓冲带、初期雨水弃流设施，增加调蓄容积为182mm，预计投资</w:t>
      </w:r>
      <w:r>
        <w:rPr>
          <w:rFonts w:eastAsia="宋体" w:cs="Times New Roman"/>
          <w:szCs w:val="24"/>
          <w:lang w:bidi="ar"/>
        </w:rPr>
        <w:t>18000</w:t>
      </w:r>
      <w:r>
        <w:rPr>
          <w:rFonts w:hint="eastAsia" w:eastAsia="宋体" w:cs="Times New Roman"/>
          <w:szCs w:val="24"/>
          <w:lang w:bidi="ar"/>
        </w:rPr>
        <w:t>万元，资金来自西区办事处筹措。</w:t>
      </w:r>
    </w:p>
    <w:p w14:paraId="124CC509">
      <w:pPr>
        <w:ind w:firstLine="480"/>
        <w:rPr>
          <w:rFonts w:eastAsia="宋体" w:cs="Times New Roman"/>
          <w:szCs w:val="24"/>
          <w:lang w:bidi="ar"/>
        </w:rPr>
      </w:pPr>
      <w:r>
        <w:rPr>
          <w:rFonts w:hint="eastAsia" w:eastAsia="宋体" w:cs="Times New Roman"/>
          <w:szCs w:val="24"/>
          <w:lang w:bidi="ar"/>
        </w:rPr>
        <w:t>水安全工程建设的重点工程包括降雨滞蓄工程、内涝治理工程，参照中山市同类工程单价，预计总投资</w:t>
      </w:r>
      <w:r>
        <w:rPr>
          <w:rFonts w:hint="eastAsia" w:eastAsia="宋体" w:cs="Times New Roman"/>
          <w:b/>
          <w:bCs/>
          <w:szCs w:val="24"/>
          <w:lang w:bidi="ar"/>
        </w:rPr>
        <w:t>5</w:t>
      </w:r>
      <w:r>
        <w:rPr>
          <w:rFonts w:eastAsia="宋体" w:cs="Times New Roman"/>
          <w:b/>
          <w:bCs/>
          <w:szCs w:val="24"/>
          <w:lang w:bidi="ar"/>
        </w:rPr>
        <w:t>6500</w:t>
      </w:r>
      <w:r>
        <w:rPr>
          <w:rFonts w:hint="eastAsia" w:eastAsia="宋体" w:cs="Times New Roman"/>
          <w:b/>
          <w:bCs/>
          <w:szCs w:val="24"/>
          <w:lang w:bidi="ar"/>
        </w:rPr>
        <w:t>万元</w:t>
      </w:r>
      <w:r>
        <w:rPr>
          <w:rFonts w:hint="eastAsia" w:eastAsia="宋体" w:cs="Times New Roman"/>
          <w:szCs w:val="24"/>
          <w:lang w:bidi="ar"/>
        </w:rPr>
        <w:t>。</w:t>
      </w:r>
    </w:p>
    <w:p w14:paraId="3EE9DBC0">
      <w:pPr>
        <w:pStyle w:val="5"/>
        <w:widowControl/>
      </w:pPr>
      <w:r>
        <w:t>7.2.1.2</w:t>
      </w:r>
      <w:r>
        <w:rPr>
          <w:rFonts w:hint="eastAsia" w:cs="黑体"/>
        </w:rPr>
        <w:t>重点工程实施效果</w:t>
      </w:r>
    </w:p>
    <w:p w14:paraId="1B6A3C63">
      <w:pPr>
        <w:ind w:firstLine="480"/>
        <w:rPr>
          <w:rFonts w:eastAsia="宋体" w:cs="Times New Roman"/>
          <w:szCs w:val="24"/>
          <w:lang w:bidi="ar"/>
        </w:rPr>
      </w:pPr>
      <w:r>
        <w:rPr>
          <w:rFonts w:hint="eastAsia" w:eastAsia="宋体" w:cs="Times New Roman"/>
          <w:szCs w:val="24"/>
          <w:lang w:bidi="ar"/>
        </w:rPr>
        <w:t>降雨滞蓄工程实施后，可以降低西区地区的雨水的汇集速度，延缓峰值出现的时间，可以降低排水强度，减轻排水系统的负荷，并缓解城市洪涝灾害的风险。增加地下水补充水量来源。从西区的自然特征来看，西区的大部地区坡度较为平缓，有利于建设具有滞留功能的低影响开发设施。</w:t>
      </w:r>
    </w:p>
    <w:p w14:paraId="0CB8186F">
      <w:pPr>
        <w:ind w:firstLine="480"/>
        <w:rPr>
          <w:rFonts w:eastAsia="宋体" w:cs="Times New Roman"/>
          <w:szCs w:val="24"/>
          <w:lang w:bidi="ar"/>
        </w:rPr>
      </w:pPr>
      <w:r>
        <w:rPr>
          <w:rFonts w:hint="eastAsia" w:eastAsia="宋体" w:cs="Times New Roman"/>
          <w:szCs w:val="24"/>
          <w:lang w:bidi="ar"/>
        </w:rPr>
        <w:t>内涝治理工程实施后，进一步提升西区排涝的能力，可以使西区避免内涝的威胁，保障居民的生命安全和财产安全。</w:t>
      </w:r>
    </w:p>
    <w:p w14:paraId="11AF5121">
      <w:pPr>
        <w:spacing w:line="240" w:lineRule="auto"/>
        <w:ind w:firstLine="480"/>
        <w:rPr>
          <w:rFonts w:eastAsia="宋体" w:cs="Times New Roman"/>
          <w:szCs w:val="24"/>
          <w:lang w:bidi="ar"/>
        </w:rPr>
      </w:pPr>
    </w:p>
    <w:p w14:paraId="0F0A57F7">
      <w:pPr>
        <w:pStyle w:val="3"/>
        <w:widowControl/>
        <w:spacing w:before="0" w:after="0" w:line="360" w:lineRule="auto"/>
        <w:rPr>
          <w:rFonts w:cs="Times New Roman"/>
        </w:rPr>
      </w:pPr>
      <w:bookmarkStart w:id="888" w:name="_Toc13305"/>
      <w:bookmarkStart w:id="889" w:name="_Toc528880354"/>
      <w:bookmarkStart w:id="890" w:name="_Toc32214"/>
      <w:bookmarkStart w:id="891" w:name="_Toc24223"/>
      <w:bookmarkStart w:id="892" w:name="_Toc4984"/>
      <w:bookmarkStart w:id="893" w:name="_Toc528607322"/>
      <w:bookmarkStart w:id="894" w:name="_Toc16675102"/>
      <w:bookmarkStart w:id="895" w:name="_Toc527881148"/>
      <w:bookmarkStart w:id="896" w:name="_Toc1087"/>
      <w:bookmarkStart w:id="897" w:name="_Toc12218"/>
      <w:bookmarkStart w:id="898" w:name="_Toc526004993"/>
      <w:r>
        <w:rPr>
          <w:rFonts w:cs="Times New Roman"/>
        </w:rPr>
        <w:t>7.2.2</w:t>
      </w:r>
      <w:r>
        <w:rPr>
          <w:rFonts w:hint="eastAsia" w:cs="Times New Roman"/>
        </w:rPr>
        <w:t>水环境工程</w:t>
      </w:r>
      <w:bookmarkEnd w:id="888"/>
      <w:bookmarkEnd w:id="889"/>
      <w:bookmarkEnd w:id="890"/>
      <w:bookmarkEnd w:id="891"/>
      <w:bookmarkEnd w:id="892"/>
      <w:bookmarkEnd w:id="893"/>
      <w:bookmarkEnd w:id="894"/>
      <w:bookmarkEnd w:id="895"/>
      <w:bookmarkEnd w:id="896"/>
      <w:bookmarkEnd w:id="897"/>
      <w:bookmarkEnd w:id="898"/>
    </w:p>
    <w:p w14:paraId="40939CF4">
      <w:pPr>
        <w:pStyle w:val="5"/>
        <w:widowControl/>
      </w:pPr>
      <w:r>
        <w:t>7.2.2.1</w:t>
      </w:r>
      <w:r>
        <w:rPr>
          <w:rFonts w:hint="eastAsia" w:cs="黑体"/>
        </w:rPr>
        <w:t>重点工程</w:t>
      </w:r>
    </w:p>
    <w:p w14:paraId="6D02A866">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根据中山市中小河流治理重点项综合整治和水系连通试点项目工程以及市对中心城区河涌整治工程，西区应加快步伐开展水环境综合治理工程，新建彩虹片区排洪渠总长度约2937m，其中一号渠河渠规划断面为B×H=10m×30m，全长约1641m（不含箱涵）；二号渠河渠规划断面为，B×H=6m×3m（北段）长689m及B×H=10m×4m（南段）长607m，全长约为1296m（不含箱涵）。预计投资</w:t>
      </w:r>
      <w:r>
        <w:rPr>
          <w:rFonts w:eastAsia="宋体" w:cs="Times New Roman"/>
          <w:szCs w:val="24"/>
          <w:lang w:bidi="ar"/>
        </w:rPr>
        <w:t>12213</w:t>
      </w:r>
      <w:r>
        <w:rPr>
          <w:rFonts w:hint="eastAsia" w:eastAsia="宋体" w:cs="Times New Roman"/>
          <w:szCs w:val="24"/>
          <w:lang w:bidi="ar"/>
        </w:rPr>
        <w:t>万元，资金来自西区办事处筹措。</w:t>
      </w:r>
    </w:p>
    <w:p w14:paraId="159C1669">
      <w:pPr>
        <w:ind w:firstLine="480"/>
        <w:rPr>
          <w:rFonts w:eastAsia="宋体" w:cs="Times New Roman"/>
          <w:szCs w:val="24"/>
          <w:lang w:bidi="ar"/>
        </w:rPr>
      </w:pPr>
      <w:r>
        <w:rPr>
          <w:rFonts w:eastAsia="宋体" w:cs="Times New Roman"/>
          <w:szCs w:val="24"/>
          <w:lang w:bidi="ar"/>
        </w:rPr>
        <w:t xml:space="preserve"> </w:t>
      </w:r>
      <w:r>
        <w:rPr>
          <w:rFonts w:hint="eastAsia" w:eastAsia="宋体" w:cs="Times New Roman"/>
          <w:szCs w:val="24"/>
          <w:lang w:bidi="ar"/>
        </w:rPr>
        <w:t>中山市西区狮滘河一河两岸改造提升工程，改造范围为岐江河（滨江一号处）至狮滘桥（105国道）。预计投资</w:t>
      </w:r>
      <w:r>
        <w:rPr>
          <w:rFonts w:eastAsia="宋体" w:cs="Times New Roman"/>
          <w:szCs w:val="24"/>
          <w:lang w:bidi="ar"/>
        </w:rPr>
        <w:t>12</w:t>
      </w:r>
      <w:r>
        <w:rPr>
          <w:rFonts w:hint="eastAsia" w:eastAsia="宋体" w:cs="Times New Roman"/>
          <w:szCs w:val="24"/>
          <w:lang w:bidi="ar"/>
        </w:rPr>
        <w:t>000万元，资金来自市政府统筹。</w:t>
      </w:r>
    </w:p>
    <w:p w14:paraId="6598A8B8">
      <w:pPr>
        <w:ind w:firstLine="480"/>
        <w:rPr>
          <w:rFonts w:eastAsia="宋体" w:cs="Times New Roman"/>
          <w:szCs w:val="24"/>
          <w:lang w:bidi="ar"/>
        </w:rPr>
      </w:pPr>
      <w:r>
        <w:rPr>
          <w:rFonts w:hint="eastAsia" w:eastAsia="宋体" w:cs="Times New Roman"/>
          <w:szCs w:val="24"/>
          <w:lang w:bidi="ar"/>
        </w:rPr>
        <w:t>中山市中心组团黑臭〈未达标〉水体整治提升工程〈项目二〉，西区13条（段）河涌进行截污工程、河涌范围现状污水管道检查及修复工程、面源污染治理工程、清淤工程、生态修复工程、水系循环及补水工程等。预计投资</w:t>
      </w:r>
      <w:r>
        <w:rPr>
          <w:rFonts w:eastAsia="宋体" w:cs="Times New Roman"/>
          <w:szCs w:val="24"/>
          <w:lang w:bidi="ar"/>
        </w:rPr>
        <w:t>163485</w:t>
      </w:r>
      <w:r>
        <w:rPr>
          <w:rFonts w:hint="eastAsia" w:eastAsia="宋体" w:cs="Times New Roman"/>
          <w:szCs w:val="24"/>
          <w:lang w:bidi="ar"/>
        </w:rPr>
        <w:t>万元，资金来自市政府统筹。</w:t>
      </w:r>
    </w:p>
    <w:p w14:paraId="1184CF63">
      <w:pPr>
        <w:ind w:firstLine="480"/>
        <w:rPr>
          <w:rFonts w:eastAsia="宋体" w:cs="Times New Roman"/>
          <w:szCs w:val="24"/>
          <w:lang w:bidi="ar"/>
        </w:rPr>
      </w:pPr>
      <w:r>
        <w:rPr>
          <w:rFonts w:hint="eastAsia" w:eastAsia="宋体" w:cs="Times New Roman"/>
          <w:szCs w:val="24"/>
          <w:lang w:bidi="ar"/>
        </w:rPr>
        <w:t>污水工程方面，完善完善城区片4个片区污水管网建设，推进建设沙朗片7个片区工程等污水管网工程，预计投资500</w:t>
      </w:r>
      <w:r>
        <w:rPr>
          <w:rFonts w:eastAsia="宋体" w:cs="Times New Roman"/>
          <w:szCs w:val="24"/>
          <w:lang w:bidi="ar"/>
        </w:rPr>
        <w:t>00</w:t>
      </w:r>
      <w:r>
        <w:rPr>
          <w:rFonts w:hint="eastAsia" w:eastAsia="宋体" w:cs="Times New Roman"/>
          <w:szCs w:val="24"/>
          <w:lang w:bidi="ar"/>
        </w:rPr>
        <w:t>万元，资金由市统筹18000万元，区统筹32000万元。</w:t>
      </w:r>
    </w:p>
    <w:p w14:paraId="7D01F563">
      <w:pPr>
        <w:ind w:firstLine="482"/>
        <w:rPr>
          <w:rFonts w:eastAsia="宋体" w:cs="Times New Roman"/>
          <w:szCs w:val="24"/>
        </w:rPr>
      </w:pPr>
      <w:r>
        <w:rPr>
          <w:rFonts w:hint="eastAsia" w:eastAsia="宋体" w:cs="Times New Roman"/>
          <w:b/>
          <w:bCs/>
          <w:szCs w:val="24"/>
          <w:lang w:bidi="ar"/>
        </w:rPr>
        <w:t>中、远期重点工程</w:t>
      </w:r>
      <w:r>
        <w:rPr>
          <w:rFonts w:hint="eastAsia" w:eastAsia="宋体" w:cs="Times New Roman"/>
          <w:szCs w:val="24"/>
          <w:lang w:bidi="ar"/>
        </w:rPr>
        <w:t>：各河涌实行自动化联合调度控制，各站点设置水情监测、水位记录、水位自动控制和调度等。预计投资</w:t>
      </w:r>
      <w:r>
        <w:rPr>
          <w:rFonts w:eastAsia="宋体" w:cs="Times New Roman"/>
          <w:szCs w:val="24"/>
          <w:lang w:bidi="ar"/>
        </w:rPr>
        <w:t>1500</w:t>
      </w:r>
      <w:r>
        <w:rPr>
          <w:rFonts w:hint="eastAsia" w:eastAsia="宋体" w:cs="Times New Roman"/>
          <w:szCs w:val="24"/>
          <w:lang w:bidi="ar"/>
        </w:rPr>
        <w:t>0万元，资金来自市政府统筹。</w:t>
      </w:r>
    </w:p>
    <w:p w14:paraId="46E6B701">
      <w:pPr>
        <w:ind w:firstLine="480"/>
        <w:rPr>
          <w:rFonts w:eastAsia="宋体" w:cs="Times New Roman"/>
          <w:szCs w:val="24"/>
        </w:rPr>
      </w:pPr>
      <w:r>
        <w:rPr>
          <w:rFonts w:hint="eastAsia" w:eastAsia="宋体" w:cs="Times New Roman"/>
          <w:szCs w:val="24"/>
          <w:lang w:bidi="ar"/>
        </w:rPr>
        <w:t>水</w:t>
      </w:r>
      <w:r>
        <w:rPr>
          <w:rFonts w:hint="eastAsia"/>
        </w:rPr>
        <w:t>环境</w:t>
      </w:r>
      <w:r>
        <w:rPr>
          <w:rFonts w:hint="eastAsia" w:eastAsia="宋体" w:cs="Times New Roman"/>
          <w:szCs w:val="24"/>
          <w:lang w:bidi="ar"/>
        </w:rPr>
        <w:t>工程建设的重点工程包括水环境综合治理工程、污水工程，参照中山市同类工程单价，预计总投资</w:t>
      </w:r>
      <w:r>
        <w:rPr>
          <w:rFonts w:eastAsia="宋体" w:cs="Times New Roman"/>
          <w:b/>
          <w:bCs/>
          <w:szCs w:val="24"/>
          <w:lang w:bidi="ar"/>
        </w:rPr>
        <w:t>302698</w:t>
      </w:r>
      <w:r>
        <w:rPr>
          <w:rFonts w:hint="eastAsia" w:eastAsia="宋体" w:cs="Times New Roman"/>
          <w:b/>
          <w:bCs/>
          <w:szCs w:val="24"/>
          <w:lang w:bidi="ar"/>
        </w:rPr>
        <w:t>万元</w:t>
      </w:r>
      <w:r>
        <w:rPr>
          <w:rFonts w:hint="eastAsia" w:eastAsia="宋体" w:cs="Times New Roman"/>
          <w:szCs w:val="24"/>
          <w:lang w:bidi="ar"/>
        </w:rPr>
        <w:t>。</w:t>
      </w:r>
    </w:p>
    <w:p w14:paraId="1983B7C1">
      <w:pPr>
        <w:pStyle w:val="5"/>
        <w:widowControl/>
      </w:pPr>
      <w:r>
        <w:t>7.2.2.2</w:t>
      </w:r>
      <w:r>
        <w:rPr>
          <w:rFonts w:hint="eastAsia" w:cs="黑体"/>
        </w:rPr>
        <w:t>重点工程实施效果</w:t>
      </w:r>
    </w:p>
    <w:p w14:paraId="08D25100">
      <w:pPr>
        <w:ind w:firstLine="480"/>
        <w:rPr>
          <w:rFonts w:eastAsia="宋体" w:cs="Times New Roman"/>
          <w:szCs w:val="24"/>
        </w:rPr>
      </w:pPr>
      <w:r>
        <w:rPr>
          <w:rFonts w:hint="eastAsia" w:eastAsia="宋体" w:cs="Times New Roman"/>
          <w:szCs w:val="24"/>
          <w:lang w:bidi="ar"/>
        </w:rPr>
        <w:t>水环境综合治理工程实施后，可以净化水生态环境中水环境条件，对河涌水质的改良起到很好的作用，改善河涌活力，使西区的水环境得到质和量的改善。</w:t>
      </w:r>
    </w:p>
    <w:p w14:paraId="2436B305">
      <w:pPr>
        <w:ind w:firstLine="480"/>
        <w:rPr>
          <w:rFonts w:eastAsia="宋体" w:cs="Times New Roman"/>
          <w:szCs w:val="24"/>
        </w:rPr>
      </w:pPr>
      <w:r>
        <w:rPr>
          <w:rFonts w:hint="eastAsia" w:eastAsia="宋体" w:cs="Times New Roman"/>
          <w:szCs w:val="24"/>
          <w:lang w:bidi="ar"/>
        </w:rPr>
        <w:t>污水工程实施后，可以降低河涌的污染源，减少污染量，进而改善西区的河涌的水环境。</w:t>
      </w:r>
    </w:p>
    <w:p w14:paraId="2506C2DB">
      <w:pPr>
        <w:pStyle w:val="3"/>
        <w:widowControl/>
        <w:spacing w:before="0" w:after="0" w:line="360" w:lineRule="auto"/>
        <w:rPr>
          <w:rFonts w:eastAsia="宋体" w:cs="Times New Roman"/>
          <w:b/>
          <w:szCs w:val="24"/>
        </w:rPr>
      </w:pPr>
      <w:bookmarkStart w:id="899" w:name="_Toc17442"/>
      <w:bookmarkStart w:id="900" w:name="_Toc527881149"/>
      <w:bookmarkStart w:id="901" w:name="_Toc526004994"/>
      <w:bookmarkStart w:id="902" w:name="_Toc16675103"/>
      <w:bookmarkStart w:id="903" w:name="_Toc528607323"/>
      <w:bookmarkStart w:id="904" w:name="_Toc20103"/>
      <w:bookmarkStart w:id="905" w:name="_Toc13854"/>
      <w:bookmarkStart w:id="906" w:name="_Toc7132"/>
      <w:bookmarkStart w:id="907" w:name="_Toc26275"/>
      <w:bookmarkStart w:id="908" w:name="_Toc528880355"/>
      <w:bookmarkStart w:id="909" w:name="_Toc27553"/>
      <w:r>
        <w:rPr>
          <w:rFonts w:cs="Times New Roman"/>
        </w:rPr>
        <w:t>7.2.3</w:t>
      </w:r>
      <w:r>
        <w:rPr>
          <w:rFonts w:hint="eastAsia" w:cs="Times New Roman"/>
        </w:rPr>
        <w:t>水生态工程</w:t>
      </w:r>
      <w:bookmarkEnd w:id="899"/>
      <w:bookmarkEnd w:id="900"/>
      <w:bookmarkEnd w:id="901"/>
      <w:bookmarkEnd w:id="902"/>
      <w:bookmarkEnd w:id="903"/>
      <w:bookmarkEnd w:id="904"/>
      <w:bookmarkEnd w:id="905"/>
      <w:bookmarkEnd w:id="906"/>
      <w:bookmarkEnd w:id="907"/>
      <w:bookmarkEnd w:id="908"/>
      <w:bookmarkEnd w:id="909"/>
    </w:p>
    <w:p w14:paraId="2A4F03F6">
      <w:pPr>
        <w:pStyle w:val="5"/>
        <w:widowControl/>
      </w:pPr>
      <w:r>
        <w:t>7.2.3.1</w:t>
      </w:r>
      <w:r>
        <w:rPr>
          <w:rFonts w:hint="eastAsia" w:cs="黑体"/>
        </w:rPr>
        <w:t>重点工程</w:t>
      </w:r>
    </w:p>
    <w:p w14:paraId="37C0C79B">
      <w:pPr>
        <w:ind w:firstLine="482"/>
        <w:rPr>
          <w:rFonts w:eastAsia="宋体" w:cs="Times New Roman"/>
          <w:szCs w:val="24"/>
        </w:rPr>
      </w:pPr>
      <w:r>
        <w:rPr>
          <w:rFonts w:hint="eastAsia" w:eastAsia="宋体" w:cs="Times New Roman"/>
          <w:b/>
          <w:bCs/>
          <w:szCs w:val="24"/>
          <w:lang w:bidi="ar"/>
        </w:rPr>
        <w:t>近期重点工程</w:t>
      </w:r>
      <w:r>
        <w:rPr>
          <w:rFonts w:hint="eastAsia" w:eastAsia="宋体" w:cs="Times New Roman"/>
          <w:szCs w:val="24"/>
          <w:lang w:bidi="ar"/>
        </w:rPr>
        <w:t>：</w:t>
      </w:r>
      <w:r>
        <w:rPr>
          <w:rFonts w:eastAsia="宋体" w:cs="Times New Roman"/>
          <w:szCs w:val="24"/>
        </w:rPr>
        <w:t xml:space="preserve"> </w:t>
      </w:r>
      <w:r>
        <w:rPr>
          <w:rFonts w:hint="eastAsia" w:eastAsia="宋体" w:cs="Times New Roman"/>
          <w:szCs w:val="24"/>
          <w:lang w:bidi="ar"/>
        </w:rPr>
        <w:t>河涌、水道滨岸景观带建设包括</w:t>
      </w:r>
      <w:r>
        <w:rPr>
          <w:rFonts w:hint="eastAsia" w:eastAsia="宋体" w:cs="Times New Roman"/>
          <w:szCs w:val="24"/>
        </w:rPr>
        <w:t>狮滘河、十六顷排灌渠、悦生涌、石特涌、沙朗涌、南八涌、南六涌、岐江河</w:t>
      </w:r>
      <w:r>
        <w:rPr>
          <w:rFonts w:hint="eastAsia" w:eastAsia="宋体" w:cs="Times New Roman"/>
          <w:szCs w:val="24"/>
          <w:lang w:bidi="ar"/>
        </w:rPr>
        <w:t>滨岸带美化绿化建设、沿江路硬化、沿江公园建设等。支流河涌绿化、引水、生态净化等，预计总投资</w:t>
      </w:r>
      <w:r>
        <w:rPr>
          <w:rFonts w:eastAsia="宋体" w:cs="Times New Roman"/>
          <w:szCs w:val="24"/>
          <w:lang w:bidi="ar"/>
        </w:rPr>
        <w:t>5</w:t>
      </w:r>
      <w:r>
        <w:rPr>
          <w:rFonts w:hint="eastAsia" w:eastAsia="宋体" w:cs="Times New Roman"/>
          <w:szCs w:val="24"/>
          <w:lang w:bidi="ar"/>
        </w:rPr>
        <w:t>8</w:t>
      </w:r>
      <w:r>
        <w:rPr>
          <w:rFonts w:eastAsia="宋体" w:cs="Times New Roman"/>
          <w:szCs w:val="24"/>
          <w:lang w:bidi="ar"/>
        </w:rPr>
        <w:t>00</w:t>
      </w:r>
      <w:r>
        <w:rPr>
          <w:rFonts w:hint="eastAsia" w:eastAsia="宋体" w:cs="Times New Roman"/>
          <w:szCs w:val="24"/>
          <w:lang w:bidi="ar"/>
        </w:rPr>
        <w:t>万元，资金来自西区办事处筹措。</w:t>
      </w:r>
    </w:p>
    <w:p w14:paraId="64E6E9ED">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：河涌、水道滨岸景观带建设包括</w:t>
      </w:r>
      <w:r>
        <w:rPr>
          <w:rFonts w:hint="eastAsia" w:eastAsia="宋体" w:cs="Times New Roman"/>
          <w:szCs w:val="24"/>
        </w:rPr>
        <w:t>朗滘涌、西河涌、十六顷涌、沙朗新开涌、后山新开涌、朗心渠、新涌</w:t>
      </w:r>
      <w:r>
        <w:rPr>
          <w:rFonts w:hint="eastAsia" w:eastAsia="宋体" w:cs="Times New Roman"/>
          <w:szCs w:val="24"/>
          <w:lang w:bidi="ar"/>
        </w:rPr>
        <w:t>滨岸带美化绿化建设、沿江路硬化、沿江公园建设等。支流河涌绿化、引水、生态净化等，预计总投资</w:t>
      </w:r>
      <w:r>
        <w:rPr>
          <w:rFonts w:eastAsia="宋体" w:cs="Times New Roman"/>
          <w:szCs w:val="24"/>
          <w:lang w:bidi="ar"/>
        </w:rPr>
        <w:t>3</w:t>
      </w:r>
      <w:r>
        <w:rPr>
          <w:rFonts w:hint="eastAsia" w:eastAsia="宋体" w:cs="Times New Roman"/>
          <w:szCs w:val="24"/>
          <w:lang w:bidi="ar"/>
        </w:rPr>
        <w:t>8</w:t>
      </w:r>
      <w:r>
        <w:rPr>
          <w:rFonts w:eastAsia="宋体" w:cs="Times New Roman"/>
          <w:szCs w:val="24"/>
          <w:lang w:bidi="ar"/>
        </w:rPr>
        <w:t>00</w:t>
      </w:r>
      <w:r>
        <w:rPr>
          <w:rFonts w:hint="eastAsia" w:eastAsia="宋体" w:cs="Times New Roman"/>
          <w:szCs w:val="24"/>
          <w:lang w:bidi="ar"/>
        </w:rPr>
        <w:t>万元，资金来自西区办事处筹措。</w:t>
      </w:r>
    </w:p>
    <w:p w14:paraId="37D308D9">
      <w:pPr>
        <w:ind w:firstLine="480"/>
        <w:rPr>
          <w:rFonts w:eastAsia="宋体" w:cs="Times New Roman"/>
          <w:szCs w:val="24"/>
          <w:lang w:bidi="ar"/>
        </w:rPr>
      </w:pPr>
      <w:r>
        <w:rPr>
          <w:rFonts w:hint="eastAsia" w:eastAsia="宋体" w:cs="Times New Roman"/>
          <w:szCs w:val="24"/>
          <w:lang w:bidi="ar"/>
        </w:rPr>
        <w:t>生态护岸工程，对狮滘河、岐江河、十六顷排灌渠、悦生涌等采取散铺砂卵石岸坡、自然缓坡、植树、植草等生态工程护堤，防止水土流失，为水生植物的生长、水生动物的繁育、两栖动物的栖息繁衍活动创造条件，预计投资</w:t>
      </w:r>
      <w:r>
        <w:rPr>
          <w:rFonts w:eastAsia="宋体" w:cs="Times New Roman"/>
          <w:szCs w:val="24"/>
          <w:lang w:bidi="ar"/>
        </w:rPr>
        <w:t>6</w:t>
      </w:r>
      <w:r>
        <w:rPr>
          <w:rFonts w:hint="eastAsia" w:eastAsia="宋体" w:cs="Times New Roman"/>
          <w:szCs w:val="24"/>
          <w:lang w:bidi="ar"/>
        </w:rPr>
        <w:t>2</w:t>
      </w:r>
      <w:r>
        <w:rPr>
          <w:rFonts w:eastAsia="宋体" w:cs="Times New Roman"/>
          <w:szCs w:val="24"/>
          <w:lang w:bidi="ar"/>
        </w:rPr>
        <w:t>00</w:t>
      </w:r>
      <w:r>
        <w:rPr>
          <w:rFonts w:hint="eastAsia" w:eastAsia="宋体" w:cs="Times New Roman"/>
          <w:szCs w:val="24"/>
          <w:lang w:bidi="ar"/>
        </w:rPr>
        <w:t>万元，资金来自西区办事处筹措。</w:t>
      </w:r>
    </w:p>
    <w:p w14:paraId="086245E4">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：对石特涌、沙朗涌、南八涌、南六涌等采取散铺砂卵石岸坡、自然缓坡、植树、植草等生态工程护堤，防止水土流失，为水生植物的生长、水生动物的繁育、两栖动物的栖息繁衍活动创造条件，预计投资</w:t>
      </w:r>
      <w:r>
        <w:rPr>
          <w:rFonts w:eastAsia="宋体" w:cs="Times New Roman"/>
          <w:szCs w:val="24"/>
          <w:lang w:bidi="ar"/>
        </w:rPr>
        <w:t>6000</w:t>
      </w:r>
      <w:r>
        <w:rPr>
          <w:rFonts w:hint="eastAsia" w:eastAsia="宋体" w:cs="Times New Roman"/>
          <w:szCs w:val="24"/>
          <w:lang w:bidi="ar"/>
        </w:rPr>
        <w:t>万元，资金来自西区办事处筹措。</w:t>
      </w:r>
    </w:p>
    <w:p w14:paraId="784D53D4">
      <w:pPr>
        <w:ind w:firstLine="480"/>
        <w:rPr>
          <w:rFonts w:eastAsia="宋体" w:cs="Times New Roman"/>
          <w:szCs w:val="24"/>
        </w:rPr>
      </w:pPr>
      <w:r>
        <w:rPr>
          <w:rFonts w:hint="eastAsia" w:eastAsia="宋体" w:cs="Times New Roman"/>
          <w:szCs w:val="24"/>
          <w:lang w:bidi="ar"/>
        </w:rPr>
        <w:t>水生态工程建设包括河涌、水道滨岸景观带建设、生态护岸工程，参照中山市同类工程单价，预计总投资2</w:t>
      </w:r>
      <w:r>
        <w:rPr>
          <w:rFonts w:eastAsia="宋体" w:cs="Times New Roman"/>
          <w:szCs w:val="24"/>
          <w:lang w:bidi="ar"/>
        </w:rPr>
        <w:t>1</w:t>
      </w:r>
      <w:r>
        <w:rPr>
          <w:rFonts w:hint="eastAsia" w:eastAsia="宋体" w:cs="Times New Roman"/>
          <w:szCs w:val="24"/>
          <w:lang w:bidi="ar"/>
        </w:rPr>
        <w:t>8</w:t>
      </w:r>
      <w:r>
        <w:rPr>
          <w:rFonts w:eastAsia="宋体" w:cs="Times New Roman"/>
          <w:szCs w:val="24"/>
          <w:lang w:bidi="ar"/>
        </w:rPr>
        <w:t>00</w:t>
      </w:r>
      <w:r>
        <w:rPr>
          <w:rFonts w:hint="eastAsia" w:eastAsia="宋体" w:cs="Times New Roman"/>
          <w:szCs w:val="24"/>
          <w:lang w:bidi="ar"/>
        </w:rPr>
        <w:t>万元。</w:t>
      </w:r>
    </w:p>
    <w:p w14:paraId="57DAC6DC">
      <w:pPr>
        <w:pStyle w:val="5"/>
        <w:widowControl/>
      </w:pPr>
      <w:r>
        <w:t>7.2.3.2</w:t>
      </w:r>
      <w:r>
        <w:rPr>
          <w:rFonts w:hint="eastAsia" w:cs="黑体"/>
        </w:rPr>
        <w:t>重点工程实施效果</w:t>
      </w:r>
    </w:p>
    <w:p w14:paraId="5C17EEE0">
      <w:pPr>
        <w:ind w:firstLine="480"/>
        <w:rPr>
          <w:rFonts w:eastAsia="宋体" w:cs="Times New Roman"/>
          <w:szCs w:val="24"/>
        </w:rPr>
      </w:pPr>
      <w:r>
        <w:rPr>
          <w:rFonts w:hint="eastAsia" w:eastAsia="宋体" w:cs="Times New Roman"/>
          <w:szCs w:val="24"/>
          <w:lang w:bidi="ar"/>
        </w:rPr>
        <w:t>河涌、水道滨岸景观带工程建设实施后，增加绿化面积，改善西区空气质量。美化环境，可供居民休憩之用，增加降雨滞蓄率，水生态净化，缓解城市洪涝灾害的风险。</w:t>
      </w:r>
    </w:p>
    <w:p w14:paraId="4F9C60EF">
      <w:pPr>
        <w:ind w:firstLine="480"/>
        <w:rPr>
          <w:rFonts w:eastAsia="宋体" w:cs="Times New Roman"/>
          <w:szCs w:val="24"/>
        </w:rPr>
      </w:pPr>
      <w:r>
        <w:rPr>
          <w:rFonts w:hint="eastAsia" w:eastAsia="宋体" w:cs="Times New Roman"/>
          <w:szCs w:val="24"/>
          <w:lang w:bidi="ar"/>
        </w:rPr>
        <w:t>生态护岸工程实施后，提高西区的防洪能力，防止水土流失，为水生植物的生长、水生动物的繁育、两栖动物的栖息繁衍活动创造条件。</w:t>
      </w:r>
    </w:p>
    <w:p w14:paraId="5E7DA121">
      <w:pPr>
        <w:spacing w:line="240" w:lineRule="auto"/>
        <w:ind w:firstLine="480"/>
        <w:rPr>
          <w:rFonts w:eastAsia="宋体" w:cs="Times New Roman"/>
          <w:szCs w:val="24"/>
        </w:rPr>
      </w:pPr>
    </w:p>
    <w:p w14:paraId="436528F7">
      <w:pPr>
        <w:pStyle w:val="3"/>
        <w:widowControl/>
        <w:spacing w:before="0" w:after="0" w:line="360" w:lineRule="auto"/>
        <w:rPr>
          <w:rFonts w:cs="Times New Roman"/>
        </w:rPr>
      </w:pPr>
      <w:bookmarkStart w:id="910" w:name="_Toc16675104"/>
      <w:bookmarkStart w:id="911" w:name="_Toc1944"/>
      <w:bookmarkStart w:id="912" w:name="_Toc528607324"/>
      <w:bookmarkStart w:id="913" w:name="_Toc10384"/>
      <w:bookmarkStart w:id="914" w:name="_Toc528880356"/>
      <w:bookmarkStart w:id="915" w:name="_Toc3207"/>
      <w:bookmarkStart w:id="916" w:name="_Toc27000"/>
      <w:bookmarkStart w:id="917" w:name="_Toc19270"/>
      <w:bookmarkStart w:id="918" w:name="_Toc527881150"/>
      <w:bookmarkStart w:id="919" w:name="_Toc29612"/>
      <w:bookmarkStart w:id="920" w:name="_Toc526004995"/>
      <w:r>
        <w:rPr>
          <w:rFonts w:cs="Times New Roman"/>
        </w:rPr>
        <w:t>7.2.4</w:t>
      </w:r>
      <w:r>
        <w:rPr>
          <w:rFonts w:hint="eastAsia" w:cs="Times New Roman"/>
        </w:rPr>
        <w:t>水监管工程</w:t>
      </w:r>
      <w:bookmarkEnd w:id="910"/>
      <w:bookmarkEnd w:id="911"/>
      <w:bookmarkEnd w:id="912"/>
      <w:bookmarkEnd w:id="913"/>
      <w:bookmarkEnd w:id="914"/>
      <w:bookmarkEnd w:id="915"/>
      <w:bookmarkEnd w:id="916"/>
      <w:bookmarkEnd w:id="917"/>
      <w:bookmarkEnd w:id="918"/>
      <w:bookmarkEnd w:id="919"/>
      <w:bookmarkEnd w:id="920"/>
    </w:p>
    <w:p w14:paraId="4B412E89">
      <w:pPr>
        <w:pStyle w:val="5"/>
        <w:widowControl/>
      </w:pPr>
      <w:r>
        <w:t>7.2.4.1</w:t>
      </w:r>
      <w:r>
        <w:rPr>
          <w:rFonts w:hint="eastAsia" w:cs="黑体"/>
        </w:rPr>
        <w:t>重点工程</w:t>
      </w:r>
    </w:p>
    <w:p w14:paraId="3FFD6940">
      <w:pPr>
        <w:ind w:firstLine="482"/>
        <w:rPr>
          <w:rFonts w:eastAsia="宋体" w:cs="Times New Roman"/>
          <w:szCs w:val="24"/>
          <w:lang w:bidi="ar"/>
        </w:rPr>
      </w:pPr>
      <w:bookmarkStart w:id="921" w:name="_Hlk16625644"/>
      <w:r>
        <w:rPr>
          <w:rFonts w:hint="eastAsia" w:eastAsia="宋体" w:cs="Times New Roman"/>
          <w:b/>
          <w:bCs/>
          <w:szCs w:val="24"/>
          <w:lang w:bidi="ar"/>
        </w:rPr>
        <w:t>近期重点工程</w:t>
      </w:r>
      <w:r>
        <w:rPr>
          <w:rFonts w:hint="eastAsia" w:eastAsia="宋体" w:cs="Times New Roman"/>
          <w:szCs w:val="24"/>
          <w:lang w:bidi="ar"/>
        </w:rPr>
        <w:t>：</w:t>
      </w:r>
      <w:bookmarkEnd w:id="921"/>
      <w:r>
        <w:rPr>
          <w:rFonts w:hint="eastAsia" w:eastAsia="宋体" w:cs="Times New Roman"/>
          <w:szCs w:val="24"/>
          <w:lang w:bidi="ar"/>
        </w:rPr>
        <w:t>排查清楚境内狮滘河、十六顷排灌渠、悦生涌、石特涌、沙朗涌、南八涌、南六涌、岐江河等列入中山市水功能区的主要河涌的入河排污口，并开展定期监测，预计投资</w:t>
      </w:r>
      <w:r>
        <w:rPr>
          <w:rFonts w:eastAsia="宋体" w:cs="Times New Roman"/>
          <w:szCs w:val="24"/>
          <w:lang w:bidi="ar"/>
        </w:rPr>
        <w:t>1</w:t>
      </w:r>
      <w:r>
        <w:rPr>
          <w:rFonts w:hint="eastAsia" w:eastAsia="宋体" w:cs="Times New Roman"/>
          <w:szCs w:val="24"/>
          <w:lang w:bidi="ar"/>
        </w:rPr>
        <w:t>6</w:t>
      </w:r>
      <w:r>
        <w:rPr>
          <w:rFonts w:eastAsia="宋体" w:cs="Times New Roman"/>
          <w:szCs w:val="24"/>
          <w:lang w:bidi="ar"/>
        </w:rPr>
        <w:t>0</w:t>
      </w:r>
      <w:r>
        <w:rPr>
          <w:rFonts w:hint="eastAsia" w:eastAsia="宋体" w:cs="Times New Roman"/>
          <w:szCs w:val="24"/>
          <w:lang w:bidi="ar"/>
        </w:rPr>
        <w:t>万元。加上工程项目的运营费12</w:t>
      </w:r>
      <w:r>
        <w:rPr>
          <w:rFonts w:eastAsia="宋体" w:cs="Times New Roman"/>
          <w:szCs w:val="24"/>
          <w:lang w:bidi="ar"/>
        </w:rPr>
        <w:t>0</w:t>
      </w:r>
      <w:r>
        <w:rPr>
          <w:rFonts w:hint="eastAsia" w:eastAsia="宋体" w:cs="Times New Roman"/>
          <w:szCs w:val="24"/>
          <w:lang w:bidi="ar"/>
        </w:rPr>
        <w:t>万元，预计投资28</w:t>
      </w:r>
      <w:r>
        <w:rPr>
          <w:rFonts w:eastAsia="宋体" w:cs="Times New Roman"/>
          <w:szCs w:val="24"/>
          <w:lang w:bidi="ar"/>
        </w:rPr>
        <w:t>0</w:t>
      </w:r>
      <w:r>
        <w:rPr>
          <w:rFonts w:hint="eastAsia" w:eastAsia="宋体" w:cs="Times New Roman"/>
          <w:szCs w:val="24"/>
          <w:lang w:bidi="ar"/>
        </w:rPr>
        <w:t>万元，资金来自西区办事处筹措。</w:t>
      </w:r>
    </w:p>
    <w:p w14:paraId="1C8B81A2">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：排查清楚境内朗滘涌、西河涌、十六顷涌、沙朗新开涌、后山新开涌、朗心渠、新涌等河涌的入河排污口，并开展定期监测，预计投资</w:t>
      </w:r>
      <w:r>
        <w:rPr>
          <w:rFonts w:eastAsia="宋体" w:cs="Times New Roman"/>
          <w:szCs w:val="24"/>
          <w:lang w:bidi="ar"/>
        </w:rPr>
        <w:t>1</w:t>
      </w:r>
      <w:r>
        <w:rPr>
          <w:rFonts w:hint="eastAsia" w:eastAsia="宋体" w:cs="Times New Roman"/>
          <w:szCs w:val="24"/>
          <w:lang w:bidi="ar"/>
        </w:rPr>
        <w:t>6</w:t>
      </w:r>
      <w:r>
        <w:rPr>
          <w:rFonts w:eastAsia="宋体" w:cs="Times New Roman"/>
          <w:szCs w:val="24"/>
          <w:lang w:bidi="ar"/>
        </w:rPr>
        <w:t>0</w:t>
      </w:r>
      <w:r>
        <w:rPr>
          <w:rFonts w:hint="eastAsia" w:eastAsia="宋体" w:cs="Times New Roman"/>
          <w:szCs w:val="24"/>
          <w:lang w:bidi="ar"/>
        </w:rPr>
        <w:t>万元。加上工程项目的运营费1</w:t>
      </w:r>
      <w:r>
        <w:rPr>
          <w:rFonts w:eastAsia="宋体" w:cs="Times New Roman"/>
          <w:szCs w:val="24"/>
          <w:lang w:bidi="ar"/>
        </w:rPr>
        <w:t>00</w:t>
      </w:r>
      <w:r>
        <w:rPr>
          <w:rFonts w:hint="eastAsia" w:eastAsia="宋体" w:cs="Times New Roman"/>
          <w:szCs w:val="24"/>
          <w:lang w:bidi="ar"/>
        </w:rPr>
        <w:t>万元，预计投资2</w:t>
      </w:r>
      <w:r>
        <w:rPr>
          <w:rFonts w:eastAsia="宋体" w:cs="Times New Roman"/>
          <w:szCs w:val="24"/>
          <w:lang w:bidi="ar"/>
        </w:rPr>
        <w:t>60</w:t>
      </w:r>
      <w:r>
        <w:rPr>
          <w:rFonts w:hint="eastAsia" w:eastAsia="宋体" w:cs="Times New Roman"/>
          <w:szCs w:val="24"/>
          <w:lang w:bidi="ar"/>
        </w:rPr>
        <w:t>万元，资金来自西区办事处筹措。</w:t>
      </w:r>
    </w:p>
    <w:p w14:paraId="644BBEA7">
      <w:pPr>
        <w:ind w:firstLine="480"/>
        <w:rPr>
          <w:rFonts w:eastAsia="宋体" w:cs="Times New Roman"/>
          <w:szCs w:val="24"/>
        </w:rPr>
      </w:pPr>
      <w:r>
        <w:rPr>
          <w:rFonts w:hint="eastAsia" w:eastAsia="宋体" w:cs="Times New Roman"/>
          <w:szCs w:val="24"/>
          <w:lang w:bidi="ar"/>
        </w:rPr>
        <w:t>水监管工程建设包括定期监测入河排污口工程，参照中山市同类工程单价，预计总投资</w:t>
      </w:r>
      <w:r>
        <w:rPr>
          <w:rFonts w:eastAsia="宋体" w:cs="Times New Roman"/>
          <w:szCs w:val="24"/>
          <w:lang w:bidi="ar"/>
        </w:rPr>
        <w:t>540</w:t>
      </w:r>
      <w:r>
        <w:rPr>
          <w:rFonts w:hint="eastAsia" w:eastAsia="宋体" w:cs="Times New Roman"/>
          <w:szCs w:val="24"/>
          <w:lang w:bidi="ar"/>
        </w:rPr>
        <w:t>万元。</w:t>
      </w:r>
    </w:p>
    <w:p w14:paraId="00E8F4A4">
      <w:pPr>
        <w:pStyle w:val="5"/>
        <w:widowControl/>
      </w:pPr>
      <w:r>
        <w:t>7.2.4.2</w:t>
      </w:r>
      <w:r>
        <w:rPr>
          <w:rFonts w:hint="eastAsia" w:cs="黑体"/>
        </w:rPr>
        <w:t>重点工程实施效果</w:t>
      </w:r>
    </w:p>
    <w:p w14:paraId="4D1784E7">
      <w:pPr>
        <w:ind w:firstLine="480"/>
        <w:rPr>
          <w:rFonts w:eastAsia="宋体" w:cs="Times New Roman"/>
          <w:szCs w:val="24"/>
        </w:rPr>
      </w:pPr>
      <w:r>
        <w:rPr>
          <w:rFonts w:hint="eastAsia" w:eastAsia="宋体" w:cs="Times New Roman"/>
          <w:szCs w:val="24"/>
          <w:lang w:bidi="ar"/>
        </w:rPr>
        <w:t>定期监测入河排污口工程实施后，有利于控制污染物的源头，减少污染物的入河量，有利于净化河涌，改善河涌的水生态环境。</w:t>
      </w:r>
    </w:p>
    <w:p w14:paraId="21FA1C50">
      <w:pPr>
        <w:spacing w:line="240" w:lineRule="auto"/>
        <w:ind w:firstLine="480"/>
        <w:rPr>
          <w:rFonts w:eastAsia="宋体" w:cs="Times New Roman"/>
          <w:szCs w:val="24"/>
        </w:rPr>
      </w:pPr>
    </w:p>
    <w:p w14:paraId="6C558A11">
      <w:pPr>
        <w:pStyle w:val="3"/>
        <w:widowControl/>
        <w:spacing w:before="0" w:after="0" w:line="360" w:lineRule="auto"/>
        <w:rPr>
          <w:rFonts w:cs="Times New Roman"/>
        </w:rPr>
      </w:pPr>
      <w:bookmarkStart w:id="922" w:name="_Toc528607325"/>
      <w:bookmarkStart w:id="923" w:name="_Toc8299"/>
      <w:bookmarkStart w:id="924" w:name="_Toc526004996"/>
      <w:bookmarkStart w:id="925" w:name="_Toc13417"/>
      <w:bookmarkStart w:id="926" w:name="_Toc2993"/>
      <w:bookmarkStart w:id="927" w:name="_Toc32541"/>
      <w:bookmarkStart w:id="928" w:name="_Toc13125"/>
      <w:bookmarkStart w:id="929" w:name="_Toc30241"/>
      <w:bookmarkStart w:id="930" w:name="_Toc16675105"/>
      <w:bookmarkStart w:id="931" w:name="_Toc527881151"/>
      <w:bookmarkStart w:id="932" w:name="_Toc528880357"/>
      <w:r>
        <w:rPr>
          <w:rFonts w:cs="Times New Roman"/>
        </w:rPr>
        <w:t>7.2.5</w:t>
      </w:r>
      <w:r>
        <w:rPr>
          <w:rFonts w:hint="eastAsia" w:cs="Times New Roman"/>
        </w:rPr>
        <w:t>水节约工程</w:t>
      </w:r>
      <w:bookmarkEnd w:id="922"/>
      <w:bookmarkEnd w:id="923"/>
      <w:bookmarkEnd w:id="924"/>
      <w:bookmarkEnd w:id="925"/>
      <w:bookmarkEnd w:id="926"/>
      <w:bookmarkEnd w:id="927"/>
      <w:bookmarkEnd w:id="928"/>
      <w:bookmarkEnd w:id="929"/>
      <w:bookmarkEnd w:id="930"/>
      <w:bookmarkEnd w:id="931"/>
      <w:bookmarkEnd w:id="932"/>
    </w:p>
    <w:p w14:paraId="3FFADA62">
      <w:pPr>
        <w:pStyle w:val="5"/>
        <w:widowControl/>
      </w:pPr>
      <w:r>
        <w:t>7.2.5.1</w:t>
      </w:r>
      <w:r>
        <w:rPr>
          <w:rFonts w:hint="eastAsia" w:cs="黑体"/>
        </w:rPr>
        <w:t>重点工程</w:t>
      </w:r>
    </w:p>
    <w:p w14:paraId="7EAAB7D3">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：工业节水工程对重点行业的部分企业、公共机构、学校节水工程进行改造。</w:t>
      </w:r>
    </w:p>
    <w:p w14:paraId="75D83BCE">
      <w:pPr>
        <w:ind w:firstLine="480"/>
        <w:rPr>
          <w:rFonts w:eastAsia="宋体" w:cs="Times New Roman"/>
          <w:szCs w:val="24"/>
          <w:lang w:bidi="ar"/>
        </w:rPr>
      </w:pPr>
      <w:r>
        <w:rPr>
          <w:rFonts w:hint="eastAsia" w:eastAsia="宋体" w:cs="Times New Roman"/>
          <w:szCs w:val="24"/>
          <w:lang w:bidi="ar"/>
        </w:rPr>
        <w:t>工业节水工程：对中山瑞德卫生纸品有限公司、中山市朗科包装有限公司、好来化工（中山）有限公司、广东颐丰食品股份有限公司、中山市恒生药业有限公司、冰锐实业（广东）有限公司6家企业等的化工、食品、造纸和纸制品业、印刷和记录媒介复制业等用水量大的企业进行重点节水改造工程，参照中山相关企业节水改造方案和投资金额，针对不同类型工业投资金额不同，预计投资</w:t>
      </w:r>
      <w:r>
        <w:rPr>
          <w:rFonts w:eastAsia="宋体" w:cs="Times New Roman"/>
          <w:szCs w:val="24"/>
          <w:lang w:bidi="ar"/>
        </w:rPr>
        <w:t>18</w:t>
      </w:r>
      <w:r>
        <w:rPr>
          <w:rFonts w:hint="eastAsia" w:eastAsia="宋体" w:cs="Times New Roman"/>
          <w:szCs w:val="24"/>
          <w:lang w:bidi="ar"/>
        </w:rPr>
        <w:t>0万元。资金来自西区办事处补助奖励金和企业自筹。</w:t>
      </w:r>
    </w:p>
    <w:p w14:paraId="47C3B404">
      <w:pPr>
        <w:ind w:firstLine="480"/>
        <w:rPr>
          <w:rFonts w:eastAsia="宋体" w:cs="Times New Roman"/>
          <w:szCs w:val="24"/>
          <w:lang w:bidi="ar"/>
        </w:rPr>
      </w:pPr>
      <w:r>
        <w:rPr>
          <w:rFonts w:hint="eastAsia" w:eastAsia="宋体" w:cs="Times New Roman"/>
          <w:szCs w:val="24"/>
          <w:lang w:bidi="ar"/>
        </w:rPr>
        <w:t>生活节水工程包括居民小区节水工程、公共机构节水工程、学校节水工程，居民小区节水工程：对水悦熙园、水悦馨园、御水湾、沁美家园、尚湖轩、棕榈彩虹、大信新家园、奥园爱琴湾、美林假日、剑桥郡、广浩华庭、蓝波水岸等12个小区进行节水改造工程，参照中山相关小区节水改造方案和投资金额，针对不同类型工业投资金额不同，预计投资</w:t>
      </w:r>
      <w:r>
        <w:rPr>
          <w:rFonts w:eastAsia="宋体" w:cs="Times New Roman"/>
          <w:szCs w:val="24"/>
          <w:lang w:bidi="ar"/>
        </w:rPr>
        <w:t>360</w:t>
      </w:r>
      <w:r>
        <w:rPr>
          <w:rFonts w:hint="eastAsia" w:eastAsia="宋体" w:cs="Times New Roman"/>
          <w:szCs w:val="24"/>
          <w:lang w:bidi="ar"/>
        </w:rPr>
        <w:t>万元。资金由西区办事处补助和企业自筹。</w:t>
      </w:r>
    </w:p>
    <w:p w14:paraId="795E7BC0">
      <w:pPr>
        <w:ind w:firstLine="480"/>
        <w:rPr>
          <w:rFonts w:eastAsia="宋体" w:cs="Times New Roman"/>
          <w:szCs w:val="24"/>
          <w:lang w:bidi="ar"/>
        </w:rPr>
      </w:pPr>
      <w:r>
        <w:rPr>
          <w:rFonts w:hint="eastAsia" w:eastAsia="宋体" w:cs="Times New Roman"/>
          <w:szCs w:val="24"/>
          <w:lang w:bidi="ar"/>
        </w:rPr>
        <w:t>公共机构节水工程：中山市公安局西区分局、西区烟洲派出所、西区沙朗派出所、西区昌平派出所、西区西苑派出所、西区医院、中山市公安局交通警察支队城区大队西区中队、西区综合行政执法局、中山市西区供电分局等9家公共机构进行节水改造工程，参照中山相关公共机构节水改造方案和投资金额，针对不同类型公共机构投资金额不同，预计投资</w:t>
      </w:r>
      <w:r>
        <w:rPr>
          <w:rFonts w:eastAsia="宋体" w:cs="Times New Roman"/>
          <w:szCs w:val="24"/>
          <w:lang w:bidi="ar"/>
        </w:rPr>
        <w:t>280</w:t>
      </w:r>
      <w:r>
        <w:rPr>
          <w:rFonts w:hint="eastAsia" w:eastAsia="宋体" w:cs="Times New Roman"/>
          <w:szCs w:val="24"/>
          <w:lang w:bidi="ar"/>
        </w:rPr>
        <w:t>万元。资金由西区办事处补助和企业自筹。</w:t>
      </w:r>
    </w:p>
    <w:p w14:paraId="741C5D48">
      <w:pPr>
        <w:ind w:firstLine="480"/>
        <w:rPr>
          <w:rFonts w:eastAsia="宋体" w:cs="Times New Roman"/>
          <w:szCs w:val="24"/>
          <w:lang w:bidi="ar"/>
        </w:rPr>
      </w:pPr>
      <w:r>
        <w:rPr>
          <w:rFonts w:hint="eastAsia" w:eastAsia="宋体" w:cs="Times New Roman"/>
          <w:szCs w:val="24"/>
          <w:lang w:bidi="ar"/>
        </w:rPr>
        <w:t>学校节水工程：西区聚星学校、西区翠景东方小学、西区广丰小学、西区昌平小学、西区铁城小学、西区铁城初级中学等</w:t>
      </w:r>
      <w:r>
        <w:rPr>
          <w:rFonts w:eastAsia="宋体" w:cs="Times New Roman"/>
          <w:szCs w:val="24"/>
          <w:lang w:bidi="ar"/>
        </w:rPr>
        <w:t>6</w:t>
      </w:r>
      <w:r>
        <w:rPr>
          <w:rFonts w:hint="eastAsia" w:eastAsia="宋体" w:cs="Times New Roman"/>
          <w:szCs w:val="24"/>
          <w:lang w:bidi="ar"/>
        </w:rPr>
        <w:t>家学校进行节水改造工程，参照中山相关学校节水改造方案和投资金额，针对不同类型学校投资金额不同，预计投资</w:t>
      </w:r>
      <w:r>
        <w:rPr>
          <w:rFonts w:eastAsia="宋体" w:cs="Times New Roman"/>
          <w:szCs w:val="24"/>
          <w:lang w:bidi="ar"/>
        </w:rPr>
        <w:t>180</w:t>
      </w:r>
      <w:r>
        <w:rPr>
          <w:rFonts w:hint="eastAsia" w:eastAsia="宋体" w:cs="Times New Roman"/>
          <w:szCs w:val="24"/>
          <w:lang w:bidi="ar"/>
        </w:rPr>
        <w:t>万元。资金由西区办事处补助和企业自筹。</w:t>
      </w:r>
    </w:p>
    <w:p w14:paraId="3853B546">
      <w:pPr>
        <w:ind w:firstLine="482"/>
        <w:rPr>
          <w:rFonts w:eastAsia="宋体" w:cs="Times New Roman"/>
          <w:szCs w:val="24"/>
          <w:lang w:bidi="ar"/>
        </w:rPr>
      </w:pPr>
      <w:bookmarkStart w:id="933" w:name="_Hlk16626369"/>
      <w:r>
        <w:rPr>
          <w:rFonts w:hint="eastAsia" w:eastAsia="宋体" w:cs="Times New Roman"/>
          <w:b/>
          <w:bCs/>
          <w:szCs w:val="24"/>
          <w:lang w:bidi="ar"/>
        </w:rPr>
        <w:t>中期重点工程</w:t>
      </w:r>
      <w:r>
        <w:rPr>
          <w:rFonts w:hint="eastAsia" w:eastAsia="宋体" w:cs="Times New Roman"/>
          <w:szCs w:val="24"/>
          <w:lang w:bidi="ar"/>
        </w:rPr>
        <w:t>：工业节水工程和非常规水源利用工程。</w:t>
      </w:r>
      <w:bookmarkEnd w:id="933"/>
    </w:p>
    <w:p w14:paraId="392F0439">
      <w:pPr>
        <w:ind w:firstLine="480"/>
        <w:rPr>
          <w:rFonts w:eastAsia="宋体" w:cs="Times New Roman"/>
          <w:szCs w:val="24"/>
          <w:lang w:bidi="ar"/>
        </w:rPr>
      </w:pPr>
      <w:r>
        <w:rPr>
          <w:rFonts w:hint="eastAsia" w:eastAsia="宋体" w:cs="Times New Roman"/>
          <w:szCs w:val="24"/>
          <w:lang w:bidi="ar"/>
        </w:rPr>
        <w:t>工业节水工程：对中山新洋水产食品有限公司、广东日丰电缆股份有限公司、中山市格林曼光电科技有限公司、中山市尊宝实业有限公司</w:t>
      </w:r>
      <w:r>
        <w:rPr>
          <w:rFonts w:eastAsia="宋体" w:cs="Times New Roman"/>
          <w:szCs w:val="24"/>
          <w:lang w:bidi="ar"/>
        </w:rPr>
        <w:t>4</w:t>
      </w:r>
      <w:r>
        <w:rPr>
          <w:rFonts w:hint="eastAsia" w:eastAsia="宋体" w:cs="Times New Roman"/>
          <w:szCs w:val="24"/>
          <w:lang w:bidi="ar"/>
        </w:rPr>
        <w:t>家企业等的食品、电缆、药业、灯饰、电器等用水量大的企业进行重点节水改造工程，参照中山相关企业节水改造方案和投资金额，针对不同类型工业投资金额不同，预计投资1</w:t>
      </w:r>
      <w:r>
        <w:rPr>
          <w:rFonts w:eastAsia="宋体" w:cs="Times New Roman"/>
          <w:szCs w:val="24"/>
          <w:lang w:bidi="ar"/>
        </w:rPr>
        <w:t>2</w:t>
      </w:r>
      <w:r>
        <w:rPr>
          <w:rFonts w:hint="eastAsia" w:eastAsia="宋体" w:cs="Times New Roman"/>
          <w:szCs w:val="24"/>
          <w:lang w:bidi="ar"/>
        </w:rPr>
        <w:t>0万元。资金来自西区办事处补助奖励金和企业自筹。</w:t>
      </w:r>
    </w:p>
    <w:p w14:paraId="7CBA4AFA">
      <w:pPr>
        <w:ind w:firstLine="480"/>
        <w:rPr>
          <w:rFonts w:eastAsia="宋体" w:cs="Times New Roman"/>
          <w:szCs w:val="24"/>
          <w:lang w:bidi="ar"/>
        </w:rPr>
      </w:pPr>
      <w:r>
        <w:rPr>
          <w:rFonts w:hint="eastAsia" w:eastAsia="宋体" w:cs="Times New Roman"/>
          <w:szCs w:val="24"/>
          <w:lang w:bidi="ar"/>
        </w:rPr>
        <w:t>非常规水源利用工程包括雨水利用工程和再生水利用工程。雨水利用工程主要是构建蓄水池、绿色屋顶，预计投资</w:t>
      </w:r>
      <w:r>
        <w:rPr>
          <w:rFonts w:eastAsia="宋体" w:cs="Times New Roman"/>
          <w:szCs w:val="24"/>
          <w:lang w:bidi="ar"/>
        </w:rPr>
        <w:t>50</w:t>
      </w:r>
      <w:r>
        <w:rPr>
          <w:rFonts w:hint="eastAsia" w:eastAsia="宋体" w:cs="Times New Roman"/>
          <w:szCs w:val="24"/>
          <w:lang w:bidi="ar"/>
        </w:rPr>
        <w:t>0万元，资金由开发商自筹。</w:t>
      </w:r>
    </w:p>
    <w:p w14:paraId="1286EBDB">
      <w:pPr>
        <w:ind w:firstLine="480"/>
        <w:rPr>
          <w:rFonts w:eastAsia="宋体" w:cs="Times New Roman"/>
          <w:szCs w:val="24"/>
          <w:lang w:bidi="ar"/>
        </w:rPr>
      </w:pPr>
      <w:r>
        <w:rPr>
          <w:rFonts w:hint="eastAsia" w:eastAsia="宋体" w:cs="Times New Roman"/>
          <w:szCs w:val="24"/>
          <w:lang w:bidi="ar"/>
        </w:rPr>
        <w:t>再生水利用工程主要是对用水量巨大的企业配备污水再生处理回用装置，采用膜分离技术，回用再生水，预计投资1</w:t>
      </w:r>
      <w:r>
        <w:rPr>
          <w:rFonts w:eastAsia="宋体" w:cs="Times New Roman"/>
          <w:szCs w:val="24"/>
          <w:lang w:bidi="ar"/>
        </w:rPr>
        <w:t>200</w:t>
      </w:r>
      <w:r>
        <w:rPr>
          <w:rFonts w:hint="eastAsia" w:eastAsia="宋体" w:cs="Times New Roman"/>
          <w:szCs w:val="24"/>
          <w:lang w:bidi="ar"/>
        </w:rPr>
        <w:t>万元，资金由企业自筹。</w:t>
      </w:r>
    </w:p>
    <w:p w14:paraId="1FFBB0EF">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：工业节水工程和非常规水源利用工程。</w:t>
      </w:r>
    </w:p>
    <w:p w14:paraId="4772F63E">
      <w:pPr>
        <w:ind w:firstLine="480"/>
        <w:rPr>
          <w:rFonts w:eastAsia="宋体" w:cs="Times New Roman"/>
          <w:szCs w:val="24"/>
          <w:lang w:bidi="ar"/>
        </w:rPr>
      </w:pPr>
      <w:r>
        <w:rPr>
          <w:rFonts w:hint="eastAsia" w:eastAsia="宋体" w:cs="Times New Roman"/>
          <w:szCs w:val="24"/>
          <w:lang w:bidi="ar"/>
        </w:rPr>
        <w:t>工业节水工程：对中山瑞德卫生纸品有限公司、中山市朗科包装有限公司、好来化工（中山）有限公司、广东颐丰食品股份有限公司中山市恒生药业有限公司、冰锐实业（广东）有限公司、中山新洋水产食品有限公司、广东日丰电缆股份有限公司、中山市格林曼光电科技有限公司、中山市尊宝实业有限公司等用水量大的企业进行安装自动在线监控装置，中水回用装置，参照中山相关企业监控装置投资金额，针对不同类型工业投资金额不同，预计投资</w:t>
      </w:r>
      <w:r>
        <w:rPr>
          <w:rFonts w:eastAsia="宋体" w:cs="Times New Roman"/>
          <w:szCs w:val="24"/>
          <w:lang w:bidi="ar"/>
        </w:rPr>
        <w:t>1</w:t>
      </w:r>
      <w:r>
        <w:rPr>
          <w:rFonts w:hint="eastAsia" w:eastAsia="宋体" w:cs="Times New Roman"/>
          <w:szCs w:val="24"/>
          <w:lang w:bidi="ar"/>
        </w:rPr>
        <w:t>50</w:t>
      </w:r>
      <w:r>
        <w:rPr>
          <w:rFonts w:eastAsia="宋体" w:cs="Times New Roman"/>
          <w:szCs w:val="24"/>
          <w:lang w:bidi="ar"/>
        </w:rPr>
        <w:t>0</w:t>
      </w:r>
      <w:r>
        <w:rPr>
          <w:rFonts w:hint="eastAsia" w:eastAsia="宋体" w:cs="Times New Roman"/>
          <w:szCs w:val="24"/>
          <w:lang w:bidi="ar"/>
        </w:rPr>
        <w:t>万元。资金来自企业自筹。</w:t>
      </w:r>
    </w:p>
    <w:p w14:paraId="5A34C7D6">
      <w:pPr>
        <w:ind w:firstLine="480"/>
        <w:rPr>
          <w:rFonts w:eastAsia="宋体" w:cs="Times New Roman"/>
          <w:szCs w:val="24"/>
          <w:lang w:bidi="ar"/>
        </w:rPr>
      </w:pPr>
      <w:r>
        <w:rPr>
          <w:rFonts w:hint="eastAsia" w:eastAsia="宋体" w:cs="Times New Roman"/>
          <w:szCs w:val="24"/>
          <w:lang w:bidi="ar"/>
        </w:rPr>
        <w:t>非常规水源利用工程包括雨水利用工程和再生水利用工程。雨水利用工程主要是构建蓄水池、绿色屋顶，预计投资</w:t>
      </w:r>
      <w:r>
        <w:rPr>
          <w:rFonts w:eastAsia="宋体" w:cs="Times New Roman"/>
          <w:szCs w:val="24"/>
          <w:lang w:bidi="ar"/>
        </w:rPr>
        <w:t>50</w:t>
      </w:r>
      <w:r>
        <w:rPr>
          <w:rFonts w:hint="eastAsia" w:eastAsia="宋体" w:cs="Times New Roman"/>
          <w:szCs w:val="24"/>
          <w:lang w:bidi="ar"/>
        </w:rPr>
        <w:t>0万元，资金由开发商自筹。</w:t>
      </w:r>
    </w:p>
    <w:p w14:paraId="5FEC0867">
      <w:pPr>
        <w:ind w:firstLine="480"/>
        <w:rPr>
          <w:rFonts w:eastAsia="宋体" w:cs="Times New Roman"/>
          <w:szCs w:val="24"/>
          <w:lang w:bidi="ar"/>
        </w:rPr>
      </w:pPr>
      <w:r>
        <w:rPr>
          <w:rFonts w:hint="eastAsia" w:eastAsia="宋体" w:cs="Times New Roman"/>
          <w:szCs w:val="24"/>
          <w:lang w:bidi="ar"/>
        </w:rPr>
        <w:t>再生水利用工程主要是对用水量巨大的企业配备污水再生处理回用装置，采用膜分离技术，回用再生水，预计投资1</w:t>
      </w:r>
      <w:r>
        <w:rPr>
          <w:rFonts w:eastAsia="宋体" w:cs="Times New Roman"/>
          <w:szCs w:val="24"/>
          <w:lang w:bidi="ar"/>
        </w:rPr>
        <w:t>000</w:t>
      </w:r>
      <w:r>
        <w:rPr>
          <w:rFonts w:hint="eastAsia" w:eastAsia="宋体" w:cs="Times New Roman"/>
          <w:szCs w:val="24"/>
          <w:lang w:bidi="ar"/>
        </w:rPr>
        <w:t>万元，资金由企业自筹。</w:t>
      </w:r>
    </w:p>
    <w:p w14:paraId="40414808">
      <w:pPr>
        <w:ind w:firstLine="480"/>
        <w:rPr>
          <w:rFonts w:eastAsia="宋体" w:cs="Times New Roman"/>
          <w:szCs w:val="24"/>
        </w:rPr>
      </w:pPr>
      <w:r>
        <w:rPr>
          <w:rFonts w:hint="eastAsia" w:eastAsia="宋体" w:cs="Times New Roman"/>
          <w:szCs w:val="24"/>
          <w:lang w:bidi="ar"/>
        </w:rPr>
        <w:t>水节约工程建设包括工业节水工程、生活节水工程、非常规水源利用工程，参照中山市同类工程单价，预计总投资</w:t>
      </w:r>
      <w:r>
        <w:rPr>
          <w:rFonts w:eastAsia="宋体" w:cs="Times New Roman"/>
          <w:szCs w:val="24"/>
          <w:lang w:bidi="ar"/>
        </w:rPr>
        <w:t>5950</w:t>
      </w:r>
      <w:r>
        <w:rPr>
          <w:rFonts w:hint="eastAsia" w:eastAsia="宋体" w:cs="Times New Roman"/>
          <w:szCs w:val="24"/>
          <w:lang w:bidi="ar"/>
        </w:rPr>
        <w:t>万元。</w:t>
      </w:r>
    </w:p>
    <w:p w14:paraId="79BE9592">
      <w:pPr>
        <w:pStyle w:val="5"/>
        <w:widowControl/>
      </w:pPr>
      <w:bookmarkStart w:id="934" w:name="_Toc527881152"/>
      <w:bookmarkStart w:id="935" w:name="_Toc2138"/>
      <w:bookmarkStart w:id="936" w:name="_Toc12189"/>
      <w:bookmarkStart w:id="937" w:name="_Toc17407"/>
      <w:bookmarkStart w:id="938" w:name="_Toc528880358"/>
      <w:bookmarkStart w:id="939" w:name="_Toc528607326"/>
      <w:bookmarkStart w:id="940" w:name="_Toc22122"/>
      <w:bookmarkStart w:id="941" w:name="_Toc526004997"/>
      <w:r>
        <w:t>7.2.5.2</w:t>
      </w:r>
      <w:r>
        <w:rPr>
          <w:rFonts w:hint="eastAsia" w:cs="黑体"/>
        </w:rPr>
        <w:t>重点工程实施效果</w:t>
      </w:r>
    </w:p>
    <w:p w14:paraId="652A139D">
      <w:pPr>
        <w:ind w:firstLine="480"/>
        <w:rPr>
          <w:rFonts w:eastAsia="宋体" w:cs="Times New Roman"/>
          <w:szCs w:val="24"/>
        </w:rPr>
      </w:pPr>
      <w:bookmarkStart w:id="942" w:name="_Hlk16626570"/>
      <w:r>
        <w:rPr>
          <w:rFonts w:hint="eastAsia" w:eastAsia="宋体" w:cs="Times New Roman"/>
          <w:szCs w:val="24"/>
          <w:lang w:bidi="ar"/>
        </w:rPr>
        <w:t>工业节水工程</w:t>
      </w:r>
      <w:bookmarkEnd w:id="942"/>
      <w:r>
        <w:rPr>
          <w:rFonts w:hint="eastAsia" w:eastAsia="宋体" w:cs="Times New Roman"/>
          <w:szCs w:val="24"/>
          <w:lang w:bidi="ar"/>
        </w:rPr>
        <w:t>和生活节水工程实施后，可以节约西区的水资源，提高企业和居民的用水效率，有利于西区的节水型社会建设。</w:t>
      </w:r>
    </w:p>
    <w:p w14:paraId="7235CBA7">
      <w:pPr>
        <w:ind w:firstLine="480"/>
        <w:rPr>
          <w:rFonts w:eastAsia="宋体" w:cs="Times New Roman"/>
          <w:szCs w:val="24"/>
        </w:rPr>
      </w:pPr>
      <w:bookmarkStart w:id="943" w:name="_Hlk16626599"/>
      <w:r>
        <w:rPr>
          <w:rFonts w:hint="eastAsia" w:eastAsia="宋体" w:cs="Times New Roman"/>
          <w:szCs w:val="24"/>
          <w:lang w:bidi="ar"/>
        </w:rPr>
        <w:t>非常规水源利用工程</w:t>
      </w:r>
      <w:bookmarkEnd w:id="943"/>
      <w:r>
        <w:rPr>
          <w:rFonts w:hint="eastAsia" w:eastAsia="宋体" w:cs="Times New Roman"/>
          <w:szCs w:val="24"/>
          <w:lang w:bidi="ar"/>
        </w:rPr>
        <w:t>实施后，可以获得可观的经济效益，有效的缓解了西区水严重的水资源短缺问题，并较好的恢复了由于缺水、污染而恶化的水生态环境。提高水的利用率，有助于建设节水型社会。</w:t>
      </w:r>
    </w:p>
    <w:p w14:paraId="58BAFA9E">
      <w:pPr>
        <w:spacing w:line="240" w:lineRule="auto"/>
        <w:ind w:firstLine="480"/>
        <w:rPr>
          <w:rFonts w:eastAsia="宋体" w:cs="Times New Roman"/>
          <w:szCs w:val="24"/>
        </w:rPr>
      </w:pPr>
    </w:p>
    <w:p w14:paraId="5C151A30">
      <w:pPr>
        <w:pStyle w:val="3"/>
        <w:widowControl/>
        <w:spacing w:before="0" w:after="0" w:line="360" w:lineRule="auto"/>
        <w:rPr>
          <w:rFonts w:cs="Times New Roman"/>
        </w:rPr>
      </w:pPr>
      <w:bookmarkStart w:id="944" w:name="_Toc12560"/>
      <w:bookmarkStart w:id="945" w:name="_Toc23834"/>
      <w:bookmarkStart w:id="946" w:name="_Toc16675106"/>
      <w:r>
        <w:rPr>
          <w:rFonts w:cs="Times New Roman"/>
        </w:rPr>
        <w:t>7.2.6</w:t>
      </w:r>
      <w:r>
        <w:rPr>
          <w:rFonts w:hint="eastAsia" w:cs="Times New Roman"/>
        </w:rPr>
        <w:t>水文化工程</w:t>
      </w:r>
      <w:bookmarkEnd w:id="934"/>
      <w:bookmarkEnd w:id="935"/>
      <w:bookmarkEnd w:id="936"/>
      <w:bookmarkEnd w:id="937"/>
      <w:bookmarkEnd w:id="938"/>
      <w:bookmarkEnd w:id="939"/>
      <w:bookmarkEnd w:id="940"/>
      <w:bookmarkEnd w:id="941"/>
      <w:bookmarkEnd w:id="944"/>
      <w:bookmarkEnd w:id="945"/>
      <w:bookmarkEnd w:id="946"/>
    </w:p>
    <w:p w14:paraId="641FA5A0">
      <w:pPr>
        <w:pStyle w:val="5"/>
        <w:widowControl/>
        <w:rPr>
          <w:rFonts w:eastAsia="宋体"/>
          <w:szCs w:val="24"/>
        </w:rPr>
      </w:pPr>
      <w:r>
        <w:t>7.2.6.1</w:t>
      </w:r>
      <w:r>
        <w:rPr>
          <w:rFonts w:hint="eastAsia" w:cs="黑体"/>
        </w:rPr>
        <w:t>重点工程</w:t>
      </w:r>
    </w:p>
    <w:p w14:paraId="5FCC838B">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：结合西北部现代农业基地的生态农业保护区域建设节水和水土保持教育基地1个，预计总投资50</w:t>
      </w:r>
      <w:r>
        <w:rPr>
          <w:rFonts w:eastAsia="宋体" w:cs="Times New Roman"/>
          <w:szCs w:val="24"/>
          <w:lang w:bidi="ar"/>
        </w:rPr>
        <w:t>0</w:t>
      </w:r>
      <w:r>
        <w:rPr>
          <w:rFonts w:hint="eastAsia" w:eastAsia="宋体" w:cs="Times New Roman"/>
          <w:szCs w:val="24"/>
          <w:lang w:bidi="ar"/>
        </w:rPr>
        <w:t>万元，一半资金来自西区办事处筹措、一半社会集资。</w:t>
      </w:r>
    </w:p>
    <w:p w14:paraId="621525FE">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包括生态旅游休闲建设工程和水利风景区，生态旅游休闲建设工程为建设彩虹绿洲公园生态功能片区的生态旅游休闲工程，规划中、远期完成，预计总投资</w:t>
      </w:r>
      <w:r>
        <w:rPr>
          <w:rFonts w:eastAsia="宋体" w:cs="Times New Roman"/>
          <w:szCs w:val="24"/>
          <w:lang w:bidi="ar"/>
        </w:rPr>
        <w:t>6</w:t>
      </w:r>
      <w:r>
        <w:rPr>
          <w:rFonts w:hint="eastAsia" w:eastAsia="宋体" w:cs="Times New Roman"/>
          <w:szCs w:val="24"/>
          <w:lang w:bidi="ar"/>
        </w:rPr>
        <w:t>00万元，一半资金来自西区办事处自筹、一半社会集资。</w:t>
      </w:r>
    </w:p>
    <w:p w14:paraId="1AA703F7">
      <w:pPr>
        <w:ind w:firstLine="480"/>
        <w:rPr>
          <w:rFonts w:eastAsia="宋体" w:cs="Times New Roman"/>
          <w:szCs w:val="24"/>
          <w:lang w:bidi="ar"/>
        </w:rPr>
      </w:pPr>
      <w:r>
        <w:rPr>
          <w:rFonts w:hint="eastAsia" w:eastAsia="宋体" w:cs="Times New Roman"/>
          <w:szCs w:val="24"/>
          <w:lang w:bidi="ar"/>
        </w:rPr>
        <w:t>水利风景区建设为完成以狮山公园为中心，结合狮滘河建设水利风景区；以岐江公园为中心，结合岐江河建设水利风景区，建设水利风景区共2个，预计投资2000万元，一半资金来自西区办事处筹措、一半社会集资。</w:t>
      </w:r>
    </w:p>
    <w:p w14:paraId="28F89E94">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包括生态旅游休闲建设工程和湿地工程，生态旅游休闲建设工程为建设西北部石特涌现代农业基地生态功能片区、东北部鱼塘养殖基地生态功能片区的生态旅游休闲工程，预计总投资1</w:t>
      </w:r>
      <w:r>
        <w:rPr>
          <w:rFonts w:eastAsia="宋体" w:cs="Times New Roman"/>
          <w:szCs w:val="24"/>
          <w:lang w:bidi="ar"/>
        </w:rPr>
        <w:t>0</w:t>
      </w:r>
      <w:r>
        <w:rPr>
          <w:rFonts w:hint="eastAsia" w:eastAsia="宋体" w:cs="Times New Roman"/>
          <w:szCs w:val="24"/>
          <w:lang w:bidi="ar"/>
        </w:rPr>
        <w:t>0</w:t>
      </w:r>
      <w:r>
        <w:rPr>
          <w:rFonts w:eastAsia="宋体" w:cs="Times New Roman"/>
          <w:szCs w:val="24"/>
          <w:lang w:bidi="ar"/>
        </w:rPr>
        <w:t>0</w:t>
      </w:r>
      <w:r>
        <w:rPr>
          <w:rFonts w:hint="eastAsia" w:eastAsia="宋体" w:cs="Times New Roman"/>
          <w:szCs w:val="24"/>
          <w:lang w:bidi="ar"/>
        </w:rPr>
        <w:t>万元，一半资金来自西区办事处筹措、一半社会集资。</w:t>
      </w:r>
    </w:p>
    <w:p w14:paraId="46383A36">
      <w:pPr>
        <w:ind w:firstLine="480"/>
        <w:rPr>
          <w:rFonts w:eastAsia="宋体" w:cs="Times New Roman"/>
          <w:szCs w:val="24"/>
        </w:rPr>
      </w:pPr>
      <w:r>
        <w:rPr>
          <w:rFonts w:hint="eastAsia" w:eastAsia="宋体" w:cs="Times New Roman"/>
          <w:szCs w:val="24"/>
          <w:lang w:bidi="ar"/>
        </w:rPr>
        <w:t>湿地工程完成马山公园湿地和东北部悦生涌渔业养殖基地湿地，预计投资120</w:t>
      </w:r>
      <w:r>
        <w:rPr>
          <w:rFonts w:eastAsia="宋体" w:cs="Times New Roman"/>
          <w:szCs w:val="24"/>
          <w:lang w:bidi="ar"/>
        </w:rPr>
        <w:t>0</w:t>
      </w:r>
      <w:r>
        <w:rPr>
          <w:rFonts w:hint="eastAsia" w:eastAsia="宋体" w:cs="Times New Roman"/>
          <w:szCs w:val="24"/>
          <w:lang w:bidi="ar"/>
        </w:rPr>
        <w:t>万元，一半资金来自西区办事处筹措、一半社会集资。</w:t>
      </w:r>
    </w:p>
    <w:p w14:paraId="7B6E950E">
      <w:pPr>
        <w:ind w:firstLine="480"/>
        <w:rPr>
          <w:rFonts w:eastAsia="宋体" w:cs="Times New Roman"/>
          <w:szCs w:val="24"/>
        </w:rPr>
      </w:pPr>
      <w:r>
        <w:rPr>
          <w:rFonts w:hint="eastAsia" w:eastAsia="宋体" w:cs="Times New Roman"/>
          <w:szCs w:val="24"/>
          <w:lang w:bidi="ar"/>
        </w:rPr>
        <w:t>水文化工程建设包括节水和水土保持教育基地工程、生态旅游休闲建设工程、水利风景区工程、湿地工程，参照中山市同类工程单价，预计总投资</w:t>
      </w:r>
      <w:r>
        <w:rPr>
          <w:rFonts w:eastAsia="宋体" w:cs="Times New Roman"/>
          <w:szCs w:val="24"/>
          <w:lang w:bidi="ar"/>
        </w:rPr>
        <w:t>5300</w:t>
      </w:r>
      <w:r>
        <w:rPr>
          <w:rFonts w:hint="eastAsia" w:eastAsia="宋体" w:cs="Times New Roman"/>
          <w:szCs w:val="24"/>
          <w:lang w:bidi="ar"/>
        </w:rPr>
        <w:t>万元。</w:t>
      </w:r>
    </w:p>
    <w:p w14:paraId="51B079CB">
      <w:pPr>
        <w:pStyle w:val="5"/>
        <w:widowControl/>
      </w:pPr>
      <w:r>
        <w:t>7.2.6.2</w:t>
      </w:r>
      <w:r>
        <w:rPr>
          <w:rFonts w:hint="eastAsia" w:cs="黑体"/>
        </w:rPr>
        <w:t>重点工程实施效果</w:t>
      </w:r>
    </w:p>
    <w:p w14:paraId="2DEFB454">
      <w:pPr>
        <w:ind w:firstLine="480"/>
        <w:rPr>
          <w:rFonts w:eastAsia="宋体" w:cs="Times New Roman"/>
          <w:szCs w:val="24"/>
        </w:rPr>
      </w:pPr>
      <w:r>
        <w:rPr>
          <w:rFonts w:hint="eastAsia" w:eastAsia="宋体" w:cs="Times New Roman"/>
          <w:szCs w:val="24"/>
          <w:lang w:bidi="ar"/>
        </w:rPr>
        <w:t>生态旅游休闲建设工程实施后，有利于保护西区自然环境和维护西区居民生活。生态旅游对自然景观的起到保护作用，有利于保护自然环境和生物的多样性、维持资源利用的可持续发展。促进生态保护，以生态保护促进旅游，有助于西区宣传当地的环境文化和自然历史，并从保护自然资源中得到经济收益。</w:t>
      </w:r>
    </w:p>
    <w:p w14:paraId="7BCEF6DF">
      <w:pPr>
        <w:ind w:firstLine="480"/>
        <w:rPr>
          <w:rFonts w:eastAsia="宋体" w:cs="Times New Roman"/>
          <w:szCs w:val="24"/>
        </w:rPr>
      </w:pPr>
      <w:r>
        <w:rPr>
          <w:rFonts w:hint="eastAsia" w:eastAsia="宋体" w:cs="Times New Roman"/>
          <w:szCs w:val="24"/>
          <w:lang w:bidi="ar"/>
        </w:rPr>
        <w:t>湿地工程实施后，可以对内河涌的水体进行净化，同时建设休闲娱乐与亲水景观区，是集水体净化、休闲与观景于一体的湿地。宣传龙舟文化和科普教育，具有旅游和人文旅游双重特征，具有集休闲健身、旅游观景、文化教育于一体的作用，通过湿地资源的开发利用与保护，使湿地生态功能基本改善，初步建成了绿色生态水网。</w:t>
      </w:r>
    </w:p>
    <w:p w14:paraId="085373B0">
      <w:pPr>
        <w:ind w:firstLine="480"/>
        <w:rPr>
          <w:rFonts w:eastAsia="宋体" w:cs="Times New Roman"/>
          <w:szCs w:val="24"/>
        </w:rPr>
      </w:pPr>
      <w:r>
        <w:rPr>
          <w:rFonts w:hint="eastAsia" w:eastAsia="宋体" w:cs="Times New Roman"/>
          <w:szCs w:val="24"/>
          <w:lang w:bidi="ar"/>
        </w:rPr>
        <w:t>建设水利风景区和水土保持教育基地工程实施后，减少水土流失，美化和保护环境，改善西区空气和水环境，以水生态保护促进观光，可供当地居民休闲，有助于西区宣传当地的水环境文化和自然历史，并从保护自然资源中得到经济收益。</w:t>
      </w:r>
    </w:p>
    <w:p w14:paraId="0D12157E">
      <w:pPr>
        <w:spacing w:line="240" w:lineRule="auto"/>
        <w:ind w:firstLine="480"/>
        <w:rPr>
          <w:rFonts w:eastAsia="宋体" w:cs="Times New Roman"/>
          <w:szCs w:val="24"/>
        </w:rPr>
      </w:pPr>
    </w:p>
    <w:p w14:paraId="6335280B">
      <w:pPr>
        <w:pStyle w:val="4"/>
        <w:widowControl/>
        <w:spacing w:before="0" w:after="0" w:line="360" w:lineRule="auto"/>
        <w:rPr>
          <w:rFonts w:cs="Times New Roman"/>
        </w:rPr>
      </w:pPr>
      <w:bookmarkStart w:id="947" w:name="_Toc528607327"/>
      <w:bookmarkStart w:id="948" w:name="_Toc16675107"/>
      <w:r>
        <w:rPr>
          <w:rFonts w:cs="Times New Roman"/>
        </w:rPr>
        <w:t>7.3</w:t>
      </w:r>
      <w:r>
        <w:rPr>
          <w:rFonts w:hint="eastAsia" w:cs="Times New Roman"/>
        </w:rPr>
        <w:t>实施效果评价</w:t>
      </w:r>
      <w:bookmarkEnd w:id="947"/>
      <w:bookmarkEnd w:id="948"/>
    </w:p>
    <w:p w14:paraId="3A19383E">
      <w:pPr>
        <w:ind w:firstLine="480"/>
        <w:rPr>
          <w:rFonts w:cs="Times New Roman"/>
        </w:rPr>
      </w:pPr>
      <w:r>
        <w:rPr>
          <w:rFonts w:hint="eastAsia" w:eastAsia="宋体" w:cs="Times New Roman"/>
          <w:lang w:bidi="ar"/>
        </w:rPr>
        <w:t>随着社会经济的发展，水生态环境对促进社会经济可持续发展的作用越来越大，人们对水生态环境质量的要求不断提高，要求创造一个水生态环境良好的氛围，生态、环境保护力度不断增大。西区正处于探索绿色发展新路径阶段，西区水生态文明建设面临着较大的挑战。本次规划通过建设水生态文明社会，在全社会各行业内提倡保护水生态环境，加强对用水总量控制达标、水资源监控管理能力、水生态文明建设重视度的监管，实施评估工业、农业、生活用水和公共供水的水资源节约程度及效率水平、评价主要评估区域防洪排涝与饮水安全保障程度、评价主要评估区域水环境质量和水污染防治水平、评价主要评估区域水生态系统健康程度、评估水文化传承及水生态文明意识普及情况，以西区不同区域的水资源、水环境和水生态条件，优化生态功能区空间布局，充分发挥水生态文明重点项目带头作用，全面提升水生态文化建设，建设功能完善、协调统一、健康和谐的水生态系统总体格局，走资源节约、环境友好、经济高效、社会和谐、城乡协调发展、互促共进的西区水生态建设道路。</w:t>
      </w:r>
    </w:p>
    <w:p w14:paraId="443D94D0">
      <w:pPr>
        <w:ind w:firstLine="480"/>
        <w:rPr>
          <w:rFonts w:eastAsia="宋体" w:cs="Times New Roman"/>
          <w:lang w:bidi="ar"/>
        </w:rPr>
      </w:pPr>
      <w:r>
        <w:rPr>
          <w:rFonts w:hint="eastAsia" w:eastAsia="宋体" w:cs="Times New Roman"/>
          <w:lang w:bidi="ar"/>
        </w:rPr>
        <w:t>按照水生态文明建设指标体系和建设</w:t>
      </w:r>
      <w:r>
        <w:rPr>
          <w:rFonts w:eastAsia="宋体" w:cs="Times New Roman"/>
          <w:lang w:bidi="ar"/>
        </w:rPr>
        <w:t>“</w:t>
      </w:r>
      <w:r>
        <w:rPr>
          <w:rFonts w:hint="eastAsia" w:eastAsia="宋体" w:cs="Times New Roman"/>
          <w:lang w:bidi="ar"/>
        </w:rPr>
        <w:t>三个适宜</w:t>
      </w:r>
      <w:r>
        <w:rPr>
          <w:rFonts w:eastAsia="宋体" w:cs="Times New Roman"/>
          <w:lang w:bidi="ar"/>
        </w:rPr>
        <w:t>”</w:t>
      </w:r>
      <w:r>
        <w:rPr>
          <w:rFonts w:hint="eastAsia" w:eastAsia="宋体" w:cs="Times New Roman"/>
          <w:lang w:bidi="ar"/>
        </w:rPr>
        <w:t>更加美丽西区的总目标，根据西区特点，构建西区水生态文明建设规划的总体布局</w:t>
      </w:r>
      <w:r>
        <w:rPr>
          <w:rFonts w:eastAsia="宋体" w:cs="Times New Roman"/>
          <w:lang w:bidi="ar"/>
        </w:rPr>
        <w:t xml:space="preserve"> </w:t>
      </w:r>
      <w:r>
        <w:rPr>
          <w:rFonts w:hint="eastAsia" w:eastAsia="宋体" w:cs="Times New Roman"/>
          <w:lang w:bidi="ar"/>
        </w:rPr>
        <w:t>：</w:t>
      </w:r>
      <w:r>
        <w:rPr>
          <w:rFonts w:hint="eastAsia" w:ascii="宋体" w:hAnsi="宋体" w:eastAsia="宋体" w:cs="Times New Roman"/>
          <w:lang w:bidi="ar"/>
        </w:rPr>
        <w:t>“</w:t>
      </w:r>
      <w:r>
        <w:rPr>
          <w:rFonts w:hint="eastAsia" w:eastAsia="宋体" w:cs="Times New Roman"/>
          <w:szCs w:val="24"/>
        </w:rPr>
        <w:t>一核、三区、十廓道</w:t>
      </w:r>
      <w:r>
        <w:rPr>
          <w:rFonts w:hint="eastAsia" w:ascii="宋体" w:hAnsi="宋体" w:eastAsia="宋体" w:cs="Times New Roman"/>
          <w:lang w:bidi="ar"/>
        </w:rPr>
        <w:t>”，</w:t>
      </w:r>
      <w:r>
        <w:rPr>
          <w:rFonts w:hint="eastAsia" w:eastAsia="宋体" w:cs="Times New Roman"/>
          <w:lang w:bidi="ar"/>
        </w:rPr>
        <w:t>“一核”指服务业综合改革试验区核心。“三区”指西北部石特涌现代农业基地、东北部悦生涌渔业养殖基地和南部的彩虹绿洲公园，即西北部生态功能片区、东北部生态功能片区和彩虹绿洲公园生态功能片区。“十廓道”指岐江河、西河涌、后山新开涌、南六涌、沙朗新开涌、狮滘河、沙朗涌、石特涌、十六顷涌、悦生涌等水道生态保护带。打造具有岭南水乡特色、香山名人文化传承、生态环境良好、充满活力的新型生态镇区。水生态文明理念提倡的文明是人与自然和谐相处的文明，坚持以人为本全面协调、可持续发展的科学发展观，建设西区水生态文明社会，既可以产生经济、社会效益，又可以产生显著的环境、生态效益。</w:t>
      </w:r>
    </w:p>
    <w:p w14:paraId="784D633C">
      <w:pPr>
        <w:spacing w:line="240" w:lineRule="auto"/>
        <w:ind w:firstLine="480"/>
        <w:rPr>
          <w:rFonts w:cs="Times New Roman"/>
        </w:rPr>
      </w:pPr>
    </w:p>
    <w:p w14:paraId="334030C2">
      <w:pPr>
        <w:pStyle w:val="3"/>
        <w:widowControl/>
        <w:spacing w:before="0" w:after="0" w:line="360" w:lineRule="auto"/>
        <w:rPr>
          <w:rFonts w:cs="Times New Roman"/>
        </w:rPr>
      </w:pPr>
      <w:bookmarkStart w:id="949" w:name="_Toc16675108"/>
      <w:bookmarkStart w:id="950" w:name="_Toc23762"/>
      <w:bookmarkStart w:id="951" w:name="_Toc21739"/>
      <w:bookmarkStart w:id="952" w:name="_Toc526004999"/>
      <w:bookmarkStart w:id="953" w:name="_Toc17835"/>
      <w:bookmarkStart w:id="954" w:name="_Toc498877708"/>
      <w:bookmarkStart w:id="955" w:name="_Toc520"/>
      <w:bookmarkStart w:id="956" w:name="_Toc523306847"/>
      <w:bookmarkStart w:id="957" w:name="_Toc17594"/>
      <w:bookmarkStart w:id="958" w:name="_Toc498447380"/>
      <w:bookmarkStart w:id="959" w:name="_Toc528880360"/>
      <w:bookmarkStart w:id="960" w:name="_Toc528607328"/>
      <w:bookmarkStart w:id="961" w:name="_Toc527881154"/>
      <w:bookmarkStart w:id="962" w:name="_Toc1533"/>
      <w:r>
        <w:rPr>
          <w:rFonts w:cs="Times New Roman"/>
        </w:rPr>
        <w:t>7.3.1</w:t>
      </w:r>
      <w:r>
        <w:rPr>
          <w:rFonts w:hint="eastAsia" w:cs="Times New Roman"/>
        </w:rPr>
        <w:t>经济效益评价</w:t>
      </w:r>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p>
    <w:p w14:paraId="4BA4887E">
      <w:pPr>
        <w:ind w:firstLine="480"/>
        <w:rPr>
          <w:rFonts w:cs="Times New Roman"/>
        </w:rPr>
      </w:pPr>
      <w:r>
        <w:rPr>
          <w:rFonts w:hint="eastAsia" w:eastAsia="宋体" w:cs="Times New Roman"/>
          <w:lang w:bidi="ar"/>
        </w:rPr>
        <w:t>（</w:t>
      </w:r>
      <w:r>
        <w:rPr>
          <w:rFonts w:eastAsia="宋体" w:cs="Times New Roman"/>
          <w:lang w:bidi="ar"/>
        </w:rPr>
        <w:t>1</w:t>
      </w:r>
      <w:r>
        <w:rPr>
          <w:rFonts w:hint="eastAsia" w:eastAsia="宋体" w:cs="Times New Roman"/>
          <w:lang w:bidi="ar"/>
        </w:rPr>
        <w:t>）水生态文明建设实施过程中，防洪排涝减灾体系得到加强后，工程所带来的经济效益主要是工程实施后将会减少洪涝灾害造成的居民家庭财产、企业物资、交通和通讯等直接和间接经济损失。建设健全的排涝体系，提高西区排水设施的排涝能力，并对境内的河涌进行防洪治理，使城区和农村的河道防洪达标率有较大提高，减少洪水灾害对居民、农田带来的不利影响，降低遇超标准洪水时的受灾程度。在粮食生产区进行的灌区配套建设，可缓解因干旱造成的粮食减产问题，避免农民粮食收入的减少。</w:t>
      </w:r>
    </w:p>
    <w:p w14:paraId="7CC9C1B7">
      <w:pPr>
        <w:ind w:firstLine="480"/>
        <w:rPr>
          <w:rFonts w:cs="Times New Roman"/>
        </w:rPr>
      </w:pPr>
      <w:r>
        <w:rPr>
          <w:rFonts w:hint="eastAsia" w:eastAsia="宋体" w:cs="Times New Roman"/>
          <w:lang w:bidi="ar"/>
        </w:rPr>
        <w:t>（</w:t>
      </w:r>
      <w:r>
        <w:rPr>
          <w:rFonts w:eastAsia="宋体" w:cs="Times New Roman"/>
          <w:lang w:bidi="ar"/>
        </w:rPr>
        <w:t>2</w:t>
      </w:r>
      <w:r>
        <w:rPr>
          <w:rFonts w:hint="eastAsia" w:eastAsia="宋体" w:cs="Times New Roman"/>
          <w:lang w:bidi="ar"/>
        </w:rPr>
        <w:t>）</w:t>
      </w:r>
      <w:bookmarkStart w:id="963" w:name="OLE_LINK4"/>
      <w:r>
        <w:rPr>
          <w:rFonts w:hint="eastAsia" w:eastAsia="宋体" w:cs="Times New Roman"/>
          <w:lang w:bidi="ar"/>
        </w:rPr>
        <w:t>增加可利用水资源量，保障粮食增产增收</w:t>
      </w:r>
      <w:bookmarkEnd w:id="963"/>
      <w:r>
        <w:rPr>
          <w:rFonts w:hint="eastAsia" w:eastAsia="宋体" w:cs="Times New Roman"/>
          <w:lang w:bidi="ar"/>
        </w:rPr>
        <w:t>，规划工程的实施，雨水回收利用及万元工业增加值用水量降低等能提高水利用量和利用效率，增加可利用水资源，并且采用先进的农业灌溉技术，进一步提高粮食增产增收。</w:t>
      </w:r>
    </w:p>
    <w:p w14:paraId="16393231">
      <w:pPr>
        <w:ind w:firstLine="480"/>
        <w:rPr>
          <w:rFonts w:cs="Times New Roman"/>
        </w:rPr>
      </w:pPr>
      <w:r>
        <w:rPr>
          <w:rFonts w:hint="eastAsia" w:eastAsia="宋体" w:cs="Times New Roman"/>
          <w:lang w:bidi="ar"/>
        </w:rPr>
        <w:t>（</w:t>
      </w:r>
      <w:r>
        <w:rPr>
          <w:rFonts w:eastAsia="宋体" w:cs="Times New Roman"/>
          <w:lang w:bidi="ar"/>
        </w:rPr>
        <w:t>3</w:t>
      </w:r>
      <w:r>
        <w:rPr>
          <w:rFonts w:hint="eastAsia" w:eastAsia="宋体" w:cs="Times New Roman"/>
          <w:lang w:bidi="ar"/>
        </w:rPr>
        <w:t>）改善水环境和水文化，增加旅游产业收入，西区水生态文明建设工程实施后，通过增加水域面积和降雨滞蓄率，能够净化空气、降解污染、调节气候，恢复原有环境，景区人文、景观和旅游价值进一步提升。特别是能够改善境内河涌的水质及桂南片区旅游聚集地的生态环境，打造水利景观、节假日休闲等旅游项目，并带动当地民俗风情、军事主题等其他旅游业，增加当地的旅游产业收入，创造很多的就业机会，助推区域经济发展。</w:t>
      </w:r>
    </w:p>
    <w:p w14:paraId="182F3B3B">
      <w:pPr>
        <w:spacing w:line="240" w:lineRule="auto"/>
        <w:ind w:firstLine="480"/>
        <w:rPr>
          <w:rFonts w:cs="Times New Roman"/>
        </w:rPr>
      </w:pPr>
    </w:p>
    <w:p w14:paraId="03BDC2C5">
      <w:pPr>
        <w:pStyle w:val="3"/>
        <w:widowControl/>
        <w:spacing w:before="0" w:after="0" w:line="360" w:lineRule="auto"/>
        <w:rPr>
          <w:rFonts w:cs="Times New Roman"/>
        </w:rPr>
      </w:pPr>
      <w:bookmarkStart w:id="964" w:name="_Toc19991"/>
      <w:bookmarkStart w:id="965" w:name="_Toc19380"/>
      <w:bookmarkStart w:id="966" w:name="_Toc26528"/>
      <w:bookmarkStart w:id="967" w:name="_Toc16675109"/>
      <w:bookmarkStart w:id="968" w:name="_Toc498877709"/>
      <w:bookmarkStart w:id="969" w:name="_Toc528607329"/>
      <w:bookmarkStart w:id="970" w:name="_Toc528880361"/>
      <w:bookmarkStart w:id="971" w:name="_Toc523306848"/>
      <w:bookmarkStart w:id="972" w:name="_Toc498447381"/>
      <w:bookmarkStart w:id="973" w:name="_Toc15591"/>
      <w:bookmarkStart w:id="974" w:name="_Toc526005000"/>
      <w:bookmarkStart w:id="975" w:name="_Toc22528"/>
      <w:bookmarkStart w:id="976" w:name="_Toc15810"/>
      <w:bookmarkStart w:id="977" w:name="_Toc527881155"/>
      <w:r>
        <w:rPr>
          <w:rFonts w:cs="Times New Roman"/>
        </w:rPr>
        <w:t>7.3.2</w:t>
      </w:r>
      <w:r>
        <w:rPr>
          <w:rFonts w:hint="eastAsia" w:cs="Times New Roman"/>
        </w:rPr>
        <w:t>社会效益评价</w:t>
      </w:r>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p>
    <w:p w14:paraId="0906F60C">
      <w:pPr>
        <w:ind w:firstLine="480"/>
        <w:rPr>
          <w:rFonts w:cs="Times New Roman"/>
        </w:rPr>
      </w:pPr>
      <w:r>
        <w:rPr>
          <w:rFonts w:hint="eastAsia" w:eastAsia="宋体" w:cs="Times New Roman"/>
          <w:lang w:bidi="ar"/>
        </w:rPr>
        <w:t>（</w:t>
      </w:r>
      <w:r>
        <w:rPr>
          <w:rFonts w:eastAsia="宋体" w:cs="Times New Roman"/>
          <w:lang w:bidi="ar"/>
        </w:rPr>
        <w:t>1</w:t>
      </w:r>
      <w:r>
        <w:rPr>
          <w:rFonts w:hint="eastAsia" w:eastAsia="宋体" w:cs="Times New Roman"/>
          <w:lang w:bidi="ar"/>
        </w:rPr>
        <w:t>）规划实施后，使镇区饮水安全、粮食安全、供水安全、生态安全和经济安全得到保障，实现以生态安全、水资源社会安全和经济用水以及人水和谐为主要标志的水利现代化。</w:t>
      </w:r>
    </w:p>
    <w:p w14:paraId="67C8F341">
      <w:pPr>
        <w:ind w:firstLine="480"/>
        <w:rPr>
          <w:rFonts w:cs="Times New Roman"/>
        </w:rPr>
      </w:pPr>
      <w:r>
        <w:rPr>
          <w:rFonts w:hint="eastAsia" w:eastAsia="宋体" w:cs="Times New Roman"/>
          <w:lang w:bidi="ar"/>
        </w:rPr>
        <w:t>（</w:t>
      </w:r>
      <w:r>
        <w:rPr>
          <w:rFonts w:eastAsia="宋体" w:cs="Times New Roman"/>
          <w:lang w:bidi="ar"/>
        </w:rPr>
        <w:t>2</w:t>
      </w:r>
      <w:r>
        <w:rPr>
          <w:rFonts w:hint="eastAsia" w:eastAsia="宋体" w:cs="Times New Roman"/>
          <w:lang w:bidi="ar"/>
        </w:rPr>
        <w:t>）解决重点区域的用水合理需求，使工程布局与经济发展和生产力布局相协调，促进产业结构调整，对西区的工业化、城市化和农业现代化起到重要的支撑作用。</w:t>
      </w:r>
    </w:p>
    <w:p w14:paraId="06703DFE">
      <w:pPr>
        <w:ind w:firstLine="480"/>
        <w:rPr>
          <w:rFonts w:cs="Times New Roman"/>
        </w:rPr>
      </w:pPr>
      <w:r>
        <w:rPr>
          <w:rFonts w:hint="eastAsia" w:eastAsia="宋体" w:cs="Times New Roman"/>
          <w:lang w:bidi="ar"/>
        </w:rPr>
        <w:t>（</w:t>
      </w:r>
      <w:r>
        <w:rPr>
          <w:rFonts w:eastAsia="宋体" w:cs="Times New Roman"/>
          <w:lang w:bidi="ar"/>
        </w:rPr>
        <w:t>3</w:t>
      </w:r>
      <w:r>
        <w:rPr>
          <w:rFonts w:hint="eastAsia" w:eastAsia="宋体" w:cs="Times New Roman"/>
          <w:lang w:bidi="ar"/>
        </w:rPr>
        <w:t>）规划的实施将提高安全供水保障程度、抗风险能力、抵御特枯水及连续枯水年以及应对突发事件的能力，确保了社会正常秩序和稳定发展，减少供水危机导致的重大经济损失，具有极大的社会效益。</w:t>
      </w:r>
    </w:p>
    <w:p w14:paraId="02BF9F53">
      <w:pPr>
        <w:ind w:firstLine="480"/>
        <w:rPr>
          <w:rFonts w:cs="Times New Roman"/>
        </w:rPr>
      </w:pPr>
      <w:r>
        <w:rPr>
          <w:rFonts w:hint="eastAsia" w:eastAsia="宋体" w:cs="Times New Roman"/>
          <w:lang w:bidi="ar"/>
        </w:rPr>
        <w:t>（</w:t>
      </w:r>
      <w:r>
        <w:rPr>
          <w:rFonts w:eastAsia="宋体" w:cs="Times New Roman"/>
          <w:lang w:bidi="ar"/>
        </w:rPr>
        <w:t>4</w:t>
      </w:r>
      <w:r>
        <w:rPr>
          <w:rFonts w:hint="eastAsia" w:eastAsia="宋体" w:cs="Times New Roman"/>
          <w:lang w:bidi="ar"/>
        </w:rPr>
        <w:t>）水生态系统的保护和修复，改善和恢复当地生态环境，改善水环境，保障水安全，打造绿色生态屏障，有效提升全区自然水生态系统健康水平；利用林业建设和水土流失治理工程，防风固沙固土，绿化美化城市环境，切实改善城乡人居环境，从而惠及百姓民生。</w:t>
      </w:r>
    </w:p>
    <w:p w14:paraId="0AB497EB">
      <w:pPr>
        <w:ind w:firstLine="480"/>
        <w:rPr>
          <w:rFonts w:cs="Times New Roman"/>
        </w:rPr>
      </w:pPr>
      <w:r>
        <w:rPr>
          <w:rFonts w:hint="eastAsia" w:eastAsia="宋体" w:cs="Times New Roman"/>
          <w:lang w:bidi="ar"/>
        </w:rPr>
        <w:t>（</w:t>
      </w:r>
      <w:r>
        <w:rPr>
          <w:rFonts w:eastAsia="宋体" w:cs="Times New Roman"/>
          <w:lang w:bidi="ar"/>
        </w:rPr>
        <w:t>5</w:t>
      </w:r>
      <w:r>
        <w:rPr>
          <w:rFonts w:hint="eastAsia" w:eastAsia="宋体" w:cs="Times New Roman"/>
          <w:lang w:bidi="ar"/>
        </w:rPr>
        <w:t>）水生态文明社会的建设，改善了大气质量，增加空气湿度，有利于把西区建成为风</w:t>
      </w:r>
      <w:r>
        <w:rPr>
          <w:rFonts w:hint="eastAsia" w:eastAsia="宋体" w:cs="Times New Roman"/>
          <w:lang w:eastAsia="zh-CN" w:bidi="ar"/>
        </w:rPr>
        <w:t>景</w:t>
      </w:r>
      <w:r>
        <w:rPr>
          <w:rFonts w:hint="eastAsia" w:eastAsia="宋体" w:cs="Times New Roman"/>
          <w:lang w:bidi="ar"/>
        </w:rPr>
        <w:t>优美、经济繁荣、社会稳定和生活美满的文明镇区，实现人与自然和谐相处，经济社会可持续发展，现代生态环境友好，提高生活质量，提升城市品位，优化投资环境，形成功能完善、协调统一、健康和谐的水生态文明镇区，使水生态文明环境更好地服务于现代社会经济的发展，造福于广大人民群众。</w:t>
      </w:r>
    </w:p>
    <w:p w14:paraId="26D6263C">
      <w:pPr>
        <w:spacing w:line="240" w:lineRule="auto"/>
        <w:ind w:firstLine="480"/>
        <w:rPr>
          <w:rFonts w:cs="Times New Roman"/>
        </w:rPr>
      </w:pPr>
    </w:p>
    <w:p w14:paraId="2BA7A6BD">
      <w:pPr>
        <w:pStyle w:val="3"/>
        <w:widowControl/>
        <w:spacing w:before="0" w:after="0" w:line="360" w:lineRule="auto"/>
        <w:rPr>
          <w:rFonts w:cs="Times New Roman"/>
        </w:rPr>
      </w:pPr>
      <w:bookmarkStart w:id="978" w:name="_Toc523306849"/>
      <w:bookmarkStart w:id="979" w:name="_Toc30797"/>
      <w:bookmarkStart w:id="980" w:name="_Toc498447382"/>
      <w:bookmarkStart w:id="981" w:name="_Toc528880362"/>
      <w:bookmarkStart w:id="982" w:name="_Toc5064"/>
      <w:bookmarkStart w:id="983" w:name="_Toc14410"/>
      <w:bookmarkStart w:id="984" w:name="_Toc528607330"/>
      <w:bookmarkStart w:id="985" w:name="_Toc9713"/>
      <w:bookmarkStart w:id="986" w:name="_Toc16675110"/>
      <w:bookmarkStart w:id="987" w:name="_Toc526005001"/>
      <w:bookmarkStart w:id="988" w:name="_Toc527881156"/>
      <w:bookmarkStart w:id="989" w:name="_Toc32549"/>
      <w:bookmarkStart w:id="990" w:name="_Toc498877710"/>
      <w:bookmarkStart w:id="991" w:name="_Toc22990"/>
      <w:r>
        <w:rPr>
          <w:rFonts w:cs="Times New Roman"/>
        </w:rPr>
        <w:t>7.3.3</w:t>
      </w:r>
      <w:r>
        <w:rPr>
          <w:rFonts w:hint="eastAsia" w:cs="Times New Roman"/>
        </w:rPr>
        <w:t>环境效益分析</w:t>
      </w:r>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p>
    <w:p w14:paraId="052A8D7F">
      <w:pPr>
        <w:ind w:firstLine="480"/>
        <w:rPr>
          <w:rFonts w:cs="Times New Roman"/>
        </w:rPr>
      </w:pPr>
      <w:r>
        <w:rPr>
          <w:rFonts w:hint="eastAsia" w:eastAsia="宋体" w:cs="Times New Roman"/>
          <w:lang w:bidi="ar"/>
        </w:rPr>
        <w:t>水生态文明建设带来的环境效益，主要体现为减少水体污染，以及对野生生物、生态绿化公园、湿地和环境美化等方面的效益。通过工业节水和城镇生活节水，能够减少废水排放量，有效保护生态环境。根据《广东省行业取（用）水定额》报告，按</w:t>
      </w:r>
      <w:r>
        <w:rPr>
          <w:rFonts w:eastAsia="宋体" w:cs="Times New Roman"/>
          <w:lang w:bidi="ar"/>
        </w:rPr>
        <w:t>1m</w:t>
      </w:r>
      <w:r>
        <w:rPr>
          <w:rFonts w:eastAsia="宋体" w:cs="Times New Roman"/>
          <w:vertAlign w:val="superscript"/>
          <w:lang w:bidi="ar"/>
        </w:rPr>
        <w:t>3</w:t>
      </w:r>
      <w:r>
        <w:rPr>
          <w:rFonts w:hint="eastAsia" w:eastAsia="宋体" w:cs="Times New Roman"/>
          <w:lang w:bidi="ar"/>
        </w:rPr>
        <w:t>废水污染</w:t>
      </w:r>
      <w:r>
        <w:rPr>
          <w:rFonts w:eastAsia="宋体" w:cs="Times New Roman"/>
          <w:lang w:bidi="ar"/>
        </w:rPr>
        <w:t>10m</w:t>
      </w:r>
      <w:r>
        <w:rPr>
          <w:rFonts w:eastAsia="宋体" w:cs="Times New Roman"/>
          <w:vertAlign w:val="superscript"/>
          <w:lang w:bidi="ar"/>
        </w:rPr>
        <w:t>3</w:t>
      </w:r>
      <w:r>
        <w:rPr>
          <w:rFonts w:hint="eastAsia" w:eastAsia="宋体" w:cs="Times New Roman"/>
          <w:lang w:bidi="ar"/>
        </w:rPr>
        <w:t>水体估算，按照水资源保护及污染水资源处理费</w:t>
      </w:r>
      <w:r>
        <w:rPr>
          <w:rFonts w:eastAsia="宋体" w:cs="Times New Roman"/>
          <w:lang w:bidi="ar"/>
        </w:rPr>
        <w:t>0.8</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计算，则每方污水需耗资</w:t>
      </w:r>
      <w:r>
        <w:rPr>
          <w:rFonts w:eastAsia="宋体" w:cs="Times New Roman"/>
          <w:lang w:bidi="ar"/>
        </w:rPr>
        <w:t>8</w:t>
      </w:r>
      <w:r>
        <w:rPr>
          <w:rFonts w:hint="eastAsia" w:eastAsia="宋体" w:cs="Times New Roman"/>
          <w:lang w:bidi="ar"/>
        </w:rPr>
        <w:t>元用于水资源保护及污染水资源的处理，再加上排污费为</w:t>
      </w:r>
      <w:r>
        <w:rPr>
          <w:rFonts w:eastAsia="宋体" w:cs="Times New Roman"/>
          <w:lang w:bidi="ar"/>
        </w:rPr>
        <w:t>8.5</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。而污水处理回用费为</w:t>
      </w:r>
      <w:r>
        <w:rPr>
          <w:rFonts w:eastAsia="宋体" w:cs="Times New Roman"/>
          <w:lang w:bidi="ar"/>
        </w:rPr>
        <w:t>2~3</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，由此可产生环境保护效益为</w:t>
      </w:r>
      <w:r>
        <w:rPr>
          <w:rFonts w:eastAsia="宋体" w:cs="Times New Roman"/>
          <w:lang w:bidi="ar"/>
        </w:rPr>
        <w:t>5.5~6.5</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农业节水可减少河道取水，使河道的生态需水量得到保证，同时可避免漫灌、串灌引起的农药、化肥流失造成的面污染，减轻水土流失，促进生态环境良性发展。控制治理污染源，节流优先，治污为本，是保护环境，建设文明卫生城市，为后代造福的公用事业工程。水生态文明建设规划的实施，可以较好地解决西区的水污染问题，可以改善镇区市容，保护人民身体健康，保护西区自然风景，促进旅游事业的发展。水生态文明的建设可改善西区投资环境，吸引更多的外商投资，促进经济发展上新台阶。</w:t>
      </w:r>
    </w:p>
    <w:p w14:paraId="421DB3E5">
      <w:pPr>
        <w:spacing w:line="240" w:lineRule="auto"/>
        <w:ind w:firstLine="480"/>
        <w:rPr>
          <w:rFonts w:cs="Times New Roman"/>
        </w:rPr>
      </w:pPr>
    </w:p>
    <w:p w14:paraId="4B98FEB6">
      <w:pPr>
        <w:pStyle w:val="3"/>
        <w:widowControl/>
        <w:spacing w:before="0" w:after="0" w:line="360" w:lineRule="auto"/>
        <w:rPr>
          <w:rFonts w:cs="Times New Roman"/>
        </w:rPr>
      </w:pPr>
      <w:bookmarkStart w:id="992" w:name="_Toc31354"/>
      <w:bookmarkStart w:id="993" w:name="_Toc528607331"/>
      <w:bookmarkStart w:id="994" w:name="_Toc498447383"/>
      <w:bookmarkStart w:id="995" w:name="_Toc9788"/>
      <w:bookmarkStart w:id="996" w:name="_Toc5775"/>
      <w:bookmarkStart w:id="997" w:name="_Toc528880363"/>
      <w:bookmarkStart w:id="998" w:name="_Toc498877711"/>
      <w:bookmarkStart w:id="999" w:name="_Toc16675111"/>
      <w:bookmarkStart w:id="1000" w:name="_Toc29622"/>
      <w:bookmarkStart w:id="1001" w:name="_Toc527881157"/>
      <w:bookmarkStart w:id="1002" w:name="_Toc523306850"/>
      <w:bookmarkStart w:id="1003" w:name="_Toc20630"/>
      <w:bookmarkStart w:id="1004" w:name="_Toc526005002"/>
      <w:bookmarkStart w:id="1005" w:name="_Toc16029"/>
      <w:r>
        <w:rPr>
          <w:rFonts w:cs="Times New Roman"/>
        </w:rPr>
        <w:t>7.3.4</w:t>
      </w:r>
      <w:r>
        <w:rPr>
          <w:rFonts w:hint="eastAsia" w:cs="Times New Roman"/>
        </w:rPr>
        <w:t>生态环境效益评价</w:t>
      </w:r>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p>
    <w:p w14:paraId="4C5777DF">
      <w:pPr>
        <w:ind w:firstLine="480"/>
        <w:rPr>
          <w:rFonts w:cs="Times New Roman"/>
        </w:rPr>
      </w:pPr>
      <w:r>
        <w:rPr>
          <w:rFonts w:hint="eastAsia" w:eastAsia="宋体" w:cs="Times New Roman"/>
          <w:lang w:bidi="ar"/>
        </w:rPr>
        <w:t>建立水生态文明社会提高了水资源利用效率，实现了人与水的和谐相处，改善了水生态环境；有效的缓解了本地区水严重的水资源短缺问题，并较好的恢复了由于缺水、污染而恶化的水生态环境。水质碱化降低，净化水质，降低水污染，保证了城乡居民饮水安全，减少了因水质问题引起的地方病，减少了当地的水土流失，河道泥沙淤积，调节了河湖径流，城市河湖景观优美，保护了当地生态环境和自然环境的和谐统一。</w:t>
      </w:r>
    </w:p>
    <w:p w14:paraId="323D12F7">
      <w:pPr>
        <w:ind w:firstLine="480"/>
        <w:rPr>
          <w:rFonts w:cs="Times New Roman"/>
        </w:rPr>
      </w:pPr>
      <w:r>
        <w:rPr>
          <w:rFonts w:hint="eastAsia" w:eastAsia="宋体" w:cs="Times New Roman"/>
          <w:lang w:bidi="ar"/>
        </w:rPr>
        <w:t>通过污水处理、水生态补偿等工程措施和非工程措施的开展，大量污水被截留处理，减轻了污染物对镇区周围水环境的影响，河湖水质将逐渐改善；水生态补偿有利于城市水源保护，对河湖和生态需水将有一定的保障，有利于改善生态环境。建设治污工程，让污水水质达到一定的标准才排放，有利于水体的自净能力的调节，不污染水体环境，这对改造生态与环境起到十分重要的作用。</w:t>
      </w:r>
    </w:p>
    <w:p w14:paraId="1C6790FA">
      <w:pPr>
        <w:ind w:firstLine="480"/>
        <w:rPr>
          <w:rFonts w:cs="Times New Roman"/>
        </w:rPr>
      </w:pPr>
      <w:r>
        <w:rPr>
          <w:rFonts w:hint="eastAsia" w:eastAsia="宋体" w:cs="Times New Roman"/>
          <w:lang w:bidi="ar"/>
        </w:rPr>
        <w:t>节水措施的开展，有利于缓解城市用水紧张的状况，抑制地下水的过度超采，起到涵养地下水水源、逐步恢复地表水体功能，改善水生态环境的作用。有利于水资源的合理分配，改善人与自然的关系，促进水生态环境的良性发展。同时节水可减少用水量，进一步减少耗水量和污水排放量，污水排放减少，净化水生态环境中水环境条件，对河涌水质的改良起到很好的作用。</w:t>
      </w:r>
      <w:r>
        <w:rPr>
          <w:rFonts w:eastAsia="宋体" w:cs="Times New Roman"/>
          <w:lang w:bidi="ar"/>
        </w:rPr>
        <w:br w:type="page"/>
      </w:r>
    </w:p>
    <w:p w14:paraId="612EA3AB">
      <w:pPr>
        <w:pStyle w:val="2"/>
        <w:widowControl/>
        <w:spacing w:before="0" w:after="0" w:line="360" w:lineRule="auto"/>
        <w:rPr>
          <w:rFonts w:cs="Times New Roman"/>
        </w:rPr>
      </w:pPr>
      <w:bookmarkStart w:id="1006" w:name="_Toc16675112"/>
      <w:bookmarkStart w:id="1007" w:name="_Toc528607332"/>
      <w:r>
        <w:rPr>
          <w:rFonts w:cs="Times New Roman"/>
        </w:rPr>
        <w:t xml:space="preserve">8 </w:t>
      </w:r>
      <w:r>
        <w:rPr>
          <w:rFonts w:hint="eastAsia" w:cs="Times New Roman"/>
        </w:rPr>
        <w:t>保障措施</w:t>
      </w:r>
      <w:bookmarkEnd w:id="1006"/>
      <w:bookmarkEnd w:id="1007"/>
    </w:p>
    <w:p w14:paraId="3F74EE46">
      <w:pPr>
        <w:ind w:firstLine="480"/>
        <w:rPr>
          <w:rFonts w:cs="Times New Roman"/>
          <w:szCs w:val="28"/>
        </w:rPr>
      </w:pPr>
      <w:r>
        <w:rPr>
          <w:rFonts w:hint="eastAsia" w:eastAsia="宋体" w:cs="Times New Roman"/>
          <w:szCs w:val="28"/>
          <w:lang w:bidi="ar"/>
        </w:rPr>
        <w:t>保障措施是实现西区水生态文明建设的保证，为了更好推进西区水生态文明建设工作，应加强组织领导、明确目标责任、加大资金投入、拓宽投资渠道、完善评估机制、强化监测评估、强化考核问责、落实主体工作、营造良好氛围、引导公众参与。</w:t>
      </w:r>
    </w:p>
    <w:p w14:paraId="4612D8DB">
      <w:pPr>
        <w:pStyle w:val="4"/>
        <w:widowControl/>
        <w:spacing w:before="0" w:after="0" w:line="360" w:lineRule="auto"/>
        <w:rPr>
          <w:rFonts w:cs="Times New Roman"/>
        </w:rPr>
      </w:pPr>
      <w:bookmarkStart w:id="1008" w:name="_Toc16675113"/>
      <w:bookmarkStart w:id="1009" w:name="_Toc528607333"/>
      <w:r>
        <w:rPr>
          <w:rFonts w:cs="Times New Roman"/>
        </w:rPr>
        <w:t>8.1</w:t>
      </w:r>
      <w:r>
        <w:rPr>
          <w:rFonts w:hint="eastAsia" w:cs="Times New Roman"/>
        </w:rPr>
        <w:t>加强组织领导，明确目标责任</w:t>
      </w:r>
      <w:bookmarkEnd w:id="1008"/>
      <w:bookmarkEnd w:id="1009"/>
    </w:p>
    <w:p w14:paraId="37F4B138">
      <w:pPr>
        <w:ind w:firstLine="480"/>
        <w:rPr>
          <w:rFonts w:cs="Times New Roman"/>
        </w:rPr>
      </w:pPr>
      <w:r>
        <w:rPr>
          <w:rFonts w:hint="eastAsia" w:eastAsia="宋体" w:cs="Times New Roman"/>
          <w:lang w:bidi="ar"/>
        </w:rPr>
        <w:t>成立西区水生态文明建设工作领导小组，由西区人民政府主要领导任组长，分管领导任副组长，社区居委会的主要领导为领导小组成员。领导小组负责统筹协调水生态文明建设各项工作，充分发挥决策、指导、协调、推动作用，建立工作推动机制，细化分解各部门职责。将水生态文明建设河湖治理保护落实到党政干部主要负责人。建立水生态建设社区之间信息共享机制和制度化与常态化协作共建、联合执法的责任机制。形成合力，配合做好水生态文明建设工作的实施。</w:t>
      </w:r>
    </w:p>
    <w:p w14:paraId="5134B20B">
      <w:pPr>
        <w:pStyle w:val="4"/>
        <w:widowControl/>
        <w:spacing w:before="0" w:after="0" w:line="360" w:lineRule="auto"/>
        <w:rPr>
          <w:rFonts w:cs="Times New Roman"/>
        </w:rPr>
      </w:pPr>
      <w:bookmarkStart w:id="1010" w:name="_Toc528607334"/>
      <w:bookmarkStart w:id="1011" w:name="_Toc16675114"/>
      <w:r>
        <w:rPr>
          <w:rFonts w:cs="Times New Roman"/>
        </w:rPr>
        <w:t>8.2</w:t>
      </w:r>
      <w:r>
        <w:rPr>
          <w:rFonts w:hint="eastAsia" w:cs="Times New Roman"/>
        </w:rPr>
        <w:t>加大资金投入，拓宽投资渠道</w:t>
      </w:r>
      <w:bookmarkEnd w:id="1010"/>
      <w:bookmarkEnd w:id="1011"/>
    </w:p>
    <w:p w14:paraId="6B7050E6">
      <w:pPr>
        <w:ind w:firstLine="480"/>
        <w:rPr>
          <w:rFonts w:cs="Times New Roman"/>
        </w:rPr>
      </w:pPr>
      <w:r>
        <w:rPr>
          <w:rFonts w:hint="eastAsia" w:eastAsia="宋体" w:cs="Times New Roman"/>
          <w:lang w:bidi="ar"/>
        </w:rPr>
        <w:t>社区居委会是实施西区水生态文明建设工作的责任主体，要把实施西区水生态文明建设工作的相关投入作为优先领域加大财政投入。保障水资源开发利用、节约保护和管理的工作经费。把水务工程作为基础设施建设的优先领域，西区人民政府应进一步加大对水务设施建设的资金投入，建立政府引导、市场运作、社会参与的多元化筹资机制，积极拓宽融资渠道。完善投融资平台，通过直接、间接融资方式，引导和鼓励金融机构增加水利建设信贷资金。根据不同水利工程的建设特点和项目性质，确定财政贴息的规模、期限和贴息率。积极推进经营性水利工程进行市场融资。</w:t>
      </w:r>
    </w:p>
    <w:p w14:paraId="4600AC18">
      <w:pPr>
        <w:ind w:firstLine="480"/>
        <w:rPr>
          <w:rFonts w:cs="Times New Roman"/>
        </w:rPr>
      </w:pPr>
      <w:r>
        <w:rPr>
          <w:rFonts w:hint="eastAsia" w:eastAsia="宋体" w:cs="Times New Roman"/>
          <w:lang w:bidi="ar"/>
        </w:rPr>
        <w:t>广泛吸引社会资金投资水利。通过民办公助、政府购买、委托管理等多种形式，鼓励企业、个人及社会团体投资公益性或准公益性水利工程项目。进一步明确水利经营管理权责，吸引民资、外资以及独资、合资合作、建设</w:t>
      </w:r>
      <w:r>
        <w:rPr>
          <w:rFonts w:eastAsia="宋体" w:cs="Times New Roman"/>
          <w:lang w:bidi="ar"/>
        </w:rPr>
        <w:t>—</w:t>
      </w:r>
      <w:r>
        <w:rPr>
          <w:rFonts w:hint="eastAsia" w:eastAsia="宋体" w:cs="Times New Roman"/>
          <w:lang w:bidi="ar"/>
        </w:rPr>
        <w:t>经营</w:t>
      </w:r>
      <w:r>
        <w:rPr>
          <w:rFonts w:eastAsia="宋体" w:cs="Times New Roman"/>
          <w:lang w:bidi="ar"/>
        </w:rPr>
        <w:t>—</w:t>
      </w:r>
      <w:r>
        <w:rPr>
          <w:rFonts w:hint="eastAsia" w:eastAsia="宋体" w:cs="Times New Roman"/>
          <w:lang w:bidi="ar"/>
        </w:rPr>
        <w:t>转让（</w:t>
      </w:r>
      <w:r>
        <w:rPr>
          <w:rFonts w:eastAsia="宋体" w:cs="Times New Roman"/>
          <w:lang w:bidi="ar"/>
        </w:rPr>
        <w:t>BOT</w:t>
      </w:r>
      <w:r>
        <w:rPr>
          <w:rFonts w:hint="eastAsia" w:eastAsia="宋体" w:cs="Times New Roman"/>
          <w:lang w:bidi="ar"/>
        </w:rPr>
        <w:t>）和建设</w:t>
      </w:r>
      <w:r>
        <w:rPr>
          <w:rFonts w:eastAsia="宋体" w:cs="Times New Roman"/>
          <w:lang w:bidi="ar"/>
        </w:rPr>
        <w:t>—</w:t>
      </w:r>
      <w:r>
        <w:rPr>
          <w:rFonts w:hint="eastAsia" w:eastAsia="宋体" w:cs="Times New Roman"/>
          <w:lang w:bidi="ar"/>
        </w:rPr>
        <w:t>转让（</w:t>
      </w:r>
      <w:r>
        <w:rPr>
          <w:rFonts w:eastAsia="宋体" w:cs="Times New Roman"/>
          <w:lang w:bidi="ar"/>
        </w:rPr>
        <w:t>BT</w:t>
      </w:r>
      <w:r>
        <w:rPr>
          <w:rFonts w:hint="eastAsia" w:eastAsia="宋体" w:cs="Times New Roman"/>
          <w:lang w:bidi="ar"/>
        </w:rPr>
        <w:t>）等多种方式参与水利建设。逐步建立</w:t>
      </w:r>
      <w:r>
        <w:rPr>
          <w:rFonts w:hint="eastAsia" w:ascii="宋体" w:hAnsi="宋体" w:eastAsia="宋体" w:cs="Times New Roman"/>
          <w:lang w:bidi="ar"/>
        </w:rPr>
        <w:t>“居民自愿参与、居委组自行组织、政府协调服务”的筹资筹</w:t>
      </w:r>
      <w:r>
        <w:rPr>
          <w:rFonts w:hint="eastAsia" w:eastAsia="宋体" w:cs="Times New Roman"/>
          <w:lang w:bidi="ar"/>
        </w:rPr>
        <w:t>劳新机制。</w:t>
      </w:r>
    </w:p>
    <w:p w14:paraId="7FFCB00F">
      <w:pPr>
        <w:pStyle w:val="4"/>
        <w:widowControl/>
        <w:spacing w:before="0" w:after="0" w:line="360" w:lineRule="auto"/>
        <w:rPr>
          <w:rFonts w:cs="Times New Roman"/>
        </w:rPr>
      </w:pPr>
      <w:bookmarkStart w:id="1012" w:name="_Toc528607335"/>
      <w:bookmarkStart w:id="1013" w:name="_Toc16675115"/>
      <w:r>
        <w:rPr>
          <w:rFonts w:cs="Times New Roman"/>
        </w:rPr>
        <w:t>8.3</w:t>
      </w:r>
      <w:r>
        <w:rPr>
          <w:rFonts w:hint="eastAsia" w:cs="Times New Roman"/>
        </w:rPr>
        <w:t>完善评估机制，强化监测评估</w:t>
      </w:r>
      <w:bookmarkEnd w:id="1012"/>
      <w:bookmarkEnd w:id="1013"/>
    </w:p>
    <w:p w14:paraId="06AF228D">
      <w:pPr>
        <w:ind w:firstLine="480"/>
        <w:rPr>
          <w:rFonts w:cs="Times New Roman"/>
        </w:rPr>
      </w:pPr>
      <w:r>
        <w:rPr>
          <w:rFonts w:hint="eastAsia" w:eastAsia="宋体" w:cs="Times New Roman"/>
          <w:lang w:bidi="ar"/>
        </w:rPr>
        <w:t>密切跟踪国家改革创新发展和规划实施情况的变化，根据需要实施调整规划实施重点、政策措施。建立规划跨年度滚动实施机制，组织开展重点任务实施情况年度评估。建立多元化多层次的考核机制，充分借助智库等专业资源，发挥政府、上级主管部门、新闻媒体、社会公众、专家学者和第三方评估机构等对水生态文明建设实施的监督、督促和考核作用。探索建立专业机构全程评估工作机制，全面开展规划的中期及总结评估，健全规划动态调整修编机制，严格规范调整修订机制。</w:t>
      </w:r>
    </w:p>
    <w:p w14:paraId="53ED5CBB">
      <w:pPr>
        <w:pStyle w:val="4"/>
        <w:widowControl/>
        <w:spacing w:before="0" w:after="0" w:line="360" w:lineRule="auto"/>
        <w:rPr>
          <w:rFonts w:cs="Times New Roman"/>
        </w:rPr>
      </w:pPr>
      <w:bookmarkStart w:id="1014" w:name="_Toc528607336"/>
      <w:bookmarkStart w:id="1015" w:name="_Toc16675116"/>
      <w:r>
        <w:rPr>
          <w:rFonts w:cs="Times New Roman"/>
        </w:rPr>
        <w:t>8.4</w:t>
      </w:r>
      <w:r>
        <w:rPr>
          <w:rFonts w:hint="eastAsia" w:cs="Times New Roman"/>
        </w:rPr>
        <w:t>强化考核问责，落实主体工作</w:t>
      </w:r>
      <w:bookmarkEnd w:id="1014"/>
      <w:bookmarkEnd w:id="1015"/>
    </w:p>
    <w:p w14:paraId="728D1329">
      <w:pPr>
        <w:ind w:firstLine="480"/>
        <w:rPr>
          <w:rFonts w:cs="Times New Roman"/>
          <w:szCs w:val="28"/>
        </w:rPr>
      </w:pPr>
      <w:r>
        <w:rPr>
          <w:rFonts w:hint="eastAsia" w:eastAsia="宋体" w:cs="Times New Roman"/>
          <w:szCs w:val="28"/>
          <w:lang w:bidi="ar"/>
        </w:rPr>
        <w:t>采取上级监督指导与自我评价管理相结合的监督机制。规划期间，请广东省水利厅和中山市水务局加强对规划期建设检查和指导，同时要加强自我评价和监督管理。探索建立目标指标与任务措</w:t>
      </w:r>
      <w:r>
        <w:rPr>
          <w:rFonts w:hint="eastAsia" w:ascii="宋体" w:hAnsi="宋体" w:eastAsia="宋体" w:cs="宋体"/>
          <w:szCs w:val="28"/>
          <w:lang w:bidi="ar"/>
        </w:rPr>
        <w:t>施“双控”</w:t>
      </w:r>
      <w:r>
        <w:rPr>
          <w:rFonts w:hint="eastAsia" w:eastAsia="宋体" w:cs="Times New Roman"/>
          <w:szCs w:val="28"/>
          <w:lang w:bidi="ar"/>
        </w:rPr>
        <w:t>管理制度。探索建立年终考核制度，每年由领导小组办公室加强对社区居委会、各部门的水生态文明推进情况进行考核，考核结果作为评价领导班子和领导干部工作实绩的重要依据。</w:t>
      </w:r>
    </w:p>
    <w:p w14:paraId="5DB30A0E">
      <w:pPr>
        <w:pStyle w:val="4"/>
        <w:widowControl/>
        <w:spacing w:before="0" w:after="0" w:line="360" w:lineRule="auto"/>
        <w:rPr>
          <w:rFonts w:cs="Times New Roman"/>
        </w:rPr>
      </w:pPr>
      <w:bookmarkStart w:id="1016" w:name="_Toc528607337"/>
      <w:bookmarkStart w:id="1017" w:name="_Toc16675117"/>
      <w:bookmarkStart w:id="1018" w:name="OLE_LINK14"/>
      <w:r>
        <w:rPr>
          <w:rFonts w:cs="Times New Roman"/>
        </w:rPr>
        <w:t>8.5</w:t>
      </w:r>
      <w:r>
        <w:rPr>
          <w:rFonts w:hint="eastAsia" w:cs="Times New Roman"/>
        </w:rPr>
        <w:t>营造良好氛围，引导公众参与</w:t>
      </w:r>
      <w:bookmarkEnd w:id="1016"/>
      <w:bookmarkEnd w:id="1017"/>
      <w:bookmarkEnd w:id="1018"/>
    </w:p>
    <w:p w14:paraId="072101C1">
      <w:pPr>
        <w:ind w:firstLine="480"/>
        <w:rPr>
          <w:rFonts w:cs="Times New Roman"/>
          <w:szCs w:val="28"/>
        </w:rPr>
      </w:pPr>
      <w:r>
        <w:rPr>
          <w:rFonts w:hint="eastAsia" w:eastAsia="宋体" w:cs="Times New Roman"/>
          <w:szCs w:val="28"/>
          <w:lang w:bidi="ar"/>
        </w:rPr>
        <w:t>为更有效实施水生态文明建设工作，应积极建立和完善公众参与机制。加大教育和宣传力度，培育全体公众在生产生活中的水生态文明观念，利用听证会、政策规划立法制定公开咨询和征询等各种形式，听取和吸收公众对具体水生态文明建设工作建议，并在工作中具体反映和落实对水生态文明建设有益公众建议和意见；建立公众对水生态环境意见和建议反映渠道；建立和完善水生态文明建设工作举报和奖励制度，注重发挥非政府组织在水生态保护中的作用。</w:t>
      </w:r>
    </w:p>
    <w:p w14:paraId="0351254C">
      <w:pPr>
        <w:ind w:firstLine="480"/>
        <w:rPr>
          <w:rFonts w:eastAsia="黑体" w:cs="Times New Roman"/>
          <w:bCs/>
          <w:sz w:val="32"/>
          <w:szCs w:val="32"/>
        </w:rPr>
      </w:pPr>
      <w:r>
        <w:rPr>
          <w:rFonts w:hint="eastAsia" w:eastAsia="宋体" w:cs="Times New Roman"/>
          <w:szCs w:val="28"/>
          <w:lang w:bidi="ar"/>
        </w:rPr>
        <w:t>通过水生态文明展厅建设或生态廊道建设、节水型学校与节水型单位建设、门户网站宣传、开展主题宣传活动等全方位开展水生态文明理念和特色水文化的宣传教育活动，充分利用现代信息技术（微博、微信、移动终端</w:t>
      </w:r>
      <w:r>
        <w:rPr>
          <w:rFonts w:eastAsia="宋体" w:cs="Times New Roman"/>
          <w:szCs w:val="28"/>
          <w:lang w:bidi="ar"/>
        </w:rPr>
        <w:t>APP</w:t>
      </w:r>
      <w:r>
        <w:rPr>
          <w:rFonts w:hint="eastAsia" w:eastAsia="宋体" w:cs="Times New Roman"/>
          <w:szCs w:val="28"/>
          <w:lang w:bidi="ar"/>
        </w:rPr>
        <w:t>等即时通讯工具），结合历史水文化气息与水利示范项目构建立体式、全覆盖的宣传格局，提升各行业、各层次人群的水资源节约保护意识和水生态文明理念及参与度，鼓励社会公众广泛参与，提高珍惜水资源、保护水生态的自觉性。</w:t>
      </w:r>
    </w:p>
    <w:p w14:paraId="2A739335">
      <w:pPr>
        <w:pStyle w:val="2"/>
        <w:widowControl/>
        <w:spacing w:before="0" w:after="0" w:line="360" w:lineRule="auto"/>
        <w:rPr>
          <w:rFonts w:cs="Times New Roman"/>
        </w:rPr>
      </w:pPr>
      <w:bookmarkStart w:id="1019" w:name="_Toc528607338"/>
      <w:bookmarkStart w:id="1020" w:name="_Toc16675118"/>
      <w:r>
        <w:rPr>
          <w:rFonts w:cs="Times New Roman"/>
        </w:rPr>
        <w:t xml:space="preserve">9 </w:t>
      </w:r>
      <w:r>
        <w:rPr>
          <w:rFonts w:hint="eastAsia" w:cs="Times New Roman"/>
        </w:rPr>
        <w:t>结论与建议</w:t>
      </w:r>
      <w:bookmarkEnd w:id="1019"/>
      <w:bookmarkEnd w:id="1020"/>
    </w:p>
    <w:p w14:paraId="3EE9E549">
      <w:pPr>
        <w:pStyle w:val="4"/>
        <w:widowControl/>
        <w:spacing w:before="0" w:after="0" w:line="360" w:lineRule="auto"/>
        <w:rPr>
          <w:rFonts w:cs="Times New Roman"/>
        </w:rPr>
      </w:pPr>
      <w:bookmarkStart w:id="1021" w:name="_Toc528607339"/>
      <w:bookmarkStart w:id="1022" w:name="_Toc16675119"/>
      <w:r>
        <w:rPr>
          <w:rFonts w:cs="Times New Roman"/>
        </w:rPr>
        <w:t>9.1</w:t>
      </w:r>
      <w:r>
        <w:rPr>
          <w:rFonts w:hint="eastAsia" w:cs="Times New Roman"/>
        </w:rPr>
        <w:t>结论</w:t>
      </w:r>
      <w:bookmarkEnd w:id="1021"/>
      <w:bookmarkEnd w:id="1022"/>
    </w:p>
    <w:p w14:paraId="28167E1D">
      <w:pPr>
        <w:ind w:firstLine="480"/>
        <w:rPr>
          <w:rFonts w:cs="Times New Roman"/>
          <w:szCs w:val="28"/>
        </w:rPr>
      </w:pPr>
      <w:r>
        <w:rPr>
          <w:rFonts w:hint="eastAsia" w:eastAsia="宋体" w:cs="Times New Roman"/>
          <w:szCs w:val="28"/>
          <w:lang w:bidi="ar"/>
        </w:rPr>
        <w:t>本次规划以《中山市水资源综合规划》、《广东省中山市水利发展</w:t>
      </w:r>
      <w:r>
        <w:rPr>
          <w:rFonts w:hint="eastAsia" w:ascii="宋体" w:hAnsi="宋体" w:eastAsia="宋体" w:cs="Times New Roman"/>
          <w:szCs w:val="28"/>
          <w:lang w:bidi="ar"/>
        </w:rPr>
        <w:t>“十三五”</w:t>
      </w:r>
      <w:r>
        <w:rPr>
          <w:rFonts w:hint="eastAsia" w:eastAsia="宋体" w:cs="Times New Roman"/>
          <w:szCs w:val="28"/>
          <w:lang w:bidi="ar"/>
        </w:rPr>
        <w:t>规划》以及《中山市生态建设规划》为基础和主要依据，紧密结合中山市镇区水资源开发利用总量控制方案、中山市生态文明建设规划等最新规划成果，分析与规划西区水生态文明建设。</w:t>
      </w:r>
    </w:p>
    <w:p w14:paraId="1A71A181">
      <w:pPr>
        <w:ind w:firstLine="480"/>
        <w:rPr>
          <w:rFonts w:cs="Times New Roman"/>
          <w:szCs w:val="28"/>
        </w:rPr>
      </w:pPr>
      <w:r>
        <w:rPr>
          <w:rFonts w:hint="eastAsia" w:eastAsia="宋体" w:cs="Times New Roman"/>
          <w:szCs w:val="28"/>
          <w:lang w:bidi="ar"/>
        </w:rPr>
        <w:t>水生态是生态环境的重要组成部分，它是无法替代的而且有限的；它不仅是人类与其他一切生物生存的必要条件，也是国民经济发展不可缺少的资源和环境。水生态环境能否得到充分有效的保护，能否建立起真正意义上的水生态文明社会，需要政府、个人、全社会的通力合作，建立起一个有效的运行机制。</w:t>
      </w:r>
    </w:p>
    <w:p w14:paraId="65293C94">
      <w:pPr>
        <w:ind w:firstLine="480"/>
        <w:rPr>
          <w:rFonts w:cs="Times New Roman"/>
          <w:szCs w:val="28"/>
        </w:rPr>
      </w:pPr>
      <w:r>
        <w:rPr>
          <w:rFonts w:hint="eastAsia" w:eastAsia="宋体" w:cs="Times New Roman"/>
          <w:szCs w:val="28"/>
          <w:lang w:bidi="ar"/>
        </w:rPr>
        <w:t>本次规划结合相关规划和融合“水安全、水环境、水生态、水监管、水节约、水文化”，构建西区水生态文明建设体系，分析水安全、水环境、水生态、水监管、水节约、水文化六大体系现状及存在的问题，指出西区水生态文明建设体系中比较薄弱的降雨滞蓄率、水功能区水质达标率、水功能区限制纳污控制率、河湖生态护岸比例、水域面积率、建成区透水面积率、工业用水重复利用率、非常规水资源利用率、水文化传承载体数量等指标。</w:t>
      </w:r>
    </w:p>
    <w:p w14:paraId="7E7AC912">
      <w:pPr>
        <w:ind w:firstLine="480"/>
        <w:rPr>
          <w:rFonts w:cs="Times New Roman"/>
          <w:szCs w:val="28"/>
        </w:rPr>
      </w:pPr>
      <w:r>
        <w:rPr>
          <w:rFonts w:hint="eastAsia" w:eastAsia="宋体" w:cs="Times New Roman"/>
          <w:szCs w:val="28"/>
          <w:lang w:bidi="ar"/>
        </w:rPr>
        <w:t>针对西区水生态文明现存的问题，提出规划2020年初步达成水生态文明建设，重点初步完成内涝治理工程、水环境综合治理工程、污水工程、河涌水道滨岸景观带建设、定期监测入河排污口、工业节水工程、生活节水工程、水土保持教育基地建设工程等工程建设。规划2025年基本达成水生态文明建设，基本完成降雨滞蓄工程、内涝治理工程、水环境综合治理工程、河涌水道滨岸景观带建设、生态护岸工程、定期监测入河排污口、工业节水工程、雨水利用工程、再生水利用工程、生态旅游休闲建设工程、水利风景区等工程建设。规划2030年完成水生态文明建设，重点完成降雨滞蓄工程、水环境综合治理工程、生态护岸工程、工业节水工程、雨水利用工程、再生水利用工程、生态旅游休闲建设工程、湿地工程等工程建设。</w:t>
      </w:r>
    </w:p>
    <w:p w14:paraId="080EFF68">
      <w:pPr>
        <w:ind w:firstLine="480"/>
        <w:rPr>
          <w:rFonts w:cs="Times New Roman"/>
          <w:szCs w:val="28"/>
        </w:rPr>
      </w:pPr>
      <w:r>
        <w:rPr>
          <w:rFonts w:hint="eastAsia" w:eastAsia="宋体" w:cs="Times New Roman"/>
          <w:szCs w:val="28"/>
          <w:lang w:bidi="ar"/>
        </w:rPr>
        <w:t>通过水生态文明社会建设，提高水生态修复及生态保护建设力度，改善生态环境，强化可持续发展能力，有效促进人与自然的和谐相处，从而推动西区走上健康、文明、协调的发展道路。本次规划成果保障了西区水生态环境建设的持续性，以水生态文明建设保障支撑经济社会的可持续发展。</w:t>
      </w:r>
    </w:p>
    <w:p w14:paraId="4031B0A5">
      <w:pPr>
        <w:pStyle w:val="4"/>
        <w:widowControl/>
        <w:spacing w:before="0" w:after="0" w:line="360" w:lineRule="auto"/>
        <w:rPr>
          <w:rFonts w:cs="Times New Roman"/>
        </w:rPr>
      </w:pPr>
      <w:bookmarkStart w:id="1023" w:name="_Toc528607340"/>
      <w:bookmarkStart w:id="1024" w:name="_Toc16675120"/>
      <w:bookmarkStart w:id="1025" w:name="_Toc528607341"/>
      <w:r>
        <w:rPr>
          <w:rFonts w:cs="Times New Roman"/>
        </w:rPr>
        <w:t>9.2</w:t>
      </w:r>
      <w:r>
        <w:rPr>
          <w:rFonts w:hint="eastAsia" w:cs="Times New Roman"/>
        </w:rPr>
        <w:t>建议</w:t>
      </w:r>
      <w:bookmarkEnd w:id="1023"/>
      <w:bookmarkEnd w:id="1024"/>
    </w:p>
    <w:p w14:paraId="737B7B51">
      <w:pPr>
        <w:ind w:firstLine="482"/>
        <w:rPr>
          <w:rFonts w:cs="Times New Roman"/>
          <w:b/>
          <w:szCs w:val="28"/>
        </w:rPr>
      </w:pPr>
      <w:r>
        <w:rPr>
          <w:rFonts w:hint="eastAsia" w:eastAsia="宋体" w:cs="Times New Roman"/>
          <w:b/>
          <w:szCs w:val="28"/>
          <w:lang w:bidi="ar"/>
        </w:rPr>
        <w:t>（</w:t>
      </w:r>
      <w:r>
        <w:rPr>
          <w:rFonts w:eastAsia="宋体" w:cs="Times New Roman"/>
          <w:b/>
          <w:szCs w:val="28"/>
          <w:lang w:bidi="ar"/>
        </w:rPr>
        <w:t>1</w:t>
      </w:r>
      <w:r>
        <w:rPr>
          <w:rFonts w:hint="eastAsia" w:eastAsia="宋体" w:cs="Times New Roman"/>
          <w:b/>
          <w:szCs w:val="28"/>
          <w:lang w:bidi="ar"/>
        </w:rPr>
        <w:t>）成立专门的工作小组</w:t>
      </w:r>
    </w:p>
    <w:p w14:paraId="57BE4D21">
      <w:pPr>
        <w:ind w:firstLine="480"/>
        <w:rPr>
          <w:rFonts w:cs="Times New Roman"/>
          <w:szCs w:val="28"/>
        </w:rPr>
      </w:pPr>
      <w:r>
        <w:rPr>
          <w:rFonts w:hint="eastAsia" w:eastAsia="宋体" w:cs="Times New Roman"/>
          <w:szCs w:val="28"/>
          <w:lang w:bidi="ar"/>
        </w:rPr>
        <w:t>水生态文明建设的实施工作，涉及镇区多个部分。当前主要由水利所负责，但存在多部门协调的困难。建议构建镇区水生态文明建设管理工作小组，由主管水利工作的副镇（区）长担任组长，负责协调相关工作开展与落实，镇区发改局、经信局、规划局、住建局、农业局与环保局等副局长为小组成员，协同落实相关工作。</w:t>
      </w:r>
    </w:p>
    <w:p w14:paraId="255F1AD3">
      <w:pPr>
        <w:ind w:firstLine="482"/>
        <w:rPr>
          <w:rFonts w:cs="Times New Roman"/>
          <w:b/>
          <w:szCs w:val="28"/>
        </w:rPr>
      </w:pPr>
      <w:r>
        <w:rPr>
          <w:rFonts w:hint="eastAsia" w:eastAsia="宋体" w:cs="Times New Roman"/>
          <w:b/>
          <w:szCs w:val="28"/>
          <w:lang w:bidi="ar"/>
        </w:rPr>
        <w:t>（</w:t>
      </w:r>
      <w:r>
        <w:rPr>
          <w:rFonts w:eastAsia="宋体" w:cs="Times New Roman"/>
          <w:b/>
          <w:szCs w:val="28"/>
          <w:lang w:bidi="ar"/>
        </w:rPr>
        <w:t>2</w:t>
      </w:r>
      <w:r>
        <w:rPr>
          <w:rFonts w:hint="eastAsia" w:eastAsia="宋体" w:cs="Times New Roman"/>
          <w:b/>
          <w:szCs w:val="28"/>
          <w:lang w:bidi="ar"/>
        </w:rPr>
        <w:t>）水生态文明宣传教育与推广</w:t>
      </w:r>
    </w:p>
    <w:p w14:paraId="5D368B37">
      <w:pPr>
        <w:ind w:firstLine="480"/>
        <w:rPr>
          <w:rFonts w:eastAsia="宋体" w:cs="Times New Roman"/>
          <w:szCs w:val="24"/>
        </w:rPr>
      </w:pPr>
      <w:r>
        <w:rPr>
          <w:rFonts w:hint="eastAsia" w:eastAsia="宋体" w:cs="Times New Roman"/>
          <w:szCs w:val="28"/>
          <w:lang w:bidi="ar"/>
        </w:rPr>
        <w:t>西区</w:t>
      </w:r>
      <w:r>
        <w:rPr>
          <w:rFonts w:hint="eastAsia" w:eastAsia="宋体" w:cs="Times New Roman"/>
          <w:szCs w:val="24"/>
          <w:lang w:bidi="ar"/>
        </w:rPr>
        <w:t>位处中山市中心城区，需要强化对水源地的保护，优化城镇空间格局，加强污染控制，</w:t>
      </w:r>
      <w:r>
        <w:rPr>
          <w:rFonts w:hint="eastAsia" w:eastAsia="宋体" w:cs="Times New Roman"/>
          <w:szCs w:val="28"/>
          <w:lang w:bidi="ar"/>
        </w:rPr>
        <w:t>民众对于水生态环境保护的意识尚未形成。为了水生态环境可持续发展，应加强水生态文明教育与推广。建议由区水利所组织相关教育讲座，对水利系统工作人员普及与推广水生态保护；通过电视、广播等媒体宣传水生态文明教育，强化民众节水意识。</w:t>
      </w:r>
    </w:p>
    <w:p w14:paraId="035874F9">
      <w:pPr>
        <w:pStyle w:val="4"/>
        <w:widowControl/>
        <w:spacing w:before="0" w:after="0" w:line="360" w:lineRule="auto"/>
        <w:rPr>
          <w:rFonts w:cs="Times New Roman"/>
        </w:rPr>
      </w:pPr>
      <w:bookmarkStart w:id="1026" w:name="_Toc16675121"/>
      <w:r>
        <w:rPr>
          <w:rFonts w:cs="Times New Roman"/>
        </w:rPr>
        <w:t>9.3</w:t>
      </w:r>
      <w:r>
        <w:rPr>
          <w:rFonts w:hint="eastAsia" w:cs="Times New Roman"/>
        </w:rPr>
        <w:t>展望</w:t>
      </w:r>
      <w:bookmarkEnd w:id="1025"/>
      <w:bookmarkEnd w:id="1026"/>
    </w:p>
    <w:p w14:paraId="104CDEBC">
      <w:pPr>
        <w:ind w:firstLine="480"/>
        <w:rPr>
          <w:sz w:val="18"/>
          <w:szCs w:val="18"/>
        </w:rPr>
        <w:sectPr>
          <w:pgSz w:w="11906" w:h="16838"/>
          <w:pgMar w:top="1440" w:right="1797" w:bottom="1440" w:left="1797" w:header="851" w:footer="992" w:gutter="0"/>
          <w:cols w:space="425" w:num="1"/>
          <w:docGrid w:type="linesAndChars" w:linePitch="326" w:charSpace="0"/>
        </w:sectPr>
      </w:pPr>
      <w:r>
        <w:rPr>
          <w:rFonts w:hint="eastAsia" w:eastAsia="宋体" w:cs="Times New Roman"/>
          <w:szCs w:val="24"/>
          <w:lang w:bidi="ar"/>
        </w:rPr>
        <w:t>根据中山市总体规划到</w:t>
      </w:r>
      <w:r>
        <w:rPr>
          <w:rFonts w:eastAsia="宋体" w:cs="Times New Roman"/>
          <w:szCs w:val="24"/>
          <w:lang w:bidi="ar"/>
        </w:rPr>
        <w:t>2020</w:t>
      </w:r>
      <w:r>
        <w:rPr>
          <w:rFonts w:hint="eastAsia" w:eastAsia="宋体" w:cs="Times New Roman"/>
          <w:szCs w:val="24"/>
          <w:lang w:bidi="ar"/>
        </w:rPr>
        <w:t>年形成</w:t>
      </w:r>
      <w:r>
        <w:rPr>
          <w:rFonts w:hint="eastAsia" w:ascii="宋体" w:hAnsi="宋体" w:eastAsia="宋体" w:cs="Times New Roman"/>
          <w:szCs w:val="24"/>
          <w:lang w:bidi="ar"/>
        </w:rPr>
        <w:t>“一轴两带、一主两副、四组团”的组团式空间结构，</w:t>
      </w:r>
      <w:r>
        <w:rPr>
          <w:rFonts w:hint="eastAsia" w:ascii="宋体" w:hAnsi="宋体" w:eastAsia="宋体" w:cs="Times New Roman"/>
          <w:szCs w:val="28"/>
          <w:lang w:bidi="ar"/>
        </w:rPr>
        <w:t>西区</w:t>
      </w:r>
      <w:r>
        <w:rPr>
          <w:rFonts w:hint="eastAsia" w:ascii="宋体" w:hAnsi="宋体" w:eastAsia="宋体" w:cs="Times New Roman"/>
          <w:szCs w:val="24"/>
          <w:lang w:bidi="ar"/>
        </w:rPr>
        <w:t>被</w:t>
      </w:r>
      <w:r>
        <w:rPr>
          <w:rFonts w:hint="eastAsia"/>
          <w:szCs w:val="28"/>
        </w:rPr>
        <w:t>纳入“四组团”中的中心组团，成为未来中山市生态环境保护重点区。该规划为西区的发展指明了方向，提出了新的更高的要求，西区要借此契机，在高起点上推进水生态文明城镇化建设，以解决现阶段突出问题为重点，因地制宜，科学规划，从水安全体系、水环境体系、水生态体系、水监管体系、水节约体系、水文化体系等六个方面，改善水生态环境，发扬南区水文化，打造依水生态而居的水生态文明镇区，</w:t>
      </w:r>
      <w:r>
        <w:rPr>
          <w:rFonts w:hint="eastAsia" w:ascii="宋体" w:hAnsi="宋体" w:eastAsia="宋体" w:cs="Times New Roman"/>
          <w:szCs w:val="24"/>
          <w:lang w:bidi="ar"/>
        </w:rPr>
        <w:t>实现“城在园中，村在景中，人在画中，水美</w:t>
      </w:r>
      <w:r>
        <w:rPr>
          <w:rFonts w:hint="eastAsia" w:ascii="宋体" w:hAnsi="宋体" w:eastAsia="宋体" w:cs="Times New Roman"/>
          <w:szCs w:val="28"/>
          <w:lang w:bidi="ar"/>
        </w:rPr>
        <w:t>西区</w:t>
      </w:r>
      <w:r>
        <w:rPr>
          <w:rFonts w:hint="eastAsia" w:ascii="宋体" w:hAnsi="宋体" w:eastAsia="宋体" w:cs="Times New Roman"/>
          <w:szCs w:val="24"/>
          <w:lang w:bidi="ar"/>
        </w:rPr>
        <w:t>”的美好愿景</w:t>
      </w:r>
      <w:r>
        <w:rPr>
          <w:rFonts w:hint="eastAsia" w:eastAsia="宋体" w:cs="Times New Roman"/>
          <w:szCs w:val="24"/>
          <w:lang w:bidi="ar"/>
        </w:rPr>
        <w:t>。</w:t>
      </w:r>
      <w:bookmarkEnd w:id="4"/>
      <w:bookmarkEnd w:id="5"/>
      <w:bookmarkEnd w:id="199"/>
      <w:bookmarkEnd w:id="200"/>
      <w:bookmarkEnd w:id="201"/>
      <w:bookmarkEnd w:id="202"/>
      <w:bookmarkStart w:id="1027" w:name="_Toc430686475"/>
      <w:bookmarkStart w:id="1028" w:name="_Toc427172849"/>
    </w:p>
    <w:p w14:paraId="58C663CA">
      <w:pPr>
        <w:pStyle w:val="2"/>
        <w:spacing w:before="0" w:after="0"/>
      </w:pPr>
      <w:bookmarkStart w:id="1029" w:name="_Toc16675122"/>
      <w:bookmarkStart w:id="1030" w:name="_Toc527572571"/>
      <w:bookmarkStart w:id="1031" w:name="_Toc528607342"/>
      <w:r>
        <w:rPr>
          <w:rFonts w:hint="eastAsia"/>
        </w:rPr>
        <w:t>附图1 西区地理位置图</w:t>
      </w:r>
      <w:bookmarkEnd w:id="1029"/>
    </w:p>
    <w:p w14:paraId="098C6442">
      <w:pPr>
        <w:spacing w:line="240" w:lineRule="auto"/>
        <w:ind w:firstLine="0" w:firstLineChars="0"/>
        <w:rPr>
          <w:rFonts w:ascii="宋体" w:hAnsi="宋体"/>
        </w:rPr>
      </w:pPr>
      <w:r>
        <w:rPr>
          <w:rFonts w:hint="eastAsia" w:ascii="宋体" w:hAnsi="宋体"/>
        </w:rPr>
        <w:drawing>
          <wp:inline distT="0" distB="0" distL="114300" distR="114300">
            <wp:extent cx="5274310" cy="5967730"/>
            <wp:effectExtent l="0" t="0" r="2540" b="13970"/>
            <wp:docPr id="27" name="图片 27" descr="C:\Users\fangqunsheng\Desktop\西区地理位置.jpg西区地理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fangqunsheng\Desktop\西区地理位置.jpg西区地理位置"/>
                    <pic:cNvPicPr>
                      <a:picLocks noChangeAspect="1"/>
                    </pic:cNvPicPr>
                  </pic:nvPicPr>
                  <pic:blipFill>
                    <a:blip r:embed="rId22"/>
                    <a:srcRect/>
                    <a:stretch>
                      <a:fillRect/>
                    </a:stretch>
                  </pic:blipFill>
                  <pic:spPr>
                    <a:xfrm>
                      <a:off x="0" y="0"/>
                      <a:ext cx="5274310" cy="5967730"/>
                    </a:xfrm>
                    <a:prstGeom prst="rect">
                      <a:avLst/>
                    </a:prstGeom>
                  </pic:spPr>
                </pic:pic>
              </a:graphicData>
            </a:graphic>
          </wp:inline>
        </w:drawing>
      </w:r>
    </w:p>
    <w:p w14:paraId="65E5241A">
      <w:pPr>
        <w:ind w:firstLine="0" w:firstLineChars="0"/>
      </w:pPr>
    </w:p>
    <w:p w14:paraId="7FB5219B">
      <w:pPr>
        <w:ind w:firstLine="480"/>
        <w:sectPr>
          <w:pgSz w:w="11906" w:h="16838"/>
          <w:pgMar w:top="1440" w:right="1797" w:bottom="1440" w:left="1797" w:header="851" w:footer="992" w:gutter="0"/>
          <w:cols w:space="425" w:num="1"/>
          <w:docGrid w:type="linesAndChars" w:linePitch="326" w:charSpace="0"/>
        </w:sectPr>
      </w:pPr>
    </w:p>
    <w:p w14:paraId="1252EACC">
      <w:pPr>
        <w:pStyle w:val="2"/>
        <w:spacing w:before="0" w:after="0"/>
      </w:pPr>
      <w:bookmarkStart w:id="1032" w:name="_Toc16675123"/>
      <w:r>
        <w:rPr>
          <w:rFonts w:hint="eastAsia"/>
        </w:rPr>
        <w:t>附图2 西区行政区划图</w:t>
      </w:r>
      <w:bookmarkEnd w:id="1032"/>
    </w:p>
    <w:p w14:paraId="35D74AB5">
      <w:pPr>
        <w:spacing w:line="240" w:lineRule="auto"/>
        <w:ind w:firstLine="0" w:firstLineChars="0"/>
        <w:rPr>
          <w:rFonts w:ascii="宋体" w:hAnsi="宋体"/>
        </w:rPr>
      </w:pPr>
      <w:r>
        <w:rPr>
          <w:rFonts w:hint="eastAsia"/>
        </w:rPr>
        <w:drawing>
          <wp:inline distT="0" distB="0" distL="114300" distR="114300">
            <wp:extent cx="5277485" cy="7519035"/>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7485" cy="7519466"/>
                    </a:xfrm>
                    <a:prstGeom prst="rect">
                      <a:avLst/>
                    </a:prstGeom>
                  </pic:spPr>
                </pic:pic>
              </a:graphicData>
            </a:graphic>
          </wp:inline>
        </w:drawing>
      </w:r>
    </w:p>
    <w:p w14:paraId="7F134A12">
      <w:pPr>
        <w:ind w:firstLine="0" w:firstLineChars="0"/>
      </w:pPr>
    </w:p>
    <w:p w14:paraId="414F4EDA">
      <w:pPr>
        <w:ind w:firstLine="0" w:firstLineChars="0"/>
        <w:sectPr>
          <w:pgSz w:w="11906" w:h="16838"/>
          <w:pgMar w:top="1440" w:right="1797" w:bottom="1440" w:left="1797" w:header="851" w:footer="992" w:gutter="0"/>
          <w:cols w:space="425" w:num="1"/>
          <w:docGrid w:type="linesAndChars" w:linePitch="326" w:charSpace="0"/>
        </w:sectPr>
      </w:pPr>
    </w:p>
    <w:p w14:paraId="63D7A600">
      <w:pPr>
        <w:pStyle w:val="2"/>
        <w:spacing w:before="0" w:after="0"/>
      </w:pPr>
      <w:bookmarkStart w:id="1033" w:name="_Toc16675124"/>
      <w:r>
        <w:rPr>
          <w:rFonts w:hint="eastAsia"/>
        </w:rPr>
        <w:t>附图3 中山市河流水系图</w:t>
      </w:r>
      <w:bookmarkEnd w:id="1033"/>
    </w:p>
    <w:p w14:paraId="7598EAE4">
      <w:pPr>
        <w:spacing w:line="240" w:lineRule="auto"/>
        <w:ind w:firstLine="0" w:firstLineChars="0"/>
        <w:rPr>
          <w:rFonts w:eastAsia="宋体" w:cs="Times New Roman"/>
          <w:szCs w:val="24"/>
        </w:rPr>
      </w:pPr>
    </w:p>
    <w:p w14:paraId="6F953960">
      <w:pPr>
        <w:ind w:firstLine="0" w:firstLineChars="0"/>
        <w:sectPr>
          <w:pgSz w:w="11906" w:h="16838"/>
          <w:pgMar w:top="1440" w:right="1797" w:bottom="1440" w:left="1797" w:header="851" w:footer="992" w:gutter="0"/>
          <w:cols w:space="425" w:num="1"/>
          <w:docGrid w:type="linesAndChars" w:linePitch="326" w:charSpace="0"/>
        </w:sectPr>
      </w:pPr>
      <w:r>
        <w:rPr>
          <w:rFonts w:hint="eastAsia" w:eastAsia="宋体" w:cs="Times New Roman"/>
          <w:szCs w:val="24"/>
        </w:rPr>
        <w:drawing>
          <wp:inline distT="0" distB="0" distL="114300" distR="114300">
            <wp:extent cx="5400040" cy="7190740"/>
            <wp:effectExtent l="0" t="0" r="10160" b="10160"/>
            <wp:docPr id="26" name="图片 26" descr="C:\Users\fangqunsheng\Desktop\西区河流水系.jpg西区河流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fangqunsheng\Desktop\西区河流水系.jpg西区河流水系"/>
                    <pic:cNvPicPr>
                      <a:picLocks noChangeAspect="1"/>
                    </pic:cNvPicPr>
                  </pic:nvPicPr>
                  <pic:blipFill>
                    <a:blip r:embed="rId24"/>
                    <a:srcRect/>
                    <a:stretch>
                      <a:fillRect/>
                    </a:stretch>
                  </pic:blipFill>
                  <pic:spPr>
                    <a:xfrm>
                      <a:off x="0" y="0"/>
                      <a:ext cx="5400040" cy="7190740"/>
                    </a:xfrm>
                    <a:prstGeom prst="rect">
                      <a:avLst/>
                    </a:prstGeom>
                  </pic:spPr>
                </pic:pic>
              </a:graphicData>
            </a:graphic>
          </wp:inline>
        </w:drawing>
      </w:r>
    </w:p>
    <w:p w14:paraId="48A1F33F">
      <w:pPr>
        <w:pStyle w:val="2"/>
        <w:spacing w:before="0" w:after="0"/>
      </w:pPr>
      <w:bookmarkStart w:id="1034" w:name="_Toc16675125"/>
      <w:r>
        <w:rPr>
          <w:rFonts w:hint="eastAsia"/>
        </w:rPr>
        <w:t>附图4 西区水系分布图</w:t>
      </w:r>
      <w:bookmarkEnd w:id="1034"/>
    </w:p>
    <w:p w14:paraId="1A0FE260">
      <w:pPr>
        <w:spacing w:line="240" w:lineRule="auto"/>
        <w:ind w:firstLine="0" w:firstLineChars="0"/>
        <w:rPr>
          <w:rFonts w:eastAsia="宋体" w:cs="Times New Roman"/>
          <w:szCs w:val="24"/>
        </w:rPr>
      </w:pPr>
    </w:p>
    <w:p w14:paraId="22AC3C4F">
      <w:pPr>
        <w:ind w:firstLine="0" w:firstLineChars="0"/>
      </w:pPr>
      <w:r>
        <w:rPr>
          <w:rFonts w:hint="eastAsia" w:eastAsia="宋体" w:cs="Times New Roman"/>
          <w:szCs w:val="24"/>
        </w:rPr>
        <w:drawing>
          <wp:inline distT="0" distB="0" distL="114300" distR="114300">
            <wp:extent cx="5515610" cy="7053580"/>
            <wp:effectExtent l="0" t="0" r="8890" b="13970"/>
            <wp:docPr id="30" name="图片 30" descr="C:\Users\fangqunsheng\Desktop\西区水系.jpg西区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fangqunsheng\Desktop\西区水系.jpg西区水系"/>
                    <pic:cNvPicPr>
                      <a:picLocks noChangeAspect="1"/>
                    </pic:cNvPicPr>
                  </pic:nvPicPr>
                  <pic:blipFill>
                    <a:blip r:embed="rId25"/>
                    <a:srcRect/>
                    <a:stretch>
                      <a:fillRect/>
                    </a:stretch>
                  </pic:blipFill>
                  <pic:spPr>
                    <a:xfrm>
                      <a:off x="0" y="0"/>
                      <a:ext cx="5515610" cy="7053580"/>
                    </a:xfrm>
                    <a:prstGeom prst="rect">
                      <a:avLst/>
                    </a:prstGeom>
                  </pic:spPr>
                </pic:pic>
              </a:graphicData>
            </a:graphic>
          </wp:inline>
        </w:drawing>
      </w:r>
    </w:p>
    <w:p w14:paraId="1B76CCA5">
      <w:pPr>
        <w:ind w:firstLine="0" w:firstLineChars="0"/>
      </w:pPr>
    </w:p>
    <w:p w14:paraId="34BE8D85">
      <w:pPr>
        <w:ind w:firstLine="0" w:firstLineChars="0"/>
      </w:pPr>
    </w:p>
    <w:p w14:paraId="2AB7B39F">
      <w:pPr>
        <w:ind w:firstLine="0" w:firstLineChars="0"/>
        <w:sectPr>
          <w:pgSz w:w="11906" w:h="16838"/>
          <w:pgMar w:top="1440" w:right="1797" w:bottom="1440" w:left="1797" w:header="851" w:footer="992" w:gutter="0"/>
          <w:cols w:space="425" w:num="1"/>
          <w:docGrid w:type="linesAndChars" w:linePitch="326" w:charSpace="0"/>
        </w:sectPr>
      </w:pPr>
    </w:p>
    <w:p w14:paraId="737E4EC8">
      <w:pPr>
        <w:pStyle w:val="2"/>
        <w:spacing w:before="0" w:after="0"/>
      </w:pPr>
      <w:bookmarkStart w:id="1035" w:name="_Toc16675126"/>
      <w:r>
        <w:rPr>
          <w:rFonts w:hint="eastAsia"/>
        </w:rPr>
        <w:t>附图5 西区土地利用总体规划图</w:t>
      </w:r>
      <w:r>
        <w:rPr>
          <w:rStyle w:val="31"/>
          <w:rFonts w:hint="eastAsia"/>
        </w:rPr>
        <w:footnoteReference w:id="0"/>
      </w:r>
      <w:bookmarkEnd w:id="1035"/>
    </w:p>
    <w:p w14:paraId="2C1F6365">
      <w:pPr>
        <w:ind w:firstLine="0" w:firstLineChars="0"/>
        <w:sectPr>
          <w:pgSz w:w="11906" w:h="16838"/>
          <w:pgMar w:top="1440" w:right="1797" w:bottom="1440" w:left="1797" w:header="851" w:footer="992" w:gutter="0"/>
          <w:cols w:space="425" w:num="1"/>
          <w:docGrid w:type="linesAndChars" w:linePitch="326" w:charSpace="0"/>
        </w:sectPr>
      </w:pPr>
      <w:r>
        <w:rPr>
          <w:rFonts w:hint="eastAsia"/>
        </w:rPr>
        <w:drawing>
          <wp:inline distT="0" distB="0" distL="114300" distR="114300">
            <wp:extent cx="5276215" cy="7460615"/>
            <wp:effectExtent l="0" t="0" r="635" b="6985"/>
            <wp:docPr id="5" name="图片 5" descr="西区土地利用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西区土地利用规划"/>
                    <pic:cNvPicPr>
                      <a:picLocks noChangeAspect="1"/>
                    </pic:cNvPicPr>
                  </pic:nvPicPr>
                  <pic:blipFill>
                    <a:blip r:embed="rId26"/>
                    <a:stretch>
                      <a:fillRect/>
                    </a:stretch>
                  </pic:blipFill>
                  <pic:spPr>
                    <a:xfrm>
                      <a:off x="0" y="0"/>
                      <a:ext cx="5276215" cy="7460615"/>
                    </a:xfrm>
                    <a:prstGeom prst="rect">
                      <a:avLst/>
                    </a:prstGeom>
                  </pic:spPr>
                </pic:pic>
              </a:graphicData>
            </a:graphic>
          </wp:inline>
        </w:drawing>
      </w:r>
    </w:p>
    <w:p w14:paraId="0257B8A4">
      <w:pPr>
        <w:pStyle w:val="2"/>
        <w:spacing w:before="0" w:after="0"/>
      </w:pPr>
      <w:bookmarkStart w:id="1036" w:name="_Toc16675127"/>
      <w:r>
        <w:rPr>
          <w:rFonts w:hint="eastAsia"/>
        </w:rPr>
        <w:t>附图6 中山市主体功能区区划图</w:t>
      </w:r>
      <w:r>
        <w:rPr>
          <w:rStyle w:val="31"/>
          <w:rFonts w:hint="eastAsia"/>
        </w:rPr>
        <w:footnoteReference w:id="1"/>
      </w:r>
      <w:bookmarkEnd w:id="1036"/>
    </w:p>
    <w:p w14:paraId="686C3350">
      <w:pPr>
        <w:spacing w:line="240" w:lineRule="auto"/>
        <w:ind w:firstLine="0" w:firstLineChars="0"/>
        <w:rPr>
          <w:rFonts w:cs="Times New Roman"/>
          <w:szCs w:val="28"/>
        </w:rPr>
      </w:pPr>
    </w:p>
    <w:p w14:paraId="2CB8BC75">
      <w:pPr>
        <w:ind w:firstLine="0" w:firstLineChars="0"/>
      </w:pPr>
      <w:r>
        <w:rPr>
          <w:rFonts w:cs="Times New Roman"/>
          <w:szCs w:val="28"/>
        </w:rPr>
        <w:drawing>
          <wp:inline distT="0" distB="0" distL="114300" distR="114300">
            <wp:extent cx="5147310" cy="7216775"/>
            <wp:effectExtent l="0" t="0" r="15240" b="3175"/>
            <wp:docPr id="35" name="图片 35" descr="C:\Users\fangqunsheng\Desktop\中山市主体功能图西区.jpg中山市主体功能图西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fangqunsheng\Desktop\中山市主体功能图西区.jpg中山市主体功能图西区"/>
                    <pic:cNvPicPr>
                      <a:picLocks noChangeAspect="1"/>
                    </pic:cNvPicPr>
                  </pic:nvPicPr>
                  <pic:blipFill>
                    <a:blip r:embed="rId27"/>
                    <a:srcRect/>
                    <a:stretch>
                      <a:fillRect/>
                    </a:stretch>
                  </pic:blipFill>
                  <pic:spPr>
                    <a:xfrm>
                      <a:off x="0" y="0"/>
                      <a:ext cx="5147310" cy="7216775"/>
                    </a:xfrm>
                    <a:prstGeom prst="rect">
                      <a:avLst/>
                    </a:prstGeom>
                  </pic:spPr>
                </pic:pic>
              </a:graphicData>
            </a:graphic>
          </wp:inline>
        </w:drawing>
      </w:r>
    </w:p>
    <w:p w14:paraId="0B87A7C8">
      <w:pPr>
        <w:ind w:firstLine="0" w:firstLineChars="0"/>
      </w:pPr>
    </w:p>
    <w:p w14:paraId="091662C8">
      <w:pPr>
        <w:ind w:firstLine="0" w:firstLineChars="0"/>
        <w:sectPr>
          <w:pgSz w:w="11906" w:h="16838"/>
          <w:pgMar w:top="1440" w:right="1797" w:bottom="1440" w:left="1797" w:header="851" w:footer="992" w:gutter="0"/>
          <w:cols w:space="425" w:num="1"/>
          <w:docGrid w:type="linesAndChars" w:linePitch="326" w:charSpace="0"/>
        </w:sectPr>
      </w:pPr>
    </w:p>
    <w:p w14:paraId="3E04EC69">
      <w:pPr>
        <w:pStyle w:val="2"/>
        <w:spacing w:before="0" w:after="0"/>
      </w:pPr>
      <w:bookmarkStart w:id="1037" w:name="_Toc16675128"/>
      <w:r>
        <w:rPr>
          <w:rFonts w:hint="eastAsia"/>
        </w:rPr>
        <w:t>附图7 西区一核心三基地两提升区式发展结构示意图</w:t>
      </w:r>
      <w:r>
        <w:rPr>
          <w:rStyle w:val="31"/>
          <w:rFonts w:hint="eastAsia"/>
        </w:rPr>
        <w:footnoteReference w:id="2"/>
      </w:r>
      <w:bookmarkEnd w:id="1037"/>
    </w:p>
    <w:p w14:paraId="691472CF">
      <w:pPr>
        <w:ind w:firstLine="0" w:firstLineChars="0"/>
      </w:pPr>
      <w:r>
        <w:rPr>
          <w:rFonts w:hint="eastAsia"/>
        </w:rPr>
        <w:drawing>
          <wp:inline distT="0" distB="0" distL="114300" distR="114300">
            <wp:extent cx="7896225" cy="11249660"/>
            <wp:effectExtent l="0" t="0" r="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96225" cy="11249753"/>
                    </a:xfrm>
                    <a:prstGeom prst="rect">
                      <a:avLst/>
                    </a:prstGeom>
                  </pic:spPr>
                </pic:pic>
              </a:graphicData>
            </a:graphic>
          </wp:inline>
        </w:drawing>
      </w:r>
    </w:p>
    <w:p w14:paraId="6E55B6A9">
      <w:pPr>
        <w:ind w:firstLine="0" w:firstLineChars="0"/>
      </w:pPr>
    </w:p>
    <w:p w14:paraId="0135058C">
      <w:pPr>
        <w:ind w:firstLine="0" w:firstLineChars="0"/>
        <w:sectPr>
          <w:pgSz w:w="16783" w:h="23757"/>
          <w:pgMar w:top="1440" w:right="1797" w:bottom="1440" w:left="1797" w:header="851" w:footer="992" w:gutter="0"/>
          <w:cols w:space="425" w:num="1"/>
          <w:docGrid w:type="linesAndChars" w:linePitch="326" w:charSpace="0"/>
        </w:sectPr>
      </w:pPr>
    </w:p>
    <w:p w14:paraId="573570B3">
      <w:pPr>
        <w:pStyle w:val="2"/>
        <w:spacing w:before="0" w:after="0"/>
      </w:pPr>
      <w:bookmarkStart w:id="1038" w:name="_Toc16675129"/>
      <w:r>
        <w:rPr>
          <w:rFonts w:hint="eastAsia"/>
        </w:rPr>
        <w:t>附图8 中山市生态功能区划</w:t>
      </w:r>
      <w:bookmarkEnd w:id="1038"/>
    </w:p>
    <w:p w14:paraId="0A2C949D">
      <w:pPr>
        <w:spacing w:line="240" w:lineRule="auto"/>
        <w:ind w:firstLine="0" w:firstLineChars="0"/>
        <w:rPr>
          <w:sz w:val="18"/>
          <w:szCs w:val="18"/>
        </w:rPr>
      </w:pPr>
    </w:p>
    <w:p w14:paraId="21C58DEC">
      <w:pPr>
        <w:ind w:firstLine="0" w:firstLineChars="0"/>
        <w:sectPr>
          <w:pgSz w:w="11906" w:h="16838"/>
          <w:pgMar w:top="1440" w:right="1797" w:bottom="1440" w:left="1797" w:header="851" w:footer="992" w:gutter="0"/>
          <w:cols w:space="425" w:num="1"/>
          <w:docGrid w:type="linesAndChars" w:linePitch="326" w:charSpace="0"/>
        </w:sectPr>
      </w:pPr>
      <w:r>
        <w:rPr>
          <w:rFonts w:hint="eastAsia"/>
        </w:rPr>
        <w:drawing>
          <wp:inline distT="0" distB="0" distL="0" distR="0">
            <wp:extent cx="5314950" cy="77806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 cstate="print">
                      <a:extLst>
                        <a:ext uri="{28A0092B-C50C-407E-A947-70E740481C1C}">
                          <a14:useLocalDpi xmlns:a14="http://schemas.microsoft.com/office/drawing/2010/main" val="0"/>
                        </a:ext>
                      </a:extLst>
                    </a:blip>
                    <a:srcRect r="1468"/>
                    <a:stretch>
                      <a:fillRect/>
                    </a:stretch>
                  </pic:blipFill>
                  <pic:spPr>
                    <a:xfrm>
                      <a:off x="0" y="0"/>
                      <a:ext cx="5317778" cy="7785123"/>
                    </a:xfrm>
                    <a:prstGeom prst="rect">
                      <a:avLst/>
                    </a:prstGeom>
                    <a:ln>
                      <a:noFill/>
                    </a:ln>
                  </pic:spPr>
                </pic:pic>
              </a:graphicData>
            </a:graphic>
          </wp:inline>
        </w:drawing>
      </w:r>
    </w:p>
    <w:p w14:paraId="76772876">
      <w:pPr>
        <w:pStyle w:val="2"/>
        <w:spacing w:before="0" w:after="0"/>
      </w:pPr>
      <w:bookmarkStart w:id="1039" w:name="_Toc16675130"/>
      <w:r>
        <w:rPr>
          <w:rFonts w:hint="eastAsia"/>
        </w:rPr>
        <w:t>附图9 西区生态控制线</w:t>
      </w:r>
      <w:bookmarkEnd w:id="1039"/>
    </w:p>
    <w:p w14:paraId="5B1732AF">
      <w:pPr>
        <w:ind w:firstLine="0" w:firstLineChars="0"/>
      </w:pPr>
    </w:p>
    <w:p w14:paraId="37C4C3AD">
      <w:pPr>
        <w:ind w:firstLine="0" w:firstLineChars="0"/>
        <w:sectPr>
          <w:pgSz w:w="16783" w:h="23757"/>
          <w:pgMar w:top="1440" w:right="1797" w:bottom="1440" w:left="1797" w:header="851" w:footer="992" w:gutter="0"/>
          <w:cols w:space="425" w:num="1"/>
          <w:docGrid w:type="linesAndChars" w:linePitch="326" w:charSpace="0"/>
        </w:sectPr>
      </w:pPr>
      <w:r>
        <w:rPr>
          <w:rFonts w:hint="eastAsia"/>
        </w:rPr>
        <w:drawing>
          <wp:inline distT="0" distB="0" distL="114300" distR="114300">
            <wp:extent cx="8373745" cy="11529695"/>
            <wp:effectExtent l="19050" t="19050" r="27305" b="146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373745" cy="11530077"/>
                    </a:xfrm>
                    <a:prstGeom prst="rect">
                      <a:avLst/>
                    </a:prstGeom>
                    <a:ln>
                      <a:solidFill>
                        <a:schemeClr val="bg1">
                          <a:lumMod val="50000"/>
                        </a:schemeClr>
                      </a:solidFill>
                    </a:ln>
                  </pic:spPr>
                </pic:pic>
              </a:graphicData>
            </a:graphic>
          </wp:inline>
        </w:drawing>
      </w:r>
    </w:p>
    <w:p w14:paraId="14AFBB0B">
      <w:pPr>
        <w:pStyle w:val="2"/>
        <w:spacing w:before="0" w:after="0"/>
      </w:pPr>
      <w:bookmarkStart w:id="1040" w:name="_Toc16675131"/>
      <w:r>
        <w:rPr>
          <w:rFonts w:hint="eastAsia"/>
        </w:rPr>
        <w:t>附图10 西区城市蓝线空间控制图</w:t>
      </w:r>
      <w:bookmarkEnd w:id="1040"/>
    </w:p>
    <w:p w14:paraId="4DCE8B10">
      <w:pPr>
        <w:ind w:firstLine="0" w:firstLineChars="0"/>
      </w:pPr>
    </w:p>
    <w:p w14:paraId="1F2304C6">
      <w:pPr>
        <w:ind w:firstLine="0" w:firstLineChars="0"/>
        <w:sectPr>
          <w:pgSz w:w="16783" w:h="23757"/>
          <w:pgMar w:top="1440" w:right="1797" w:bottom="1440" w:left="1797" w:header="851" w:footer="992" w:gutter="0"/>
          <w:cols w:space="425" w:num="1"/>
          <w:docGrid w:type="linesAndChars" w:linePitch="326" w:charSpace="0"/>
        </w:sectPr>
      </w:pPr>
      <w:r>
        <w:rPr>
          <w:rFonts w:hint="eastAsia"/>
        </w:rPr>
        <w:drawing>
          <wp:inline distT="0" distB="0" distL="114300" distR="114300">
            <wp:extent cx="8369300" cy="11508105"/>
            <wp:effectExtent l="19050" t="19050" r="12700" b="171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369783" cy="11508105"/>
                    </a:xfrm>
                    <a:prstGeom prst="rect">
                      <a:avLst/>
                    </a:prstGeom>
                    <a:ln>
                      <a:solidFill>
                        <a:schemeClr val="bg1">
                          <a:lumMod val="50000"/>
                        </a:schemeClr>
                      </a:solidFill>
                    </a:ln>
                  </pic:spPr>
                </pic:pic>
              </a:graphicData>
            </a:graphic>
          </wp:inline>
        </w:drawing>
      </w:r>
    </w:p>
    <w:p w14:paraId="12BD40BB">
      <w:pPr>
        <w:pStyle w:val="2"/>
        <w:spacing w:before="0" w:after="0"/>
      </w:pPr>
      <w:bookmarkStart w:id="1041" w:name="_Toc16675132"/>
      <w:r>
        <w:rPr>
          <w:rFonts w:hint="eastAsia"/>
        </w:rPr>
        <w:t>附图11 西区在中山市海绵空间格局的定位</w:t>
      </w:r>
      <w:bookmarkEnd w:id="1041"/>
    </w:p>
    <w:p w14:paraId="5BDCF17B">
      <w:pPr>
        <w:spacing w:line="240" w:lineRule="auto"/>
        <w:ind w:firstLine="0" w:firstLineChars="0"/>
        <w:rPr>
          <w:szCs w:val="24"/>
        </w:rPr>
      </w:pPr>
    </w:p>
    <w:p w14:paraId="65429FD5">
      <w:pPr>
        <w:ind w:firstLine="0" w:firstLineChars="0"/>
        <w:rPr>
          <w:szCs w:val="24"/>
        </w:rPr>
        <w:sectPr>
          <w:pgSz w:w="11906" w:h="16838"/>
          <w:pgMar w:top="1440" w:right="1797" w:bottom="1440" w:left="1797" w:header="851" w:footer="992" w:gutter="0"/>
          <w:cols w:space="425" w:num="1"/>
          <w:docGrid w:type="linesAndChars" w:linePitch="326" w:charSpace="0"/>
        </w:sectPr>
      </w:pPr>
      <w:r>
        <w:rPr>
          <w:szCs w:val="24"/>
        </w:rPr>
        <w:drawing>
          <wp:inline distT="0" distB="0" distL="114300" distR="114300">
            <wp:extent cx="5576570" cy="7372985"/>
            <wp:effectExtent l="0" t="0" r="5080" b="18415"/>
            <wp:docPr id="45" name="图片 22" descr="海绵城市自然生态空间格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2" descr="海绵城市自然生态空间格局图"/>
                    <pic:cNvPicPr>
                      <a:picLocks noChangeAspect="1"/>
                    </pic:cNvPicPr>
                  </pic:nvPicPr>
                  <pic:blipFill>
                    <a:blip r:embed="rId32"/>
                    <a:srcRect l="725" t="10086" r="725" b="8696"/>
                    <a:stretch>
                      <a:fillRect/>
                    </a:stretch>
                  </pic:blipFill>
                  <pic:spPr>
                    <a:xfrm>
                      <a:off x="0" y="0"/>
                      <a:ext cx="5576570" cy="7372985"/>
                    </a:xfrm>
                    <a:prstGeom prst="rect">
                      <a:avLst/>
                    </a:prstGeom>
                    <a:noFill/>
                    <a:ln w="9525">
                      <a:noFill/>
                    </a:ln>
                  </pic:spPr>
                </pic:pic>
              </a:graphicData>
            </a:graphic>
          </wp:inline>
        </w:drawing>
      </w:r>
    </w:p>
    <w:p w14:paraId="26A293B9">
      <w:pPr>
        <w:pStyle w:val="2"/>
        <w:spacing w:before="0" w:after="0"/>
      </w:pPr>
      <w:bookmarkStart w:id="1042" w:name="_Toc16675133"/>
      <w:r>
        <w:rPr>
          <w:rFonts w:hint="eastAsia"/>
        </w:rPr>
        <w:t>附图1</w:t>
      </w:r>
      <w:r>
        <w:t>2</w:t>
      </w:r>
      <w:r>
        <w:rPr>
          <w:rFonts w:hint="eastAsia"/>
        </w:rPr>
        <w:t xml:space="preserve"> 西区排涝区在中山市排涝区的分布图</w:t>
      </w:r>
      <w:bookmarkEnd w:id="1042"/>
    </w:p>
    <w:p w14:paraId="6AD9D5AF">
      <w:pPr>
        <w:spacing w:line="240" w:lineRule="auto"/>
        <w:ind w:firstLine="0" w:firstLineChars="0"/>
      </w:pPr>
    </w:p>
    <w:p w14:paraId="049AEEE2">
      <w:pPr>
        <w:ind w:firstLine="0" w:firstLineChars="0"/>
        <w:rPr>
          <w:szCs w:val="24"/>
        </w:rPr>
        <w:sectPr>
          <w:pgSz w:w="11906" w:h="16838"/>
          <w:pgMar w:top="1440" w:right="1797" w:bottom="1440" w:left="1797" w:header="851" w:footer="992" w:gutter="0"/>
          <w:cols w:space="425" w:num="1"/>
          <w:docGrid w:type="linesAndChars" w:linePitch="326" w:charSpace="0"/>
        </w:sectPr>
      </w:pPr>
      <w:r>
        <w:drawing>
          <wp:inline distT="0" distB="0" distL="0" distR="0">
            <wp:extent cx="5278120" cy="7226935"/>
            <wp:effectExtent l="19050" t="19050" r="17780" b="1206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8120" cy="7226935"/>
                    </a:xfrm>
                    <a:prstGeom prst="rect">
                      <a:avLst/>
                    </a:prstGeom>
                    <a:ln>
                      <a:solidFill>
                        <a:sysClr val="window" lastClr="FFFFFF">
                          <a:lumMod val="50000"/>
                        </a:sysClr>
                      </a:solidFill>
                    </a:ln>
                  </pic:spPr>
                </pic:pic>
              </a:graphicData>
            </a:graphic>
          </wp:inline>
        </w:drawing>
      </w:r>
    </w:p>
    <w:p w14:paraId="45517667">
      <w:pPr>
        <w:pStyle w:val="2"/>
        <w:spacing w:before="0" w:after="0"/>
      </w:pPr>
      <w:bookmarkStart w:id="1043" w:name="_Toc16675134"/>
      <w:r>
        <w:rPr>
          <w:rFonts w:hint="eastAsia"/>
        </w:rPr>
        <w:t>附图1</w:t>
      </w:r>
      <w:r>
        <w:t>3</w:t>
      </w:r>
      <w:r>
        <w:rPr>
          <w:rFonts w:hint="eastAsia"/>
        </w:rPr>
        <w:t xml:space="preserve"> 中心城区防洪排涝围堤示意图</w:t>
      </w:r>
      <w:bookmarkEnd w:id="1043"/>
      <w:r>
        <w:rPr>
          <w:rFonts w:hint="eastAsia"/>
        </w:rPr>
        <w:t xml:space="preserve"> </w:t>
      </w:r>
    </w:p>
    <w:p w14:paraId="6DE9A8CF">
      <w:pPr>
        <w:ind w:firstLine="0" w:firstLineChars="0"/>
        <w:jc w:val="center"/>
        <w:rPr>
          <w:szCs w:val="24"/>
        </w:rPr>
        <w:sectPr>
          <w:pgSz w:w="16838" w:h="11906" w:orient="landscape"/>
          <w:pgMar w:top="1797" w:right="1440" w:bottom="1797" w:left="1440" w:header="851" w:footer="992" w:gutter="0"/>
          <w:cols w:space="425" w:num="1"/>
          <w:docGrid w:type="linesAndChars" w:linePitch="326" w:charSpace="0"/>
        </w:sectPr>
      </w:pPr>
      <w:r>
        <w:rPr>
          <w:rFonts w:hint="eastAsia"/>
          <w:szCs w:val="24"/>
        </w:rPr>
        <w:drawing>
          <wp:inline distT="0" distB="0" distL="114300" distR="114300">
            <wp:extent cx="6655435" cy="4707890"/>
            <wp:effectExtent l="9525" t="9525" r="21590" b="26035"/>
            <wp:docPr id="25" name="图片 25" descr="中心城区排涝围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中心城区排涝围堤"/>
                    <pic:cNvPicPr>
                      <a:picLocks noChangeAspect="1"/>
                    </pic:cNvPicPr>
                  </pic:nvPicPr>
                  <pic:blipFill>
                    <a:blip r:embed="rId34"/>
                    <a:stretch>
                      <a:fillRect/>
                    </a:stretch>
                  </pic:blipFill>
                  <pic:spPr>
                    <a:xfrm>
                      <a:off x="0" y="0"/>
                      <a:ext cx="6655435" cy="4707890"/>
                    </a:xfrm>
                    <a:prstGeom prst="rect">
                      <a:avLst/>
                    </a:prstGeom>
                    <a:ln>
                      <a:solidFill>
                        <a:schemeClr val="bg1">
                          <a:lumMod val="65000"/>
                        </a:schemeClr>
                      </a:solidFill>
                    </a:ln>
                  </pic:spPr>
                </pic:pic>
              </a:graphicData>
            </a:graphic>
          </wp:inline>
        </w:drawing>
      </w:r>
    </w:p>
    <w:p w14:paraId="0A3F3EC0">
      <w:pPr>
        <w:pStyle w:val="2"/>
        <w:spacing w:before="0" w:after="0"/>
      </w:pPr>
      <w:bookmarkStart w:id="1044" w:name="_Toc16675135"/>
      <w:r>
        <w:rPr>
          <w:rFonts w:hint="eastAsia"/>
        </w:rPr>
        <w:t>附图1</w:t>
      </w:r>
      <w:r>
        <w:t>4</w:t>
      </w:r>
      <w:r>
        <w:rPr>
          <w:rFonts w:hint="eastAsia"/>
        </w:rPr>
        <w:t xml:space="preserve"> 西区易涝点在中山中心城区的分布图</w:t>
      </w:r>
      <w:bookmarkEnd w:id="1044"/>
      <w:r>
        <w:rPr>
          <w:rFonts w:hint="eastAsia"/>
        </w:rPr>
        <w:t xml:space="preserve"> </w:t>
      </w:r>
    </w:p>
    <w:p w14:paraId="3EB2F33B">
      <w:pPr>
        <w:ind w:firstLine="0" w:firstLineChars="0"/>
        <w:jc w:val="center"/>
        <w:rPr>
          <w:szCs w:val="24"/>
        </w:rPr>
      </w:pPr>
      <w:r>
        <w:rPr>
          <w:rFonts w:hint="eastAsia"/>
          <w:szCs w:val="24"/>
        </w:rPr>
        <w:drawing>
          <wp:inline distT="0" distB="0" distL="114300" distR="114300">
            <wp:extent cx="10517505" cy="7616190"/>
            <wp:effectExtent l="9525" t="9525" r="26670" b="13335"/>
            <wp:docPr id="31" name="图片 31" descr="西区易涝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西区易涝点2"/>
                    <pic:cNvPicPr>
                      <a:picLocks noChangeAspect="1"/>
                    </pic:cNvPicPr>
                  </pic:nvPicPr>
                  <pic:blipFill>
                    <a:blip r:embed="rId35"/>
                    <a:srcRect l="2243" t="1154"/>
                    <a:stretch>
                      <a:fillRect/>
                    </a:stretch>
                  </pic:blipFill>
                  <pic:spPr>
                    <a:xfrm>
                      <a:off x="0" y="0"/>
                      <a:ext cx="10517505" cy="7616190"/>
                    </a:xfrm>
                    <a:prstGeom prst="rect">
                      <a:avLst/>
                    </a:prstGeom>
                    <a:ln>
                      <a:solidFill>
                        <a:schemeClr val="bg1">
                          <a:lumMod val="50000"/>
                        </a:schemeClr>
                      </a:solidFill>
                    </a:ln>
                  </pic:spPr>
                </pic:pic>
              </a:graphicData>
            </a:graphic>
          </wp:inline>
        </w:drawing>
      </w:r>
    </w:p>
    <w:p w14:paraId="0B8FBE5F">
      <w:pPr>
        <w:ind w:firstLine="0" w:firstLineChars="0"/>
      </w:pPr>
    </w:p>
    <w:p w14:paraId="6ED40A37">
      <w:pPr>
        <w:ind w:firstLine="0" w:firstLineChars="0"/>
        <w:sectPr>
          <w:pgSz w:w="23757" w:h="16783" w:orient="landscape"/>
          <w:pgMar w:top="1797" w:right="1440" w:bottom="1797" w:left="1440" w:header="851" w:footer="992" w:gutter="0"/>
          <w:cols w:space="425" w:num="1"/>
          <w:docGrid w:type="linesAndChars" w:linePitch="326" w:charSpace="0"/>
        </w:sectPr>
      </w:pPr>
    </w:p>
    <w:p w14:paraId="02EEACD2">
      <w:pPr>
        <w:pStyle w:val="2"/>
        <w:spacing w:before="0" w:after="0"/>
      </w:pPr>
      <w:bookmarkStart w:id="1045" w:name="_Toc16675136"/>
      <w:r>
        <w:rPr>
          <w:rFonts w:hint="eastAsia"/>
        </w:rPr>
        <w:t>附图15 西区的湿地公园在中山市湿地公园的位置</w:t>
      </w:r>
      <w:bookmarkEnd w:id="1045"/>
    </w:p>
    <w:p w14:paraId="2B5D4F61">
      <w:pPr>
        <w:spacing w:line="240" w:lineRule="auto"/>
        <w:ind w:firstLine="0" w:firstLineChars="0"/>
      </w:pPr>
      <w:r>
        <w:rPr>
          <w:rFonts w:hint="eastAsia"/>
        </w:rPr>
        <w:drawing>
          <wp:inline distT="0" distB="0" distL="114300" distR="114300">
            <wp:extent cx="5547995" cy="7762240"/>
            <wp:effectExtent l="9525" t="9525" r="24130" b="19685"/>
            <wp:docPr id="32" name="图片 32" descr="西区在中山市湿地公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西区在中山市湿地公园"/>
                    <pic:cNvPicPr>
                      <a:picLocks noChangeAspect="1"/>
                    </pic:cNvPicPr>
                  </pic:nvPicPr>
                  <pic:blipFill>
                    <a:blip r:embed="rId36"/>
                    <a:stretch>
                      <a:fillRect/>
                    </a:stretch>
                  </pic:blipFill>
                  <pic:spPr>
                    <a:xfrm>
                      <a:off x="0" y="0"/>
                      <a:ext cx="5547995" cy="7762240"/>
                    </a:xfrm>
                    <a:prstGeom prst="rect">
                      <a:avLst/>
                    </a:prstGeom>
                    <a:ln>
                      <a:solidFill>
                        <a:schemeClr val="bg1">
                          <a:lumMod val="50000"/>
                        </a:schemeClr>
                      </a:solidFill>
                    </a:ln>
                  </pic:spPr>
                </pic:pic>
              </a:graphicData>
            </a:graphic>
          </wp:inline>
        </w:drawing>
      </w:r>
    </w:p>
    <w:p w14:paraId="00F643D5">
      <w:pPr>
        <w:ind w:firstLine="0" w:firstLineChars="0"/>
        <w:rPr>
          <w:rFonts w:eastAsia="宋体" w:cs="Times New Roman"/>
          <w:sz w:val="21"/>
        </w:rPr>
        <w:sectPr>
          <w:pgSz w:w="11906" w:h="16838"/>
          <w:pgMar w:top="1440" w:right="1797" w:bottom="1440" w:left="1797" w:header="851" w:footer="992" w:gutter="0"/>
          <w:cols w:space="425" w:num="1"/>
          <w:docGrid w:type="linesAndChars" w:linePitch="326" w:charSpace="0"/>
        </w:sectPr>
      </w:pPr>
    </w:p>
    <w:p w14:paraId="0212D427">
      <w:pPr>
        <w:pStyle w:val="2"/>
        <w:spacing w:before="0" w:after="0"/>
      </w:pPr>
      <w:bookmarkStart w:id="1046" w:name="_Toc16675137"/>
      <w:r>
        <w:rPr>
          <w:rFonts w:hint="eastAsia"/>
        </w:rPr>
        <w:t>附图16 西区水生态文明建设总体布局图</w:t>
      </w:r>
      <w:bookmarkEnd w:id="1046"/>
    </w:p>
    <w:p w14:paraId="13E0176C">
      <w:pPr>
        <w:spacing w:line="240" w:lineRule="auto"/>
        <w:ind w:firstLine="0" w:firstLineChars="0"/>
        <w:jc w:val="center"/>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r>
        <w:rPr>
          <w:rFonts w:hint="eastAsia" w:eastAsia="宋体" w:cs="Times New Roman"/>
          <w:sz w:val="21"/>
        </w:rPr>
        <w:drawing>
          <wp:inline distT="0" distB="0" distL="114300" distR="114300">
            <wp:extent cx="10184765" cy="7759065"/>
            <wp:effectExtent l="9525" t="9525" r="16510" b="22860"/>
            <wp:docPr id="33" name="图片 33" descr="C:\Users\fangqunsheng\Desktop\西区水生态文明建设总体布局图 浅色背景.jpg西区水生态文明建设总体布局图 浅色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fangqunsheng\Desktop\西区水生态文明建设总体布局图 浅色背景.jpg西区水生态文明建设总体布局图 浅色背景"/>
                    <pic:cNvPicPr>
                      <a:picLocks noChangeAspect="1"/>
                    </pic:cNvPicPr>
                  </pic:nvPicPr>
                  <pic:blipFill>
                    <a:blip r:embed="rId37"/>
                    <a:srcRect/>
                    <a:stretch>
                      <a:fillRect/>
                    </a:stretch>
                  </pic:blipFill>
                  <pic:spPr>
                    <a:xfrm>
                      <a:off x="0" y="0"/>
                      <a:ext cx="10184765" cy="7759065"/>
                    </a:xfrm>
                    <a:prstGeom prst="rect">
                      <a:avLst/>
                    </a:prstGeom>
                    <a:ln>
                      <a:solidFill>
                        <a:schemeClr val="bg1">
                          <a:lumMod val="50000"/>
                        </a:schemeClr>
                      </a:solidFill>
                    </a:ln>
                  </pic:spPr>
                </pic:pic>
              </a:graphicData>
            </a:graphic>
          </wp:inline>
        </w:drawing>
      </w:r>
    </w:p>
    <w:p w14:paraId="490FCDC0">
      <w:pPr>
        <w:pStyle w:val="2"/>
        <w:spacing w:before="0" w:after="0"/>
      </w:pPr>
      <w:bookmarkStart w:id="1047" w:name="_Toc16675138"/>
      <w:r>
        <w:rPr>
          <w:rFonts w:hint="eastAsia"/>
        </w:rPr>
        <w:t>附图17 西区水生态文明建设近期重点工程布置图</w:t>
      </w:r>
      <w:bookmarkEnd w:id="1047"/>
    </w:p>
    <w:p w14:paraId="2CE593B8">
      <w:pPr>
        <w:spacing w:line="240" w:lineRule="auto"/>
        <w:ind w:firstLine="0" w:firstLineChars="0"/>
        <w:jc w:val="center"/>
        <w:rPr>
          <w:rFonts w:eastAsia="宋体" w:cs="Times New Roman"/>
          <w:sz w:val="21"/>
        </w:rPr>
      </w:pPr>
      <w:r>
        <w:rPr>
          <w:rFonts w:hint="eastAsia" w:eastAsia="宋体" w:cs="Times New Roman"/>
          <w:sz w:val="21"/>
        </w:rPr>
        <w:drawing>
          <wp:inline distT="0" distB="0" distL="114300" distR="114300">
            <wp:extent cx="9758045" cy="7433945"/>
            <wp:effectExtent l="19050" t="19050" r="14605" b="146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765925" cy="7440224"/>
                    </a:xfrm>
                    <a:prstGeom prst="rect">
                      <a:avLst/>
                    </a:prstGeom>
                    <a:ln>
                      <a:solidFill>
                        <a:schemeClr val="bg1">
                          <a:lumMod val="50000"/>
                        </a:schemeClr>
                      </a:solidFill>
                    </a:ln>
                  </pic:spPr>
                </pic:pic>
              </a:graphicData>
            </a:graphic>
          </wp:inline>
        </w:drawing>
      </w:r>
    </w:p>
    <w:p w14:paraId="04C80334">
      <w:pPr>
        <w:spacing w:line="240" w:lineRule="auto"/>
        <w:ind w:firstLine="0" w:firstLineChars="0"/>
        <w:jc w:val="distribute"/>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p>
    <w:p w14:paraId="6F2CABE5">
      <w:pPr>
        <w:pStyle w:val="2"/>
        <w:spacing w:before="0" w:after="0"/>
      </w:pPr>
      <w:bookmarkStart w:id="1048" w:name="_Toc16675139"/>
      <w:r>
        <w:rPr>
          <w:rFonts w:hint="eastAsia"/>
        </w:rPr>
        <w:t>附图18 西区水生态文明建设中期重点工程布置图</w:t>
      </w:r>
      <w:bookmarkEnd w:id="1048"/>
    </w:p>
    <w:p w14:paraId="2816596F">
      <w:pPr>
        <w:spacing w:line="240" w:lineRule="auto"/>
        <w:ind w:firstLine="0" w:firstLineChars="0"/>
        <w:jc w:val="center"/>
        <w:rPr>
          <w:rFonts w:eastAsia="宋体" w:cs="Times New Roman"/>
          <w:sz w:val="21"/>
        </w:rPr>
      </w:pPr>
      <w:r>
        <w:rPr>
          <w:rFonts w:hint="eastAsia" w:eastAsia="宋体" w:cs="Times New Roman"/>
          <w:sz w:val="21"/>
        </w:rPr>
        <w:drawing>
          <wp:inline distT="0" distB="0" distL="114300" distR="114300">
            <wp:extent cx="10178415" cy="7753985"/>
            <wp:effectExtent l="19050" t="19050" r="13335" b="184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183390" cy="7758271"/>
                    </a:xfrm>
                    <a:prstGeom prst="rect">
                      <a:avLst/>
                    </a:prstGeom>
                    <a:ln>
                      <a:solidFill>
                        <a:schemeClr val="bg1">
                          <a:lumMod val="50000"/>
                        </a:schemeClr>
                      </a:solidFill>
                    </a:ln>
                  </pic:spPr>
                </pic:pic>
              </a:graphicData>
            </a:graphic>
          </wp:inline>
        </w:drawing>
      </w:r>
    </w:p>
    <w:p w14:paraId="09D73058">
      <w:pPr>
        <w:spacing w:line="240" w:lineRule="auto"/>
        <w:ind w:firstLine="0" w:firstLineChars="0"/>
        <w:jc w:val="distribute"/>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p>
    <w:p w14:paraId="2118A260">
      <w:pPr>
        <w:pStyle w:val="2"/>
        <w:spacing w:before="0" w:after="0"/>
      </w:pPr>
      <w:bookmarkStart w:id="1049" w:name="_Toc16675140"/>
      <w:r>
        <w:rPr>
          <w:rFonts w:hint="eastAsia"/>
        </w:rPr>
        <w:t>附图1</w:t>
      </w:r>
      <w:r>
        <w:t>9</w:t>
      </w:r>
      <w:r>
        <w:rPr>
          <w:rFonts w:hint="eastAsia"/>
        </w:rPr>
        <w:t xml:space="preserve"> 西区水生态文明建设远期重点工程布置图</w:t>
      </w:r>
      <w:bookmarkEnd w:id="1049"/>
    </w:p>
    <w:p w14:paraId="6BC9A33B">
      <w:pPr>
        <w:ind w:firstLine="480"/>
        <w:jc w:val="center"/>
      </w:pPr>
      <w:r>
        <w:rPr>
          <w:rFonts w:hint="eastAsia"/>
        </w:rPr>
        <w:drawing>
          <wp:inline distT="0" distB="0" distL="0" distR="0">
            <wp:extent cx="10075545" cy="7675880"/>
            <wp:effectExtent l="19050" t="19050" r="20955" b="203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084819" cy="7683033"/>
                    </a:xfrm>
                    <a:prstGeom prst="rect">
                      <a:avLst/>
                    </a:prstGeom>
                    <a:ln w="9525">
                      <a:solidFill>
                        <a:schemeClr val="bg1">
                          <a:lumMod val="65000"/>
                        </a:schemeClr>
                      </a:solidFill>
                    </a:ln>
                  </pic:spPr>
                </pic:pic>
              </a:graphicData>
            </a:graphic>
          </wp:inline>
        </w:drawing>
      </w:r>
    </w:p>
    <w:p w14:paraId="21E161D4">
      <w:pPr>
        <w:spacing w:line="240" w:lineRule="auto"/>
        <w:ind w:firstLine="0" w:firstLineChars="0"/>
        <w:jc w:val="distribute"/>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p>
    <w:p w14:paraId="5BF6F969">
      <w:pPr>
        <w:pStyle w:val="2"/>
        <w:spacing w:before="0" w:after="0" w:line="360" w:lineRule="auto"/>
        <w:rPr>
          <w:sz w:val="21"/>
        </w:rPr>
      </w:pPr>
      <w:bookmarkStart w:id="1050" w:name="_Toc16675141"/>
      <w:r>
        <w:t>附表</w:t>
      </w:r>
      <w:r>
        <w:rPr>
          <w:rFonts w:hint="eastAsia"/>
        </w:rPr>
        <w:t>1</w:t>
      </w:r>
      <w:r>
        <w:t xml:space="preserve"> </w:t>
      </w:r>
      <w:r>
        <w:rPr>
          <w:rFonts w:hint="eastAsia"/>
        </w:rPr>
        <w:t>中山市2016~2020年度各镇区用水指标分配方案</w:t>
      </w:r>
      <w:bookmarkEnd w:id="1030"/>
      <w:bookmarkEnd w:id="1031"/>
      <w:bookmarkEnd w:id="1050"/>
    </w:p>
    <w:tbl>
      <w:tblPr>
        <w:tblStyle w:val="25"/>
        <w:tblW w:w="16092" w:type="dxa"/>
        <w:jc w:val="center"/>
        <w:tblLayout w:type="fixed"/>
        <w:tblCellMar>
          <w:top w:w="0" w:type="dxa"/>
          <w:left w:w="108" w:type="dxa"/>
          <w:bottom w:w="0" w:type="dxa"/>
          <w:right w:w="108" w:type="dxa"/>
        </w:tblCellMar>
      </w:tblPr>
      <w:tblGrid>
        <w:gridCol w:w="964"/>
        <w:gridCol w:w="936"/>
        <w:gridCol w:w="980"/>
        <w:gridCol w:w="681"/>
        <w:gridCol w:w="750"/>
        <w:gridCol w:w="1159"/>
        <w:gridCol w:w="845"/>
        <w:gridCol w:w="842"/>
        <w:gridCol w:w="839"/>
        <w:gridCol w:w="800"/>
        <w:gridCol w:w="792"/>
        <w:gridCol w:w="1159"/>
        <w:gridCol w:w="723"/>
        <w:gridCol w:w="695"/>
        <w:gridCol w:w="627"/>
        <w:gridCol w:w="720"/>
        <w:gridCol w:w="720"/>
        <w:gridCol w:w="880"/>
        <w:gridCol w:w="980"/>
      </w:tblGrid>
      <w:tr w14:paraId="6BA50256">
        <w:tblPrEx>
          <w:tblCellMar>
            <w:top w:w="0" w:type="dxa"/>
            <w:left w:w="108" w:type="dxa"/>
            <w:bottom w:w="0" w:type="dxa"/>
            <w:right w:w="108" w:type="dxa"/>
          </w:tblCellMar>
        </w:tblPrEx>
        <w:trPr>
          <w:cantSplit/>
          <w:trHeight w:val="900" w:hRule="atLeast"/>
          <w:tblHeader/>
          <w:jc w:val="center"/>
        </w:trPr>
        <w:tc>
          <w:tcPr>
            <w:tcW w:w="964" w:type="dxa"/>
            <w:vMerge w:val="restart"/>
            <w:tcBorders>
              <w:top w:val="single" w:color="auto" w:sz="4" w:space="0"/>
              <w:left w:val="single" w:color="auto" w:sz="4" w:space="0"/>
              <w:bottom w:val="single" w:color="000000" w:sz="4" w:space="0"/>
              <w:right w:val="single" w:color="auto" w:sz="4" w:space="0"/>
            </w:tcBorders>
            <w:vAlign w:val="center"/>
          </w:tcPr>
          <w:p w14:paraId="5338FE6F">
            <w:pPr>
              <w:widowControl/>
              <w:spacing w:line="240" w:lineRule="auto"/>
              <w:ind w:firstLine="0" w:firstLineChars="0"/>
              <w:jc w:val="center"/>
              <w:rPr>
                <w:rFonts w:eastAsia="仿宋_GB2312"/>
                <w:b/>
                <w:bCs/>
                <w:sz w:val="18"/>
                <w:szCs w:val="18"/>
              </w:rPr>
            </w:pPr>
            <w:r>
              <w:rPr>
                <w:rFonts w:hint="eastAsia" w:eastAsia="仿宋_GB2312"/>
                <w:b/>
                <w:bCs/>
                <w:sz w:val="18"/>
                <w:szCs w:val="18"/>
              </w:rPr>
              <w:t>镇区</w:t>
            </w:r>
          </w:p>
        </w:tc>
        <w:tc>
          <w:tcPr>
            <w:tcW w:w="3347" w:type="dxa"/>
            <w:gridSpan w:val="4"/>
            <w:tcBorders>
              <w:top w:val="single" w:color="auto" w:sz="4" w:space="0"/>
              <w:left w:val="nil"/>
              <w:bottom w:val="single" w:color="auto" w:sz="4" w:space="0"/>
              <w:right w:val="single" w:color="auto" w:sz="4" w:space="0"/>
            </w:tcBorders>
            <w:vAlign w:val="center"/>
          </w:tcPr>
          <w:p w14:paraId="550AEE80">
            <w:pPr>
              <w:widowControl/>
              <w:spacing w:line="240" w:lineRule="auto"/>
              <w:ind w:firstLine="361"/>
              <w:jc w:val="center"/>
              <w:rPr>
                <w:rFonts w:eastAsia="仿宋_GB2312"/>
                <w:b/>
                <w:bCs/>
                <w:sz w:val="18"/>
                <w:szCs w:val="18"/>
              </w:rPr>
            </w:pPr>
            <w:r>
              <w:rPr>
                <w:rFonts w:hint="eastAsia" w:eastAsia="仿宋_GB2312"/>
                <w:b/>
                <w:bCs/>
                <w:sz w:val="18"/>
                <w:szCs w:val="18"/>
              </w:rPr>
              <w:t>用水总量控制指标（万</w:t>
            </w:r>
            <w:r>
              <w:rPr>
                <w:rFonts w:eastAsia="仿宋_GB2312"/>
                <w:b/>
                <w:bCs/>
                <w:sz w:val="18"/>
                <w:szCs w:val="18"/>
              </w:rPr>
              <w:t>m</w:t>
            </w:r>
            <w:r>
              <w:rPr>
                <w:b/>
                <w:bCs/>
                <w:sz w:val="18"/>
                <w:szCs w:val="18"/>
              </w:rPr>
              <w:t>³</w:t>
            </w:r>
            <w:r>
              <w:rPr>
                <w:rFonts w:hint="eastAsia" w:eastAsia="仿宋_GB2312"/>
                <w:b/>
                <w:bCs/>
                <w:sz w:val="18"/>
                <w:szCs w:val="18"/>
              </w:rPr>
              <w:t>）</w:t>
            </w:r>
          </w:p>
        </w:tc>
        <w:tc>
          <w:tcPr>
            <w:tcW w:w="10801" w:type="dxa"/>
            <w:gridSpan w:val="13"/>
            <w:tcBorders>
              <w:top w:val="single" w:color="auto" w:sz="4" w:space="0"/>
              <w:left w:val="nil"/>
              <w:bottom w:val="single" w:color="auto" w:sz="4" w:space="0"/>
              <w:right w:val="single" w:color="auto" w:sz="4" w:space="0"/>
            </w:tcBorders>
            <w:vAlign w:val="center"/>
          </w:tcPr>
          <w:p w14:paraId="5F44F5C2">
            <w:pPr>
              <w:widowControl/>
              <w:spacing w:line="240" w:lineRule="auto"/>
              <w:ind w:firstLine="361"/>
              <w:jc w:val="center"/>
              <w:rPr>
                <w:rFonts w:eastAsia="仿宋_GB2312"/>
                <w:b/>
                <w:bCs/>
                <w:sz w:val="18"/>
                <w:szCs w:val="18"/>
              </w:rPr>
            </w:pPr>
            <w:r>
              <w:rPr>
                <w:rFonts w:hint="eastAsia" w:eastAsia="仿宋_GB2312"/>
                <w:b/>
                <w:bCs/>
                <w:sz w:val="18"/>
                <w:szCs w:val="18"/>
              </w:rPr>
              <w:t>用水效率控制指标</w:t>
            </w:r>
          </w:p>
        </w:tc>
        <w:tc>
          <w:tcPr>
            <w:tcW w:w="980" w:type="dxa"/>
            <w:tcBorders>
              <w:top w:val="single" w:color="auto" w:sz="4" w:space="0"/>
              <w:left w:val="nil"/>
              <w:bottom w:val="single" w:color="auto" w:sz="4" w:space="0"/>
              <w:right w:val="single" w:color="auto" w:sz="4" w:space="0"/>
            </w:tcBorders>
            <w:vAlign w:val="center"/>
          </w:tcPr>
          <w:p w14:paraId="22715109">
            <w:pPr>
              <w:widowControl/>
              <w:spacing w:line="240" w:lineRule="auto"/>
              <w:ind w:firstLine="0" w:firstLineChars="0"/>
              <w:jc w:val="center"/>
              <w:rPr>
                <w:rFonts w:eastAsia="仿宋_GB2312"/>
                <w:b/>
                <w:bCs/>
                <w:sz w:val="18"/>
                <w:szCs w:val="18"/>
              </w:rPr>
            </w:pPr>
            <w:r>
              <w:rPr>
                <w:rFonts w:hint="eastAsia" w:eastAsia="仿宋_GB2312"/>
                <w:b/>
                <w:bCs/>
                <w:sz w:val="18"/>
                <w:szCs w:val="18"/>
              </w:rPr>
              <w:t>水功能区限制纳污控制</w:t>
            </w:r>
          </w:p>
        </w:tc>
      </w:tr>
      <w:tr w14:paraId="15C2369C">
        <w:tblPrEx>
          <w:tblCellMar>
            <w:top w:w="0" w:type="dxa"/>
            <w:left w:w="108" w:type="dxa"/>
            <w:bottom w:w="0" w:type="dxa"/>
            <w:right w:w="108" w:type="dxa"/>
          </w:tblCellMar>
        </w:tblPrEx>
        <w:trPr>
          <w:cantSplit/>
          <w:trHeight w:val="300" w:hRule="atLeast"/>
          <w:tblHeader/>
          <w:jc w:val="center"/>
        </w:trPr>
        <w:tc>
          <w:tcPr>
            <w:tcW w:w="964" w:type="dxa"/>
            <w:vMerge w:val="continue"/>
            <w:tcBorders>
              <w:top w:val="single" w:color="auto" w:sz="4" w:space="0"/>
              <w:left w:val="single" w:color="auto" w:sz="4" w:space="0"/>
              <w:bottom w:val="single" w:color="000000" w:sz="4" w:space="0"/>
              <w:right w:val="single" w:color="auto" w:sz="4" w:space="0"/>
            </w:tcBorders>
            <w:vAlign w:val="center"/>
          </w:tcPr>
          <w:p w14:paraId="1C738F94">
            <w:pPr>
              <w:widowControl/>
              <w:spacing w:line="240" w:lineRule="auto"/>
              <w:ind w:firstLine="361"/>
              <w:jc w:val="center"/>
              <w:rPr>
                <w:rFonts w:eastAsia="仿宋_GB2312"/>
                <w:b/>
                <w:bCs/>
                <w:sz w:val="18"/>
                <w:szCs w:val="18"/>
              </w:rPr>
            </w:pPr>
          </w:p>
        </w:tc>
        <w:tc>
          <w:tcPr>
            <w:tcW w:w="936" w:type="dxa"/>
            <w:vMerge w:val="restart"/>
            <w:tcBorders>
              <w:top w:val="nil"/>
              <w:left w:val="single" w:color="auto" w:sz="4" w:space="0"/>
              <w:bottom w:val="single" w:color="auto" w:sz="4" w:space="0"/>
              <w:right w:val="single" w:color="auto" w:sz="4" w:space="0"/>
            </w:tcBorders>
            <w:vAlign w:val="center"/>
          </w:tcPr>
          <w:p w14:paraId="72C05F40">
            <w:pPr>
              <w:widowControl/>
              <w:spacing w:line="240" w:lineRule="auto"/>
              <w:ind w:firstLine="0" w:firstLineChars="0"/>
              <w:jc w:val="center"/>
              <w:rPr>
                <w:rFonts w:eastAsia="仿宋_GB2312"/>
                <w:b/>
                <w:bCs/>
                <w:sz w:val="18"/>
                <w:szCs w:val="18"/>
              </w:rPr>
            </w:pPr>
            <w:r>
              <w:rPr>
                <w:rFonts w:hint="eastAsia" w:eastAsia="仿宋_GB2312"/>
                <w:b/>
                <w:bCs/>
                <w:sz w:val="18"/>
                <w:szCs w:val="18"/>
              </w:rPr>
              <w:t>用水总量</w:t>
            </w:r>
          </w:p>
        </w:tc>
        <w:tc>
          <w:tcPr>
            <w:tcW w:w="2411" w:type="dxa"/>
            <w:gridSpan w:val="3"/>
            <w:tcBorders>
              <w:top w:val="single" w:color="auto" w:sz="4" w:space="0"/>
              <w:left w:val="nil"/>
              <w:bottom w:val="single" w:color="auto" w:sz="4" w:space="0"/>
              <w:right w:val="single" w:color="auto" w:sz="4" w:space="0"/>
            </w:tcBorders>
            <w:vAlign w:val="center"/>
          </w:tcPr>
          <w:p w14:paraId="7DA02FF5">
            <w:pPr>
              <w:widowControl/>
              <w:spacing w:line="240" w:lineRule="auto"/>
              <w:ind w:firstLine="361"/>
              <w:jc w:val="center"/>
              <w:rPr>
                <w:rFonts w:eastAsia="仿宋_GB2312"/>
                <w:b/>
                <w:bCs/>
                <w:sz w:val="18"/>
                <w:szCs w:val="18"/>
              </w:rPr>
            </w:pPr>
            <w:r>
              <w:rPr>
                <w:rFonts w:hint="eastAsia" w:eastAsia="仿宋_GB2312"/>
                <w:b/>
                <w:bCs/>
                <w:sz w:val="18"/>
                <w:szCs w:val="18"/>
              </w:rPr>
              <w:t>其中</w:t>
            </w:r>
          </w:p>
        </w:tc>
        <w:tc>
          <w:tcPr>
            <w:tcW w:w="5277" w:type="dxa"/>
            <w:gridSpan w:val="6"/>
            <w:vMerge w:val="restart"/>
            <w:tcBorders>
              <w:top w:val="single" w:color="auto" w:sz="4" w:space="0"/>
              <w:left w:val="single" w:color="auto" w:sz="4" w:space="0"/>
              <w:bottom w:val="single" w:color="auto" w:sz="4" w:space="0"/>
              <w:right w:val="single" w:color="auto" w:sz="4" w:space="0"/>
            </w:tcBorders>
            <w:vAlign w:val="center"/>
          </w:tcPr>
          <w:p w14:paraId="0F2C2B39">
            <w:pPr>
              <w:widowControl/>
              <w:spacing w:line="240" w:lineRule="auto"/>
              <w:ind w:firstLine="361"/>
              <w:jc w:val="center"/>
              <w:rPr>
                <w:rFonts w:eastAsia="仿宋_GB2312"/>
                <w:b/>
                <w:bCs/>
                <w:sz w:val="18"/>
                <w:szCs w:val="18"/>
              </w:rPr>
            </w:pPr>
            <w:r>
              <w:rPr>
                <w:rFonts w:hint="eastAsia" w:eastAsia="仿宋_GB2312"/>
                <w:b/>
                <w:bCs/>
                <w:sz w:val="18"/>
                <w:szCs w:val="18"/>
              </w:rPr>
              <w:t>万元</w:t>
            </w:r>
            <w:r>
              <w:rPr>
                <w:rFonts w:eastAsia="仿宋_GB2312"/>
                <w:b/>
                <w:bCs/>
                <w:sz w:val="18"/>
                <w:szCs w:val="18"/>
              </w:rPr>
              <w:t>GDP</w:t>
            </w:r>
            <w:r>
              <w:rPr>
                <w:rFonts w:hint="eastAsia" w:eastAsia="仿宋_GB2312"/>
                <w:b/>
                <w:bCs/>
                <w:sz w:val="18"/>
                <w:szCs w:val="18"/>
              </w:rPr>
              <w:t>用水量（</w:t>
            </w:r>
            <w:r>
              <w:rPr>
                <w:rFonts w:eastAsia="仿宋_GB2312"/>
                <w:b/>
                <w:bCs/>
                <w:sz w:val="18"/>
                <w:szCs w:val="18"/>
              </w:rPr>
              <w:t>m³/</w:t>
            </w:r>
            <w:r>
              <w:rPr>
                <w:rFonts w:hint="eastAsia" w:eastAsia="仿宋_GB2312"/>
                <w:b/>
                <w:bCs/>
                <w:sz w:val="18"/>
                <w:szCs w:val="18"/>
              </w:rPr>
              <w:t>万元，不含火电）</w:t>
            </w:r>
          </w:p>
        </w:tc>
        <w:tc>
          <w:tcPr>
            <w:tcW w:w="4644" w:type="dxa"/>
            <w:gridSpan w:val="6"/>
            <w:vMerge w:val="restart"/>
            <w:tcBorders>
              <w:top w:val="single" w:color="auto" w:sz="4" w:space="0"/>
              <w:left w:val="single" w:color="auto" w:sz="4" w:space="0"/>
              <w:bottom w:val="single" w:color="auto" w:sz="4" w:space="0"/>
              <w:right w:val="single" w:color="auto" w:sz="4" w:space="0"/>
            </w:tcBorders>
            <w:vAlign w:val="center"/>
          </w:tcPr>
          <w:p w14:paraId="4793655A">
            <w:pPr>
              <w:widowControl/>
              <w:spacing w:line="240" w:lineRule="auto"/>
              <w:ind w:firstLine="361"/>
              <w:jc w:val="center"/>
              <w:rPr>
                <w:rFonts w:eastAsia="仿宋_GB2312"/>
                <w:b/>
                <w:bCs/>
                <w:sz w:val="18"/>
                <w:szCs w:val="18"/>
              </w:rPr>
            </w:pPr>
            <w:r>
              <w:rPr>
                <w:rFonts w:hint="eastAsia" w:eastAsia="仿宋_GB2312"/>
                <w:b/>
                <w:bCs/>
                <w:sz w:val="18"/>
                <w:szCs w:val="18"/>
              </w:rPr>
              <w:t>万元工业增加值用水量（</w:t>
            </w:r>
            <w:r>
              <w:rPr>
                <w:rFonts w:eastAsia="仿宋_GB2312"/>
                <w:b/>
                <w:bCs/>
                <w:sz w:val="18"/>
                <w:szCs w:val="18"/>
              </w:rPr>
              <w:t>m</w:t>
            </w:r>
            <w:r>
              <w:rPr>
                <w:b/>
                <w:bCs/>
                <w:sz w:val="18"/>
                <w:szCs w:val="18"/>
              </w:rPr>
              <w:t>³</w:t>
            </w:r>
            <w:r>
              <w:rPr>
                <w:rFonts w:eastAsia="仿宋_GB2312"/>
                <w:b/>
                <w:bCs/>
                <w:sz w:val="18"/>
                <w:szCs w:val="18"/>
              </w:rPr>
              <w:t>/</w:t>
            </w:r>
            <w:r>
              <w:rPr>
                <w:rFonts w:hint="eastAsia" w:eastAsia="仿宋_GB2312"/>
                <w:b/>
                <w:bCs/>
                <w:sz w:val="18"/>
                <w:szCs w:val="18"/>
              </w:rPr>
              <w:t>万元，不含火电）</w:t>
            </w:r>
          </w:p>
        </w:tc>
        <w:tc>
          <w:tcPr>
            <w:tcW w:w="880" w:type="dxa"/>
            <w:vMerge w:val="restart"/>
            <w:tcBorders>
              <w:top w:val="nil"/>
              <w:left w:val="single" w:color="auto" w:sz="4" w:space="0"/>
              <w:bottom w:val="single" w:color="auto" w:sz="4" w:space="0"/>
              <w:right w:val="single" w:color="auto" w:sz="4" w:space="0"/>
            </w:tcBorders>
            <w:vAlign w:val="center"/>
          </w:tcPr>
          <w:p w14:paraId="2D79A49E">
            <w:pPr>
              <w:widowControl/>
              <w:spacing w:line="240" w:lineRule="auto"/>
              <w:ind w:firstLine="0" w:firstLineChars="0"/>
              <w:jc w:val="center"/>
              <w:rPr>
                <w:rFonts w:eastAsia="仿宋_GB2312"/>
                <w:b/>
                <w:bCs/>
                <w:sz w:val="18"/>
                <w:szCs w:val="18"/>
              </w:rPr>
            </w:pPr>
            <w:r>
              <w:rPr>
                <w:rFonts w:hint="eastAsia" w:eastAsia="仿宋_GB2312"/>
                <w:b/>
                <w:bCs/>
                <w:sz w:val="18"/>
                <w:szCs w:val="18"/>
              </w:rPr>
              <w:t>农田灌溉水有效利用系数</w:t>
            </w:r>
          </w:p>
        </w:tc>
        <w:tc>
          <w:tcPr>
            <w:tcW w:w="980" w:type="dxa"/>
            <w:vMerge w:val="restart"/>
            <w:tcBorders>
              <w:top w:val="nil"/>
              <w:left w:val="single" w:color="auto" w:sz="4" w:space="0"/>
              <w:bottom w:val="single" w:color="auto" w:sz="4" w:space="0"/>
              <w:right w:val="single" w:color="auto" w:sz="4" w:space="0"/>
            </w:tcBorders>
            <w:vAlign w:val="center"/>
          </w:tcPr>
          <w:p w14:paraId="0D83E34F">
            <w:pPr>
              <w:widowControl/>
              <w:spacing w:line="240" w:lineRule="auto"/>
              <w:ind w:firstLine="0" w:firstLineChars="0"/>
              <w:jc w:val="center"/>
              <w:rPr>
                <w:rFonts w:eastAsia="仿宋_GB2312"/>
                <w:b/>
                <w:bCs/>
                <w:sz w:val="18"/>
                <w:szCs w:val="18"/>
              </w:rPr>
            </w:pPr>
            <w:r>
              <w:rPr>
                <w:rFonts w:hint="eastAsia" w:eastAsia="仿宋_GB2312"/>
                <w:b/>
                <w:bCs/>
                <w:sz w:val="18"/>
                <w:szCs w:val="18"/>
              </w:rPr>
              <w:t>水功能区水质达标率</w:t>
            </w:r>
          </w:p>
        </w:tc>
      </w:tr>
      <w:tr w14:paraId="5A15690F">
        <w:tblPrEx>
          <w:tblCellMar>
            <w:top w:w="0" w:type="dxa"/>
            <w:left w:w="108" w:type="dxa"/>
            <w:bottom w:w="0" w:type="dxa"/>
            <w:right w:w="108" w:type="dxa"/>
          </w:tblCellMar>
        </w:tblPrEx>
        <w:trPr>
          <w:cantSplit/>
          <w:trHeight w:val="810" w:hRule="atLeast"/>
          <w:tblHeader/>
          <w:jc w:val="center"/>
        </w:trPr>
        <w:tc>
          <w:tcPr>
            <w:tcW w:w="964" w:type="dxa"/>
            <w:vMerge w:val="continue"/>
            <w:tcBorders>
              <w:top w:val="single" w:color="auto" w:sz="4" w:space="0"/>
              <w:left w:val="single" w:color="auto" w:sz="4" w:space="0"/>
              <w:bottom w:val="single" w:color="000000" w:sz="4" w:space="0"/>
              <w:right w:val="single" w:color="auto" w:sz="4" w:space="0"/>
            </w:tcBorders>
            <w:vAlign w:val="center"/>
          </w:tcPr>
          <w:p w14:paraId="3A5EE309">
            <w:pPr>
              <w:widowControl/>
              <w:spacing w:line="240" w:lineRule="auto"/>
              <w:ind w:firstLine="360"/>
              <w:jc w:val="center"/>
              <w:rPr>
                <w:rFonts w:eastAsia="仿宋_GB2312"/>
                <w:sz w:val="18"/>
                <w:szCs w:val="18"/>
              </w:rPr>
            </w:pPr>
          </w:p>
        </w:tc>
        <w:tc>
          <w:tcPr>
            <w:tcW w:w="936" w:type="dxa"/>
            <w:vMerge w:val="continue"/>
            <w:tcBorders>
              <w:top w:val="nil"/>
              <w:left w:val="single" w:color="auto" w:sz="4" w:space="0"/>
              <w:bottom w:val="single" w:color="auto" w:sz="4" w:space="0"/>
              <w:right w:val="single" w:color="auto" w:sz="4" w:space="0"/>
            </w:tcBorders>
            <w:vAlign w:val="center"/>
          </w:tcPr>
          <w:p w14:paraId="01D180ED">
            <w:pPr>
              <w:widowControl/>
              <w:spacing w:line="240" w:lineRule="auto"/>
              <w:ind w:firstLine="360"/>
              <w:jc w:val="center"/>
              <w:rPr>
                <w:rFonts w:eastAsia="仿宋_GB2312"/>
                <w:sz w:val="18"/>
                <w:szCs w:val="18"/>
              </w:rPr>
            </w:pPr>
          </w:p>
        </w:tc>
        <w:tc>
          <w:tcPr>
            <w:tcW w:w="980" w:type="dxa"/>
            <w:tcBorders>
              <w:top w:val="nil"/>
              <w:left w:val="nil"/>
              <w:bottom w:val="single" w:color="auto" w:sz="4" w:space="0"/>
              <w:right w:val="single" w:color="auto" w:sz="4" w:space="0"/>
            </w:tcBorders>
            <w:vAlign w:val="center"/>
          </w:tcPr>
          <w:p w14:paraId="239DA765">
            <w:pPr>
              <w:widowControl/>
              <w:spacing w:line="240" w:lineRule="auto"/>
              <w:ind w:firstLine="0" w:firstLineChars="0"/>
              <w:jc w:val="center"/>
              <w:rPr>
                <w:rFonts w:eastAsia="仿宋_GB2312"/>
                <w:b/>
                <w:bCs/>
                <w:sz w:val="18"/>
                <w:szCs w:val="18"/>
              </w:rPr>
            </w:pPr>
            <w:r>
              <w:rPr>
                <w:rFonts w:hint="eastAsia" w:eastAsia="仿宋_GB2312"/>
                <w:b/>
                <w:bCs/>
                <w:sz w:val="18"/>
                <w:szCs w:val="18"/>
              </w:rPr>
              <w:t>一般工业和生活用水总量</w:t>
            </w:r>
          </w:p>
        </w:tc>
        <w:tc>
          <w:tcPr>
            <w:tcW w:w="681" w:type="dxa"/>
            <w:tcBorders>
              <w:top w:val="nil"/>
              <w:left w:val="nil"/>
              <w:bottom w:val="single" w:color="auto" w:sz="4" w:space="0"/>
              <w:right w:val="single" w:color="auto" w:sz="4" w:space="0"/>
            </w:tcBorders>
            <w:vAlign w:val="center"/>
          </w:tcPr>
          <w:p w14:paraId="4D3DCD40">
            <w:pPr>
              <w:widowControl/>
              <w:spacing w:line="240" w:lineRule="auto"/>
              <w:ind w:firstLine="0" w:firstLineChars="0"/>
              <w:jc w:val="center"/>
              <w:rPr>
                <w:rFonts w:eastAsia="仿宋_GB2312"/>
                <w:b/>
                <w:bCs/>
                <w:sz w:val="18"/>
                <w:szCs w:val="18"/>
              </w:rPr>
            </w:pPr>
            <w:r>
              <w:rPr>
                <w:rFonts w:hint="eastAsia" w:eastAsia="仿宋_GB2312"/>
                <w:b/>
                <w:bCs/>
                <w:sz w:val="18"/>
                <w:szCs w:val="18"/>
              </w:rPr>
              <w:t>火核电用水量</w:t>
            </w:r>
          </w:p>
        </w:tc>
        <w:tc>
          <w:tcPr>
            <w:tcW w:w="750" w:type="dxa"/>
            <w:tcBorders>
              <w:top w:val="nil"/>
              <w:left w:val="nil"/>
              <w:bottom w:val="single" w:color="auto" w:sz="4" w:space="0"/>
              <w:right w:val="single" w:color="auto" w:sz="4" w:space="0"/>
            </w:tcBorders>
            <w:vAlign w:val="center"/>
          </w:tcPr>
          <w:p w14:paraId="0D12445D">
            <w:pPr>
              <w:widowControl/>
              <w:spacing w:line="240" w:lineRule="auto"/>
              <w:ind w:firstLine="0" w:firstLineChars="0"/>
              <w:jc w:val="center"/>
              <w:rPr>
                <w:rFonts w:eastAsia="仿宋_GB2312"/>
                <w:b/>
                <w:bCs/>
                <w:sz w:val="18"/>
                <w:szCs w:val="18"/>
              </w:rPr>
            </w:pPr>
            <w:r>
              <w:rPr>
                <w:rFonts w:hint="eastAsia" w:eastAsia="仿宋_GB2312"/>
                <w:b/>
                <w:bCs/>
                <w:sz w:val="18"/>
                <w:szCs w:val="18"/>
              </w:rPr>
              <w:t>农业用水量</w:t>
            </w:r>
          </w:p>
        </w:tc>
        <w:tc>
          <w:tcPr>
            <w:tcW w:w="5277" w:type="dxa"/>
            <w:gridSpan w:val="6"/>
            <w:vMerge w:val="continue"/>
            <w:tcBorders>
              <w:top w:val="nil"/>
              <w:left w:val="nil"/>
              <w:bottom w:val="single" w:color="auto" w:sz="4" w:space="0"/>
              <w:right w:val="single" w:color="auto" w:sz="4" w:space="0"/>
            </w:tcBorders>
            <w:vAlign w:val="center"/>
          </w:tcPr>
          <w:p w14:paraId="3F4F3664">
            <w:pPr>
              <w:widowControl/>
              <w:spacing w:line="240" w:lineRule="auto"/>
              <w:ind w:firstLine="360"/>
              <w:jc w:val="center"/>
              <w:rPr>
                <w:rFonts w:eastAsia="仿宋_GB2312"/>
                <w:sz w:val="18"/>
                <w:szCs w:val="18"/>
              </w:rPr>
            </w:pPr>
          </w:p>
        </w:tc>
        <w:tc>
          <w:tcPr>
            <w:tcW w:w="4644" w:type="dxa"/>
            <w:gridSpan w:val="6"/>
            <w:vMerge w:val="continue"/>
            <w:tcBorders>
              <w:top w:val="nil"/>
              <w:left w:val="nil"/>
              <w:bottom w:val="single" w:color="auto" w:sz="4" w:space="0"/>
              <w:right w:val="single" w:color="auto" w:sz="4" w:space="0"/>
            </w:tcBorders>
            <w:vAlign w:val="center"/>
          </w:tcPr>
          <w:p w14:paraId="0FAC75E9">
            <w:pPr>
              <w:widowControl/>
              <w:spacing w:line="240" w:lineRule="auto"/>
              <w:ind w:firstLine="360"/>
              <w:jc w:val="center"/>
              <w:rPr>
                <w:rFonts w:eastAsia="仿宋_GB2312"/>
                <w:sz w:val="18"/>
                <w:szCs w:val="18"/>
              </w:rPr>
            </w:pPr>
          </w:p>
        </w:tc>
        <w:tc>
          <w:tcPr>
            <w:tcW w:w="880" w:type="dxa"/>
            <w:vMerge w:val="continue"/>
            <w:tcBorders>
              <w:top w:val="nil"/>
              <w:left w:val="single" w:color="auto" w:sz="4" w:space="0"/>
              <w:bottom w:val="single" w:color="auto" w:sz="4" w:space="0"/>
              <w:right w:val="single" w:color="auto" w:sz="4" w:space="0"/>
            </w:tcBorders>
            <w:vAlign w:val="center"/>
          </w:tcPr>
          <w:p w14:paraId="20FFDE95">
            <w:pPr>
              <w:widowControl/>
              <w:spacing w:line="240" w:lineRule="auto"/>
              <w:ind w:firstLine="360"/>
              <w:jc w:val="center"/>
              <w:rPr>
                <w:rFonts w:eastAsia="仿宋_GB2312"/>
                <w:sz w:val="18"/>
                <w:szCs w:val="18"/>
              </w:rPr>
            </w:pPr>
          </w:p>
        </w:tc>
        <w:tc>
          <w:tcPr>
            <w:tcW w:w="980" w:type="dxa"/>
            <w:vMerge w:val="continue"/>
            <w:tcBorders>
              <w:top w:val="nil"/>
              <w:left w:val="single" w:color="auto" w:sz="4" w:space="0"/>
              <w:bottom w:val="single" w:color="auto" w:sz="4" w:space="0"/>
              <w:right w:val="single" w:color="auto" w:sz="4" w:space="0"/>
            </w:tcBorders>
            <w:vAlign w:val="center"/>
          </w:tcPr>
          <w:p w14:paraId="08603805">
            <w:pPr>
              <w:widowControl/>
              <w:spacing w:line="240" w:lineRule="auto"/>
              <w:ind w:firstLine="360"/>
              <w:jc w:val="center"/>
              <w:rPr>
                <w:rFonts w:eastAsia="仿宋_GB2312"/>
                <w:sz w:val="18"/>
                <w:szCs w:val="18"/>
              </w:rPr>
            </w:pPr>
          </w:p>
        </w:tc>
      </w:tr>
      <w:tr w14:paraId="0D088DB7">
        <w:tblPrEx>
          <w:tblCellMar>
            <w:top w:w="0" w:type="dxa"/>
            <w:left w:w="108" w:type="dxa"/>
            <w:bottom w:w="0" w:type="dxa"/>
            <w:right w:w="108" w:type="dxa"/>
          </w:tblCellMar>
        </w:tblPrEx>
        <w:trPr>
          <w:cantSplit/>
          <w:trHeight w:val="529" w:hRule="atLeast"/>
          <w:tblHeader/>
          <w:jc w:val="center"/>
        </w:trPr>
        <w:tc>
          <w:tcPr>
            <w:tcW w:w="964" w:type="dxa"/>
            <w:vMerge w:val="continue"/>
            <w:tcBorders>
              <w:top w:val="single" w:color="auto" w:sz="4" w:space="0"/>
              <w:left w:val="single" w:color="auto" w:sz="4" w:space="0"/>
              <w:bottom w:val="single" w:color="000000" w:sz="4" w:space="0"/>
              <w:right w:val="single" w:color="auto" w:sz="4" w:space="0"/>
            </w:tcBorders>
            <w:vAlign w:val="center"/>
          </w:tcPr>
          <w:p w14:paraId="4370408C">
            <w:pPr>
              <w:widowControl/>
              <w:spacing w:line="240" w:lineRule="auto"/>
              <w:ind w:firstLine="360"/>
              <w:jc w:val="center"/>
              <w:rPr>
                <w:rFonts w:eastAsia="仿宋_GB2312"/>
                <w:sz w:val="18"/>
                <w:szCs w:val="18"/>
              </w:rPr>
            </w:pPr>
          </w:p>
        </w:tc>
        <w:tc>
          <w:tcPr>
            <w:tcW w:w="3347" w:type="dxa"/>
            <w:gridSpan w:val="4"/>
            <w:tcBorders>
              <w:top w:val="single" w:color="auto" w:sz="4" w:space="0"/>
              <w:left w:val="nil"/>
              <w:bottom w:val="single" w:color="auto" w:sz="4" w:space="0"/>
              <w:right w:val="single" w:color="000000" w:sz="4" w:space="0"/>
            </w:tcBorders>
            <w:vAlign w:val="center"/>
          </w:tcPr>
          <w:p w14:paraId="03DE7665">
            <w:pPr>
              <w:widowControl/>
              <w:spacing w:line="240" w:lineRule="auto"/>
              <w:ind w:firstLine="361"/>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1159" w:type="dxa"/>
            <w:tcBorders>
              <w:top w:val="nil"/>
              <w:left w:val="nil"/>
              <w:bottom w:val="single" w:color="auto" w:sz="4" w:space="0"/>
              <w:right w:val="single" w:color="auto" w:sz="4" w:space="0"/>
            </w:tcBorders>
            <w:vAlign w:val="center"/>
          </w:tcPr>
          <w:p w14:paraId="779B343C">
            <w:pPr>
              <w:widowControl/>
              <w:spacing w:line="240" w:lineRule="auto"/>
              <w:ind w:firstLine="0" w:firstLineChars="0"/>
              <w:jc w:val="center"/>
              <w:rPr>
                <w:rFonts w:eastAsia="仿宋_GB2312"/>
                <w:b/>
                <w:bCs/>
                <w:sz w:val="18"/>
                <w:szCs w:val="18"/>
              </w:rPr>
            </w:pPr>
            <w:r>
              <w:rPr>
                <w:rFonts w:eastAsia="仿宋_GB2312"/>
                <w:b/>
                <w:bCs/>
                <w:sz w:val="18"/>
                <w:szCs w:val="18"/>
              </w:rPr>
              <w:t>2013</w:t>
            </w:r>
            <w:r>
              <w:rPr>
                <w:rFonts w:hint="eastAsia" w:eastAsia="仿宋_GB2312"/>
                <w:b/>
                <w:bCs/>
                <w:sz w:val="18"/>
                <w:szCs w:val="18"/>
              </w:rPr>
              <w:t>基准年</w:t>
            </w:r>
          </w:p>
        </w:tc>
        <w:tc>
          <w:tcPr>
            <w:tcW w:w="845" w:type="dxa"/>
            <w:tcBorders>
              <w:top w:val="nil"/>
              <w:left w:val="nil"/>
              <w:bottom w:val="single" w:color="auto" w:sz="4" w:space="0"/>
              <w:right w:val="single" w:color="auto" w:sz="4" w:space="0"/>
            </w:tcBorders>
            <w:vAlign w:val="center"/>
          </w:tcPr>
          <w:p w14:paraId="2C15AF91">
            <w:pPr>
              <w:widowControl/>
              <w:spacing w:line="240" w:lineRule="auto"/>
              <w:ind w:firstLine="0" w:firstLineChars="0"/>
              <w:jc w:val="center"/>
              <w:rPr>
                <w:rFonts w:eastAsia="仿宋_GB2312"/>
                <w:b/>
                <w:bCs/>
                <w:sz w:val="18"/>
                <w:szCs w:val="18"/>
              </w:rPr>
            </w:pPr>
            <w:r>
              <w:rPr>
                <w:rFonts w:eastAsia="仿宋_GB2312"/>
                <w:b/>
                <w:bCs/>
                <w:sz w:val="18"/>
                <w:szCs w:val="18"/>
              </w:rPr>
              <w:t>2016</w:t>
            </w:r>
            <w:r>
              <w:rPr>
                <w:rFonts w:hint="eastAsia" w:eastAsia="仿宋_GB2312"/>
                <w:b/>
                <w:bCs/>
                <w:sz w:val="18"/>
                <w:szCs w:val="18"/>
              </w:rPr>
              <w:t>年</w:t>
            </w:r>
          </w:p>
        </w:tc>
        <w:tc>
          <w:tcPr>
            <w:tcW w:w="842" w:type="dxa"/>
            <w:tcBorders>
              <w:top w:val="nil"/>
              <w:left w:val="nil"/>
              <w:bottom w:val="single" w:color="auto" w:sz="4" w:space="0"/>
              <w:right w:val="single" w:color="auto" w:sz="4" w:space="0"/>
            </w:tcBorders>
            <w:vAlign w:val="center"/>
          </w:tcPr>
          <w:p w14:paraId="31E7194B">
            <w:pPr>
              <w:widowControl/>
              <w:spacing w:line="240" w:lineRule="auto"/>
              <w:ind w:firstLine="0" w:firstLineChars="0"/>
              <w:jc w:val="center"/>
              <w:rPr>
                <w:rFonts w:eastAsia="仿宋_GB2312"/>
                <w:b/>
                <w:bCs/>
                <w:sz w:val="18"/>
                <w:szCs w:val="18"/>
              </w:rPr>
            </w:pPr>
            <w:r>
              <w:rPr>
                <w:rFonts w:eastAsia="仿宋_GB2312"/>
                <w:b/>
                <w:bCs/>
                <w:sz w:val="18"/>
                <w:szCs w:val="18"/>
              </w:rPr>
              <w:t>2017</w:t>
            </w:r>
            <w:r>
              <w:rPr>
                <w:rFonts w:hint="eastAsia" w:eastAsia="仿宋_GB2312"/>
                <w:b/>
                <w:bCs/>
                <w:sz w:val="18"/>
                <w:szCs w:val="18"/>
              </w:rPr>
              <w:t>年</w:t>
            </w:r>
          </w:p>
        </w:tc>
        <w:tc>
          <w:tcPr>
            <w:tcW w:w="839" w:type="dxa"/>
            <w:tcBorders>
              <w:top w:val="nil"/>
              <w:left w:val="nil"/>
              <w:bottom w:val="single" w:color="auto" w:sz="4" w:space="0"/>
              <w:right w:val="single" w:color="auto" w:sz="4" w:space="0"/>
            </w:tcBorders>
            <w:vAlign w:val="center"/>
          </w:tcPr>
          <w:p w14:paraId="73D5A260">
            <w:pPr>
              <w:widowControl/>
              <w:spacing w:line="240" w:lineRule="auto"/>
              <w:ind w:firstLine="0" w:firstLineChars="0"/>
              <w:jc w:val="center"/>
              <w:rPr>
                <w:rFonts w:eastAsia="仿宋_GB2312"/>
                <w:b/>
                <w:bCs/>
                <w:sz w:val="18"/>
                <w:szCs w:val="18"/>
              </w:rPr>
            </w:pPr>
            <w:r>
              <w:rPr>
                <w:rFonts w:eastAsia="仿宋_GB2312"/>
                <w:b/>
                <w:bCs/>
                <w:sz w:val="18"/>
                <w:szCs w:val="18"/>
              </w:rPr>
              <w:t>2018</w:t>
            </w:r>
            <w:r>
              <w:rPr>
                <w:rFonts w:hint="eastAsia" w:eastAsia="仿宋_GB2312"/>
                <w:b/>
                <w:bCs/>
                <w:sz w:val="18"/>
                <w:szCs w:val="18"/>
              </w:rPr>
              <w:t>年</w:t>
            </w:r>
          </w:p>
        </w:tc>
        <w:tc>
          <w:tcPr>
            <w:tcW w:w="800" w:type="dxa"/>
            <w:tcBorders>
              <w:top w:val="nil"/>
              <w:left w:val="nil"/>
              <w:bottom w:val="single" w:color="auto" w:sz="4" w:space="0"/>
              <w:right w:val="single" w:color="auto" w:sz="4" w:space="0"/>
            </w:tcBorders>
            <w:vAlign w:val="center"/>
          </w:tcPr>
          <w:p w14:paraId="6A9AD78E">
            <w:pPr>
              <w:widowControl/>
              <w:spacing w:line="240" w:lineRule="auto"/>
              <w:ind w:firstLine="0" w:firstLineChars="0"/>
              <w:jc w:val="center"/>
              <w:rPr>
                <w:rFonts w:eastAsia="仿宋_GB2312"/>
                <w:b/>
                <w:bCs/>
                <w:sz w:val="18"/>
                <w:szCs w:val="18"/>
              </w:rPr>
            </w:pPr>
            <w:r>
              <w:rPr>
                <w:rFonts w:eastAsia="仿宋_GB2312"/>
                <w:b/>
                <w:bCs/>
                <w:sz w:val="18"/>
                <w:szCs w:val="18"/>
              </w:rPr>
              <w:t>2019</w:t>
            </w:r>
            <w:r>
              <w:rPr>
                <w:rFonts w:hint="eastAsia" w:eastAsia="仿宋_GB2312"/>
                <w:b/>
                <w:bCs/>
                <w:sz w:val="18"/>
                <w:szCs w:val="18"/>
              </w:rPr>
              <w:t>年</w:t>
            </w:r>
          </w:p>
        </w:tc>
        <w:tc>
          <w:tcPr>
            <w:tcW w:w="792" w:type="dxa"/>
            <w:tcBorders>
              <w:top w:val="nil"/>
              <w:left w:val="nil"/>
              <w:bottom w:val="single" w:color="auto" w:sz="4" w:space="0"/>
              <w:right w:val="single" w:color="auto" w:sz="4" w:space="0"/>
            </w:tcBorders>
            <w:vAlign w:val="center"/>
          </w:tcPr>
          <w:p w14:paraId="70247101">
            <w:pPr>
              <w:widowControl/>
              <w:spacing w:line="240" w:lineRule="auto"/>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1159" w:type="dxa"/>
            <w:tcBorders>
              <w:top w:val="nil"/>
              <w:left w:val="nil"/>
              <w:bottom w:val="single" w:color="auto" w:sz="4" w:space="0"/>
              <w:right w:val="single" w:color="auto" w:sz="4" w:space="0"/>
            </w:tcBorders>
            <w:vAlign w:val="center"/>
          </w:tcPr>
          <w:p w14:paraId="4DB67480">
            <w:pPr>
              <w:widowControl/>
              <w:spacing w:line="240" w:lineRule="auto"/>
              <w:ind w:firstLine="0" w:firstLineChars="0"/>
              <w:jc w:val="center"/>
              <w:rPr>
                <w:rFonts w:eastAsia="仿宋_GB2312"/>
                <w:b/>
                <w:bCs/>
                <w:sz w:val="18"/>
                <w:szCs w:val="18"/>
              </w:rPr>
            </w:pPr>
            <w:r>
              <w:rPr>
                <w:rFonts w:eastAsia="仿宋_GB2312"/>
                <w:b/>
                <w:bCs/>
                <w:sz w:val="18"/>
                <w:szCs w:val="18"/>
              </w:rPr>
              <w:t>2013</w:t>
            </w:r>
            <w:r>
              <w:rPr>
                <w:rFonts w:hint="eastAsia" w:eastAsia="仿宋_GB2312"/>
                <w:b/>
                <w:bCs/>
                <w:sz w:val="18"/>
                <w:szCs w:val="18"/>
              </w:rPr>
              <w:t>基准年</w:t>
            </w:r>
          </w:p>
        </w:tc>
        <w:tc>
          <w:tcPr>
            <w:tcW w:w="723" w:type="dxa"/>
            <w:tcBorders>
              <w:top w:val="nil"/>
              <w:left w:val="nil"/>
              <w:bottom w:val="single" w:color="auto" w:sz="4" w:space="0"/>
              <w:right w:val="single" w:color="auto" w:sz="4" w:space="0"/>
            </w:tcBorders>
            <w:vAlign w:val="center"/>
          </w:tcPr>
          <w:p w14:paraId="7FE0533D">
            <w:pPr>
              <w:widowControl/>
              <w:spacing w:line="240" w:lineRule="exact"/>
              <w:ind w:firstLine="0" w:firstLineChars="0"/>
              <w:jc w:val="center"/>
              <w:rPr>
                <w:rFonts w:eastAsia="仿宋_GB2312"/>
                <w:b/>
                <w:bCs/>
                <w:sz w:val="18"/>
                <w:szCs w:val="18"/>
              </w:rPr>
            </w:pPr>
            <w:r>
              <w:rPr>
                <w:rFonts w:eastAsia="仿宋_GB2312"/>
                <w:b/>
                <w:bCs/>
                <w:sz w:val="18"/>
                <w:szCs w:val="18"/>
              </w:rPr>
              <w:t>2016</w:t>
            </w:r>
            <w:r>
              <w:rPr>
                <w:rFonts w:hint="eastAsia" w:eastAsia="仿宋_GB2312"/>
                <w:b/>
                <w:bCs/>
                <w:sz w:val="18"/>
                <w:szCs w:val="18"/>
              </w:rPr>
              <w:t>年</w:t>
            </w:r>
          </w:p>
        </w:tc>
        <w:tc>
          <w:tcPr>
            <w:tcW w:w="695" w:type="dxa"/>
            <w:tcBorders>
              <w:top w:val="nil"/>
              <w:left w:val="nil"/>
              <w:bottom w:val="single" w:color="auto" w:sz="4" w:space="0"/>
              <w:right w:val="single" w:color="auto" w:sz="4" w:space="0"/>
            </w:tcBorders>
            <w:vAlign w:val="center"/>
          </w:tcPr>
          <w:p w14:paraId="2296F419">
            <w:pPr>
              <w:widowControl/>
              <w:spacing w:line="240" w:lineRule="exact"/>
              <w:ind w:firstLine="0" w:firstLineChars="0"/>
              <w:jc w:val="center"/>
              <w:rPr>
                <w:rFonts w:eastAsia="仿宋_GB2312"/>
                <w:b/>
                <w:bCs/>
                <w:sz w:val="18"/>
                <w:szCs w:val="18"/>
              </w:rPr>
            </w:pPr>
            <w:r>
              <w:rPr>
                <w:rFonts w:eastAsia="仿宋_GB2312"/>
                <w:b/>
                <w:bCs/>
                <w:sz w:val="18"/>
                <w:szCs w:val="18"/>
              </w:rPr>
              <w:t>2017</w:t>
            </w:r>
            <w:r>
              <w:rPr>
                <w:rFonts w:hint="eastAsia" w:eastAsia="仿宋_GB2312"/>
                <w:b/>
                <w:bCs/>
                <w:sz w:val="18"/>
                <w:szCs w:val="18"/>
              </w:rPr>
              <w:t>年</w:t>
            </w:r>
          </w:p>
        </w:tc>
        <w:tc>
          <w:tcPr>
            <w:tcW w:w="627" w:type="dxa"/>
            <w:tcBorders>
              <w:top w:val="nil"/>
              <w:left w:val="nil"/>
              <w:bottom w:val="single" w:color="auto" w:sz="4" w:space="0"/>
              <w:right w:val="single" w:color="auto" w:sz="4" w:space="0"/>
            </w:tcBorders>
            <w:vAlign w:val="center"/>
          </w:tcPr>
          <w:p w14:paraId="68C77C2E">
            <w:pPr>
              <w:widowControl/>
              <w:spacing w:line="240" w:lineRule="exact"/>
              <w:ind w:firstLine="0" w:firstLineChars="0"/>
              <w:jc w:val="center"/>
              <w:rPr>
                <w:rFonts w:eastAsia="仿宋_GB2312"/>
                <w:b/>
                <w:bCs/>
                <w:sz w:val="18"/>
                <w:szCs w:val="18"/>
              </w:rPr>
            </w:pPr>
            <w:r>
              <w:rPr>
                <w:rFonts w:eastAsia="仿宋_GB2312"/>
                <w:b/>
                <w:bCs/>
                <w:sz w:val="18"/>
                <w:szCs w:val="18"/>
              </w:rPr>
              <w:t>2018</w:t>
            </w:r>
            <w:r>
              <w:rPr>
                <w:rFonts w:hint="eastAsia" w:eastAsia="仿宋_GB2312"/>
                <w:b/>
                <w:bCs/>
                <w:sz w:val="18"/>
                <w:szCs w:val="18"/>
              </w:rPr>
              <w:t>年</w:t>
            </w:r>
          </w:p>
        </w:tc>
        <w:tc>
          <w:tcPr>
            <w:tcW w:w="720" w:type="dxa"/>
            <w:tcBorders>
              <w:top w:val="nil"/>
              <w:left w:val="nil"/>
              <w:bottom w:val="single" w:color="auto" w:sz="4" w:space="0"/>
              <w:right w:val="single" w:color="auto" w:sz="4" w:space="0"/>
            </w:tcBorders>
            <w:vAlign w:val="center"/>
          </w:tcPr>
          <w:p w14:paraId="681B2A9E">
            <w:pPr>
              <w:widowControl/>
              <w:spacing w:line="240" w:lineRule="exact"/>
              <w:ind w:firstLine="0" w:firstLineChars="0"/>
              <w:jc w:val="center"/>
              <w:rPr>
                <w:rFonts w:eastAsia="仿宋_GB2312"/>
                <w:b/>
                <w:bCs/>
                <w:sz w:val="18"/>
                <w:szCs w:val="18"/>
              </w:rPr>
            </w:pPr>
            <w:r>
              <w:rPr>
                <w:rFonts w:eastAsia="仿宋_GB2312"/>
                <w:b/>
                <w:bCs/>
                <w:sz w:val="18"/>
                <w:szCs w:val="18"/>
              </w:rPr>
              <w:t>2019</w:t>
            </w:r>
            <w:r>
              <w:rPr>
                <w:rFonts w:hint="eastAsia" w:eastAsia="仿宋_GB2312"/>
                <w:b/>
                <w:bCs/>
                <w:sz w:val="18"/>
                <w:szCs w:val="18"/>
              </w:rPr>
              <w:t>年</w:t>
            </w:r>
          </w:p>
        </w:tc>
        <w:tc>
          <w:tcPr>
            <w:tcW w:w="720" w:type="dxa"/>
            <w:tcBorders>
              <w:top w:val="nil"/>
              <w:left w:val="nil"/>
              <w:bottom w:val="single" w:color="auto" w:sz="4" w:space="0"/>
              <w:right w:val="single" w:color="auto" w:sz="4" w:space="0"/>
            </w:tcBorders>
            <w:vAlign w:val="center"/>
          </w:tcPr>
          <w:p w14:paraId="14A29FAD">
            <w:pPr>
              <w:widowControl/>
              <w:spacing w:line="240" w:lineRule="exact"/>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880" w:type="dxa"/>
            <w:tcBorders>
              <w:top w:val="nil"/>
              <w:left w:val="nil"/>
              <w:bottom w:val="single" w:color="auto" w:sz="4" w:space="0"/>
              <w:right w:val="single" w:color="auto" w:sz="4" w:space="0"/>
            </w:tcBorders>
            <w:vAlign w:val="center"/>
          </w:tcPr>
          <w:p w14:paraId="40824261">
            <w:pPr>
              <w:widowControl/>
              <w:spacing w:line="240" w:lineRule="auto"/>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980" w:type="dxa"/>
            <w:tcBorders>
              <w:top w:val="nil"/>
              <w:left w:val="nil"/>
              <w:bottom w:val="single" w:color="auto" w:sz="4" w:space="0"/>
              <w:right w:val="single" w:color="auto" w:sz="4" w:space="0"/>
            </w:tcBorders>
            <w:vAlign w:val="center"/>
          </w:tcPr>
          <w:p w14:paraId="3B08DBDC">
            <w:pPr>
              <w:widowControl/>
              <w:spacing w:line="240" w:lineRule="auto"/>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r>
      <w:tr w14:paraId="36C3FC13">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794BCE8F">
            <w:pPr>
              <w:widowControl/>
              <w:spacing w:line="240" w:lineRule="auto"/>
              <w:ind w:firstLine="0" w:firstLineChars="0"/>
              <w:jc w:val="center"/>
              <w:rPr>
                <w:rFonts w:eastAsia="仿宋_GB2312"/>
                <w:b/>
                <w:bCs/>
                <w:sz w:val="18"/>
                <w:szCs w:val="18"/>
              </w:rPr>
            </w:pPr>
            <w:r>
              <w:rPr>
                <w:rFonts w:hint="eastAsia" w:eastAsia="仿宋_GB2312"/>
                <w:b/>
                <w:bCs/>
                <w:sz w:val="18"/>
                <w:szCs w:val="18"/>
              </w:rPr>
              <w:t>石岐区</w:t>
            </w:r>
          </w:p>
        </w:tc>
        <w:tc>
          <w:tcPr>
            <w:tcW w:w="936" w:type="dxa"/>
            <w:tcBorders>
              <w:top w:val="nil"/>
              <w:left w:val="nil"/>
              <w:bottom w:val="single" w:color="auto" w:sz="4" w:space="0"/>
              <w:right w:val="single" w:color="auto" w:sz="4" w:space="0"/>
            </w:tcBorders>
            <w:vAlign w:val="center"/>
          </w:tcPr>
          <w:p w14:paraId="56F2CD39">
            <w:pPr>
              <w:widowControl/>
              <w:spacing w:line="240" w:lineRule="auto"/>
              <w:ind w:firstLine="0" w:firstLineChars="0"/>
              <w:jc w:val="center"/>
              <w:rPr>
                <w:rFonts w:eastAsia="仿宋_GB2312"/>
                <w:sz w:val="18"/>
                <w:szCs w:val="18"/>
              </w:rPr>
            </w:pPr>
            <w:r>
              <w:rPr>
                <w:rFonts w:eastAsia="仿宋_GB2312"/>
                <w:sz w:val="18"/>
                <w:szCs w:val="18"/>
              </w:rPr>
              <w:t>4752</w:t>
            </w:r>
          </w:p>
        </w:tc>
        <w:tc>
          <w:tcPr>
            <w:tcW w:w="980" w:type="dxa"/>
            <w:tcBorders>
              <w:top w:val="nil"/>
              <w:left w:val="nil"/>
              <w:bottom w:val="single" w:color="auto" w:sz="4" w:space="0"/>
              <w:right w:val="single" w:color="auto" w:sz="4" w:space="0"/>
            </w:tcBorders>
            <w:vAlign w:val="center"/>
          </w:tcPr>
          <w:p w14:paraId="1C106641">
            <w:pPr>
              <w:widowControl/>
              <w:spacing w:line="240" w:lineRule="auto"/>
              <w:ind w:firstLine="0" w:firstLineChars="0"/>
              <w:jc w:val="center"/>
              <w:rPr>
                <w:rFonts w:eastAsia="仿宋_GB2312"/>
                <w:sz w:val="18"/>
                <w:szCs w:val="18"/>
              </w:rPr>
            </w:pPr>
            <w:r>
              <w:rPr>
                <w:rFonts w:eastAsia="仿宋_GB2312"/>
                <w:sz w:val="18"/>
                <w:szCs w:val="18"/>
              </w:rPr>
              <w:t>4310</w:t>
            </w:r>
          </w:p>
        </w:tc>
        <w:tc>
          <w:tcPr>
            <w:tcW w:w="681" w:type="dxa"/>
            <w:tcBorders>
              <w:top w:val="nil"/>
              <w:left w:val="nil"/>
              <w:bottom w:val="single" w:color="auto" w:sz="4" w:space="0"/>
              <w:right w:val="single" w:color="auto" w:sz="4" w:space="0"/>
            </w:tcBorders>
            <w:vAlign w:val="center"/>
          </w:tcPr>
          <w:p w14:paraId="60E8706E">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29029392">
            <w:pPr>
              <w:widowControl/>
              <w:spacing w:line="240" w:lineRule="auto"/>
              <w:ind w:firstLine="0" w:firstLineChars="0"/>
              <w:jc w:val="center"/>
              <w:rPr>
                <w:rFonts w:eastAsia="仿宋_GB2312"/>
                <w:sz w:val="18"/>
                <w:szCs w:val="18"/>
              </w:rPr>
            </w:pPr>
            <w:r>
              <w:rPr>
                <w:rFonts w:eastAsia="仿宋_GB2312"/>
                <w:sz w:val="18"/>
                <w:szCs w:val="18"/>
              </w:rPr>
              <w:t>442</w:t>
            </w:r>
          </w:p>
        </w:tc>
        <w:tc>
          <w:tcPr>
            <w:tcW w:w="1159" w:type="dxa"/>
            <w:tcBorders>
              <w:top w:val="nil"/>
              <w:left w:val="nil"/>
              <w:bottom w:val="single" w:color="auto" w:sz="4" w:space="0"/>
              <w:right w:val="single" w:color="auto" w:sz="4" w:space="0"/>
            </w:tcBorders>
            <w:vAlign w:val="center"/>
          </w:tcPr>
          <w:p w14:paraId="21B08E38">
            <w:pPr>
              <w:widowControl/>
              <w:spacing w:line="240" w:lineRule="auto"/>
              <w:ind w:firstLine="0" w:firstLineChars="0"/>
              <w:jc w:val="center"/>
              <w:rPr>
                <w:rFonts w:eastAsia="仿宋_GB2312"/>
                <w:sz w:val="18"/>
                <w:szCs w:val="18"/>
              </w:rPr>
            </w:pPr>
            <w:r>
              <w:rPr>
                <w:rFonts w:eastAsia="仿宋_GB2312"/>
                <w:sz w:val="18"/>
                <w:szCs w:val="18"/>
              </w:rPr>
              <w:t>25</w:t>
            </w:r>
          </w:p>
        </w:tc>
        <w:tc>
          <w:tcPr>
            <w:tcW w:w="845" w:type="dxa"/>
            <w:tcBorders>
              <w:top w:val="nil"/>
              <w:left w:val="nil"/>
              <w:bottom w:val="single" w:color="auto" w:sz="4" w:space="0"/>
              <w:right w:val="single" w:color="auto" w:sz="4" w:space="0"/>
            </w:tcBorders>
            <w:vAlign w:val="center"/>
          </w:tcPr>
          <w:p w14:paraId="78BB1FBE">
            <w:pPr>
              <w:widowControl/>
              <w:spacing w:line="240" w:lineRule="auto"/>
              <w:ind w:firstLine="0" w:firstLineChars="0"/>
              <w:jc w:val="center"/>
              <w:rPr>
                <w:rFonts w:eastAsia="仿宋_GB2312"/>
                <w:sz w:val="18"/>
                <w:szCs w:val="18"/>
              </w:rPr>
            </w:pPr>
            <w:r>
              <w:rPr>
                <w:rFonts w:eastAsia="仿宋_GB2312"/>
                <w:sz w:val="18"/>
                <w:szCs w:val="18"/>
              </w:rPr>
              <w:t>21</w:t>
            </w:r>
          </w:p>
        </w:tc>
        <w:tc>
          <w:tcPr>
            <w:tcW w:w="842" w:type="dxa"/>
            <w:tcBorders>
              <w:top w:val="nil"/>
              <w:left w:val="nil"/>
              <w:bottom w:val="single" w:color="auto" w:sz="4" w:space="0"/>
              <w:right w:val="single" w:color="auto" w:sz="4" w:space="0"/>
            </w:tcBorders>
            <w:vAlign w:val="center"/>
          </w:tcPr>
          <w:p w14:paraId="2EBE98F1">
            <w:pPr>
              <w:widowControl/>
              <w:spacing w:line="240" w:lineRule="auto"/>
              <w:ind w:firstLine="0" w:firstLineChars="0"/>
              <w:jc w:val="center"/>
              <w:rPr>
                <w:rFonts w:eastAsia="仿宋_GB2312"/>
                <w:sz w:val="18"/>
                <w:szCs w:val="18"/>
              </w:rPr>
            </w:pPr>
            <w:r>
              <w:rPr>
                <w:rFonts w:eastAsia="仿宋_GB2312"/>
                <w:sz w:val="18"/>
                <w:szCs w:val="18"/>
              </w:rPr>
              <w:t>20</w:t>
            </w:r>
          </w:p>
        </w:tc>
        <w:tc>
          <w:tcPr>
            <w:tcW w:w="839" w:type="dxa"/>
            <w:tcBorders>
              <w:top w:val="nil"/>
              <w:left w:val="nil"/>
              <w:bottom w:val="single" w:color="auto" w:sz="4" w:space="0"/>
              <w:right w:val="single" w:color="auto" w:sz="4" w:space="0"/>
            </w:tcBorders>
            <w:vAlign w:val="center"/>
          </w:tcPr>
          <w:p w14:paraId="0F20EA29">
            <w:pPr>
              <w:widowControl/>
              <w:spacing w:line="240" w:lineRule="auto"/>
              <w:ind w:firstLine="0" w:firstLineChars="0"/>
              <w:jc w:val="center"/>
              <w:rPr>
                <w:rFonts w:eastAsia="仿宋_GB2312"/>
                <w:sz w:val="18"/>
                <w:szCs w:val="18"/>
              </w:rPr>
            </w:pPr>
            <w:r>
              <w:rPr>
                <w:rFonts w:eastAsia="仿宋_GB2312"/>
                <w:sz w:val="18"/>
                <w:szCs w:val="18"/>
              </w:rPr>
              <w:t>19</w:t>
            </w:r>
          </w:p>
        </w:tc>
        <w:tc>
          <w:tcPr>
            <w:tcW w:w="800" w:type="dxa"/>
            <w:tcBorders>
              <w:top w:val="nil"/>
              <w:left w:val="nil"/>
              <w:bottom w:val="single" w:color="auto" w:sz="4" w:space="0"/>
              <w:right w:val="single" w:color="auto" w:sz="4" w:space="0"/>
            </w:tcBorders>
            <w:vAlign w:val="center"/>
          </w:tcPr>
          <w:p w14:paraId="6DD05614">
            <w:pPr>
              <w:widowControl/>
              <w:spacing w:line="240" w:lineRule="auto"/>
              <w:ind w:firstLine="0" w:firstLineChars="0"/>
              <w:jc w:val="center"/>
              <w:rPr>
                <w:rFonts w:eastAsia="仿宋_GB2312"/>
                <w:sz w:val="18"/>
                <w:szCs w:val="18"/>
              </w:rPr>
            </w:pPr>
            <w:r>
              <w:rPr>
                <w:rFonts w:eastAsia="仿宋_GB2312"/>
                <w:sz w:val="18"/>
                <w:szCs w:val="18"/>
              </w:rPr>
              <w:t>18</w:t>
            </w:r>
          </w:p>
        </w:tc>
        <w:tc>
          <w:tcPr>
            <w:tcW w:w="792" w:type="dxa"/>
            <w:tcBorders>
              <w:top w:val="nil"/>
              <w:left w:val="nil"/>
              <w:bottom w:val="single" w:color="auto" w:sz="4" w:space="0"/>
              <w:right w:val="single" w:color="auto" w:sz="4" w:space="0"/>
            </w:tcBorders>
            <w:vAlign w:val="center"/>
          </w:tcPr>
          <w:p w14:paraId="4455D66E">
            <w:pPr>
              <w:widowControl/>
              <w:spacing w:line="240" w:lineRule="auto"/>
              <w:ind w:firstLine="0" w:firstLineChars="0"/>
              <w:jc w:val="center"/>
              <w:rPr>
                <w:rFonts w:eastAsia="仿宋_GB2312"/>
                <w:sz w:val="18"/>
                <w:szCs w:val="18"/>
              </w:rPr>
            </w:pPr>
            <w:r>
              <w:rPr>
                <w:rFonts w:eastAsia="仿宋_GB2312"/>
                <w:sz w:val="18"/>
                <w:szCs w:val="18"/>
              </w:rPr>
              <w:t>17</w:t>
            </w:r>
          </w:p>
        </w:tc>
        <w:tc>
          <w:tcPr>
            <w:tcW w:w="1159" w:type="dxa"/>
            <w:tcBorders>
              <w:top w:val="nil"/>
              <w:left w:val="nil"/>
              <w:bottom w:val="single" w:color="auto" w:sz="4" w:space="0"/>
              <w:right w:val="single" w:color="auto" w:sz="4" w:space="0"/>
            </w:tcBorders>
            <w:vAlign w:val="center"/>
          </w:tcPr>
          <w:p w14:paraId="63347569">
            <w:pPr>
              <w:widowControl/>
              <w:spacing w:line="240" w:lineRule="auto"/>
              <w:ind w:firstLine="0" w:firstLineChars="0"/>
              <w:jc w:val="center"/>
              <w:rPr>
                <w:rFonts w:eastAsia="仿宋_GB2312"/>
                <w:sz w:val="18"/>
                <w:szCs w:val="18"/>
              </w:rPr>
            </w:pPr>
            <w:r>
              <w:rPr>
                <w:rFonts w:eastAsia="仿宋_GB2312"/>
                <w:sz w:val="18"/>
                <w:szCs w:val="18"/>
              </w:rPr>
              <w:t>9</w:t>
            </w:r>
          </w:p>
        </w:tc>
        <w:tc>
          <w:tcPr>
            <w:tcW w:w="723" w:type="dxa"/>
            <w:tcBorders>
              <w:top w:val="nil"/>
              <w:left w:val="nil"/>
              <w:bottom w:val="single" w:color="auto" w:sz="4" w:space="0"/>
              <w:right w:val="single" w:color="auto" w:sz="4" w:space="0"/>
            </w:tcBorders>
            <w:vAlign w:val="center"/>
          </w:tcPr>
          <w:p w14:paraId="432B4A3E">
            <w:pPr>
              <w:widowControl/>
              <w:spacing w:line="240" w:lineRule="auto"/>
              <w:ind w:firstLine="0" w:firstLineChars="0"/>
              <w:jc w:val="center"/>
              <w:rPr>
                <w:rFonts w:eastAsia="仿宋_GB2312"/>
                <w:sz w:val="18"/>
                <w:szCs w:val="18"/>
              </w:rPr>
            </w:pPr>
            <w:r>
              <w:rPr>
                <w:rFonts w:eastAsia="仿宋_GB2312"/>
                <w:sz w:val="18"/>
                <w:szCs w:val="18"/>
              </w:rPr>
              <w:t>9</w:t>
            </w:r>
          </w:p>
        </w:tc>
        <w:tc>
          <w:tcPr>
            <w:tcW w:w="695" w:type="dxa"/>
            <w:tcBorders>
              <w:top w:val="nil"/>
              <w:left w:val="nil"/>
              <w:bottom w:val="single" w:color="auto" w:sz="4" w:space="0"/>
              <w:right w:val="single" w:color="auto" w:sz="4" w:space="0"/>
            </w:tcBorders>
            <w:vAlign w:val="center"/>
          </w:tcPr>
          <w:p w14:paraId="62343F53">
            <w:pPr>
              <w:widowControl/>
              <w:spacing w:line="240" w:lineRule="auto"/>
              <w:ind w:firstLine="0" w:firstLineChars="0"/>
              <w:jc w:val="center"/>
              <w:rPr>
                <w:rFonts w:eastAsia="仿宋_GB2312"/>
                <w:sz w:val="18"/>
                <w:szCs w:val="18"/>
              </w:rPr>
            </w:pPr>
            <w:r>
              <w:rPr>
                <w:rFonts w:eastAsia="仿宋_GB2312"/>
                <w:sz w:val="18"/>
                <w:szCs w:val="18"/>
              </w:rPr>
              <w:t>9</w:t>
            </w:r>
          </w:p>
        </w:tc>
        <w:tc>
          <w:tcPr>
            <w:tcW w:w="627" w:type="dxa"/>
            <w:tcBorders>
              <w:top w:val="nil"/>
              <w:left w:val="nil"/>
              <w:bottom w:val="single" w:color="auto" w:sz="4" w:space="0"/>
              <w:right w:val="single" w:color="auto" w:sz="4" w:space="0"/>
            </w:tcBorders>
            <w:vAlign w:val="center"/>
          </w:tcPr>
          <w:p w14:paraId="0D55F2D8">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3E765E17">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44FC3CFA">
            <w:pPr>
              <w:widowControl/>
              <w:spacing w:line="240" w:lineRule="auto"/>
              <w:ind w:firstLine="0" w:firstLineChars="0"/>
              <w:jc w:val="center"/>
              <w:rPr>
                <w:rFonts w:eastAsia="仿宋_GB2312"/>
                <w:sz w:val="18"/>
                <w:szCs w:val="18"/>
              </w:rPr>
            </w:pPr>
            <w:r>
              <w:rPr>
                <w:rFonts w:eastAsia="仿宋_GB2312"/>
                <w:sz w:val="18"/>
                <w:szCs w:val="18"/>
              </w:rPr>
              <w:t>9</w:t>
            </w:r>
          </w:p>
        </w:tc>
        <w:tc>
          <w:tcPr>
            <w:tcW w:w="880" w:type="dxa"/>
            <w:tcBorders>
              <w:top w:val="nil"/>
              <w:left w:val="nil"/>
              <w:bottom w:val="single" w:color="auto" w:sz="4" w:space="0"/>
              <w:right w:val="single" w:color="auto" w:sz="4" w:space="0"/>
            </w:tcBorders>
            <w:vAlign w:val="center"/>
          </w:tcPr>
          <w:p w14:paraId="7AFCEEEA">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7F77F4D">
            <w:pPr>
              <w:widowControl/>
              <w:spacing w:line="240" w:lineRule="auto"/>
              <w:ind w:firstLine="0" w:firstLineChars="0"/>
              <w:jc w:val="center"/>
              <w:rPr>
                <w:rFonts w:eastAsia="仿宋_GB2312"/>
                <w:sz w:val="18"/>
                <w:szCs w:val="18"/>
              </w:rPr>
            </w:pPr>
            <w:r>
              <w:rPr>
                <w:rFonts w:eastAsia="仿宋_GB2312"/>
                <w:sz w:val="18"/>
                <w:szCs w:val="18"/>
              </w:rPr>
              <w:t>/</w:t>
            </w:r>
          </w:p>
        </w:tc>
      </w:tr>
      <w:tr w14:paraId="55CEE6DB">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27CB4275">
            <w:pPr>
              <w:widowControl/>
              <w:spacing w:line="240" w:lineRule="auto"/>
              <w:ind w:firstLine="0" w:firstLineChars="0"/>
              <w:jc w:val="center"/>
              <w:rPr>
                <w:rFonts w:eastAsia="仿宋_GB2312"/>
                <w:b/>
                <w:bCs/>
                <w:sz w:val="18"/>
                <w:szCs w:val="18"/>
              </w:rPr>
            </w:pPr>
            <w:r>
              <w:rPr>
                <w:rFonts w:hint="eastAsia" w:eastAsia="仿宋_GB2312"/>
                <w:b/>
                <w:bCs/>
                <w:sz w:val="18"/>
                <w:szCs w:val="18"/>
              </w:rPr>
              <w:t>东</w:t>
            </w:r>
            <w:r>
              <w:rPr>
                <w:rFonts w:eastAsia="仿宋_GB2312"/>
                <w:b/>
                <w:bCs/>
                <w:sz w:val="18"/>
                <w:szCs w:val="18"/>
              </w:rPr>
              <w:t xml:space="preserve">  </w:t>
            </w:r>
            <w:r>
              <w:rPr>
                <w:rFonts w:hint="eastAsia" w:eastAsia="仿宋_GB2312"/>
                <w:b/>
                <w:bCs/>
                <w:sz w:val="18"/>
                <w:szCs w:val="18"/>
              </w:rPr>
              <w:t>区</w:t>
            </w:r>
          </w:p>
        </w:tc>
        <w:tc>
          <w:tcPr>
            <w:tcW w:w="936" w:type="dxa"/>
            <w:tcBorders>
              <w:top w:val="nil"/>
              <w:left w:val="nil"/>
              <w:bottom w:val="single" w:color="auto" w:sz="4" w:space="0"/>
              <w:right w:val="single" w:color="auto" w:sz="4" w:space="0"/>
            </w:tcBorders>
            <w:vAlign w:val="center"/>
          </w:tcPr>
          <w:p w14:paraId="4C1E7FF6">
            <w:pPr>
              <w:widowControl/>
              <w:spacing w:line="240" w:lineRule="auto"/>
              <w:ind w:firstLine="0" w:firstLineChars="0"/>
              <w:jc w:val="center"/>
              <w:rPr>
                <w:rFonts w:eastAsia="仿宋_GB2312"/>
                <w:sz w:val="18"/>
                <w:szCs w:val="18"/>
              </w:rPr>
            </w:pPr>
            <w:r>
              <w:rPr>
                <w:rFonts w:eastAsia="仿宋_GB2312"/>
                <w:sz w:val="18"/>
                <w:szCs w:val="18"/>
              </w:rPr>
              <w:t>4671</w:t>
            </w:r>
          </w:p>
        </w:tc>
        <w:tc>
          <w:tcPr>
            <w:tcW w:w="980" w:type="dxa"/>
            <w:tcBorders>
              <w:top w:val="nil"/>
              <w:left w:val="nil"/>
              <w:bottom w:val="single" w:color="auto" w:sz="4" w:space="0"/>
              <w:right w:val="single" w:color="auto" w:sz="4" w:space="0"/>
            </w:tcBorders>
            <w:vAlign w:val="center"/>
          </w:tcPr>
          <w:p w14:paraId="74CF38EE">
            <w:pPr>
              <w:widowControl/>
              <w:spacing w:line="240" w:lineRule="auto"/>
              <w:ind w:firstLine="0" w:firstLineChars="0"/>
              <w:jc w:val="center"/>
              <w:rPr>
                <w:rFonts w:eastAsia="仿宋_GB2312"/>
                <w:sz w:val="18"/>
                <w:szCs w:val="18"/>
              </w:rPr>
            </w:pPr>
            <w:r>
              <w:rPr>
                <w:rFonts w:eastAsia="仿宋_GB2312"/>
                <w:sz w:val="18"/>
                <w:szCs w:val="18"/>
              </w:rPr>
              <w:t>4200</w:t>
            </w:r>
          </w:p>
        </w:tc>
        <w:tc>
          <w:tcPr>
            <w:tcW w:w="681" w:type="dxa"/>
            <w:tcBorders>
              <w:top w:val="nil"/>
              <w:left w:val="nil"/>
              <w:bottom w:val="single" w:color="auto" w:sz="4" w:space="0"/>
              <w:right w:val="single" w:color="auto" w:sz="4" w:space="0"/>
            </w:tcBorders>
            <w:vAlign w:val="center"/>
          </w:tcPr>
          <w:p w14:paraId="2307FE57">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48E2FC4B">
            <w:pPr>
              <w:widowControl/>
              <w:spacing w:line="240" w:lineRule="auto"/>
              <w:ind w:firstLine="0" w:firstLineChars="0"/>
              <w:jc w:val="center"/>
              <w:rPr>
                <w:rFonts w:eastAsia="仿宋_GB2312"/>
                <w:sz w:val="18"/>
                <w:szCs w:val="18"/>
              </w:rPr>
            </w:pPr>
            <w:r>
              <w:rPr>
                <w:rFonts w:eastAsia="仿宋_GB2312"/>
                <w:sz w:val="18"/>
                <w:szCs w:val="18"/>
              </w:rPr>
              <w:t>471</w:t>
            </w:r>
          </w:p>
        </w:tc>
        <w:tc>
          <w:tcPr>
            <w:tcW w:w="1159" w:type="dxa"/>
            <w:tcBorders>
              <w:top w:val="nil"/>
              <w:left w:val="nil"/>
              <w:bottom w:val="single" w:color="auto" w:sz="4" w:space="0"/>
              <w:right w:val="single" w:color="auto" w:sz="4" w:space="0"/>
            </w:tcBorders>
            <w:vAlign w:val="center"/>
          </w:tcPr>
          <w:p w14:paraId="06E3477A">
            <w:pPr>
              <w:widowControl/>
              <w:spacing w:line="240" w:lineRule="auto"/>
              <w:ind w:firstLine="0" w:firstLineChars="0"/>
              <w:jc w:val="center"/>
              <w:rPr>
                <w:rFonts w:eastAsia="仿宋_GB2312"/>
                <w:sz w:val="18"/>
                <w:szCs w:val="18"/>
              </w:rPr>
            </w:pPr>
            <w:r>
              <w:rPr>
                <w:rFonts w:eastAsia="仿宋_GB2312"/>
                <w:sz w:val="18"/>
                <w:szCs w:val="18"/>
              </w:rPr>
              <w:t>26</w:t>
            </w:r>
          </w:p>
        </w:tc>
        <w:tc>
          <w:tcPr>
            <w:tcW w:w="845" w:type="dxa"/>
            <w:tcBorders>
              <w:top w:val="nil"/>
              <w:left w:val="nil"/>
              <w:bottom w:val="single" w:color="auto" w:sz="4" w:space="0"/>
              <w:right w:val="single" w:color="auto" w:sz="4" w:space="0"/>
            </w:tcBorders>
            <w:vAlign w:val="center"/>
          </w:tcPr>
          <w:p w14:paraId="24E5E001">
            <w:pPr>
              <w:widowControl/>
              <w:spacing w:line="240" w:lineRule="auto"/>
              <w:ind w:firstLine="0" w:firstLineChars="0"/>
              <w:jc w:val="center"/>
              <w:rPr>
                <w:rFonts w:eastAsia="仿宋_GB2312"/>
                <w:sz w:val="18"/>
                <w:szCs w:val="18"/>
              </w:rPr>
            </w:pPr>
            <w:r>
              <w:rPr>
                <w:rFonts w:eastAsia="仿宋_GB2312"/>
                <w:sz w:val="18"/>
                <w:szCs w:val="18"/>
              </w:rPr>
              <w:t>23</w:t>
            </w:r>
          </w:p>
        </w:tc>
        <w:tc>
          <w:tcPr>
            <w:tcW w:w="842" w:type="dxa"/>
            <w:tcBorders>
              <w:top w:val="nil"/>
              <w:left w:val="nil"/>
              <w:bottom w:val="single" w:color="auto" w:sz="4" w:space="0"/>
              <w:right w:val="single" w:color="auto" w:sz="4" w:space="0"/>
            </w:tcBorders>
            <w:vAlign w:val="center"/>
          </w:tcPr>
          <w:p w14:paraId="3839402D">
            <w:pPr>
              <w:widowControl/>
              <w:spacing w:line="240" w:lineRule="auto"/>
              <w:ind w:firstLine="0" w:firstLineChars="0"/>
              <w:jc w:val="center"/>
              <w:rPr>
                <w:rFonts w:eastAsia="仿宋_GB2312"/>
                <w:sz w:val="18"/>
                <w:szCs w:val="18"/>
              </w:rPr>
            </w:pPr>
            <w:r>
              <w:rPr>
                <w:rFonts w:eastAsia="仿宋_GB2312"/>
                <w:sz w:val="18"/>
                <w:szCs w:val="18"/>
              </w:rPr>
              <w:t>21</w:t>
            </w:r>
          </w:p>
        </w:tc>
        <w:tc>
          <w:tcPr>
            <w:tcW w:w="839" w:type="dxa"/>
            <w:tcBorders>
              <w:top w:val="nil"/>
              <w:left w:val="nil"/>
              <w:bottom w:val="single" w:color="auto" w:sz="4" w:space="0"/>
              <w:right w:val="single" w:color="auto" w:sz="4" w:space="0"/>
            </w:tcBorders>
            <w:vAlign w:val="center"/>
          </w:tcPr>
          <w:p w14:paraId="18289B97">
            <w:pPr>
              <w:widowControl/>
              <w:spacing w:line="240" w:lineRule="auto"/>
              <w:ind w:firstLine="0" w:firstLineChars="0"/>
              <w:jc w:val="center"/>
              <w:rPr>
                <w:rFonts w:eastAsia="仿宋_GB2312"/>
                <w:sz w:val="18"/>
                <w:szCs w:val="18"/>
              </w:rPr>
            </w:pPr>
            <w:r>
              <w:rPr>
                <w:rFonts w:eastAsia="仿宋_GB2312"/>
                <w:sz w:val="18"/>
                <w:szCs w:val="18"/>
              </w:rPr>
              <w:t>20</w:t>
            </w:r>
          </w:p>
        </w:tc>
        <w:tc>
          <w:tcPr>
            <w:tcW w:w="800" w:type="dxa"/>
            <w:tcBorders>
              <w:top w:val="nil"/>
              <w:left w:val="nil"/>
              <w:bottom w:val="single" w:color="auto" w:sz="4" w:space="0"/>
              <w:right w:val="single" w:color="auto" w:sz="4" w:space="0"/>
            </w:tcBorders>
            <w:vAlign w:val="center"/>
          </w:tcPr>
          <w:p w14:paraId="49E50B21">
            <w:pPr>
              <w:widowControl/>
              <w:spacing w:line="240" w:lineRule="auto"/>
              <w:ind w:firstLine="0" w:firstLineChars="0"/>
              <w:jc w:val="center"/>
              <w:rPr>
                <w:rFonts w:eastAsia="仿宋_GB2312"/>
                <w:sz w:val="18"/>
                <w:szCs w:val="18"/>
              </w:rPr>
            </w:pPr>
            <w:r>
              <w:rPr>
                <w:rFonts w:eastAsia="仿宋_GB2312"/>
                <w:sz w:val="18"/>
                <w:szCs w:val="18"/>
              </w:rPr>
              <w:t>19</w:t>
            </w:r>
          </w:p>
        </w:tc>
        <w:tc>
          <w:tcPr>
            <w:tcW w:w="792" w:type="dxa"/>
            <w:tcBorders>
              <w:top w:val="nil"/>
              <w:left w:val="nil"/>
              <w:bottom w:val="single" w:color="auto" w:sz="4" w:space="0"/>
              <w:right w:val="single" w:color="auto" w:sz="4" w:space="0"/>
            </w:tcBorders>
            <w:vAlign w:val="center"/>
          </w:tcPr>
          <w:p w14:paraId="4C8051C8">
            <w:pPr>
              <w:widowControl/>
              <w:spacing w:line="240" w:lineRule="auto"/>
              <w:ind w:firstLine="0" w:firstLineChars="0"/>
              <w:jc w:val="center"/>
              <w:rPr>
                <w:rFonts w:eastAsia="仿宋_GB2312"/>
                <w:sz w:val="18"/>
                <w:szCs w:val="18"/>
              </w:rPr>
            </w:pPr>
            <w:r>
              <w:rPr>
                <w:rFonts w:eastAsia="仿宋_GB2312"/>
                <w:sz w:val="18"/>
                <w:szCs w:val="18"/>
              </w:rPr>
              <w:t>18</w:t>
            </w:r>
          </w:p>
        </w:tc>
        <w:tc>
          <w:tcPr>
            <w:tcW w:w="1159" w:type="dxa"/>
            <w:tcBorders>
              <w:top w:val="nil"/>
              <w:left w:val="nil"/>
              <w:bottom w:val="single" w:color="auto" w:sz="4" w:space="0"/>
              <w:right w:val="single" w:color="auto" w:sz="4" w:space="0"/>
            </w:tcBorders>
            <w:vAlign w:val="center"/>
          </w:tcPr>
          <w:p w14:paraId="168D560A">
            <w:pPr>
              <w:widowControl/>
              <w:spacing w:line="240" w:lineRule="auto"/>
              <w:ind w:firstLine="0" w:firstLineChars="0"/>
              <w:jc w:val="center"/>
              <w:rPr>
                <w:rFonts w:eastAsia="仿宋_GB2312"/>
                <w:sz w:val="18"/>
                <w:szCs w:val="18"/>
              </w:rPr>
            </w:pPr>
            <w:r>
              <w:rPr>
                <w:rFonts w:eastAsia="仿宋_GB2312"/>
                <w:sz w:val="18"/>
                <w:szCs w:val="18"/>
              </w:rPr>
              <w:t>24</w:t>
            </w:r>
          </w:p>
        </w:tc>
        <w:tc>
          <w:tcPr>
            <w:tcW w:w="723" w:type="dxa"/>
            <w:tcBorders>
              <w:top w:val="nil"/>
              <w:left w:val="nil"/>
              <w:bottom w:val="single" w:color="auto" w:sz="4" w:space="0"/>
              <w:right w:val="single" w:color="auto" w:sz="4" w:space="0"/>
            </w:tcBorders>
            <w:vAlign w:val="center"/>
          </w:tcPr>
          <w:p w14:paraId="70D4C2A6">
            <w:pPr>
              <w:widowControl/>
              <w:spacing w:line="240" w:lineRule="auto"/>
              <w:ind w:firstLine="0" w:firstLineChars="0"/>
              <w:jc w:val="center"/>
              <w:rPr>
                <w:rFonts w:eastAsia="仿宋_GB2312"/>
                <w:sz w:val="18"/>
                <w:szCs w:val="18"/>
              </w:rPr>
            </w:pPr>
            <w:r>
              <w:rPr>
                <w:rFonts w:eastAsia="仿宋_GB2312"/>
                <w:sz w:val="18"/>
                <w:szCs w:val="18"/>
              </w:rPr>
              <w:t>23</w:t>
            </w:r>
          </w:p>
        </w:tc>
        <w:tc>
          <w:tcPr>
            <w:tcW w:w="695" w:type="dxa"/>
            <w:tcBorders>
              <w:top w:val="nil"/>
              <w:left w:val="nil"/>
              <w:bottom w:val="single" w:color="auto" w:sz="4" w:space="0"/>
              <w:right w:val="single" w:color="auto" w:sz="4" w:space="0"/>
            </w:tcBorders>
            <w:vAlign w:val="center"/>
          </w:tcPr>
          <w:p w14:paraId="23A31133">
            <w:pPr>
              <w:widowControl/>
              <w:spacing w:line="240" w:lineRule="auto"/>
              <w:ind w:firstLine="0" w:firstLineChars="0"/>
              <w:jc w:val="center"/>
              <w:rPr>
                <w:rFonts w:eastAsia="仿宋_GB2312"/>
                <w:sz w:val="18"/>
                <w:szCs w:val="18"/>
              </w:rPr>
            </w:pPr>
            <w:r>
              <w:rPr>
                <w:rFonts w:eastAsia="仿宋_GB2312"/>
                <w:sz w:val="18"/>
                <w:szCs w:val="18"/>
              </w:rPr>
              <w:t>22</w:t>
            </w:r>
          </w:p>
        </w:tc>
        <w:tc>
          <w:tcPr>
            <w:tcW w:w="627" w:type="dxa"/>
            <w:tcBorders>
              <w:top w:val="nil"/>
              <w:left w:val="nil"/>
              <w:bottom w:val="single" w:color="auto" w:sz="4" w:space="0"/>
              <w:right w:val="single" w:color="auto" w:sz="4" w:space="0"/>
            </w:tcBorders>
            <w:vAlign w:val="center"/>
          </w:tcPr>
          <w:p w14:paraId="703CD490">
            <w:pPr>
              <w:widowControl/>
              <w:spacing w:line="240" w:lineRule="auto"/>
              <w:ind w:firstLine="0" w:firstLineChars="0"/>
              <w:jc w:val="center"/>
              <w:rPr>
                <w:rFonts w:eastAsia="仿宋_GB2312"/>
                <w:sz w:val="18"/>
                <w:szCs w:val="18"/>
              </w:rPr>
            </w:pPr>
            <w:r>
              <w:rPr>
                <w:rFonts w:eastAsia="仿宋_GB2312"/>
                <w:sz w:val="18"/>
                <w:szCs w:val="18"/>
              </w:rPr>
              <w:t>21</w:t>
            </w:r>
          </w:p>
        </w:tc>
        <w:tc>
          <w:tcPr>
            <w:tcW w:w="720" w:type="dxa"/>
            <w:tcBorders>
              <w:top w:val="nil"/>
              <w:left w:val="nil"/>
              <w:bottom w:val="single" w:color="auto" w:sz="4" w:space="0"/>
              <w:right w:val="single" w:color="auto" w:sz="4" w:space="0"/>
            </w:tcBorders>
            <w:vAlign w:val="center"/>
          </w:tcPr>
          <w:p w14:paraId="69F7B58C">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159BB2D5">
            <w:pPr>
              <w:widowControl/>
              <w:spacing w:line="240" w:lineRule="auto"/>
              <w:ind w:firstLine="0" w:firstLineChars="0"/>
              <w:jc w:val="center"/>
              <w:rPr>
                <w:rFonts w:eastAsia="仿宋_GB2312"/>
                <w:sz w:val="18"/>
                <w:szCs w:val="18"/>
              </w:rPr>
            </w:pPr>
            <w:r>
              <w:rPr>
                <w:rFonts w:eastAsia="仿宋_GB2312"/>
                <w:sz w:val="18"/>
                <w:szCs w:val="18"/>
              </w:rPr>
              <w:t>19</w:t>
            </w:r>
          </w:p>
        </w:tc>
        <w:tc>
          <w:tcPr>
            <w:tcW w:w="880" w:type="dxa"/>
            <w:tcBorders>
              <w:top w:val="nil"/>
              <w:left w:val="nil"/>
              <w:bottom w:val="single" w:color="auto" w:sz="4" w:space="0"/>
              <w:right w:val="single" w:color="auto" w:sz="4" w:space="0"/>
            </w:tcBorders>
            <w:vAlign w:val="center"/>
          </w:tcPr>
          <w:p w14:paraId="155F2A01">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8D6E7A1">
            <w:pPr>
              <w:widowControl/>
              <w:spacing w:line="240" w:lineRule="auto"/>
              <w:ind w:firstLine="0" w:firstLineChars="0"/>
              <w:jc w:val="center"/>
              <w:rPr>
                <w:rFonts w:eastAsia="仿宋_GB2312"/>
                <w:sz w:val="18"/>
                <w:szCs w:val="18"/>
              </w:rPr>
            </w:pPr>
            <w:r>
              <w:rPr>
                <w:rFonts w:eastAsia="仿宋_GB2312"/>
                <w:sz w:val="18"/>
                <w:szCs w:val="18"/>
              </w:rPr>
              <w:t>/</w:t>
            </w:r>
          </w:p>
        </w:tc>
      </w:tr>
      <w:tr w14:paraId="7B5E27A0">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4A34AFE6">
            <w:pPr>
              <w:widowControl/>
              <w:spacing w:line="240" w:lineRule="auto"/>
              <w:ind w:firstLine="0" w:firstLineChars="0"/>
              <w:jc w:val="center"/>
              <w:rPr>
                <w:rFonts w:eastAsia="仿宋_GB2312"/>
                <w:b/>
                <w:bCs/>
                <w:sz w:val="18"/>
                <w:szCs w:val="18"/>
              </w:rPr>
            </w:pPr>
            <w:r>
              <w:rPr>
                <w:rFonts w:hint="eastAsia" w:eastAsia="仿宋_GB2312"/>
                <w:b/>
                <w:bCs/>
                <w:sz w:val="18"/>
                <w:szCs w:val="18"/>
              </w:rPr>
              <w:t>火炬区</w:t>
            </w:r>
          </w:p>
        </w:tc>
        <w:tc>
          <w:tcPr>
            <w:tcW w:w="936" w:type="dxa"/>
            <w:tcBorders>
              <w:top w:val="nil"/>
              <w:left w:val="nil"/>
              <w:bottom w:val="single" w:color="auto" w:sz="4" w:space="0"/>
              <w:right w:val="single" w:color="auto" w:sz="4" w:space="0"/>
            </w:tcBorders>
            <w:vAlign w:val="center"/>
          </w:tcPr>
          <w:p w14:paraId="4A9F5EA9">
            <w:pPr>
              <w:widowControl/>
              <w:spacing w:line="240" w:lineRule="auto"/>
              <w:ind w:firstLine="0" w:firstLineChars="0"/>
              <w:jc w:val="center"/>
              <w:rPr>
                <w:rFonts w:eastAsia="仿宋_GB2312"/>
                <w:sz w:val="18"/>
                <w:szCs w:val="18"/>
              </w:rPr>
            </w:pPr>
            <w:r>
              <w:rPr>
                <w:rFonts w:eastAsia="仿宋_GB2312"/>
                <w:sz w:val="18"/>
                <w:szCs w:val="18"/>
              </w:rPr>
              <w:t>8291</w:t>
            </w:r>
          </w:p>
        </w:tc>
        <w:tc>
          <w:tcPr>
            <w:tcW w:w="980" w:type="dxa"/>
            <w:tcBorders>
              <w:top w:val="nil"/>
              <w:left w:val="nil"/>
              <w:bottom w:val="single" w:color="auto" w:sz="4" w:space="0"/>
              <w:right w:val="single" w:color="auto" w:sz="4" w:space="0"/>
            </w:tcBorders>
            <w:vAlign w:val="center"/>
          </w:tcPr>
          <w:p w14:paraId="5C26265B">
            <w:pPr>
              <w:widowControl/>
              <w:spacing w:line="240" w:lineRule="auto"/>
              <w:ind w:firstLine="0" w:firstLineChars="0"/>
              <w:jc w:val="center"/>
              <w:rPr>
                <w:rFonts w:eastAsia="仿宋_GB2312"/>
                <w:sz w:val="18"/>
                <w:szCs w:val="18"/>
              </w:rPr>
            </w:pPr>
            <w:r>
              <w:rPr>
                <w:rFonts w:eastAsia="仿宋_GB2312"/>
                <w:sz w:val="18"/>
                <w:szCs w:val="18"/>
              </w:rPr>
              <w:t>6500</w:t>
            </w:r>
          </w:p>
        </w:tc>
        <w:tc>
          <w:tcPr>
            <w:tcW w:w="681" w:type="dxa"/>
            <w:tcBorders>
              <w:top w:val="nil"/>
              <w:left w:val="nil"/>
              <w:bottom w:val="single" w:color="auto" w:sz="4" w:space="0"/>
              <w:right w:val="single" w:color="auto" w:sz="4" w:space="0"/>
            </w:tcBorders>
            <w:vAlign w:val="center"/>
          </w:tcPr>
          <w:p w14:paraId="746E0722">
            <w:pPr>
              <w:widowControl/>
              <w:spacing w:line="240" w:lineRule="auto"/>
              <w:ind w:firstLine="0" w:firstLineChars="0"/>
              <w:jc w:val="center"/>
              <w:rPr>
                <w:rFonts w:eastAsia="仿宋_GB2312"/>
                <w:sz w:val="18"/>
                <w:szCs w:val="18"/>
              </w:rPr>
            </w:pPr>
            <w:r>
              <w:rPr>
                <w:rFonts w:eastAsia="仿宋_GB2312"/>
                <w:sz w:val="18"/>
                <w:szCs w:val="18"/>
              </w:rPr>
              <w:t>1230</w:t>
            </w:r>
          </w:p>
        </w:tc>
        <w:tc>
          <w:tcPr>
            <w:tcW w:w="750" w:type="dxa"/>
            <w:tcBorders>
              <w:top w:val="nil"/>
              <w:left w:val="nil"/>
              <w:bottom w:val="single" w:color="auto" w:sz="4" w:space="0"/>
              <w:right w:val="single" w:color="auto" w:sz="4" w:space="0"/>
            </w:tcBorders>
            <w:vAlign w:val="center"/>
          </w:tcPr>
          <w:p w14:paraId="3A83DFFD">
            <w:pPr>
              <w:widowControl/>
              <w:spacing w:line="240" w:lineRule="auto"/>
              <w:ind w:firstLine="0" w:firstLineChars="0"/>
              <w:jc w:val="center"/>
              <w:rPr>
                <w:rFonts w:eastAsia="仿宋_GB2312"/>
                <w:sz w:val="18"/>
                <w:szCs w:val="18"/>
              </w:rPr>
            </w:pPr>
            <w:r>
              <w:rPr>
                <w:rFonts w:eastAsia="仿宋_GB2312"/>
                <w:sz w:val="18"/>
                <w:szCs w:val="18"/>
              </w:rPr>
              <w:t>561</w:t>
            </w:r>
          </w:p>
        </w:tc>
        <w:tc>
          <w:tcPr>
            <w:tcW w:w="1159" w:type="dxa"/>
            <w:tcBorders>
              <w:top w:val="nil"/>
              <w:left w:val="nil"/>
              <w:bottom w:val="single" w:color="auto" w:sz="4" w:space="0"/>
              <w:right w:val="single" w:color="auto" w:sz="4" w:space="0"/>
            </w:tcBorders>
            <w:vAlign w:val="center"/>
          </w:tcPr>
          <w:p w14:paraId="6A0FA53F">
            <w:pPr>
              <w:widowControl/>
              <w:spacing w:line="240" w:lineRule="auto"/>
              <w:ind w:firstLine="0" w:firstLineChars="0"/>
              <w:jc w:val="center"/>
              <w:rPr>
                <w:rFonts w:eastAsia="仿宋_GB2312"/>
                <w:sz w:val="18"/>
                <w:szCs w:val="18"/>
              </w:rPr>
            </w:pPr>
            <w:r>
              <w:rPr>
                <w:rFonts w:eastAsia="仿宋_GB2312"/>
                <w:sz w:val="18"/>
                <w:szCs w:val="18"/>
              </w:rPr>
              <w:t>19</w:t>
            </w:r>
          </w:p>
        </w:tc>
        <w:tc>
          <w:tcPr>
            <w:tcW w:w="845" w:type="dxa"/>
            <w:tcBorders>
              <w:top w:val="nil"/>
              <w:left w:val="nil"/>
              <w:bottom w:val="single" w:color="auto" w:sz="4" w:space="0"/>
              <w:right w:val="single" w:color="auto" w:sz="4" w:space="0"/>
            </w:tcBorders>
            <w:vAlign w:val="center"/>
          </w:tcPr>
          <w:p w14:paraId="7F7D9FD1">
            <w:pPr>
              <w:widowControl/>
              <w:spacing w:line="240" w:lineRule="auto"/>
              <w:ind w:firstLine="0" w:firstLineChars="0"/>
              <w:jc w:val="center"/>
              <w:rPr>
                <w:rFonts w:eastAsia="仿宋_GB2312"/>
                <w:sz w:val="18"/>
                <w:szCs w:val="18"/>
              </w:rPr>
            </w:pPr>
            <w:r>
              <w:rPr>
                <w:rFonts w:eastAsia="仿宋_GB2312"/>
                <w:sz w:val="18"/>
                <w:szCs w:val="18"/>
              </w:rPr>
              <w:t>16</w:t>
            </w:r>
          </w:p>
        </w:tc>
        <w:tc>
          <w:tcPr>
            <w:tcW w:w="842" w:type="dxa"/>
            <w:tcBorders>
              <w:top w:val="nil"/>
              <w:left w:val="nil"/>
              <w:bottom w:val="single" w:color="auto" w:sz="4" w:space="0"/>
              <w:right w:val="single" w:color="auto" w:sz="4" w:space="0"/>
            </w:tcBorders>
            <w:vAlign w:val="center"/>
          </w:tcPr>
          <w:p w14:paraId="44A41437">
            <w:pPr>
              <w:widowControl/>
              <w:spacing w:line="240" w:lineRule="auto"/>
              <w:ind w:firstLine="0" w:firstLineChars="0"/>
              <w:jc w:val="center"/>
              <w:rPr>
                <w:rFonts w:eastAsia="仿宋_GB2312"/>
                <w:sz w:val="18"/>
                <w:szCs w:val="18"/>
              </w:rPr>
            </w:pPr>
            <w:r>
              <w:rPr>
                <w:rFonts w:eastAsia="仿宋_GB2312"/>
                <w:sz w:val="18"/>
                <w:szCs w:val="18"/>
              </w:rPr>
              <w:t>15</w:t>
            </w:r>
          </w:p>
        </w:tc>
        <w:tc>
          <w:tcPr>
            <w:tcW w:w="839" w:type="dxa"/>
            <w:tcBorders>
              <w:top w:val="nil"/>
              <w:left w:val="nil"/>
              <w:bottom w:val="single" w:color="auto" w:sz="4" w:space="0"/>
              <w:right w:val="single" w:color="auto" w:sz="4" w:space="0"/>
            </w:tcBorders>
            <w:vAlign w:val="center"/>
          </w:tcPr>
          <w:p w14:paraId="19CE9853">
            <w:pPr>
              <w:widowControl/>
              <w:spacing w:line="240" w:lineRule="auto"/>
              <w:ind w:firstLine="0" w:firstLineChars="0"/>
              <w:jc w:val="center"/>
              <w:rPr>
                <w:rFonts w:eastAsia="仿宋_GB2312"/>
                <w:sz w:val="18"/>
                <w:szCs w:val="18"/>
              </w:rPr>
            </w:pPr>
            <w:r>
              <w:rPr>
                <w:rFonts w:eastAsia="仿宋_GB2312"/>
                <w:sz w:val="18"/>
                <w:szCs w:val="18"/>
              </w:rPr>
              <w:t>15</w:t>
            </w:r>
          </w:p>
        </w:tc>
        <w:tc>
          <w:tcPr>
            <w:tcW w:w="800" w:type="dxa"/>
            <w:tcBorders>
              <w:top w:val="nil"/>
              <w:left w:val="nil"/>
              <w:bottom w:val="single" w:color="auto" w:sz="4" w:space="0"/>
              <w:right w:val="single" w:color="auto" w:sz="4" w:space="0"/>
            </w:tcBorders>
            <w:vAlign w:val="center"/>
          </w:tcPr>
          <w:p w14:paraId="2B47B250">
            <w:pPr>
              <w:widowControl/>
              <w:spacing w:line="240" w:lineRule="auto"/>
              <w:ind w:firstLine="0" w:firstLineChars="0"/>
              <w:jc w:val="center"/>
              <w:rPr>
                <w:rFonts w:eastAsia="仿宋_GB2312"/>
                <w:sz w:val="18"/>
                <w:szCs w:val="18"/>
              </w:rPr>
            </w:pPr>
            <w:r>
              <w:rPr>
                <w:rFonts w:eastAsia="仿宋_GB2312"/>
                <w:sz w:val="18"/>
                <w:szCs w:val="18"/>
              </w:rPr>
              <w:t>14</w:t>
            </w:r>
          </w:p>
        </w:tc>
        <w:tc>
          <w:tcPr>
            <w:tcW w:w="792" w:type="dxa"/>
            <w:tcBorders>
              <w:top w:val="nil"/>
              <w:left w:val="nil"/>
              <w:bottom w:val="single" w:color="auto" w:sz="4" w:space="0"/>
              <w:right w:val="single" w:color="auto" w:sz="4" w:space="0"/>
            </w:tcBorders>
            <w:vAlign w:val="center"/>
          </w:tcPr>
          <w:p w14:paraId="5B02B2CB">
            <w:pPr>
              <w:widowControl/>
              <w:spacing w:line="240" w:lineRule="auto"/>
              <w:ind w:firstLine="0" w:firstLineChars="0"/>
              <w:jc w:val="center"/>
              <w:rPr>
                <w:rFonts w:eastAsia="仿宋_GB2312"/>
                <w:sz w:val="18"/>
                <w:szCs w:val="18"/>
              </w:rPr>
            </w:pPr>
            <w:r>
              <w:rPr>
                <w:rFonts w:eastAsia="仿宋_GB2312"/>
                <w:sz w:val="18"/>
                <w:szCs w:val="18"/>
              </w:rPr>
              <w:t>13</w:t>
            </w:r>
          </w:p>
        </w:tc>
        <w:tc>
          <w:tcPr>
            <w:tcW w:w="1159" w:type="dxa"/>
            <w:tcBorders>
              <w:top w:val="nil"/>
              <w:left w:val="nil"/>
              <w:bottom w:val="single" w:color="auto" w:sz="4" w:space="0"/>
              <w:right w:val="single" w:color="auto" w:sz="4" w:space="0"/>
            </w:tcBorders>
            <w:vAlign w:val="center"/>
          </w:tcPr>
          <w:p w14:paraId="7A77A3DE">
            <w:pPr>
              <w:widowControl/>
              <w:spacing w:line="240" w:lineRule="auto"/>
              <w:ind w:firstLine="0" w:firstLineChars="0"/>
              <w:jc w:val="center"/>
              <w:rPr>
                <w:rFonts w:eastAsia="仿宋_GB2312"/>
                <w:sz w:val="18"/>
                <w:szCs w:val="18"/>
              </w:rPr>
            </w:pPr>
            <w:r>
              <w:rPr>
                <w:rFonts w:eastAsia="仿宋_GB2312"/>
                <w:sz w:val="18"/>
                <w:szCs w:val="18"/>
              </w:rPr>
              <w:t>9</w:t>
            </w:r>
          </w:p>
        </w:tc>
        <w:tc>
          <w:tcPr>
            <w:tcW w:w="723" w:type="dxa"/>
            <w:tcBorders>
              <w:top w:val="nil"/>
              <w:left w:val="nil"/>
              <w:bottom w:val="single" w:color="auto" w:sz="4" w:space="0"/>
              <w:right w:val="single" w:color="auto" w:sz="4" w:space="0"/>
            </w:tcBorders>
            <w:vAlign w:val="center"/>
          </w:tcPr>
          <w:p w14:paraId="010540FD">
            <w:pPr>
              <w:widowControl/>
              <w:spacing w:line="240" w:lineRule="auto"/>
              <w:ind w:firstLine="0" w:firstLineChars="0"/>
              <w:jc w:val="center"/>
              <w:rPr>
                <w:rFonts w:eastAsia="仿宋_GB2312"/>
                <w:sz w:val="18"/>
                <w:szCs w:val="18"/>
              </w:rPr>
            </w:pPr>
            <w:r>
              <w:rPr>
                <w:rFonts w:eastAsia="仿宋_GB2312"/>
                <w:sz w:val="18"/>
                <w:szCs w:val="18"/>
              </w:rPr>
              <w:t>9</w:t>
            </w:r>
          </w:p>
        </w:tc>
        <w:tc>
          <w:tcPr>
            <w:tcW w:w="695" w:type="dxa"/>
            <w:tcBorders>
              <w:top w:val="nil"/>
              <w:left w:val="nil"/>
              <w:bottom w:val="single" w:color="auto" w:sz="4" w:space="0"/>
              <w:right w:val="single" w:color="auto" w:sz="4" w:space="0"/>
            </w:tcBorders>
            <w:vAlign w:val="center"/>
          </w:tcPr>
          <w:p w14:paraId="2D63D2CE">
            <w:pPr>
              <w:widowControl/>
              <w:spacing w:line="240" w:lineRule="auto"/>
              <w:ind w:firstLine="0" w:firstLineChars="0"/>
              <w:jc w:val="center"/>
              <w:rPr>
                <w:rFonts w:eastAsia="仿宋_GB2312"/>
                <w:sz w:val="18"/>
                <w:szCs w:val="18"/>
              </w:rPr>
            </w:pPr>
            <w:r>
              <w:rPr>
                <w:rFonts w:eastAsia="仿宋_GB2312"/>
                <w:sz w:val="18"/>
                <w:szCs w:val="18"/>
              </w:rPr>
              <w:t>9</w:t>
            </w:r>
          </w:p>
        </w:tc>
        <w:tc>
          <w:tcPr>
            <w:tcW w:w="627" w:type="dxa"/>
            <w:tcBorders>
              <w:top w:val="nil"/>
              <w:left w:val="nil"/>
              <w:bottom w:val="single" w:color="auto" w:sz="4" w:space="0"/>
              <w:right w:val="single" w:color="auto" w:sz="4" w:space="0"/>
            </w:tcBorders>
            <w:vAlign w:val="center"/>
          </w:tcPr>
          <w:p w14:paraId="0B8928B3">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73F04680">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50DA999C">
            <w:pPr>
              <w:widowControl/>
              <w:spacing w:line="240" w:lineRule="auto"/>
              <w:ind w:firstLine="0" w:firstLineChars="0"/>
              <w:jc w:val="center"/>
              <w:rPr>
                <w:rFonts w:eastAsia="仿宋_GB2312"/>
                <w:sz w:val="18"/>
                <w:szCs w:val="18"/>
              </w:rPr>
            </w:pPr>
            <w:r>
              <w:rPr>
                <w:rFonts w:eastAsia="仿宋_GB2312"/>
                <w:sz w:val="18"/>
                <w:szCs w:val="18"/>
              </w:rPr>
              <w:t>9</w:t>
            </w:r>
          </w:p>
        </w:tc>
        <w:tc>
          <w:tcPr>
            <w:tcW w:w="880" w:type="dxa"/>
            <w:tcBorders>
              <w:top w:val="nil"/>
              <w:left w:val="nil"/>
              <w:bottom w:val="single" w:color="auto" w:sz="4" w:space="0"/>
              <w:right w:val="single" w:color="auto" w:sz="4" w:space="0"/>
            </w:tcBorders>
            <w:vAlign w:val="center"/>
          </w:tcPr>
          <w:p w14:paraId="6D4EB793">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84AB1CD">
            <w:pPr>
              <w:widowControl/>
              <w:spacing w:line="240" w:lineRule="auto"/>
              <w:ind w:firstLine="0" w:firstLineChars="0"/>
              <w:jc w:val="center"/>
              <w:rPr>
                <w:rFonts w:eastAsia="仿宋_GB2312"/>
                <w:sz w:val="18"/>
                <w:szCs w:val="18"/>
              </w:rPr>
            </w:pPr>
            <w:r>
              <w:rPr>
                <w:rFonts w:eastAsia="仿宋_GB2312"/>
                <w:sz w:val="18"/>
                <w:szCs w:val="18"/>
              </w:rPr>
              <w:t>80%</w:t>
            </w:r>
          </w:p>
        </w:tc>
      </w:tr>
      <w:tr w14:paraId="3D3BF76E">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69B778AB">
            <w:pPr>
              <w:widowControl/>
              <w:spacing w:line="240" w:lineRule="auto"/>
              <w:ind w:firstLine="0" w:firstLineChars="0"/>
              <w:jc w:val="center"/>
              <w:rPr>
                <w:rFonts w:eastAsia="仿宋_GB2312"/>
                <w:b/>
                <w:bCs/>
                <w:szCs w:val="24"/>
              </w:rPr>
            </w:pPr>
            <w:r>
              <w:rPr>
                <w:rFonts w:hint="eastAsia" w:eastAsia="仿宋_GB2312"/>
                <w:b/>
                <w:bCs/>
                <w:szCs w:val="24"/>
              </w:rPr>
              <w:t>西</w:t>
            </w:r>
            <w:r>
              <w:rPr>
                <w:rFonts w:eastAsia="仿宋_GB2312"/>
                <w:b/>
                <w:bCs/>
                <w:szCs w:val="24"/>
              </w:rPr>
              <w:t xml:space="preserve">  </w:t>
            </w:r>
            <w:r>
              <w:rPr>
                <w:rFonts w:hint="eastAsia" w:eastAsia="仿宋_GB2312"/>
                <w:b/>
                <w:bCs/>
                <w:szCs w:val="24"/>
              </w:rPr>
              <w:t>区</w:t>
            </w:r>
          </w:p>
        </w:tc>
        <w:tc>
          <w:tcPr>
            <w:tcW w:w="936" w:type="dxa"/>
            <w:tcBorders>
              <w:top w:val="nil"/>
              <w:left w:val="nil"/>
              <w:bottom w:val="single" w:color="auto" w:sz="4" w:space="0"/>
              <w:right w:val="single" w:color="auto" w:sz="4" w:space="0"/>
            </w:tcBorders>
            <w:vAlign w:val="center"/>
          </w:tcPr>
          <w:p w14:paraId="42B8FCBD">
            <w:pPr>
              <w:widowControl/>
              <w:spacing w:line="240" w:lineRule="auto"/>
              <w:ind w:firstLine="0" w:firstLineChars="0"/>
              <w:jc w:val="center"/>
              <w:rPr>
                <w:rFonts w:eastAsia="仿宋_GB2312"/>
                <w:b/>
                <w:bCs/>
                <w:szCs w:val="24"/>
              </w:rPr>
            </w:pPr>
            <w:r>
              <w:rPr>
                <w:rFonts w:eastAsia="仿宋_GB2312"/>
                <w:b/>
                <w:bCs/>
                <w:szCs w:val="24"/>
              </w:rPr>
              <w:t>3</w:t>
            </w:r>
            <w:r>
              <w:rPr>
                <w:rFonts w:hint="eastAsia" w:eastAsia="仿宋_GB2312"/>
                <w:b/>
                <w:bCs/>
                <w:szCs w:val="24"/>
              </w:rPr>
              <w:t>7</w:t>
            </w:r>
            <w:r>
              <w:rPr>
                <w:rFonts w:eastAsia="仿宋_GB2312"/>
                <w:b/>
                <w:bCs/>
                <w:szCs w:val="24"/>
              </w:rPr>
              <w:t>07</w:t>
            </w:r>
          </w:p>
        </w:tc>
        <w:tc>
          <w:tcPr>
            <w:tcW w:w="980" w:type="dxa"/>
            <w:tcBorders>
              <w:top w:val="nil"/>
              <w:left w:val="nil"/>
              <w:bottom w:val="single" w:color="auto" w:sz="4" w:space="0"/>
              <w:right w:val="single" w:color="auto" w:sz="4" w:space="0"/>
            </w:tcBorders>
            <w:vAlign w:val="center"/>
          </w:tcPr>
          <w:p w14:paraId="4E7C7FD0">
            <w:pPr>
              <w:widowControl/>
              <w:spacing w:line="240" w:lineRule="auto"/>
              <w:ind w:firstLine="0" w:firstLineChars="0"/>
              <w:jc w:val="center"/>
              <w:rPr>
                <w:rFonts w:eastAsia="仿宋_GB2312"/>
                <w:b/>
                <w:bCs/>
                <w:szCs w:val="24"/>
              </w:rPr>
            </w:pPr>
            <w:r>
              <w:rPr>
                <w:rFonts w:eastAsia="仿宋_GB2312"/>
                <w:b/>
                <w:bCs/>
                <w:szCs w:val="24"/>
              </w:rPr>
              <w:t>2</w:t>
            </w:r>
            <w:r>
              <w:rPr>
                <w:rFonts w:hint="eastAsia" w:eastAsia="仿宋_GB2312"/>
                <w:b/>
                <w:bCs/>
                <w:szCs w:val="24"/>
              </w:rPr>
              <w:t>8</w:t>
            </w:r>
            <w:r>
              <w:rPr>
                <w:rFonts w:eastAsia="仿宋_GB2312"/>
                <w:b/>
                <w:bCs/>
                <w:szCs w:val="24"/>
              </w:rPr>
              <w:t>00</w:t>
            </w:r>
          </w:p>
        </w:tc>
        <w:tc>
          <w:tcPr>
            <w:tcW w:w="681" w:type="dxa"/>
            <w:tcBorders>
              <w:top w:val="nil"/>
              <w:left w:val="nil"/>
              <w:bottom w:val="single" w:color="auto" w:sz="4" w:space="0"/>
              <w:right w:val="single" w:color="auto" w:sz="4" w:space="0"/>
            </w:tcBorders>
            <w:vAlign w:val="center"/>
          </w:tcPr>
          <w:p w14:paraId="5635839A">
            <w:pPr>
              <w:widowControl/>
              <w:spacing w:line="240" w:lineRule="auto"/>
              <w:ind w:firstLine="0" w:firstLineChars="0"/>
              <w:jc w:val="center"/>
              <w:rPr>
                <w:rFonts w:eastAsia="仿宋_GB2312"/>
                <w:b/>
                <w:bCs/>
                <w:szCs w:val="24"/>
              </w:rPr>
            </w:pPr>
            <w:r>
              <w:rPr>
                <w:rFonts w:eastAsia="仿宋_GB2312"/>
                <w:b/>
                <w:bCs/>
                <w:szCs w:val="24"/>
              </w:rPr>
              <w:t>0</w:t>
            </w:r>
          </w:p>
        </w:tc>
        <w:tc>
          <w:tcPr>
            <w:tcW w:w="750" w:type="dxa"/>
            <w:tcBorders>
              <w:top w:val="nil"/>
              <w:left w:val="nil"/>
              <w:bottom w:val="single" w:color="auto" w:sz="4" w:space="0"/>
              <w:right w:val="single" w:color="auto" w:sz="4" w:space="0"/>
            </w:tcBorders>
            <w:vAlign w:val="center"/>
          </w:tcPr>
          <w:p w14:paraId="3D2CD2C9">
            <w:pPr>
              <w:widowControl/>
              <w:spacing w:line="240" w:lineRule="auto"/>
              <w:ind w:firstLine="0" w:firstLineChars="0"/>
              <w:jc w:val="center"/>
              <w:rPr>
                <w:rFonts w:eastAsia="仿宋_GB2312"/>
                <w:b/>
                <w:bCs/>
                <w:szCs w:val="24"/>
              </w:rPr>
            </w:pPr>
            <w:r>
              <w:rPr>
                <w:rFonts w:eastAsia="仿宋_GB2312"/>
                <w:b/>
                <w:bCs/>
                <w:szCs w:val="24"/>
              </w:rPr>
              <w:t>907</w:t>
            </w:r>
          </w:p>
        </w:tc>
        <w:tc>
          <w:tcPr>
            <w:tcW w:w="1159" w:type="dxa"/>
            <w:tcBorders>
              <w:top w:val="nil"/>
              <w:left w:val="nil"/>
              <w:bottom w:val="single" w:color="auto" w:sz="4" w:space="0"/>
              <w:right w:val="single" w:color="auto" w:sz="4" w:space="0"/>
            </w:tcBorders>
            <w:vAlign w:val="center"/>
          </w:tcPr>
          <w:p w14:paraId="01640D2D">
            <w:pPr>
              <w:widowControl/>
              <w:spacing w:line="240" w:lineRule="auto"/>
              <w:ind w:firstLine="0" w:firstLineChars="0"/>
              <w:jc w:val="center"/>
              <w:rPr>
                <w:rFonts w:eastAsia="仿宋_GB2312"/>
                <w:b/>
                <w:bCs/>
                <w:szCs w:val="24"/>
              </w:rPr>
            </w:pPr>
            <w:r>
              <w:rPr>
                <w:rFonts w:eastAsia="仿宋_GB2312"/>
                <w:b/>
                <w:bCs/>
                <w:szCs w:val="24"/>
              </w:rPr>
              <w:t>41</w:t>
            </w:r>
          </w:p>
        </w:tc>
        <w:tc>
          <w:tcPr>
            <w:tcW w:w="845" w:type="dxa"/>
            <w:tcBorders>
              <w:top w:val="nil"/>
              <w:left w:val="nil"/>
              <w:bottom w:val="single" w:color="auto" w:sz="4" w:space="0"/>
              <w:right w:val="single" w:color="auto" w:sz="4" w:space="0"/>
            </w:tcBorders>
            <w:vAlign w:val="center"/>
          </w:tcPr>
          <w:p w14:paraId="69837B60">
            <w:pPr>
              <w:widowControl/>
              <w:spacing w:line="240" w:lineRule="auto"/>
              <w:ind w:firstLine="0" w:firstLineChars="0"/>
              <w:jc w:val="center"/>
              <w:rPr>
                <w:rFonts w:eastAsia="仿宋_GB2312"/>
                <w:b/>
                <w:bCs/>
                <w:szCs w:val="24"/>
              </w:rPr>
            </w:pPr>
            <w:r>
              <w:rPr>
                <w:rFonts w:eastAsia="仿宋_GB2312"/>
                <w:b/>
                <w:bCs/>
                <w:szCs w:val="24"/>
              </w:rPr>
              <w:t>35</w:t>
            </w:r>
          </w:p>
        </w:tc>
        <w:tc>
          <w:tcPr>
            <w:tcW w:w="842" w:type="dxa"/>
            <w:tcBorders>
              <w:top w:val="nil"/>
              <w:left w:val="nil"/>
              <w:bottom w:val="single" w:color="auto" w:sz="4" w:space="0"/>
              <w:right w:val="single" w:color="auto" w:sz="4" w:space="0"/>
            </w:tcBorders>
            <w:vAlign w:val="center"/>
          </w:tcPr>
          <w:p w14:paraId="5D751AF5">
            <w:pPr>
              <w:widowControl/>
              <w:spacing w:line="240" w:lineRule="auto"/>
              <w:ind w:firstLine="0" w:firstLineChars="0"/>
              <w:jc w:val="center"/>
              <w:rPr>
                <w:rFonts w:eastAsia="仿宋_GB2312"/>
                <w:b/>
                <w:bCs/>
                <w:szCs w:val="24"/>
              </w:rPr>
            </w:pPr>
            <w:r>
              <w:rPr>
                <w:rFonts w:eastAsia="仿宋_GB2312"/>
                <w:b/>
                <w:bCs/>
                <w:szCs w:val="24"/>
              </w:rPr>
              <w:t>34</w:t>
            </w:r>
          </w:p>
        </w:tc>
        <w:tc>
          <w:tcPr>
            <w:tcW w:w="839" w:type="dxa"/>
            <w:tcBorders>
              <w:top w:val="nil"/>
              <w:left w:val="nil"/>
              <w:bottom w:val="single" w:color="auto" w:sz="4" w:space="0"/>
              <w:right w:val="single" w:color="auto" w:sz="4" w:space="0"/>
            </w:tcBorders>
            <w:vAlign w:val="center"/>
          </w:tcPr>
          <w:p w14:paraId="2F971BD2">
            <w:pPr>
              <w:widowControl/>
              <w:spacing w:line="240" w:lineRule="auto"/>
              <w:ind w:firstLine="0" w:firstLineChars="0"/>
              <w:jc w:val="center"/>
              <w:rPr>
                <w:rFonts w:eastAsia="仿宋_GB2312"/>
                <w:b/>
                <w:bCs/>
                <w:szCs w:val="24"/>
              </w:rPr>
            </w:pPr>
            <w:r>
              <w:rPr>
                <w:rFonts w:eastAsia="仿宋_GB2312"/>
                <w:b/>
                <w:bCs/>
                <w:szCs w:val="24"/>
              </w:rPr>
              <w:t>32</w:t>
            </w:r>
          </w:p>
        </w:tc>
        <w:tc>
          <w:tcPr>
            <w:tcW w:w="800" w:type="dxa"/>
            <w:tcBorders>
              <w:top w:val="nil"/>
              <w:left w:val="nil"/>
              <w:bottom w:val="single" w:color="auto" w:sz="4" w:space="0"/>
              <w:right w:val="single" w:color="auto" w:sz="4" w:space="0"/>
            </w:tcBorders>
            <w:vAlign w:val="center"/>
          </w:tcPr>
          <w:p w14:paraId="2B395D63">
            <w:pPr>
              <w:widowControl/>
              <w:spacing w:line="240" w:lineRule="auto"/>
              <w:ind w:firstLine="0" w:firstLineChars="0"/>
              <w:jc w:val="center"/>
              <w:rPr>
                <w:rFonts w:eastAsia="仿宋_GB2312"/>
                <w:b/>
                <w:bCs/>
                <w:szCs w:val="24"/>
              </w:rPr>
            </w:pPr>
            <w:r>
              <w:rPr>
                <w:rFonts w:eastAsia="仿宋_GB2312"/>
                <w:b/>
                <w:bCs/>
                <w:szCs w:val="24"/>
              </w:rPr>
              <w:t>30</w:t>
            </w:r>
          </w:p>
        </w:tc>
        <w:tc>
          <w:tcPr>
            <w:tcW w:w="792" w:type="dxa"/>
            <w:tcBorders>
              <w:top w:val="nil"/>
              <w:left w:val="nil"/>
              <w:bottom w:val="single" w:color="auto" w:sz="4" w:space="0"/>
              <w:right w:val="single" w:color="auto" w:sz="4" w:space="0"/>
            </w:tcBorders>
            <w:vAlign w:val="center"/>
          </w:tcPr>
          <w:p w14:paraId="243C18B9">
            <w:pPr>
              <w:widowControl/>
              <w:spacing w:line="240" w:lineRule="auto"/>
              <w:ind w:firstLine="0" w:firstLineChars="0"/>
              <w:jc w:val="center"/>
              <w:rPr>
                <w:rFonts w:eastAsia="仿宋_GB2312"/>
                <w:b/>
                <w:bCs/>
                <w:szCs w:val="24"/>
              </w:rPr>
            </w:pPr>
            <w:r>
              <w:rPr>
                <w:rFonts w:eastAsia="仿宋_GB2312"/>
                <w:b/>
                <w:bCs/>
                <w:szCs w:val="24"/>
              </w:rPr>
              <w:t>29</w:t>
            </w:r>
          </w:p>
        </w:tc>
        <w:tc>
          <w:tcPr>
            <w:tcW w:w="1159" w:type="dxa"/>
            <w:tcBorders>
              <w:top w:val="nil"/>
              <w:left w:val="nil"/>
              <w:bottom w:val="single" w:color="auto" w:sz="4" w:space="0"/>
              <w:right w:val="single" w:color="auto" w:sz="4" w:space="0"/>
            </w:tcBorders>
            <w:vAlign w:val="center"/>
          </w:tcPr>
          <w:p w14:paraId="776AC5AB">
            <w:pPr>
              <w:widowControl/>
              <w:spacing w:line="240" w:lineRule="auto"/>
              <w:ind w:firstLine="0" w:firstLineChars="0"/>
              <w:jc w:val="center"/>
              <w:rPr>
                <w:rFonts w:eastAsia="仿宋_GB2312"/>
                <w:b/>
                <w:bCs/>
                <w:szCs w:val="24"/>
              </w:rPr>
            </w:pPr>
            <w:r>
              <w:rPr>
                <w:rFonts w:eastAsia="仿宋_GB2312"/>
                <w:b/>
                <w:bCs/>
                <w:szCs w:val="24"/>
              </w:rPr>
              <w:t>11</w:t>
            </w:r>
          </w:p>
        </w:tc>
        <w:tc>
          <w:tcPr>
            <w:tcW w:w="723" w:type="dxa"/>
            <w:tcBorders>
              <w:top w:val="nil"/>
              <w:left w:val="nil"/>
              <w:bottom w:val="single" w:color="auto" w:sz="4" w:space="0"/>
              <w:right w:val="single" w:color="auto" w:sz="4" w:space="0"/>
            </w:tcBorders>
            <w:vAlign w:val="center"/>
          </w:tcPr>
          <w:p w14:paraId="66927E04">
            <w:pPr>
              <w:widowControl/>
              <w:spacing w:line="240" w:lineRule="auto"/>
              <w:ind w:firstLine="0" w:firstLineChars="0"/>
              <w:jc w:val="center"/>
              <w:rPr>
                <w:rFonts w:eastAsia="仿宋_GB2312"/>
                <w:b/>
                <w:bCs/>
                <w:szCs w:val="24"/>
              </w:rPr>
            </w:pPr>
            <w:r>
              <w:rPr>
                <w:rFonts w:eastAsia="仿宋_GB2312"/>
                <w:b/>
                <w:bCs/>
                <w:szCs w:val="24"/>
              </w:rPr>
              <w:t>11</w:t>
            </w:r>
          </w:p>
        </w:tc>
        <w:tc>
          <w:tcPr>
            <w:tcW w:w="695" w:type="dxa"/>
            <w:tcBorders>
              <w:top w:val="nil"/>
              <w:left w:val="nil"/>
              <w:bottom w:val="single" w:color="auto" w:sz="4" w:space="0"/>
              <w:right w:val="single" w:color="auto" w:sz="4" w:space="0"/>
            </w:tcBorders>
            <w:vAlign w:val="center"/>
          </w:tcPr>
          <w:p w14:paraId="517555A2">
            <w:pPr>
              <w:widowControl/>
              <w:spacing w:line="240" w:lineRule="auto"/>
              <w:ind w:firstLine="0" w:firstLineChars="0"/>
              <w:jc w:val="center"/>
              <w:rPr>
                <w:rFonts w:eastAsia="仿宋_GB2312"/>
                <w:b/>
                <w:bCs/>
                <w:szCs w:val="24"/>
              </w:rPr>
            </w:pPr>
            <w:r>
              <w:rPr>
                <w:rFonts w:eastAsia="仿宋_GB2312"/>
                <w:b/>
                <w:bCs/>
                <w:szCs w:val="24"/>
              </w:rPr>
              <w:t>10</w:t>
            </w:r>
          </w:p>
        </w:tc>
        <w:tc>
          <w:tcPr>
            <w:tcW w:w="627" w:type="dxa"/>
            <w:tcBorders>
              <w:top w:val="nil"/>
              <w:left w:val="nil"/>
              <w:bottom w:val="single" w:color="auto" w:sz="4" w:space="0"/>
              <w:right w:val="single" w:color="auto" w:sz="4" w:space="0"/>
            </w:tcBorders>
            <w:vAlign w:val="center"/>
          </w:tcPr>
          <w:p w14:paraId="376965A9">
            <w:pPr>
              <w:widowControl/>
              <w:spacing w:line="240" w:lineRule="auto"/>
              <w:ind w:firstLine="0" w:firstLineChars="0"/>
              <w:jc w:val="center"/>
              <w:rPr>
                <w:rFonts w:eastAsia="仿宋_GB2312"/>
                <w:b/>
                <w:bCs/>
                <w:szCs w:val="24"/>
              </w:rPr>
            </w:pPr>
            <w:r>
              <w:rPr>
                <w:rFonts w:eastAsia="仿宋_GB2312"/>
                <w:b/>
                <w:bCs/>
                <w:szCs w:val="24"/>
              </w:rPr>
              <w:t>10</w:t>
            </w:r>
          </w:p>
        </w:tc>
        <w:tc>
          <w:tcPr>
            <w:tcW w:w="720" w:type="dxa"/>
            <w:tcBorders>
              <w:top w:val="nil"/>
              <w:left w:val="nil"/>
              <w:bottom w:val="single" w:color="auto" w:sz="4" w:space="0"/>
              <w:right w:val="single" w:color="auto" w:sz="4" w:space="0"/>
            </w:tcBorders>
            <w:vAlign w:val="center"/>
          </w:tcPr>
          <w:p w14:paraId="4527611B">
            <w:pPr>
              <w:widowControl/>
              <w:spacing w:line="240" w:lineRule="auto"/>
              <w:ind w:firstLine="0" w:firstLineChars="0"/>
              <w:jc w:val="center"/>
              <w:rPr>
                <w:rFonts w:eastAsia="仿宋_GB2312"/>
                <w:b/>
                <w:bCs/>
                <w:szCs w:val="24"/>
              </w:rPr>
            </w:pPr>
            <w:r>
              <w:rPr>
                <w:rFonts w:eastAsia="仿宋_GB2312"/>
                <w:b/>
                <w:bCs/>
                <w:szCs w:val="24"/>
              </w:rPr>
              <w:t>10</w:t>
            </w:r>
          </w:p>
        </w:tc>
        <w:tc>
          <w:tcPr>
            <w:tcW w:w="720" w:type="dxa"/>
            <w:tcBorders>
              <w:top w:val="nil"/>
              <w:left w:val="nil"/>
              <w:bottom w:val="single" w:color="auto" w:sz="4" w:space="0"/>
              <w:right w:val="single" w:color="auto" w:sz="4" w:space="0"/>
            </w:tcBorders>
            <w:vAlign w:val="center"/>
          </w:tcPr>
          <w:p w14:paraId="354041CB">
            <w:pPr>
              <w:widowControl/>
              <w:spacing w:line="240" w:lineRule="auto"/>
              <w:ind w:firstLine="0" w:firstLineChars="0"/>
              <w:jc w:val="center"/>
              <w:rPr>
                <w:rFonts w:eastAsia="仿宋_GB2312"/>
                <w:b/>
                <w:bCs/>
                <w:szCs w:val="24"/>
              </w:rPr>
            </w:pPr>
            <w:r>
              <w:rPr>
                <w:rFonts w:eastAsia="仿宋_GB2312"/>
                <w:b/>
                <w:bCs/>
                <w:szCs w:val="24"/>
              </w:rPr>
              <w:t>10</w:t>
            </w:r>
          </w:p>
        </w:tc>
        <w:tc>
          <w:tcPr>
            <w:tcW w:w="880" w:type="dxa"/>
            <w:tcBorders>
              <w:top w:val="nil"/>
              <w:left w:val="nil"/>
              <w:bottom w:val="single" w:color="auto" w:sz="4" w:space="0"/>
              <w:right w:val="single" w:color="auto" w:sz="4" w:space="0"/>
            </w:tcBorders>
            <w:vAlign w:val="center"/>
          </w:tcPr>
          <w:p w14:paraId="4C8D2DFF">
            <w:pPr>
              <w:widowControl/>
              <w:spacing w:line="240" w:lineRule="auto"/>
              <w:ind w:firstLine="0" w:firstLineChars="0"/>
              <w:jc w:val="center"/>
              <w:rPr>
                <w:rFonts w:eastAsia="仿宋_GB2312"/>
                <w:b/>
                <w:bCs/>
                <w:szCs w:val="24"/>
              </w:rPr>
            </w:pPr>
            <w:r>
              <w:rPr>
                <w:rFonts w:eastAsia="仿宋_GB2312"/>
                <w:b/>
                <w:bCs/>
                <w:szCs w:val="24"/>
              </w:rPr>
              <w:t>0.639</w:t>
            </w:r>
          </w:p>
        </w:tc>
        <w:tc>
          <w:tcPr>
            <w:tcW w:w="980" w:type="dxa"/>
            <w:tcBorders>
              <w:top w:val="nil"/>
              <w:left w:val="nil"/>
              <w:bottom w:val="single" w:color="auto" w:sz="4" w:space="0"/>
              <w:right w:val="single" w:color="auto" w:sz="4" w:space="0"/>
            </w:tcBorders>
            <w:vAlign w:val="center"/>
          </w:tcPr>
          <w:p w14:paraId="36DFE504">
            <w:pPr>
              <w:widowControl/>
              <w:spacing w:line="240" w:lineRule="auto"/>
              <w:ind w:firstLine="0" w:firstLineChars="0"/>
              <w:jc w:val="center"/>
              <w:rPr>
                <w:rFonts w:eastAsia="仿宋_GB2312"/>
                <w:b/>
                <w:bCs/>
                <w:szCs w:val="24"/>
              </w:rPr>
            </w:pPr>
            <w:r>
              <w:rPr>
                <w:rFonts w:eastAsia="仿宋_GB2312"/>
                <w:b/>
                <w:bCs/>
                <w:szCs w:val="24"/>
              </w:rPr>
              <w:t>80%</w:t>
            </w:r>
          </w:p>
        </w:tc>
      </w:tr>
      <w:tr w14:paraId="494EBF7A">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4DCA2B91">
            <w:pPr>
              <w:widowControl/>
              <w:spacing w:line="240" w:lineRule="auto"/>
              <w:ind w:firstLine="0" w:firstLineChars="0"/>
              <w:jc w:val="center"/>
              <w:rPr>
                <w:rFonts w:eastAsia="仿宋_GB2312"/>
                <w:b/>
                <w:bCs/>
                <w:sz w:val="18"/>
                <w:szCs w:val="18"/>
              </w:rPr>
            </w:pPr>
            <w:r>
              <w:rPr>
                <w:rFonts w:hint="eastAsia" w:eastAsia="仿宋_GB2312"/>
                <w:b/>
                <w:bCs/>
                <w:sz w:val="18"/>
                <w:szCs w:val="18"/>
              </w:rPr>
              <w:t>南</w:t>
            </w:r>
            <w:r>
              <w:rPr>
                <w:rFonts w:eastAsia="仿宋_GB2312"/>
                <w:b/>
                <w:bCs/>
                <w:sz w:val="18"/>
                <w:szCs w:val="18"/>
              </w:rPr>
              <w:t xml:space="preserve">  </w:t>
            </w:r>
            <w:r>
              <w:rPr>
                <w:rFonts w:hint="eastAsia" w:eastAsia="仿宋_GB2312"/>
                <w:b/>
                <w:bCs/>
                <w:sz w:val="18"/>
                <w:szCs w:val="18"/>
              </w:rPr>
              <w:t>区</w:t>
            </w:r>
          </w:p>
        </w:tc>
        <w:tc>
          <w:tcPr>
            <w:tcW w:w="936" w:type="dxa"/>
            <w:tcBorders>
              <w:top w:val="nil"/>
              <w:left w:val="nil"/>
              <w:bottom w:val="single" w:color="auto" w:sz="4" w:space="0"/>
              <w:right w:val="single" w:color="auto" w:sz="4" w:space="0"/>
            </w:tcBorders>
            <w:vAlign w:val="center"/>
          </w:tcPr>
          <w:p w14:paraId="0B79C92F">
            <w:pPr>
              <w:widowControl/>
              <w:spacing w:line="240" w:lineRule="auto"/>
              <w:ind w:firstLine="0" w:firstLineChars="0"/>
              <w:jc w:val="center"/>
              <w:rPr>
                <w:rFonts w:eastAsia="仿宋_GB2312"/>
                <w:sz w:val="18"/>
                <w:szCs w:val="18"/>
              </w:rPr>
            </w:pPr>
            <w:r>
              <w:rPr>
                <w:rFonts w:eastAsia="仿宋_GB2312"/>
                <w:sz w:val="18"/>
                <w:szCs w:val="18"/>
              </w:rPr>
              <w:t>2540</w:t>
            </w:r>
          </w:p>
        </w:tc>
        <w:tc>
          <w:tcPr>
            <w:tcW w:w="980" w:type="dxa"/>
            <w:tcBorders>
              <w:top w:val="nil"/>
              <w:left w:val="nil"/>
              <w:bottom w:val="single" w:color="auto" w:sz="4" w:space="0"/>
              <w:right w:val="single" w:color="auto" w:sz="4" w:space="0"/>
            </w:tcBorders>
            <w:vAlign w:val="center"/>
          </w:tcPr>
          <w:p w14:paraId="7DBEEB60">
            <w:pPr>
              <w:widowControl/>
              <w:spacing w:line="240" w:lineRule="auto"/>
              <w:ind w:firstLine="0" w:firstLineChars="0"/>
              <w:jc w:val="center"/>
              <w:rPr>
                <w:rFonts w:eastAsia="仿宋_GB2312"/>
                <w:sz w:val="18"/>
                <w:szCs w:val="18"/>
              </w:rPr>
            </w:pPr>
            <w:r>
              <w:rPr>
                <w:rFonts w:eastAsia="仿宋_GB2312"/>
                <w:sz w:val="18"/>
                <w:szCs w:val="18"/>
              </w:rPr>
              <w:t>2100</w:t>
            </w:r>
          </w:p>
        </w:tc>
        <w:tc>
          <w:tcPr>
            <w:tcW w:w="681" w:type="dxa"/>
            <w:tcBorders>
              <w:top w:val="nil"/>
              <w:left w:val="nil"/>
              <w:bottom w:val="single" w:color="auto" w:sz="4" w:space="0"/>
              <w:right w:val="single" w:color="auto" w:sz="4" w:space="0"/>
            </w:tcBorders>
            <w:vAlign w:val="center"/>
          </w:tcPr>
          <w:p w14:paraId="1E3806B1">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2105DB7E">
            <w:pPr>
              <w:widowControl/>
              <w:spacing w:line="240" w:lineRule="auto"/>
              <w:ind w:firstLine="0" w:firstLineChars="0"/>
              <w:jc w:val="center"/>
              <w:rPr>
                <w:rFonts w:eastAsia="仿宋_GB2312"/>
                <w:sz w:val="18"/>
                <w:szCs w:val="18"/>
              </w:rPr>
            </w:pPr>
            <w:r>
              <w:rPr>
                <w:rFonts w:eastAsia="仿宋_GB2312"/>
                <w:sz w:val="18"/>
                <w:szCs w:val="18"/>
              </w:rPr>
              <w:t>440</w:t>
            </w:r>
          </w:p>
        </w:tc>
        <w:tc>
          <w:tcPr>
            <w:tcW w:w="1159" w:type="dxa"/>
            <w:tcBorders>
              <w:top w:val="nil"/>
              <w:left w:val="nil"/>
              <w:bottom w:val="single" w:color="auto" w:sz="4" w:space="0"/>
              <w:right w:val="single" w:color="auto" w:sz="4" w:space="0"/>
            </w:tcBorders>
            <w:vAlign w:val="center"/>
          </w:tcPr>
          <w:p w14:paraId="247C9C76">
            <w:pPr>
              <w:widowControl/>
              <w:spacing w:line="240" w:lineRule="auto"/>
              <w:ind w:firstLine="0" w:firstLineChars="0"/>
              <w:jc w:val="center"/>
              <w:rPr>
                <w:rFonts w:eastAsia="仿宋_GB2312"/>
                <w:sz w:val="18"/>
                <w:szCs w:val="18"/>
              </w:rPr>
            </w:pPr>
            <w:r>
              <w:rPr>
                <w:rFonts w:eastAsia="仿宋_GB2312"/>
                <w:sz w:val="18"/>
                <w:szCs w:val="18"/>
              </w:rPr>
              <w:t>26</w:t>
            </w:r>
          </w:p>
        </w:tc>
        <w:tc>
          <w:tcPr>
            <w:tcW w:w="845" w:type="dxa"/>
            <w:tcBorders>
              <w:top w:val="nil"/>
              <w:left w:val="nil"/>
              <w:bottom w:val="single" w:color="auto" w:sz="4" w:space="0"/>
              <w:right w:val="single" w:color="auto" w:sz="4" w:space="0"/>
            </w:tcBorders>
            <w:vAlign w:val="center"/>
          </w:tcPr>
          <w:p w14:paraId="4061EC63">
            <w:pPr>
              <w:widowControl/>
              <w:spacing w:line="240" w:lineRule="auto"/>
              <w:ind w:firstLine="0" w:firstLineChars="0"/>
              <w:jc w:val="center"/>
              <w:rPr>
                <w:rFonts w:eastAsia="仿宋_GB2312"/>
                <w:sz w:val="18"/>
                <w:szCs w:val="18"/>
              </w:rPr>
            </w:pPr>
            <w:r>
              <w:rPr>
                <w:rFonts w:eastAsia="仿宋_GB2312"/>
                <w:sz w:val="18"/>
                <w:szCs w:val="18"/>
              </w:rPr>
              <w:t>23</w:t>
            </w:r>
          </w:p>
        </w:tc>
        <w:tc>
          <w:tcPr>
            <w:tcW w:w="842" w:type="dxa"/>
            <w:tcBorders>
              <w:top w:val="nil"/>
              <w:left w:val="nil"/>
              <w:bottom w:val="single" w:color="auto" w:sz="4" w:space="0"/>
              <w:right w:val="single" w:color="auto" w:sz="4" w:space="0"/>
            </w:tcBorders>
            <w:vAlign w:val="center"/>
          </w:tcPr>
          <w:p w14:paraId="38816C9E">
            <w:pPr>
              <w:widowControl/>
              <w:spacing w:line="240" w:lineRule="auto"/>
              <w:ind w:firstLine="0" w:firstLineChars="0"/>
              <w:jc w:val="center"/>
              <w:rPr>
                <w:rFonts w:eastAsia="仿宋_GB2312"/>
                <w:sz w:val="18"/>
                <w:szCs w:val="18"/>
              </w:rPr>
            </w:pPr>
            <w:r>
              <w:rPr>
                <w:rFonts w:eastAsia="仿宋_GB2312"/>
                <w:sz w:val="18"/>
                <w:szCs w:val="18"/>
              </w:rPr>
              <w:t>21</w:t>
            </w:r>
          </w:p>
        </w:tc>
        <w:tc>
          <w:tcPr>
            <w:tcW w:w="839" w:type="dxa"/>
            <w:tcBorders>
              <w:top w:val="nil"/>
              <w:left w:val="nil"/>
              <w:bottom w:val="single" w:color="auto" w:sz="4" w:space="0"/>
              <w:right w:val="single" w:color="auto" w:sz="4" w:space="0"/>
            </w:tcBorders>
            <w:vAlign w:val="center"/>
          </w:tcPr>
          <w:p w14:paraId="7053F8F5">
            <w:pPr>
              <w:widowControl/>
              <w:spacing w:line="240" w:lineRule="auto"/>
              <w:ind w:firstLine="0" w:firstLineChars="0"/>
              <w:jc w:val="center"/>
              <w:rPr>
                <w:rFonts w:eastAsia="仿宋_GB2312"/>
                <w:sz w:val="18"/>
                <w:szCs w:val="18"/>
              </w:rPr>
            </w:pPr>
            <w:r>
              <w:rPr>
                <w:rFonts w:eastAsia="仿宋_GB2312"/>
                <w:sz w:val="18"/>
                <w:szCs w:val="18"/>
              </w:rPr>
              <w:t>20</w:t>
            </w:r>
          </w:p>
        </w:tc>
        <w:tc>
          <w:tcPr>
            <w:tcW w:w="800" w:type="dxa"/>
            <w:tcBorders>
              <w:top w:val="nil"/>
              <w:left w:val="nil"/>
              <w:bottom w:val="single" w:color="auto" w:sz="4" w:space="0"/>
              <w:right w:val="single" w:color="auto" w:sz="4" w:space="0"/>
            </w:tcBorders>
            <w:vAlign w:val="center"/>
          </w:tcPr>
          <w:p w14:paraId="5C5CC0A0">
            <w:pPr>
              <w:widowControl/>
              <w:spacing w:line="240" w:lineRule="auto"/>
              <w:ind w:firstLine="0" w:firstLineChars="0"/>
              <w:jc w:val="center"/>
              <w:rPr>
                <w:rFonts w:eastAsia="仿宋_GB2312"/>
                <w:sz w:val="18"/>
                <w:szCs w:val="18"/>
              </w:rPr>
            </w:pPr>
            <w:r>
              <w:rPr>
                <w:rFonts w:eastAsia="仿宋_GB2312"/>
                <w:sz w:val="18"/>
                <w:szCs w:val="18"/>
              </w:rPr>
              <w:t>19</w:t>
            </w:r>
          </w:p>
        </w:tc>
        <w:tc>
          <w:tcPr>
            <w:tcW w:w="792" w:type="dxa"/>
            <w:tcBorders>
              <w:top w:val="nil"/>
              <w:left w:val="nil"/>
              <w:bottom w:val="single" w:color="auto" w:sz="4" w:space="0"/>
              <w:right w:val="single" w:color="auto" w:sz="4" w:space="0"/>
            </w:tcBorders>
            <w:vAlign w:val="center"/>
          </w:tcPr>
          <w:p w14:paraId="786C9F66">
            <w:pPr>
              <w:widowControl/>
              <w:spacing w:line="240" w:lineRule="auto"/>
              <w:ind w:firstLine="0" w:firstLineChars="0"/>
              <w:jc w:val="center"/>
              <w:rPr>
                <w:rFonts w:eastAsia="仿宋_GB2312"/>
                <w:sz w:val="18"/>
                <w:szCs w:val="18"/>
              </w:rPr>
            </w:pPr>
            <w:r>
              <w:rPr>
                <w:rFonts w:eastAsia="仿宋_GB2312"/>
                <w:sz w:val="18"/>
                <w:szCs w:val="18"/>
              </w:rPr>
              <w:t>18</w:t>
            </w:r>
          </w:p>
        </w:tc>
        <w:tc>
          <w:tcPr>
            <w:tcW w:w="1159" w:type="dxa"/>
            <w:tcBorders>
              <w:top w:val="nil"/>
              <w:left w:val="nil"/>
              <w:bottom w:val="single" w:color="auto" w:sz="4" w:space="0"/>
              <w:right w:val="single" w:color="auto" w:sz="4" w:space="0"/>
            </w:tcBorders>
            <w:vAlign w:val="center"/>
          </w:tcPr>
          <w:p w14:paraId="1D2FFE37">
            <w:pPr>
              <w:widowControl/>
              <w:spacing w:line="240" w:lineRule="auto"/>
              <w:ind w:firstLine="0" w:firstLineChars="0"/>
              <w:jc w:val="center"/>
              <w:rPr>
                <w:rFonts w:eastAsia="仿宋_GB2312"/>
                <w:sz w:val="18"/>
                <w:szCs w:val="18"/>
              </w:rPr>
            </w:pPr>
            <w:r>
              <w:rPr>
                <w:rFonts w:eastAsia="仿宋_GB2312"/>
                <w:sz w:val="18"/>
                <w:szCs w:val="18"/>
              </w:rPr>
              <w:t>13</w:t>
            </w:r>
          </w:p>
        </w:tc>
        <w:tc>
          <w:tcPr>
            <w:tcW w:w="723" w:type="dxa"/>
            <w:tcBorders>
              <w:top w:val="nil"/>
              <w:left w:val="nil"/>
              <w:bottom w:val="single" w:color="auto" w:sz="4" w:space="0"/>
              <w:right w:val="single" w:color="auto" w:sz="4" w:space="0"/>
            </w:tcBorders>
            <w:vAlign w:val="center"/>
          </w:tcPr>
          <w:p w14:paraId="3046EAC1">
            <w:pPr>
              <w:widowControl/>
              <w:spacing w:line="240" w:lineRule="auto"/>
              <w:ind w:firstLine="0" w:firstLineChars="0"/>
              <w:jc w:val="center"/>
              <w:rPr>
                <w:rFonts w:eastAsia="仿宋_GB2312"/>
                <w:sz w:val="18"/>
                <w:szCs w:val="18"/>
              </w:rPr>
            </w:pPr>
            <w:r>
              <w:rPr>
                <w:rFonts w:eastAsia="仿宋_GB2312"/>
                <w:sz w:val="18"/>
                <w:szCs w:val="18"/>
              </w:rPr>
              <w:t>13</w:t>
            </w:r>
          </w:p>
        </w:tc>
        <w:tc>
          <w:tcPr>
            <w:tcW w:w="695" w:type="dxa"/>
            <w:tcBorders>
              <w:top w:val="nil"/>
              <w:left w:val="nil"/>
              <w:bottom w:val="single" w:color="auto" w:sz="4" w:space="0"/>
              <w:right w:val="single" w:color="auto" w:sz="4" w:space="0"/>
            </w:tcBorders>
            <w:vAlign w:val="center"/>
          </w:tcPr>
          <w:p w14:paraId="52A7E119">
            <w:pPr>
              <w:widowControl/>
              <w:spacing w:line="240" w:lineRule="auto"/>
              <w:ind w:firstLine="0" w:firstLineChars="0"/>
              <w:jc w:val="center"/>
              <w:rPr>
                <w:rFonts w:eastAsia="仿宋_GB2312"/>
                <w:sz w:val="18"/>
                <w:szCs w:val="18"/>
              </w:rPr>
            </w:pPr>
            <w:r>
              <w:rPr>
                <w:rFonts w:eastAsia="仿宋_GB2312"/>
                <w:sz w:val="18"/>
                <w:szCs w:val="18"/>
              </w:rPr>
              <w:t>12</w:t>
            </w:r>
          </w:p>
        </w:tc>
        <w:tc>
          <w:tcPr>
            <w:tcW w:w="627" w:type="dxa"/>
            <w:tcBorders>
              <w:top w:val="nil"/>
              <w:left w:val="nil"/>
              <w:bottom w:val="single" w:color="auto" w:sz="4" w:space="0"/>
              <w:right w:val="single" w:color="auto" w:sz="4" w:space="0"/>
            </w:tcBorders>
            <w:vAlign w:val="center"/>
          </w:tcPr>
          <w:p w14:paraId="6286F779">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79F957A2">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16C2399E">
            <w:pPr>
              <w:widowControl/>
              <w:spacing w:line="240" w:lineRule="auto"/>
              <w:ind w:firstLine="0" w:firstLineChars="0"/>
              <w:jc w:val="center"/>
              <w:rPr>
                <w:rFonts w:eastAsia="仿宋_GB2312"/>
                <w:sz w:val="18"/>
                <w:szCs w:val="18"/>
              </w:rPr>
            </w:pPr>
            <w:r>
              <w:rPr>
                <w:rFonts w:eastAsia="仿宋_GB2312"/>
                <w:sz w:val="18"/>
                <w:szCs w:val="18"/>
              </w:rPr>
              <w:t>12</w:t>
            </w:r>
          </w:p>
        </w:tc>
        <w:tc>
          <w:tcPr>
            <w:tcW w:w="880" w:type="dxa"/>
            <w:tcBorders>
              <w:top w:val="nil"/>
              <w:left w:val="nil"/>
              <w:bottom w:val="single" w:color="auto" w:sz="4" w:space="0"/>
              <w:right w:val="single" w:color="auto" w:sz="4" w:space="0"/>
            </w:tcBorders>
            <w:vAlign w:val="center"/>
          </w:tcPr>
          <w:p w14:paraId="52FE08E9">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24CACCD1">
            <w:pPr>
              <w:widowControl/>
              <w:spacing w:line="240" w:lineRule="auto"/>
              <w:ind w:firstLine="0" w:firstLineChars="0"/>
              <w:jc w:val="center"/>
              <w:rPr>
                <w:rFonts w:eastAsia="仿宋_GB2312"/>
                <w:sz w:val="18"/>
                <w:szCs w:val="18"/>
              </w:rPr>
            </w:pPr>
            <w:r>
              <w:rPr>
                <w:rFonts w:eastAsia="仿宋_GB2312"/>
                <w:sz w:val="18"/>
                <w:szCs w:val="18"/>
              </w:rPr>
              <w:t>80%</w:t>
            </w:r>
          </w:p>
        </w:tc>
      </w:tr>
      <w:tr w14:paraId="3D52533E">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3869F196">
            <w:pPr>
              <w:widowControl/>
              <w:spacing w:line="240" w:lineRule="auto"/>
              <w:ind w:firstLine="0" w:firstLineChars="0"/>
              <w:jc w:val="center"/>
              <w:rPr>
                <w:rFonts w:eastAsia="仿宋_GB2312"/>
                <w:b/>
                <w:bCs/>
                <w:sz w:val="18"/>
                <w:szCs w:val="18"/>
              </w:rPr>
            </w:pPr>
            <w:r>
              <w:rPr>
                <w:rFonts w:hint="eastAsia" w:eastAsia="仿宋_GB2312"/>
                <w:b/>
                <w:bCs/>
                <w:sz w:val="18"/>
                <w:szCs w:val="18"/>
              </w:rPr>
              <w:t>五桂山</w:t>
            </w:r>
          </w:p>
        </w:tc>
        <w:tc>
          <w:tcPr>
            <w:tcW w:w="936" w:type="dxa"/>
            <w:tcBorders>
              <w:top w:val="nil"/>
              <w:left w:val="nil"/>
              <w:bottom w:val="single" w:color="auto" w:sz="4" w:space="0"/>
              <w:right w:val="single" w:color="auto" w:sz="4" w:space="0"/>
            </w:tcBorders>
            <w:vAlign w:val="center"/>
          </w:tcPr>
          <w:p w14:paraId="574AF29E">
            <w:pPr>
              <w:widowControl/>
              <w:spacing w:line="240" w:lineRule="auto"/>
              <w:ind w:firstLine="0" w:firstLineChars="0"/>
              <w:jc w:val="center"/>
              <w:rPr>
                <w:rFonts w:eastAsia="仿宋_GB2312"/>
                <w:sz w:val="18"/>
                <w:szCs w:val="18"/>
              </w:rPr>
            </w:pPr>
            <w:r>
              <w:rPr>
                <w:rFonts w:eastAsia="仿宋_GB2312"/>
                <w:sz w:val="18"/>
                <w:szCs w:val="18"/>
              </w:rPr>
              <w:t>1363</w:t>
            </w:r>
          </w:p>
        </w:tc>
        <w:tc>
          <w:tcPr>
            <w:tcW w:w="980" w:type="dxa"/>
            <w:tcBorders>
              <w:top w:val="nil"/>
              <w:left w:val="nil"/>
              <w:bottom w:val="single" w:color="auto" w:sz="4" w:space="0"/>
              <w:right w:val="single" w:color="auto" w:sz="4" w:space="0"/>
            </w:tcBorders>
            <w:vAlign w:val="center"/>
          </w:tcPr>
          <w:p w14:paraId="0A7F4F02">
            <w:pPr>
              <w:widowControl/>
              <w:spacing w:line="240" w:lineRule="auto"/>
              <w:ind w:firstLine="0" w:firstLineChars="0"/>
              <w:jc w:val="center"/>
              <w:rPr>
                <w:rFonts w:eastAsia="仿宋_GB2312"/>
                <w:sz w:val="18"/>
                <w:szCs w:val="18"/>
              </w:rPr>
            </w:pPr>
            <w:r>
              <w:rPr>
                <w:rFonts w:eastAsia="仿宋_GB2312"/>
                <w:sz w:val="18"/>
                <w:szCs w:val="18"/>
              </w:rPr>
              <w:t>1000</w:t>
            </w:r>
          </w:p>
        </w:tc>
        <w:tc>
          <w:tcPr>
            <w:tcW w:w="681" w:type="dxa"/>
            <w:tcBorders>
              <w:top w:val="nil"/>
              <w:left w:val="nil"/>
              <w:bottom w:val="single" w:color="auto" w:sz="4" w:space="0"/>
              <w:right w:val="single" w:color="auto" w:sz="4" w:space="0"/>
            </w:tcBorders>
            <w:vAlign w:val="center"/>
          </w:tcPr>
          <w:p w14:paraId="3C080BC0">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1174B237">
            <w:pPr>
              <w:widowControl/>
              <w:spacing w:line="240" w:lineRule="auto"/>
              <w:ind w:firstLine="0" w:firstLineChars="0"/>
              <w:jc w:val="center"/>
              <w:rPr>
                <w:rFonts w:eastAsia="仿宋_GB2312"/>
                <w:sz w:val="18"/>
                <w:szCs w:val="18"/>
              </w:rPr>
            </w:pPr>
            <w:r>
              <w:rPr>
                <w:rFonts w:eastAsia="仿宋_GB2312"/>
                <w:sz w:val="18"/>
                <w:szCs w:val="18"/>
              </w:rPr>
              <w:t>363</w:t>
            </w:r>
          </w:p>
        </w:tc>
        <w:tc>
          <w:tcPr>
            <w:tcW w:w="1159" w:type="dxa"/>
            <w:tcBorders>
              <w:top w:val="nil"/>
              <w:left w:val="nil"/>
              <w:bottom w:val="single" w:color="auto" w:sz="4" w:space="0"/>
              <w:right w:val="single" w:color="auto" w:sz="4" w:space="0"/>
            </w:tcBorders>
            <w:vAlign w:val="center"/>
          </w:tcPr>
          <w:p w14:paraId="71ABBD8D">
            <w:pPr>
              <w:widowControl/>
              <w:spacing w:line="240" w:lineRule="auto"/>
              <w:ind w:firstLine="0" w:firstLineChars="0"/>
              <w:jc w:val="center"/>
              <w:rPr>
                <w:rFonts w:eastAsia="仿宋_GB2312"/>
                <w:sz w:val="18"/>
                <w:szCs w:val="18"/>
              </w:rPr>
            </w:pPr>
            <w:r>
              <w:rPr>
                <w:rFonts w:eastAsia="仿宋_GB2312"/>
                <w:sz w:val="18"/>
                <w:szCs w:val="18"/>
              </w:rPr>
              <w:t>48</w:t>
            </w:r>
          </w:p>
        </w:tc>
        <w:tc>
          <w:tcPr>
            <w:tcW w:w="845" w:type="dxa"/>
            <w:tcBorders>
              <w:top w:val="nil"/>
              <w:left w:val="nil"/>
              <w:bottom w:val="single" w:color="auto" w:sz="4" w:space="0"/>
              <w:right w:val="single" w:color="auto" w:sz="4" w:space="0"/>
            </w:tcBorders>
            <w:vAlign w:val="center"/>
          </w:tcPr>
          <w:p w14:paraId="70215027">
            <w:pPr>
              <w:widowControl/>
              <w:spacing w:line="240" w:lineRule="auto"/>
              <w:ind w:firstLine="0" w:firstLineChars="0"/>
              <w:jc w:val="center"/>
              <w:rPr>
                <w:rFonts w:eastAsia="仿宋_GB2312"/>
                <w:sz w:val="18"/>
                <w:szCs w:val="18"/>
              </w:rPr>
            </w:pPr>
            <w:r>
              <w:rPr>
                <w:rFonts w:eastAsia="仿宋_GB2312"/>
                <w:sz w:val="18"/>
                <w:szCs w:val="18"/>
              </w:rPr>
              <w:t>42</w:t>
            </w:r>
          </w:p>
        </w:tc>
        <w:tc>
          <w:tcPr>
            <w:tcW w:w="842" w:type="dxa"/>
            <w:tcBorders>
              <w:top w:val="nil"/>
              <w:left w:val="nil"/>
              <w:bottom w:val="single" w:color="auto" w:sz="4" w:space="0"/>
              <w:right w:val="single" w:color="auto" w:sz="4" w:space="0"/>
            </w:tcBorders>
            <w:vAlign w:val="center"/>
          </w:tcPr>
          <w:p w14:paraId="1DED9676">
            <w:pPr>
              <w:widowControl/>
              <w:spacing w:line="240" w:lineRule="auto"/>
              <w:ind w:firstLine="0" w:firstLineChars="0"/>
              <w:jc w:val="center"/>
              <w:rPr>
                <w:rFonts w:eastAsia="仿宋_GB2312"/>
                <w:sz w:val="18"/>
                <w:szCs w:val="18"/>
              </w:rPr>
            </w:pPr>
            <w:r>
              <w:rPr>
                <w:rFonts w:eastAsia="仿宋_GB2312"/>
                <w:sz w:val="18"/>
                <w:szCs w:val="18"/>
              </w:rPr>
              <w:t>39</w:t>
            </w:r>
          </w:p>
        </w:tc>
        <w:tc>
          <w:tcPr>
            <w:tcW w:w="839" w:type="dxa"/>
            <w:tcBorders>
              <w:top w:val="nil"/>
              <w:left w:val="nil"/>
              <w:bottom w:val="single" w:color="auto" w:sz="4" w:space="0"/>
              <w:right w:val="single" w:color="auto" w:sz="4" w:space="0"/>
            </w:tcBorders>
            <w:vAlign w:val="center"/>
          </w:tcPr>
          <w:p w14:paraId="7CF308EF">
            <w:pPr>
              <w:widowControl/>
              <w:spacing w:line="240" w:lineRule="auto"/>
              <w:ind w:firstLine="0" w:firstLineChars="0"/>
              <w:jc w:val="center"/>
              <w:rPr>
                <w:rFonts w:eastAsia="仿宋_GB2312"/>
                <w:sz w:val="18"/>
                <w:szCs w:val="18"/>
              </w:rPr>
            </w:pPr>
            <w:r>
              <w:rPr>
                <w:rFonts w:eastAsia="仿宋_GB2312"/>
                <w:sz w:val="18"/>
                <w:szCs w:val="18"/>
              </w:rPr>
              <w:t>37</w:t>
            </w:r>
          </w:p>
        </w:tc>
        <w:tc>
          <w:tcPr>
            <w:tcW w:w="800" w:type="dxa"/>
            <w:tcBorders>
              <w:top w:val="nil"/>
              <w:left w:val="nil"/>
              <w:bottom w:val="single" w:color="auto" w:sz="4" w:space="0"/>
              <w:right w:val="single" w:color="auto" w:sz="4" w:space="0"/>
            </w:tcBorders>
            <w:vAlign w:val="center"/>
          </w:tcPr>
          <w:p w14:paraId="3CBA718D">
            <w:pPr>
              <w:widowControl/>
              <w:spacing w:line="240" w:lineRule="auto"/>
              <w:ind w:firstLine="0" w:firstLineChars="0"/>
              <w:jc w:val="center"/>
              <w:rPr>
                <w:rFonts w:eastAsia="仿宋_GB2312"/>
                <w:sz w:val="18"/>
                <w:szCs w:val="18"/>
              </w:rPr>
            </w:pPr>
            <w:r>
              <w:rPr>
                <w:rFonts w:eastAsia="仿宋_GB2312"/>
                <w:sz w:val="18"/>
                <w:szCs w:val="18"/>
              </w:rPr>
              <w:t>36</w:t>
            </w:r>
          </w:p>
        </w:tc>
        <w:tc>
          <w:tcPr>
            <w:tcW w:w="792" w:type="dxa"/>
            <w:tcBorders>
              <w:top w:val="nil"/>
              <w:left w:val="nil"/>
              <w:bottom w:val="single" w:color="auto" w:sz="4" w:space="0"/>
              <w:right w:val="single" w:color="auto" w:sz="4" w:space="0"/>
            </w:tcBorders>
            <w:vAlign w:val="center"/>
          </w:tcPr>
          <w:p w14:paraId="575187E7">
            <w:pPr>
              <w:widowControl/>
              <w:spacing w:line="240" w:lineRule="auto"/>
              <w:ind w:firstLine="0" w:firstLineChars="0"/>
              <w:jc w:val="center"/>
              <w:rPr>
                <w:rFonts w:eastAsia="仿宋_GB2312"/>
                <w:sz w:val="18"/>
                <w:szCs w:val="18"/>
              </w:rPr>
            </w:pPr>
            <w:r>
              <w:rPr>
                <w:rFonts w:eastAsia="仿宋_GB2312"/>
                <w:sz w:val="18"/>
                <w:szCs w:val="18"/>
              </w:rPr>
              <w:t>34</w:t>
            </w:r>
          </w:p>
        </w:tc>
        <w:tc>
          <w:tcPr>
            <w:tcW w:w="1159" w:type="dxa"/>
            <w:tcBorders>
              <w:top w:val="nil"/>
              <w:left w:val="nil"/>
              <w:bottom w:val="single" w:color="auto" w:sz="4" w:space="0"/>
              <w:right w:val="single" w:color="auto" w:sz="4" w:space="0"/>
            </w:tcBorders>
            <w:vAlign w:val="center"/>
          </w:tcPr>
          <w:p w14:paraId="45181779">
            <w:pPr>
              <w:widowControl/>
              <w:spacing w:line="240" w:lineRule="auto"/>
              <w:ind w:firstLine="0" w:firstLineChars="0"/>
              <w:jc w:val="center"/>
              <w:rPr>
                <w:rFonts w:eastAsia="仿宋_GB2312"/>
                <w:sz w:val="18"/>
                <w:szCs w:val="18"/>
              </w:rPr>
            </w:pPr>
            <w:r>
              <w:rPr>
                <w:rFonts w:eastAsia="仿宋_GB2312"/>
                <w:sz w:val="18"/>
                <w:szCs w:val="18"/>
              </w:rPr>
              <w:t>24</w:t>
            </w:r>
          </w:p>
        </w:tc>
        <w:tc>
          <w:tcPr>
            <w:tcW w:w="723" w:type="dxa"/>
            <w:tcBorders>
              <w:top w:val="nil"/>
              <w:left w:val="nil"/>
              <w:bottom w:val="single" w:color="auto" w:sz="4" w:space="0"/>
              <w:right w:val="single" w:color="auto" w:sz="4" w:space="0"/>
            </w:tcBorders>
            <w:vAlign w:val="center"/>
          </w:tcPr>
          <w:p w14:paraId="7783CDFE">
            <w:pPr>
              <w:widowControl/>
              <w:spacing w:line="240" w:lineRule="auto"/>
              <w:ind w:firstLine="0" w:firstLineChars="0"/>
              <w:jc w:val="center"/>
              <w:rPr>
                <w:rFonts w:eastAsia="仿宋_GB2312"/>
                <w:sz w:val="18"/>
                <w:szCs w:val="18"/>
              </w:rPr>
            </w:pPr>
            <w:r>
              <w:rPr>
                <w:rFonts w:eastAsia="仿宋_GB2312"/>
                <w:sz w:val="18"/>
                <w:szCs w:val="18"/>
              </w:rPr>
              <w:t>23</w:t>
            </w:r>
          </w:p>
        </w:tc>
        <w:tc>
          <w:tcPr>
            <w:tcW w:w="695" w:type="dxa"/>
            <w:tcBorders>
              <w:top w:val="nil"/>
              <w:left w:val="nil"/>
              <w:bottom w:val="single" w:color="auto" w:sz="4" w:space="0"/>
              <w:right w:val="single" w:color="auto" w:sz="4" w:space="0"/>
            </w:tcBorders>
            <w:vAlign w:val="center"/>
          </w:tcPr>
          <w:p w14:paraId="5B607779">
            <w:pPr>
              <w:widowControl/>
              <w:spacing w:line="240" w:lineRule="auto"/>
              <w:ind w:firstLine="0" w:firstLineChars="0"/>
              <w:jc w:val="center"/>
              <w:rPr>
                <w:rFonts w:eastAsia="仿宋_GB2312"/>
                <w:sz w:val="18"/>
                <w:szCs w:val="18"/>
              </w:rPr>
            </w:pPr>
            <w:r>
              <w:rPr>
                <w:rFonts w:eastAsia="仿宋_GB2312"/>
                <w:sz w:val="18"/>
                <w:szCs w:val="18"/>
              </w:rPr>
              <w:t>22</w:t>
            </w:r>
          </w:p>
        </w:tc>
        <w:tc>
          <w:tcPr>
            <w:tcW w:w="627" w:type="dxa"/>
            <w:tcBorders>
              <w:top w:val="nil"/>
              <w:left w:val="nil"/>
              <w:bottom w:val="single" w:color="auto" w:sz="4" w:space="0"/>
              <w:right w:val="single" w:color="auto" w:sz="4" w:space="0"/>
            </w:tcBorders>
            <w:vAlign w:val="center"/>
          </w:tcPr>
          <w:p w14:paraId="7DC25219">
            <w:pPr>
              <w:widowControl/>
              <w:spacing w:line="240" w:lineRule="auto"/>
              <w:ind w:firstLine="0" w:firstLineChars="0"/>
              <w:jc w:val="center"/>
              <w:rPr>
                <w:rFonts w:eastAsia="仿宋_GB2312"/>
                <w:sz w:val="18"/>
                <w:szCs w:val="18"/>
              </w:rPr>
            </w:pPr>
            <w:r>
              <w:rPr>
                <w:rFonts w:eastAsia="仿宋_GB2312"/>
                <w:sz w:val="18"/>
                <w:szCs w:val="18"/>
              </w:rPr>
              <w:t>21</w:t>
            </w:r>
          </w:p>
        </w:tc>
        <w:tc>
          <w:tcPr>
            <w:tcW w:w="720" w:type="dxa"/>
            <w:tcBorders>
              <w:top w:val="nil"/>
              <w:left w:val="nil"/>
              <w:bottom w:val="single" w:color="auto" w:sz="4" w:space="0"/>
              <w:right w:val="single" w:color="auto" w:sz="4" w:space="0"/>
            </w:tcBorders>
            <w:vAlign w:val="center"/>
          </w:tcPr>
          <w:p w14:paraId="01D45FA7">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44346D35">
            <w:pPr>
              <w:widowControl/>
              <w:spacing w:line="240" w:lineRule="auto"/>
              <w:ind w:firstLine="0" w:firstLineChars="0"/>
              <w:jc w:val="center"/>
              <w:rPr>
                <w:rFonts w:eastAsia="仿宋_GB2312"/>
                <w:sz w:val="18"/>
                <w:szCs w:val="18"/>
              </w:rPr>
            </w:pPr>
            <w:r>
              <w:rPr>
                <w:rFonts w:eastAsia="仿宋_GB2312"/>
                <w:sz w:val="18"/>
                <w:szCs w:val="18"/>
              </w:rPr>
              <w:t>19</w:t>
            </w:r>
          </w:p>
        </w:tc>
        <w:tc>
          <w:tcPr>
            <w:tcW w:w="880" w:type="dxa"/>
            <w:tcBorders>
              <w:top w:val="nil"/>
              <w:left w:val="nil"/>
              <w:bottom w:val="single" w:color="auto" w:sz="4" w:space="0"/>
              <w:right w:val="single" w:color="auto" w:sz="4" w:space="0"/>
            </w:tcBorders>
            <w:vAlign w:val="center"/>
          </w:tcPr>
          <w:p w14:paraId="43D02CA6">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37AAE98">
            <w:pPr>
              <w:widowControl/>
              <w:spacing w:line="240" w:lineRule="auto"/>
              <w:ind w:firstLine="0" w:firstLineChars="0"/>
              <w:jc w:val="center"/>
              <w:rPr>
                <w:rFonts w:eastAsia="仿宋_GB2312"/>
                <w:sz w:val="18"/>
                <w:szCs w:val="18"/>
              </w:rPr>
            </w:pPr>
            <w:r>
              <w:rPr>
                <w:rFonts w:eastAsia="仿宋_GB2312"/>
                <w:sz w:val="18"/>
                <w:szCs w:val="18"/>
              </w:rPr>
              <w:t>80%</w:t>
            </w:r>
          </w:p>
        </w:tc>
      </w:tr>
      <w:tr w14:paraId="622B7F29">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6BC7A4A7">
            <w:pPr>
              <w:widowControl/>
              <w:spacing w:line="240" w:lineRule="auto"/>
              <w:ind w:firstLine="0" w:firstLineChars="0"/>
              <w:jc w:val="center"/>
              <w:rPr>
                <w:rFonts w:eastAsia="仿宋_GB2312"/>
                <w:b/>
                <w:bCs/>
                <w:sz w:val="18"/>
                <w:szCs w:val="18"/>
              </w:rPr>
            </w:pPr>
            <w:r>
              <w:rPr>
                <w:rFonts w:hint="eastAsia" w:eastAsia="仿宋_GB2312"/>
                <w:b/>
                <w:bCs/>
                <w:sz w:val="18"/>
                <w:szCs w:val="18"/>
              </w:rPr>
              <w:t>小榄镇</w:t>
            </w:r>
          </w:p>
        </w:tc>
        <w:tc>
          <w:tcPr>
            <w:tcW w:w="936" w:type="dxa"/>
            <w:tcBorders>
              <w:top w:val="nil"/>
              <w:left w:val="nil"/>
              <w:bottom w:val="single" w:color="auto" w:sz="4" w:space="0"/>
              <w:right w:val="single" w:color="auto" w:sz="4" w:space="0"/>
            </w:tcBorders>
            <w:vAlign w:val="center"/>
          </w:tcPr>
          <w:p w14:paraId="64135ED5">
            <w:pPr>
              <w:widowControl/>
              <w:spacing w:line="240" w:lineRule="auto"/>
              <w:ind w:firstLine="0" w:firstLineChars="0"/>
              <w:jc w:val="center"/>
              <w:rPr>
                <w:rFonts w:eastAsia="仿宋_GB2312"/>
                <w:sz w:val="18"/>
                <w:szCs w:val="18"/>
              </w:rPr>
            </w:pPr>
            <w:r>
              <w:rPr>
                <w:rFonts w:eastAsia="仿宋_GB2312"/>
                <w:sz w:val="18"/>
                <w:szCs w:val="18"/>
              </w:rPr>
              <w:t>6493</w:t>
            </w:r>
          </w:p>
        </w:tc>
        <w:tc>
          <w:tcPr>
            <w:tcW w:w="980" w:type="dxa"/>
            <w:tcBorders>
              <w:top w:val="nil"/>
              <w:left w:val="nil"/>
              <w:bottom w:val="single" w:color="auto" w:sz="4" w:space="0"/>
              <w:right w:val="single" w:color="auto" w:sz="4" w:space="0"/>
            </w:tcBorders>
            <w:vAlign w:val="center"/>
          </w:tcPr>
          <w:p w14:paraId="454C4D6B">
            <w:pPr>
              <w:widowControl/>
              <w:spacing w:line="240" w:lineRule="auto"/>
              <w:ind w:firstLine="0" w:firstLineChars="0"/>
              <w:jc w:val="center"/>
              <w:rPr>
                <w:rFonts w:eastAsia="仿宋_GB2312"/>
                <w:sz w:val="18"/>
                <w:szCs w:val="18"/>
              </w:rPr>
            </w:pPr>
            <w:r>
              <w:rPr>
                <w:rFonts w:eastAsia="仿宋_GB2312"/>
                <w:sz w:val="18"/>
                <w:szCs w:val="18"/>
              </w:rPr>
              <w:t>5500</w:t>
            </w:r>
          </w:p>
        </w:tc>
        <w:tc>
          <w:tcPr>
            <w:tcW w:w="681" w:type="dxa"/>
            <w:tcBorders>
              <w:top w:val="nil"/>
              <w:left w:val="nil"/>
              <w:bottom w:val="single" w:color="auto" w:sz="4" w:space="0"/>
              <w:right w:val="single" w:color="auto" w:sz="4" w:space="0"/>
            </w:tcBorders>
            <w:vAlign w:val="center"/>
          </w:tcPr>
          <w:p w14:paraId="4EECB360">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67C4E470">
            <w:pPr>
              <w:widowControl/>
              <w:spacing w:line="240" w:lineRule="auto"/>
              <w:ind w:firstLine="0" w:firstLineChars="0"/>
              <w:jc w:val="center"/>
              <w:rPr>
                <w:rFonts w:eastAsia="仿宋_GB2312"/>
                <w:sz w:val="18"/>
                <w:szCs w:val="18"/>
              </w:rPr>
            </w:pPr>
            <w:r>
              <w:rPr>
                <w:rFonts w:eastAsia="仿宋_GB2312"/>
                <w:sz w:val="18"/>
                <w:szCs w:val="18"/>
              </w:rPr>
              <w:t>993</w:t>
            </w:r>
          </w:p>
        </w:tc>
        <w:tc>
          <w:tcPr>
            <w:tcW w:w="1159" w:type="dxa"/>
            <w:tcBorders>
              <w:top w:val="nil"/>
              <w:left w:val="nil"/>
              <w:bottom w:val="single" w:color="auto" w:sz="4" w:space="0"/>
              <w:right w:val="single" w:color="auto" w:sz="4" w:space="0"/>
            </w:tcBorders>
            <w:vAlign w:val="center"/>
          </w:tcPr>
          <w:p w14:paraId="7435D6F4">
            <w:pPr>
              <w:widowControl/>
              <w:spacing w:line="240" w:lineRule="auto"/>
              <w:ind w:firstLine="0" w:firstLineChars="0"/>
              <w:jc w:val="center"/>
              <w:rPr>
                <w:rFonts w:eastAsia="仿宋_GB2312"/>
                <w:sz w:val="18"/>
                <w:szCs w:val="18"/>
              </w:rPr>
            </w:pPr>
            <w:r>
              <w:rPr>
                <w:rFonts w:eastAsia="仿宋_GB2312"/>
                <w:sz w:val="18"/>
                <w:szCs w:val="18"/>
              </w:rPr>
              <w:t>24</w:t>
            </w:r>
          </w:p>
        </w:tc>
        <w:tc>
          <w:tcPr>
            <w:tcW w:w="845" w:type="dxa"/>
            <w:tcBorders>
              <w:top w:val="nil"/>
              <w:left w:val="nil"/>
              <w:bottom w:val="single" w:color="auto" w:sz="4" w:space="0"/>
              <w:right w:val="single" w:color="auto" w:sz="4" w:space="0"/>
            </w:tcBorders>
            <w:vAlign w:val="center"/>
          </w:tcPr>
          <w:p w14:paraId="45B94621">
            <w:pPr>
              <w:widowControl/>
              <w:spacing w:line="240" w:lineRule="auto"/>
              <w:ind w:firstLine="0" w:firstLineChars="0"/>
              <w:jc w:val="center"/>
              <w:rPr>
                <w:rFonts w:eastAsia="仿宋_GB2312"/>
                <w:sz w:val="18"/>
                <w:szCs w:val="18"/>
              </w:rPr>
            </w:pPr>
            <w:r>
              <w:rPr>
                <w:rFonts w:eastAsia="仿宋_GB2312"/>
                <w:sz w:val="18"/>
                <w:szCs w:val="18"/>
              </w:rPr>
              <w:t>21</w:t>
            </w:r>
          </w:p>
        </w:tc>
        <w:tc>
          <w:tcPr>
            <w:tcW w:w="842" w:type="dxa"/>
            <w:tcBorders>
              <w:top w:val="nil"/>
              <w:left w:val="nil"/>
              <w:bottom w:val="single" w:color="auto" w:sz="4" w:space="0"/>
              <w:right w:val="single" w:color="auto" w:sz="4" w:space="0"/>
            </w:tcBorders>
            <w:vAlign w:val="center"/>
          </w:tcPr>
          <w:p w14:paraId="39947CEC">
            <w:pPr>
              <w:widowControl/>
              <w:spacing w:line="240" w:lineRule="auto"/>
              <w:ind w:firstLine="0" w:firstLineChars="0"/>
              <w:jc w:val="center"/>
              <w:rPr>
                <w:rFonts w:eastAsia="仿宋_GB2312"/>
                <w:sz w:val="18"/>
                <w:szCs w:val="18"/>
              </w:rPr>
            </w:pPr>
            <w:r>
              <w:rPr>
                <w:rFonts w:eastAsia="仿宋_GB2312"/>
                <w:sz w:val="18"/>
                <w:szCs w:val="18"/>
              </w:rPr>
              <w:t>20</w:t>
            </w:r>
          </w:p>
        </w:tc>
        <w:tc>
          <w:tcPr>
            <w:tcW w:w="839" w:type="dxa"/>
            <w:tcBorders>
              <w:top w:val="nil"/>
              <w:left w:val="nil"/>
              <w:bottom w:val="single" w:color="auto" w:sz="4" w:space="0"/>
              <w:right w:val="single" w:color="auto" w:sz="4" w:space="0"/>
            </w:tcBorders>
            <w:vAlign w:val="center"/>
          </w:tcPr>
          <w:p w14:paraId="02D3848B">
            <w:pPr>
              <w:widowControl/>
              <w:spacing w:line="240" w:lineRule="auto"/>
              <w:ind w:firstLine="0" w:firstLineChars="0"/>
              <w:jc w:val="center"/>
              <w:rPr>
                <w:rFonts w:eastAsia="仿宋_GB2312"/>
                <w:sz w:val="18"/>
                <w:szCs w:val="18"/>
              </w:rPr>
            </w:pPr>
            <w:r>
              <w:rPr>
                <w:rFonts w:eastAsia="仿宋_GB2312"/>
                <w:sz w:val="18"/>
                <w:szCs w:val="18"/>
              </w:rPr>
              <w:t>19</w:t>
            </w:r>
          </w:p>
        </w:tc>
        <w:tc>
          <w:tcPr>
            <w:tcW w:w="800" w:type="dxa"/>
            <w:tcBorders>
              <w:top w:val="nil"/>
              <w:left w:val="nil"/>
              <w:bottom w:val="single" w:color="auto" w:sz="4" w:space="0"/>
              <w:right w:val="single" w:color="auto" w:sz="4" w:space="0"/>
            </w:tcBorders>
            <w:vAlign w:val="center"/>
          </w:tcPr>
          <w:p w14:paraId="07A56AF4">
            <w:pPr>
              <w:widowControl/>
              <w:spacing w:line="240" w:lineRule="auto"/>
              <w:ind w:firstLine="0" w:firstLineChars="0"/>
              <w:jc w:val="center"/>
              <w:rPr>
                <w:rFonts w:eastAsia="仿宋_GB2312"/>
                <w:sz w:val="18"/>
                <w:szCs w:val="18"/>
              </w:rPr>
            </w:pPr>
            <w:r>
              <w:rPr>
                <w:rFonts w:eastAsia="仿宋_GB2312"/>
                <w:sz w:val="18"/>
                <w:szCs w:val="18"/>
              </w:rPr>
              <w:t>18</w:t>
            </w:r>
          </w:p>
        </w:tc>
        <w:tc>
          <w:tcPr>
            <w:tcW w:w="792" w:type="dxa"/>
            <w:tcBorders>
              <w:top w:val="nil"/>
              <w:left w:val="nil"/>
              <w:bottom w:val="single" w:color="auto" w:sz="4" w:space="0"/>
              <w:right w:val="single" w:color="auto" w:sz="4" w:space="0"/>
            </w:tcBorders>
            <w:vAlign w:val="center"/>
          </w:tcPr>
          <w:p w14:paraId="5786006A">
            <w:pPr>
              <w:widowControl/>
              <w:spacing w:line="240" w:lineRule="auto"/>
              <w:ind w:firstLine="0" w:firstLineChars="0"/>
              <w:jc w:val="center"/>
              <w:rPr>
                <w:rFonts w:eastAsia="仿宋_GB2312"/>
                <w:sz w:val="18"/>
                <w:szCs w:val="18"/>
              </w:rPr>
            </w:pPr>
            <w:r>
              <w:rPr>
                <w:rFonts w:eastAsia="仿宋_GB2312"/>
                <w:sz w:val="18"/>
                <w:szCs w:val="18"/>
              </w:rPr>
              <w:t>17</w:t>
            </w:r>
          </w:p>
        </w:tc>
        <w:tc>
          <w:tcPr>
            <w:tcW w:w="1159" w:type="dxa"/>
            <w:tcBorders>
              <w:top w:val="nil"/>
              <w:left w:val="nil"/>
              <w:bottom w:val="single" w:color="auto" w:sz="4" w:space="0"/>
              <w:right w:val="single" w:color="auto" w:sz="4" w:space="0"/>
            </w:tcBorders>
            <w:vAlign w:val="center"/>
          </w:tcPr>
          <w:p w14:paraId="64B454F6">
            <w:pPr>
              <w:widowControl/>
              <w:spacing w:line="240" w:lineRule="auto"/>
              <w:ind w:firstLine="0" w:firstLineChars="0"/>
              <w:jc w:val="center"/>
              <w:rPr>
                <w:rFonts w:eastAsia="仿宋_GB2312"/>
                <w:sz w:val="18"/>
                <w:szCs w:val="18"/>
              </w:rPr>
            </w:pPr>
            <w:r>
              <w:rPr>
                <w:rFonts w:eastAsia="仿宋_GB2312"/>
                <w:sz w:val="18"/>
                <w:szCs w:val="18"/>
              </w:rPr>
              <w:t>11</w:t>
            </w:r>
          </w:p>
        </w:tc>
        <w:tc>
          <w:tcPr>
            <w:tcW w:w="723" w:type="dxa"/>
            <w:tcBorders>
              <w:top w:val="nil"/>
              <w:left w:val="nil"/>
              <w:bottom w:val="single" w:color="auto" w:sz="4" w:space="0"/>
              <w:right w:val="single" w:color="auto" w:sz="4" w:space="0"/>
            </w:tcBorders>
            <w:vAlign w:val="center"/>
          </w:tcPr>
          <w:p w14:paraId="398601E6">
            <w:pPr>
              <w:widowControl/>
              <w:spacing w:line="240" w:lineRule="auto"/>
              <w:ind w:firstLine="0" w:firstLineChars="0"/>
              <w:jc w:val="center"/>
              <w:rPr>
                <w:rFonts w:eastAsia="仿宋_GB2312"/>
                <w:sz w:val="18"/>
                <w:szCs w:val="18"/>
              </w:rPr>
            </w:pPr>
            <w:r>
              <w:rPr>
                <w:rFonts w:eastAsia="仿宋_GB2312"/>
                <w:sz w:val="18"/>
                <w:szCs w:val="18"/>
              </w:rPr>
              <w:t>11</w:t>
            </w:r>
          </w:p>
        </w:tc>
        <w:tc>
          <w:tcPr>
            <w:tcW w:w="695" w:type="dxa"/>
            <w:tcBorders>
              <w:top w:val="nil"/>
              <w:left w:val="nil"/>
              <w:bottom w:val="single" w:color="auto" w:sz="4" w:space="0"/>
              <w:right w:val="single" w:color="auto" w:sz="4" w:space="0"/>
            </w:tcBorders>
            <w:vAlign w:val="center"/>
          </w:tcPr>
          <w:p w14:paraId="467407EE">
            <w:pPr>
              <w:widowControl/>
              <w:spacing w:line="240" w:lineRule="auto"/>
              <w:ind w:firstLine="0" w:firstLineChars="0"/>
              <w:jc w:val="center"/>
              <w:rPr>
                <w:rFonts w:eastAsia="仿宋_GB2312"/>
                <w:sz w:val="18"/>
                <w:szCs w:val="18"/>
              </w:rPr>
            </w:pPr>
            <w:r>
              <w:rPr>
                <w:rFonts w:eastAsia="仿宋_GB2312"/>
                <w:sz w:val="18"/>
                <w:szCs w:val="18"/>
              </w:rPr>
              <w:t>10</w:t>
            </w:r>
          </w:p>
        </w:tc>
        <w:tc>
          <w:tcPr>
            <w:tcW w:w="627" w:type="dxa"/>
            <w:tcBorders>
              <w:top w:val="nil"/>
              <w:left w:val="nil"/>
              <w:bottom w:val="single" w:color="auto" w:sz="4" w:space="0"/>
              <w:right w:val="single" w:color="auto" w:sz="4" w:space="0"/>
            </w:tcBorders>
            <w:vAlign w:val="center"/>
          </w:tcPr>
          <w:p w14:paraId="1FE9FE76">
            <w:pPr>
              <w:widowControl/>
              <w:spacing w:line="240" w:lineRule="auto"/>
              <w:ind w:firstLine="0" w:firstLineChars="0"/>
              <w:jc w:val="center"/>
              <w:rPr>
                <w:rFonts w:eastAsia="仿宋_GB2312"/>
                <w:sz w:val="18"/>
                <w:szCs w:val="18"/>
              </w:rPr>
            </w:pPr>
            <w:r>
              <w:rPr>
                <w:rFonts w:eastAsia="仿宋_GB2312"/>
                <w:sz w:val="18"/>
                <w:szCs w:val="18"/>
              </w:rPr>
              <w:t>10</w:t>
            </w:r>
          </w:p>
        </w:tc>
        <w:tc>
          <w:tcPr>
            <w:tcW w:w="720" w:type="dxa"/>
            <w:tcBorders>
              <w:top w:val="nil"/>
              <w:left w:val="nil"/>
              <w:bottom w:val="single" w:color="auto" w:sz="4" w:space="0"/>
              <w:right w:val="single" w:color="auto" w:sz="4" w:space="0"/>
            </w:tcBorders>
            <w:vAlign w:val="center"/>
          </w:tcPr>
          <w:p w14:paraId="525095D0">
            <w:pPr>
              <w:widowControl/>
              <w:spacing w:line="240" w:lineRule="auto"/>
              <w:ind w:firstLine="0" w:firstLineChars="0"/>
              <w:jc w:val="center"/>
              <w:rPr>
                <w:rFonts w:eastAsia="仿宋_GB2312"/>
                <w:sz w:val="18"/>
                <w:szCs w:val="18"/>
              </w:rPr>
            </w:pPr>
            <w:r>
              <w:rPr>
                <w:rFonts w:eastAsia="仿宋_GB2312"/>
                <w:sz w:val="18"/>
                <w:szCs w:val="18"/>
              </w:rPr>
              <w:t>10</w:t>
            </w:r>
          </w:p>
        </w:tc>
        <w:tc>
          <w:tcPr>
            <w:tcW w:w="720" w:type="dxa"/>
            <w:tcBorders>
              <w:top w:val="nil"/>
              <w:left w:val="nil"/>
              <w:bottom w:val="single" w:color="auto" w:sz="4" w:space="0"/>
              <w:right w:val="single" w:color="auto" w:sz="4" w:space="0"/>
            </w:tcBorders>
            <w:vAlign w:val="center"/>
          </w:tcPr>
          <w:p w14:paraId="394CB726">
            <w:pPr>
              <w:widowControl/>
              <w:spacing w:line="240" w:lineRule="auto"/>
              <w:ind w:firstLine="0" w:firstLineChars="0"/>
              <w:jc w:val="center"/>
              <w:rPr>
                <w:rFonts w:eastAsia="仿宋_GB2312"/>
                <w:sz w:val="18"/>
                <w:szCs w:val="18"/>
              </w:rPr>
            </w:pPr>
            <w:r>
              <w:rPr>
                <w:rFonts w:eastAsia="仿宋_GB2312"/>
                <w:sz w:val="18"/>
                <w:szCs w:val="18"/>
              </w:rPr>
              <w:t>10</w:t>
            </w:r>
          </w:p>
        </w:tc>
        <w:tc>
          <w:tcPr>
            <w:tcW w:w="880" w:type="dxa"/>
            <w:tcBorders>
              <w:top w:val="nil"/>
              <w:left w:val="nil"/>
              <w:bottom w:val="single" w:color="auto" w:sz="4" w:space="0"/>
              <w:right w:val="single" w:color="auto" w:sz="4" w:space="0"/>
            </w:tcBorders>
            <w:vAlign w:val="center"/>
          </w:tcPr>
          <w:p w14:paraId="4A9597AF">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37394C45">
            <w:pPr>
              <w:widowControl/>
              <w:spacing w:line="240" w:lineRule="auto"/>
              <w:ind w:firstLine="0" w:firstLineChars="0"/>
              <w:jc w:val="center"/>
              <w:rPr>
                <w:rFonts w:eastAsia="仿宋_GB2312"/>
                <w:sz w:val="18"/>
                <w:szCs w:val="18"/>
              </w:rPr>
            </w:pPr>
            <w:r>
              <w:rPr>
                <w:rFonts w:eastAsia="仿宋_GB2312"/>
                <w:sz w:val="18"/>
                <w:szCs w:val="18"/>
              </w:rPr>
              <w:t>80%</w:t>
            </w:r>
          </w:p>
        </w:tc>
      </w:tr>
      <w:tr w14:paraId="39BA8FA9">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3A9648A3">
            <w:pPr>
              <w:widowControl/>
              <w:spacing w:line="240" w:lineRule="auto"/>
              <w:ind w:firstLine="0" w:firstLineChars="0"/>
              <w:jc w:val="center"/>
              <w:rPr>
                <w:rFonts w:eastAsia="仿宋_GB2312"/>
                <w:b/>
                <w:bCs/>
                <w:sz w:val="18"/>
                <w:szCs w:val="18"/>
              </w:rPr>
            </w:pPr>
            <w:r>
              <w:rPr>
                <w:rFonts w:hint="eastAsia" w:eastAsia="仿宋_GB2312"/>
                <w:b/>
                <w:bCs/>
                <w:sz w:val="18"/>
                <w:szCs w:val="18"/>
              </w:rPr>
              <w:t>黄圃镇</w:t>
            </w:r>
          </w:p>
        </w:tc>
        <w:tc>
          <w:tcPr>
            <w:tcW w:w="936" w:type="dxa"/>
            <w:tcBorders>
              <w:top w:val="nil"/>
              <w:left w:val="nil"/>
              <w:bottom w:val="single" w:color="auto" w:sz="4" w:space="0"/>
              <w:right w:val="single" w:color="auto" w:sz="4" w:space="0"/>
            </w:tcBorders>
            <w:vAlign w:val="center"/>
          </w:tcPr>
          <w:p w14:paraId="2F591587">
            <w:pPr>
              <w:widowControl/>
              <w:spacing w:line="240" w:lineRule="auto"/>
              <w:ind w:firstLine="0" w:firstLineChars="0"/>
              <w:jc w:val="center"/>
              <w:rPr>
                <w:rFonts w:eastAsia="仿宋_GB2312"/>
                <w:sz w:val="18"/>
                <w:szCs w:val="18"/>
              </w:rPr>
            </w:pPr>
            <w:r>
              <w:rPr>
                <w:rFonts w:eastAsia="仿宋_GB2312"/>
                <w:sz w:val="18"/>
                <w:szCs w:val="18"/>
              </w:rPr>
              <w:t>8630</w:t>
            </w:r>
          </w:p>
        </w:tc>
        <w:tc>
          <w:tcPr>
            <w:tcW w:w="980" w:type="dxa"/>
            <w:tcBorders>
              <w:top w:val="nil"/>
              <w:left w:val="nil"/>
              <w:bottom w:val="single" w:color="auto" w:sz="4" w:space="0"/>
              <w:right w:val="single" w:color="auto" w:sz="4" w:space="0"/>
            </w:tcBorders>
            <w:vAlign w:val="center"/>
          </w:tcPr>
          <w:p w14:paraId="39FCC146">
            <w:pPr>
              <w:widowControl/>
              <w:spacing w:line="240" w:lineRule="auto"/>
              <w:ind w:firstLine="0" w:firstLineChars="0"/>
              <w:jc w:val="center"/>
              <w:rPr>
                <w:rFonts w:eastAsia="仿宋_GB2312"/>
                <w:sz w:val="18"/>
                <w:szCs w:val="18"/>
              </w:rPr>
            </w:pPr>
            <w:r>
              <w:rPr>
                <w:rFonts w:eastAsia="仿宋_GB2312"/>
                <w:sz w:val="18"/>
                <w:szCs w:val="18"/>
              </w:rPr>
              <w:t>4200</w:t>
            </w:r>
          </w:p>
        </w:tc>
        <w:tc>
          <w:tcPr>
            <w:tcW w:w="681" w:type="dxa"/>
            <w:tcBorders>
              <w:top w:val="nil"/>
              <w:left w:val="nil"/>
              <w:bottom w:val="single" w:color="auto" w:sz="4" w:space="0"/>
              <w:right w:val="single" w:color="auto" w:sz="4" w:space="0"/>
            </w:tcBorders>
            <w:vAlign w:val="center"/>
          </w:tcPr>
          <w:p w14:paraId="5866575E">
            <w:pPr>
              <w:widowControl/>
              <w:spacing w:line="240" w:lineRule="auto"/>
              <w:ind w:firstLine="0" w:firstLineChars="0"/>
              <w:jc w:val="center"/>
              <w:rPr>
                <w:rFonts w:eastAsia="仿宋_GB2312"/>
                <w:sz w:val="18"/>
                <w:szCs w:val="18"/>
              </w:rPr>
            </w:pPr>
            <w:r>
              <w:rPr>
                <w:rFonts w:eastAsia="仿宋_GB2312"/>
                <w:sz w:val="18"/>
                <w:szCs w:val="18"/>
              </w:rPr>
              <w:t>240</w:t>
            </w:r>
          </w:p>
        </w:tc>
        <w:tc>
          <w:tcPr>
            <w:tcW w:w="750" w:type="dxa"/>
            <w:tcBorders>
              <w:top w:val="nil"/>
              <w:left w:val="nil"/>
              <w:bottom w:val="single" w:color="auto" w:sz="4" w:space="0"/>
              <w:right w:val="single" w:color="auto" w:sz="4" w:space="0"/>
            </w:tcBorders>
            <w:vAlign w:val="center"/>
          </w:tcPr>
          <w:p w14:paraId="45AF7E00">
            <w:pPr>
              <w:widowControl/>
              <w:spacing w:line="240" w:lineRule="auto"/>
              <w:ind w:firstLine="0" w:firstLineChars="0"/>
              <w:jc w:val="center"/>
              <w:rPr>
                <w:rFonts w:eastAsia="仿宋_GB2312"/>
                <w:sz w:val="18"/>
                <w:szCs w:val="18"/>
              </w:rPr>
            </w:pPr>
            <w:r>
              <w:rPr>
                <w:rFonts w:eastAsia="仿宋_GB2312"/>
                <w:sz w:val="18"/>
                <w:szCs w:val="18"/>
              </w:rPr>
              <w:t>4190</w:t>
            </w:r>
          </w:p>
        </w:tc>
        <w:tc>
          <w:tcPr>
            <w:tcW w:w="1159" w:type="dxa"/>
            <w:tcBorders>
              <w:top w:val="nil"/>
              <w:left w:val="nil"/>
              <w:bottom w:val="single" w:color="auto" w:sz="4" w:space="0"/>
              <w:right w:val="single" w:color="auto" w:sz="4" w:space="0"/>
            </w:tcBorders>
            <w:vAlign w:val="center"/>
          </w:tcPr>
          <w:p w14:paraId="5BE07F29">
            <w:pPr>
              <w:widowControl/>
              <w:spacing w:line="240" w:lineRule="auto"/>
              <w:ind w:firstLine="0" w:firstLineChars="0"/>
              <w:jc w:val="center"/>
              <w:rPr>
                <w:rFonts w:eastAsia="仿宋_GB2312"/>
                <w:sz w:val="18"/>
                <w:szCs w:val="18"/>
              </w:rPr>
            </w:pPr>
            <w:r>
              <w:rPr>
                <w:rFonts w:eastAsia="仿宋_GB2312"/>
                <w:sz w:val="18"/>
                <w:szCs w:val="18"/>
              </w:rPr>
              <w:t>81</w:t>
            </w:r>
          </w:p>
        </w:tc>
        <w:tc>
          <w:tcPr>
            <w:tcW w:w="845" w:type="dxa"/>
            <w:tcBorders>
              <w:top w:val="nil"/>
              <w:left w:val="nil"/>
              <w:bottom w:val="single" w:color="auto" w:sz="4" w:space="0"/>
              <w:right w:val="single" w:color="auto" w:sz="4" w:space="0"/>
            </w:tcBorders>
            <w:vAlign w:val="center"/>
          </w:tcPr>
          <w:p w14:paraId="1177B7D5">
            <w:pPr>
              <w:widowControl/>
              <w:spacing w:line="240" w:lineRule="auto"/>
              <w:ind w:firstLine="0" w:firstLineChars="0"/>
              <w:jc w:val="center"/>
              <w:rPr>
                <w:rFonts w:eastAsia="仿宋_GB2312"/>
                <w:sz w:val="18"/>
                <w:szCs w:val="18"/>
              </w:rPr>
            </w:pPr>
            <w:r>
              <w:rPr>
                <w:rFonts w:eastAsia="仿宋_GB2312"/>
                <w:sz w:val="18"/>
                <w:szCs w:val="18"/>
              </w:rPr>
              <w:t>70</w:t>
            </w:r>
          </w:p>
        </w:tc>
        <w:tc>
          <w:tcPr>
            <w:tcW w:w="842" w:type="dxa"/>
            <w:tcBorders>
              <w:top w:val="nil"/>
              <w:left w:val="nil"/>
              <w:bottom w:val="single" w:color="auto" w:sz="4" w:space="0"/>
              <w:right w:val="single" w:color="auto" w:sz="4" w:space="0"/>
            </w:tcBorders>
            <w:vAlign w:val="center"/>
          </w:tcPr>
          <w:p w14:paraId="44113337">
            <w:pPr>
              <w:widowControl/>
              <w:spacing w:line="240" w:lineRule="auto"/>
              <w:ind w:firstLine="0" w:firstLineChars="0"/>
              <w:jc w:val="center"/>
              <w:rPr>
                <w:rFonts w:eastAsia="仿宋_GB2312"/>
                <w:sz w:val="18"/>
                <w:szCs w:val="18"/>
              </w:rPr>
            </w:pPr>
            <w:r>
              <w:rPr>
                <w:rFonts w:eastAsia="仿宋_GB2312"/>
                <w:sz w:val="18"/>
                <w:szCs w:val="18"/>
              </w:rPr>
              <w:t>66</w:t>
            </w:r>
          </w:p>
        </w:tc>
        <w:tc>
          <w:tcPr>
            <w:tcW w:w="839" w:type="dxa"/>
            <w:tcBorders>
              <w:top w:val="nil"/>
              <w:left w:val="nil"/>
              <w:bottom w:val="single" w:color="auto" w:sz="4" w:space="0"/>
              <w:right w:val="single" w:color="auto" w:sz="4" w:space="0"/>
            </w:tcBorders>
            <w:vAlign w:val="center"/>
          </w:tcPr>
          <w:p w14:paraId="6A005375">
            <w:pPr>
              <w:widowControl/>
              <w:spacing w:line="240" w:lineRule="auto"/>
              <w:ind w:firstLine="0" w:firstLineChars="0"/>
              <w:jc w:val="center"/>
              <w:rPr>
                <w:rFonts w:eastAsia="仿宋_GB2312"/>
                <w:sz w:val="18"/>
                <w:szCs w:val="18"/>
              </w:rPr>
            </w:pPr>
            <w:r>
              <w:rPr>
                <w:rFonts w:eastAsia="仿宋_GB2312"/>
                <w:sz w:val="18"/>
                <w:szCs w:val="18"/>
              </w:rPr>
              <w:t>63</w:t>
            </w:r>
          </w:p>
        </w:tc>
        <w:tc>
          <w:tcPr>
            <w:tcW w:w="800" w:type="dxa"/>
            <w:tcBorders>
              <w:top w:val="nil"/>
              <w:left w:val="nil"/>
              <w:bottom w:val="single" w:color="auto" w:sz="4" w:space="0"/>
              <w:right w:val="single" w:color="auto" w:sz="4" w:space="0"/>
            </w:tcBorders>
            <w:vAlign w:val="center"/>
          </w:tcPr>
          <w:p w14:paraId="1A509A23">
            <w:pPr>
              <w:widowControl/>
              <w:spacing w:line="240" w:lineRule="auto"/>
              <w:ind w:firstLine="0" w:firstLineChars="0"/>
              <w:jc w:val="center"/>
              <w:rPr>
                <w:rFonts w:eastAsia="仿宋_GB2312"/>
                <w:sz w:val="18"/>
                <w:szCs w:val="18"/>
              </w:rPr>
            </w:pPr>
            <w:r>
              <w:rPr>
                <w:rFonts w:eastAsia="仿宋_GB2312"/>
                <w:sz w:val="18"/>
                <w:szCs w:val="18"/>
              </w:rPr>
              <w:t>60</w:t>
            </w:r>
          </w:p>
        </w:tc>
        <w:tc>
          <w:tcPr>
            <w:tcW w:w="792" w:type="dxa"/>
            <w:tcBorders>
              <w:top w:val="nil"/>
              <w:left w:val="nil"/>
              <w:bottom w:val="single" w:color="auto" w:sz="4" w:space="0"/>
              <w:right w:val="single" w:color="auto" w:sz="4" w:space="0"/>
            </w:tcBorders>
            <w:vAlign w:val="center"/>
          </w:tcPr>
          <w:p w14:paraId="43154A3D">
            <w:pPr>
              <w:widowControl/>
              <w:spacing w:line="240" w:lineRule="auto"/>
              <w:ind w:firstLine="0" w:firstLineChars="0"/>
              <w:jc w:val="center"/>
              <w:rPr>
                <w:rFonts w:eastAsia="仿宋_GB2312"/>
                <w:sz w:val="18"/>
                <w:szCs w:val="18"/>
              </w:rPr>
            </w:pPr>
            <w:r>
              <w:rPr>
                <w:rFonts w:eastAsia="仿宋_GB2312"/>
                <w:sz w:val="18"/>
                <w:szCs w:val="18"/>
              </w:rPr>
              <w:t>57</w:t>
            </w:r>
          </w:p>
        </w:tc>
        <w:tc>
          <w:tcPr>
            <w:tcW w:w="1159" w:type="dxa"/>
            <w:tcBorders>
              <w:top w:val="nil"/>
              <w:left w:val="nil"/>
              <w:bottom w:val="single" w:color="auto" w:sz="4" w:space="0"/>
              <w:right w:val="single" w:color="auto" w:sz="4" w:space="0"/>
            </w:tcBorders>
            <w:vAlign w:val="center"/>
          </w:tcPr>
          <w:p w14:paraId="04356E10">
            <w:pPr>
              <w:widowControl/>
              <w:spacing w:line="240" w:lineRule="auto"/>
              <w:ind w:firstLine="0" w:firstLineChars="0"/>
              <w:jc w:val="center"/>
              <w:rPr>
                <w:rFonts w:eastAsia="仿宋_GB2312"/>
                <w:sz w:val="18"/>
                <w:szCs w:val="18"/>
              </w:rPr>
            </w:pPr>
            <w:r>
              <w:rPr>
                <w:rFonts w:eastAsia="仿宋_GB2312"/>
                <w:sz w:val="18"/>
                <w:szCs w:val="18"/>
              </w:rPr>
              <w:t>27</w:t>
            </w:r>
          </w:p>
        </w:tc>
        <w:tc>
          <w:tcPr>
            <w:tcW w:w="723" w:type="dxa"/>
            <w:tcBorders>
              <w:top w:val="nil"/>
              <w:left w:val="nil"/>
              <w:bottom w:val="single" w:color="auto" w:sz="4" w:space="0"/>
              <w:right w:val="single" w:color="auto" w:sz="4" w:space="0"/>
            </w:tcBorders>
            <w:vAlign w:val="center"/>
          </w:tcPr>
          <w:p w14:paraId="51BF9270">
            <w:pPr>
              <w:widowControl/>
              <w:spacing w:line="240" w:lineRule="auto"/>
              <w:ind w:firstLine="0" w:firstLineChars="0"/>
              <w:jc w:val="center"/>
              <w:rPr>
                <w:rFonts w:eastAsia="仿宋_GB2312"/>
                <w:sz w:val="18"/>
                <w:szCs w:val="18"/>
              </w:rPr>
            </w:pPr>
            <w:r>
              <w:rPr>
                <w:rFonts w:eastAsia="仿宋_GB2312"/>
                <w:sz w:val="18"/>
                <w:szCs w:val="18"/>
              </w:rPr>
              <w:t>25</w:t>
            </w:r>
          </w:p>
        </w:tc>
        <w:tc>
          <w:tcPr>
            <w:tcW w:w="695" w:type="dxa"/>
            <w:tcBorders>
              <w:top w:val="nil"/>
              <w:left w:val="nil"/>
              <w:bottom w:val="single" w:color="auto" w:sz="4" w:space="0"/>
              <w:right w:val="single" w:color="auto" w:sz="4" w:space="0"/>
            </w:tcBorders>
            <w:vAlign w:val="center"/>
          </w:tcPr>
          <w:p w14:paraId="618689DB">
            <w:pPr>
              <w:widowControl/>
              <w:spacing w:line="240" w:lineRule="auto"/>
              <w:ind w:firstLine="0" w:firstLineChars="0"/>
              <w:jc w:val="center"/>
              <w:rPr>
                <w:rFonts w:eastAsia="仿宋_GB2312"/>
                <w:sz w:val="18"/>
                <w:szCs w:val="18"/>
              </w:rPr>
            </w:pPr>
            <w:r>
              <w:rPr>
                <w:rFonts w:eastAsia="仿宋_GB2312"/>
                <w:sz w:val="18"/>
                <w:szCs w:val="18"/>
              </w:rPr>
              <w:t>24</w:t>
            </w:r>
          </w:p>
        </w:tc>
        <w:tc>
          <w:tcPr>
            <w:tcW w:w="627" w:type="dxa"/>
            <w:tcBorders>
              <w:top w:val="nil"/>
              <w:left w:val="nil"/>
              <w:bottom w:val="single" w:color="auto" w:sz="4" w:space="0"/>
              <w:right w:val="single" w:color="auto" w:sz="4" w:space="0"/>
            </w:tcBorders>
            <w:vAlign w:val="center"/>
          </w:tcPr>
          <w:p w14:paraId="752437DE">
            <w:pPr>
              <w:widowControl/>
              <w:spacing w:line="240" w:lineRule="auto"/>
              <w:ind w:firstLine="0" w:firstLineChars="0"/>
              <w:jc w:val="center"/>
              <w:rPr>
                <w:rFonts w:eastAsia="仿宋_GB2312"/>
                <w:sz w:val="18"/>
                <w:szCs w:val="18"/>
              </w:rPr>
            </w:pPr>
            <w:r>
              <w:rPr>
                <w:rFonts w:eastAsia="仿宋_GB2312"/>
                <w:sz w:val="18"/>
                <w:szCs w:val="18"/>
              </w:rPr>
              <w:t>23</w:t>
            </w:r>
          </w:p>
        </w:tc>
        <w:tc>
          <w:tcPr>
            <w:tcW w:w="720" w:type="dxa"/>
            <w:tcBorders>
              <w:top w:val="nil"/>
              <w:left w:val="nil"/>
              <w:bottom w:val="single" w:color="auto" w:sz="4" w:space="0"/>
              <w:right w:val="single" w:color="auto" w:sz="4" w:space="0"/>
            </w:tcBorders>
            <w:vAlign w:val="center"/>
          </w:tcPr>
          <w:p w14:paraId="19468FF5">
            <w:pPr>
              <w:widowControl/>
              <w:spacing w:line="240" w:lineRule="auto"/>
              <w:ind w:firstLine="0" w:firstLineChars="0"/>
              <w:jc w:val="center"/>
              <w:rPr>
                <w:rFonts w:eastAsia="仿宋_GB2312"/>
                <w:sz w:val="18"/>
                <w:szCs w:val="18"/>
              </w:rPr>
            </w:pPr>
            <w:r>
              <w:rPr>
                <w:rFonts w:eastAsia="仿宋_GB2312"/>
                <w:sz w:val="18"/>
                <w:szCs w:val="18"/>
              </w:rPr>
              <w:t>22</w:t>
            </w:r>
          </w:p>
        </w:tc>
        <w:tc>
          <w:tcPr>
            <w:tcW w:w="720" w:type="dxa"/>
            <w:tcBorders>
              <w:top w:val="nil"/>
              <w:left w:val="nil"/>
              <w:bottom w:val="single" w:color="auto" w:sz="4" w:space="0"/>
              <w:right w:val="single" w:color="auto" w:sz="4" w:space="0"/>
            </w:tcBorders>
            <w:vAlign w:val="center"/>
          </w:tcPr>
          <w:p w14:paraId="06AD7F04">
            <w:pPr>
              <w:widowControl/>
              <w:spacing w:line="240" w:lineRule="auto"/>
              <w:ind w:firstLine="0" w:firstLineChars="0"/>
              <w:jc w:val="center"/>
              <w:rPr>
                <w:rFonts w:eastAsia="仿宋_GB2312"/>
                <w:sz w:val="18"/>
                <w:szCs w:val="18"/>
              </w:rPr>
            </w:pPr>
            <w:r>
              <w:rPr>
                <w:rFonts w:eastAsia="仿宋_GB2312"/>
                <w:sz w:val="18"/>
                <w:szCs w:val="18"/>
              </w:rPr>
              <w:t>21</w:t>
            </w:r>
          </w:p>
        </w:tc>
        <w:tc>
          <w:tcPr>
            <w:tcW w:w="880" w:type="dxa"/>
            <w:tcBorders>
              <w:top w:val="nil"/>
              <w:left w:val="nil"/>
              <w:bottom w:val="single" w:color="auto" w:sz="4" w:space="0"/>
              <w:right w:val="single" w:color="auto" w:sz="4" w:space="0"/>
            </w:tcBorders>
            <w:vAlign w:val="center"/>
          </w:tcPr>
          <w:p w14:paraId="0A5BB757">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2DAA8C7">
            <w:pPr>
              <w:widowControl/>
              <w:spacing w:line="240" w:lineRule="auto"/>
              <w:ind w:firstLine="0" w:firstLineChars="0"/>
              <w:jc w:val="center"/>
              <w:rPr>
                <w:rFonts w:eastAsia="仿宋_GB2312"/>
                <w:sz w:val="18"/>
                <w:szCs w:val="18"/>
              </w:rPr>
            </w:pPr>
            <w:r>
              <w:rPr>
                <w:rFonts w:eastAsia="仿宋_GB2312"/>
                <w:sz w:val="18"/>
                <w:szCs w:val="18"/>
              </w:rPr>
              <w:t>80%</w:t>
            </w:r>
          </w:p>
        </w:tc>
      </w:tr>
      <w:tr w14:paraId="2AB7F55E">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0B0FF5B2">
            <w:pPr>
              <w:widowControl/>
              <w:spacing w:line="240" w:lineRule="auto"/>
              <w:ind w:firstLine="0" w:firstLineChars="0"/>
              <w:jc w:val="center"/>
              <w:rPr>
                <w:rFonts w:eastAsia="仿宋_GB2312"/>
                <w:b/>
                <w:bCs/>
                <w:sz w:val="18"/>
                <w:szCs w:val="18"/>
              </w:rPr>
            </w:pPr>
            <w:r>
              <w:rPr>
                <w:rFonts w:hint="eastAsia" w:eastAsia="仿宋_GB2312"/>
                <w:b/>
                <w:bCs/>
                <w:sz w:val="18"/>
                <w:szCs w:val="18"/>
              </w:rPr>
              <w:t>民众镇</w:t>
            </w:r>
          </w:p>
        </w:tc>
        <w:tc>
          <w:tcPr>
            <w:tcW w:w="936" w:type="dxa"/>
            <w:tcBorders>
              <w:top w:val="nil"/>
              <w:left w:val="nil"/>
              <w:bottom w:val="single" w:color="auto" w:sz="4" w:space="0"/>
              <w:right w:val="single" w:color="auto" w:sz="4" w:space="0"/>
            </w:tcBorders>
            <w:vAlign w:val="center"/>
          </w:tcPr>
          <w:p w14:paraId="3D13F9CB">
            <w:pPr>
              <w:widowControl/>
              <w:spacing w:line="240" w:lineRule="auto"/>
              <w:ind w:firstLine="0" w:firstLineChars="0"/>
              <w:jc w:val="center"/>
              <w:rPr>
                <w:rFonts w:eastAsia="仿宋_GB2312"/>
                <w:sz w:val="18"/>
                <w:szCs w:val="18"/>
              </w:rPr>
            </w:pPr>
            <w:r>
              <w:rPr>
                <w:rFonts w:eastAsia="仿宋_GB2312"/>
                <w:sz w:val="18"/>
                <w:szCs w:val="18"/>
              </w:rPr>
              <w:t>9508</w:t>
            </w:r>
          </w:p>
        </w:tc>
        <w:tc>
          <w:tcPr>
            <w:tcW w:w="980" w:type="dxa"/>
            <w:tcBorders>
              <w:top w:val="nil"/>
              <w:left w:val="nil"/>
              <w:bottom w:val="single" w:color="auto" w:sz="4" w:space="0"/>
              <w:right w:val="single" w:color="auto" w:sz="4" w:space="0"/>
            </w:tcBorders>
            <w:vAlign w:val="center"/>
          </w:tcPr>
          <w:p w14:paraId="149AC5BA">
            <w:pPr>
              <w:widowControl/>
              <w:spacing w:line="240" w:lineRule="auto"/>
              <w:ind w:firstLine="0" w:firstLineChars="0"/>
              <w:jc w:val="center"/>
              <w:rPr>
                <w:rFonts w:eastAsia="仿宋_GB2312"/>
                <w:sz w:val="18"/>
                <w:szCs w:val="18"/>
              </w:rPr>
            </w:pPr>
            <w:r>
              <w:rPr>
                <w:rFonts w:eastAsia="仿宋_GB2312"/>
                <w:sz w:val="18"/>
                <w:szCs w:val="18"/>
              </w:rPr>
              <w:t>3200</w:t>
            </w:r>
          </w:p>
        </w:tc>
        <w:tc>
          <w:tcPr>
            <w:tcW w:w="681" w:type="dxa"/>
            <w:tcBorders>
              <w:top w:val="nil"/>
              <w:left w:val="nil"/>
              <w:bottom w:val="single" w:color="auto" w:sz="4" w:space="0"/>
              <w:right w:val="single" w:color="auto" w:sz="4" w:space="0"/>
            </w:tcBorders>
            <w:vAlign w:val="center"/>
          </w:tcPr>
          <w:p w14:paraId="33A1203D">
            <w:pPr>
              <w:widowControl/>
              <w:spacing w:line="240" w:lineRule="auto"/>
              <w:ind w:firstLine="0" w:firstLineChars="0"/>
              <w:jc w:val="center"/>
              <w:rPr>
                <w:rFonts w:eastAsia="仿宋_GB2312"/>
                <w:sz w:val="18"/>
                <w:szCs w:val="18"/>
              </w:rPr>
            </w:pPr>
            <w:r>
              <w:rPr>
                <w:rFonts w:eastAsia="仿宋_GB2312"/>
                <w:sz w:val="18"/>
                <w:szCs w:val="18"/>
              </w:rPr>
              <w:t>750</w:t>
            </w:r>
          </w:p>
        </w:tc>
        <w:tc>
          <w:tcPr>
            <w:tcW w:w="750" w:type="dxa"/>
            <w:tcBorders>
              <w:top w:val="nil"/>
              <w:left w:val="nil"/>
              <w:bottom w:val="single" w:color="auto" w:sz="4" w:space="0"/>
              <w:right w:val="single" w:color="auto" w:sz="4" w:space="0"/>
            </w:tcBorders>
            <w:vAlign w:val="center"/>
          </w:tcPr>
          <w:p w14:paraId="508894A7">
            <w:pPr>
              <w:widowControl/>
              <w:spacing w:line="240" w:lineRule="auto"/>
              <w:ind w:firstLine="0" w:firstLineChars="0"/>
              <w:jc w:val="center"/>
              <w:rPr>
                <w:rFonts w:eastAsia="仿宋_GB2312"/>
                <w:sz w:val="18"/>
                <w:szCs w:val="18"/>
              </w:rPr>
            </w:pPr>
            <w:r>
              <w:rPr>
                <w:rFonts w:eastAsia="仿宋_GB2312"/>
                <w:sz w:val="18"/>
                <w:szCs w:val="18"/>
              </w:rPr>
              <w:t>5558</w:t>
            </w:r>
          </w:p>
        </w:tc>
        <w:tc>
          <w:tcPr>
            <w:tcW w:w="1159" w:type="dxa"/>
            <w:tcBorders>
              <w:top w:val="nil"/>
              <w:left w:val="nil"/>
              <w:bottom w:val="single" w:color="auto" w:sz="4" w:space="0"/>
              <w:right w:val="single" w:color="auto" w:sz="4" w:space="0"/>
            </w:tcBorders>
            <w:vAlign w:val="center"/>
          </w:tcPr>
          <w:p w14:paraId="07EA5947">
            <w:pPr>
              <w:widowControl/>
              <w:spacing w:line="240" w:lineRule="auto"/>
              <w:ind w:firstLine="0" w:firstLineChars="0"/>
              <w:jc w:val="center"/>
              <w:rPr>
                <w:rFonts w:eastAsia="仿宋_GB2312"/>
                <w:sz w:val="18"/>
                <w:szCs w:val="18"/>
              </w:rPr>
            </w:pPr>
            <w:r>
              <w:rPr>
                <w:rFonts w:eastAsia="仿宋_GB2312"/>
                <w:sz w:val="18"/>
                <w:szCs w:val="18"/>
              </w:rPr>
              <w:t>246</w:t>
            </w:r>
          </w:p>
        </w:tc>
        <w:tc>
          <w:tcPr>
            <w:tcW w:w="845" w:type="dxa"/>
            <w:tcBorders>
              <w:top w:val="nil"/>
              <w:left w:val="nil"/>
              <w:bottom w:val="single" w:color="auto" w:sz="4" w:space="0"/>
              <w:right w:val="single" w:color="auto" w:sz="4" w:space="0"/>
            </w:tcBorders>
            <w:vAlign w:val="center"/>
          </w:tcPr>
          <w:p w14:paraId="56425B3E">
            <w:pPr>
              <w:widowControl/>
              <w:spacing w:line="240" w:lineRule="auto"/>
              <w:ind w:firstLine="0" w:firstLineChars="0"/>
              <w:jc w:val="center"/>
              <w:rPr>
                <w:rFonts w:eastAsia="仿宋_GB2312"/>
                <w:sz w:val="18"/>
                <w:szCs w:val="18"/>
              </w:rPr>
            </w:pPr>
            <w:r>
              <w:rPr>
                <w:rFonts w:eastAsia="仿宋_GB2312"/>
                <w:sz w:val="18"/>
                <w:szCs w:val="18"/>
              </w:rPr>
              <w:t>211</w:t>
            </w:r>
          </w:p>
        </w:tc>
        <w:tc>
          <w:tcPr>
            <w:tcW w:w="842" w:type="dxa"/>
            <w:tcBorders>
              <w:top w:val="nil"/>
              <w:left w:val="nil"/>
              <w:bottom w:val="single" w:color="auto" w:sz="4" w:space="0"/>
              <w:right w:val="single" w:color="auto" w:sz="4" w:space="0"/>
            </w:tcBorders>
            <w:vAlign w:val="center"/>
          </w:tcPr>
          <w:p w14:paraId="344722FA">
            <w:pPr>
              <w:widowControl/>
              <w:spacing w:line="240" w:lineRule="auto"/>
              <w:ind w:firstLine="0" w:firstLineChars="0"/>
              <w:jc w:val="center"/>
              <w:rPr>
                <w:rFonts w:eastAsia="仿宋_GB2312"/>
                <w:sz w:val="18"/>
                <w:szCs w:val="18"/>
              </w:rPr>
            </w:pPr>
            <w:r>
              <w:rPr>
                <w:rFonts w:eastAsia="仿宋_GB2312"/>
                <w:sz w:val="18"/>
                <w:szCs w:val="18"/>
              </w:rPr>
              <w:t>200</w:t>
            </w:r>
          </w:p>
        </w:tc>
        <w:tc>
          <w:tcPr>
            <w:tcW w:w="839" w:type="dxa"/>
            <w:tcBorders>
              <w:top w:val="nil"/>
              <w:left w:val="nil"/>
              <w:bottom w:val="single" w:color="auto" w:sz="4" w:space="0"/>
              <w:right w:val="single" w:color="auto" w:sz="4" w:space="0"/>
            </w:tcBorders>
            <w:vAlign w:val="center"/>
          </w:tcPr>
          <w:p w14:paraId="70A26561">
            <w:pPr>
              <w:widowControl/>
              <w:spacing w:line="240" w:lineRule="auto"/>
              <w:ind w:firstLine="0" w:firstLineChars="0"/>
              <w:jc w:val="center"/>
              <w:rPr>
                <w:rFonts w:eastAsia="仿宋_GB2312"/>
                <w:sz w:val="18"/>
                <w:szCs w:val="18"/>
              </w:rPr>
            </w:pPr>
            <w:r>
              <w:rPr>
                <w:rFonts w:eastAsia="仿宋_GB2312"/>
                <w:sz w:val="18"/>
                <w:szCs w:val="18"/>
              </w:rPr>
              <w:t>190</w:t>
            </w:r>
          </w:p>
        </w:tc>
        <w:tc>
          <w:tcPr>
            <w:tcW w:w="800" w:type="dxa"/>
            <w:tcBorders>
              <w:top w:val="nil"/>
              <w:left w:val="nil"/>
              <w:bottom w:val="single" w:color="auto" w:sz="4" w:space="0"/>
              <w:right w:val="single" w:color="auto" w:sz="4" w:space="0"/>
            </w:tcBorders>
            <w:vAlign w:val="center"/>
          </w:tcPr>
          <w:p w14:paraId="7B7AF298">
            <w:pPr>
              <w:widowControl/>
              <w:spacing w:line="240" w:lineRule="auto"/>
              <w:ind w:firstLine="0" w:firstLineChars="0"/>
              <w:jc w:val="center"/>
              <w:rPr>
                <w:rFonts w:eastAsia="仿宋_GB2312"/>
                <w:sz w:val="18"/>
                <w:szCs w:val="18"/>
              </w:rPr>
            </w:pPr>
            <w:r>
              <w:rPr>
                <w:rFonts w:eastAsia="仿宋_GB2312"/>
                <w:sz w:val="18"/>
                <w:szCs w:val="18"/>
              </w:rPr>
              <w:t>181</w:t>
            </w:r>
          </w:p>
        </w:tc>
        <w:tc>
          <w:tcPr>
            <w:tcW w:w="792" w:type="dxa"/>
            <w:tcBorders>
              <w:top w:val="nil"/>
              <w:left w:val="nil"/>
              <w:bottom w:val="single" w:color="auto" w:sz="4" w:space="0"/>
              <w:right w:val="single" w:color="auto" w:sz="4" w:space="0"/>
            </w:tcBorders>
            <w:vAlign w:val="center"/>
          </w:tcPr>
          <w:p w14:paraId="19F14AC8">
            <w:pPr>
              <w:widowControl/>
              <w:spacing w:line="240" w:lineRule="auto"/>
              <w:ind w:firstLine="0" w:firstLineChars="0"/>
              <w:jc w:val="center"/>
              <w:rPr>
                <w:rFonts w:eastAsia="仿宋_GB2312"/>
                <w:sz w:val="18"/>
                <w:szCs w:val="18"/>
              </w:rPr>
            </w:pPr>
            <w:r>
              <w:rPr>
                <w:rFonts w:eastAsia="仿宋_GB2312"/>
                <w:sz w:val="18"/>
                <w:szCs w:val="18"/>
              </w:rPr>
              <w:t>172</w:t>
            </w:r>
          </w:p>
        </w:tc>
        <w:tc>
          <w:tcPr>
            <w:tcW w:w="1159" w:type="dxa"/>
            <w:tcBorders>
              <w:top w:val="nil"/>
              <w:left w:val="nil"/>
              <w:bottom w:val="single" w:color="auto" w:sz="4" w:space="0"/>
              <w:right w:val="single" w:color="auto" w:sz="4" w:space="0"/>
            </w:tcBorders>
            <w:vAlign w:val="center"/>
          </w:tcPr>
          <w:p w14:paraId="35DA1421">
            <w:pPr>
              <w:widowControl/>
              <w:spacing w:line="240" w:lineRule="auto"/>
              <w:ind w:firstLine="0" w:firstLineChars="0"/>
              <w:jc w:val="center"/>
              <w:rPr>
                <w:rFonts w:eastAsia="仿宋_GB2312"/>
                <w:sz w:val="18"/>
                <w:szCs w:val="18"/>
              </w:rPr>
            </w:pPr>
            <w:r>
              <w:rPr>
                <w:rFonts w:eastAsia="仿宋_GB2312"/>
                <w:sz w:val="18"/>
                <w:szCs w:val="18"/>
              </w:rPr>
              <w:t>67</w:t>
            </w:r>
          </w:p>
        </w:tc>
        <w:tc>
          <w:tcPr>
            <w:tcW w:w="723" w:type="dxa"/>
            <w:tcBorders>
              <w:top w:val="nil"/>
              <w:left w:val="nil"/>
              <w:bottom w:val="single" w:color="auto" w:sz="4" w:space="0"/>
              <w:right w:val="single" w:color="auto" w:sz="4" w:space="0"/>
            </w:tcBorders>
            <w:vAlign w:val="center"/>
          </w:tcPr>
          <w:p w14:paraId="31FE17D8">
            <w:pPr>
              <w:widowControl/>
              <w:spacing w:line="240" w:lineRule="auto"/>
              <w:ind w:firstLine="0" w:firstLineChars="0"/>
              <w:jc w:val="center"/>
              <w:rPr>
                <w:rFonts w:eastAsia="仿宋_GB2312"/>
                <w:sz w:val="18"/>
                <w:szCs w:val="18"/>
              </w:rPr>
            </w:pPr>
            <w:r>
              <w:rPr>
                <w:rFonts w:eastAsia="仿宋_GB2312"/>
                <w:sz w:val="18"/>
                <w:szCs w:val="18"/>
              </w:rPr>
              <w:t>60</w:t>
            </w:r>
          </w:p>
        </w:tc>
        <w:tc>
          <w:tcPr>
            <w:tcW w:w="695" w:type="dxa"/>
            <w:tcBorders>
              <w:top w:val="nil"/>
              <w:left w:val="nil"/>
              <w:bottom w:val="single" w:color="auto" w:sz="4" w:space="0"/>
              <w:right w:val="single" w:color="auto" w:sz="4" w:space="0"/>
            </w:tcBorders>
            <w:vAlign w:val="center"/>
          </w:tcPr>
          <w:p w14:paraId="2BE730BD">
            <w:pPr>
              <w:widowControl/>
              <w:spacing w:line="240" w:lineRule="auto"/>
              <w:ind w:firstLine="0" w:firstLineChars="0"/>
              <w:jc w:val="center"/>
              <w:rPr>
                <w:rFonts w:eastAsia="仿宋_GB2312"/>
                <w:sz w:val="18"/>
                <w:szCs w:val="18"/>
              </w:rPr>
            </w:pPr>
            <w:r>
              <w:rPr>
                <w:rFonts w:eastAsia="仿宋_GB2312"/>
                <w:sz w:val="18"/>
                <w:szCs w:val="18"/>
              </w:rPr>
              <w:t>55</w:t>
            </w:r>
          </w:p>
        </w:tc>
        <w:tc>
          <w:tcPr>
            <w:tcW w:w="627" w:type="dxa"/>
            <w:tcBorders>
              <w:top w:val="nil"/>
              <w:left w:val="nil"/>
              <w:bottom w:val="single" w:color="auto" w:sz="4" w:space="0"/>
              <w:right w:val="single" w:color="auto" w:sz="4" w:space="0"/>
            </w:tcBorders>
            <w:vAlign w:val="center"/>
          </w:tcPr>
          <w:p w14:paraId="6B857C20">
            <w:pPr>
              <w:widowControl/>
              <w:spacing w:line="240" w:lineRule="auto"/>
              <w:ind w:firstLine="0" w:firstLineChars="0"/>
              <w:jc w:val="center"/>
              <w:rPr>
                <w:rFonts w:eastAsia="仿宋_GB2312"/>
                <w:sz w:val="18"/>
                <w:szCs w:val="18"/>
              </w:rPr>
            </w:pPr>
            <w:r>
              <w:rPr>
                <w:rFonts w:eastAsia="仿宋_GB2312"/>
                <w:sz w:val="18"/>
                <w:szCs w:val="18"/>
              </w:rPr>
              <w:t>51</w:t>
            </w:r>
          </w:p>
        </w:tc>
        <w:tc>
          <w:tcPr>
            <w:tcW w:w="720" w:type="dxa"/>
            <w:tcBorders>
              <w:top w:val="nil"/>
              <w:left w:val="nil"/>
              <w:bottom w:val="single" w:color="auto" w:sz="4" w:space="0"/>
              <w:right w:val="single" w:color="auto" w:sz="4" w:space="0"/>
            </w:tcBorders>
            <w:vAlign w:val="center"/>
          </w:tcPr>
          <w:p w14:paraId="3E469E50">
            <w:pPr>
              <w:widowControl/>
              <w:spacing w:line="240" w:lineRule="auto"/>
              <w:ind w:firstLine="0" w:firstLineChars="0"/>
              <w:jc w:val="center"/>
              <w:rPr>
                <w:rFonts w:eastAsia="仿宋_GB2312"/>
                <w:sz w:val="18"/>
                <w:szCs w:val="18"/>
              </w:rPr>
            </w:pPr>
            <w:r>
              <w:rPr>
                <w:rFonts w:eastAsia="仿宋_GB2312"/>
                <w:sz w:val="18"/>
                <w:szCs w:val="18"/>
              </w:rPr>
              <w:t>48</w:t>
            </w:r>
          </w:p>
        </w:tc>
        <w:tc>
          <w:tcPr>
            <w:tcW w:w="720" w:type="dxa"/>
            <w:tcBorders>
              <w:top w:val="nil"/>
              <w:left w:val="nil"/>
              <w:bottom w:val="single" w:color="auto" w:sz="4" w:space="0"/>
              <w:right w:val="single" w:color="auto" w:sz="4" w:space="0"/>
            </w:tcBorders>
            <w:vAlign w:val="center"/>
          </w:tcPr>
          <w:p w14:paraId="3927C83A">
            <w:pPr>
              <w:widowControl/>
              <w:spacing w:line="240" w:lineRule="auto"/>
              <w:ind w:firstLine="0" w:firstLineChars="0"/>
              <w:jc w:val="center"/>
              <w:rPr>
                <w:rFonts w:eastAsia="仿宋_GB2312"/>
                <w:sz w:val="18"/>
                <w:szCs w:val="18"/>
              </w:rPr>
            </w:pPr>
            <w:r>
              <w:rPr>
                <w:rFonts w:eastAsia="仿宋_GB2312"/>
                <w:sz w:val="18"/>
                <w:szCs w:val="18"/>
              </w:rPr>
              <w:t>46</w:t>
            </w:r>
          </w:p>
        </w:tc>
        <w:tc>
          <w:tcPr>
            <w:tcW w:w="880" w:type="dxa"/>
            <w:tcBorders>
              <w:top w:val="nil"/>
              <w:left w:val="nil"/>
              <w:bottom w:val="single" w:color="auto" w:sz="4" w:space="0"/>
              <w:right w:val="single" w:color="auto" w:sz="4" w:space="0"/>
            </w:tcBorders>
            <w:vAlign w:val="center"/>
          </w:tcPr>
          <w:p w14:paraId="0DBAA065">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8FA1491">
            <w:pPr>
              <w:widowControl/>
              <w:spacing w:line="240" w:lineRule="auto"/>
              <w:ind w:firstLine="0" w:firstLineChars="0"/>
              <w:jc w:val="center"/>
              <w:rPr>
                <w:rFonts w:eastAsia="仿宋_GB2312"/>
                <w:sz w:val="18"/>
                <w:szCs w:val="18"/>
              </w:rPr>
            </w:pPr>
            <w:r>
              <w:rPr>
                <w:rFonts w:eastAsia="仿宋_GB2312"/>
                <w:sz w:val="18"/>
                <w:szCs w:val="18"/>
              </w:rPr>
              <w:t>80%</w:t>
            </w:r>
          </w:p>
        </w:tc>
      </w:tr>
      <w:tr w14:paraId="79E2C4C6">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3D509378">
            <w:pPr>
              <w:widowControl/>
              <w:spacing w:line="240" w:lineRule="auto"/>
              <w:ind w:firstLine="0" w:firstLineChars="0"/>
              <w:jc w:val="center"/>
              <w:rPr>
                <w:rFonts w:eastAsia="仿宋_GB2312"/>
                <w:b/>
                <w:bCs/>
                <w:sz w:val="18"/>
                <w:szCs w:val="18"/>
              </w:rPr>
            </w:pPr>
            <w:r>
              <w:rPr>
                <w:rFonts w:hint="eastAsia" w:eastAsia="仿宋_GB2312"/>
                <w:b/>
                <w:bCs/>
                <w:sz w:val="18"/>
                <w:szCs w:val="18"/>
              </w:rPr>
              <w:t>东凤镇</w:t>
            </w:r>
          </w:p>
        </w:tc>
        <w:tc>
          <w:tcPr>
            <w:tcW w:w="936" w:type="dxa"/>
            <w:tcBorders>
              <w:top w:val="nil"/>
              <w:left w:val="nil"/>
              <w:bottom w:val="single" w:color="auto" w:sz="4" w:space="0"/>
              <w:right w:val="single" w:color="auto" w:sz="4" w:space="0"/>
            </w:tcBorders>
            <w:vAlign w:val="center"/>
          </w:tcPr>
          <w:p w14:paraId="37A3232A">
            <w:pPr>
              <w:widowControl/>
              <w:spacing w:line="240" w:lineRule="auto"/>
              <w:ind w:firstLine="0" w:firstLineChars="0"/>
              <w:jc w:val="center"/>
              <w:rPr>
                <w:rFonts w:eastAsia="仿宋_GB2312"/>
                <w:sz w:val="18"/>
                <w:szCs w:val="18"/>
              </w:rPr>
            </w:pPr>
            <w:r>
              <w:rPr>
                <w:rFonts w:eastAsia="仿宋_GB2312"/>
                <w:sz w:val="18"/>
                <w:szCs w:val="18"/>
              </w:rPr>
              <w:t>5836</w:t>
            </w:r>
          </w:p>
        </w:tc>
        <w:tc>
          <w:tcPr>
            <w:tcW w:w="980" w:type="dxa"/>
            <w:tcBorders>
              <w:top w:val="nil"/>
              <w:left w:val="nil"/>
              <w:bottom w:val="single" w:color="auto" w:sz="4" w:space="0"/>
              <w:right w:val="single" w:color="auto" w:sz="4" w:space="0"/>
            </w:tcBorders>
            <w:vAlign w:val="center"/>
          </w:tcPr>
          <w:p w14:paraId="3538E1B0">
            <w:pPr>
              <w:widowControl/>
              <w:spacing w:line="240" w:lineRule="auto"/>
              <w:ind w:firstLine="0" w:firstLineChars="0"/>
              <w:jc w:val="center"/>
              <w:rPr>
                <w:rFonts w:eastAsia="仿宋_GB2312"/>
                <w:sz w:val="18"/>
                <w:szCs w:val="18"/>
              </w:rPr>
            </w:pPr>
            <w:r>
              <w:rPr>
                <w:rFonts w:eastAsia="仿宋_GB2312"/>
                <w:sz w:val="18"/>
                <w:szCs w:val="18"/>
              </w:rPr>
              <w:t>3600</w:t>
            </w:r>
          </w:p>
        </w:tc>
        <w:tc>
          <w:tcPr>
            <w:tcW w:w="681" w:type="dxa"/>
            <w:tcBorders>
              <w:top w:val="nil"/>
              <w:left w:val="nil"/>
              <w:bottom w:val="single" w:color="auto" w:sz="4" w:space="0"/>
              <w:right w:val="single" w:color="auto" w:sz="4" w:space="0"/>
            </w:tcBorders>
            <w:vAlign w:val="center"/>
          </w:tcPr>
          <w:p w14:paraId="0D485708">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49F1CC44">
            <w:pPr>
              <w:widowControl/>
              <w:spacing w:line="240" w:lineRule="auto"/>
              <w:ind w:firstLine="0" w:firstLineChars="0"/>
              <w:jc w:val="center"/>
              <w:rPr>
                <w:rFonts w:eastAsia="仿宋_GB2312"/>
                <w:sz w:val="18"/>
                <w:szCs w:val="18"/>
              </w:rPr>
            </w:pPr>
            <w:r>
              <w:rPr>
                <w:rFonts w:eastAsia="仿宋_GB2312"/>
                <w:sz w:val="18"/>
                <w:szCs w:val="18"/>
              </w:rPr>
              <w:t>2236</w:t>
            </w:r>
          </w:p>
        </w:tc>
        <w:tc>
          <w:tcPr>
            <w:tcW w:w="1159" w:type="dxa"/>
            <w:tcBorders>
              <w:top w:val="nil"/>
              <w:left w:val="nil"/>
              <w:bottom w:val="single" w:color="auto" w:sz="4" w:space="0"/>
              <w:right w:val="single" w:color="auto" w:sz="4" w:space="0"/>
            </w:tcBorders>
            <w:vAlign w:val="center"/>
          </w:tcPr>
          <w:p w14:paraId="6FCD1ABA">
            <w:pPr>
              <w:widowControl/>
              <w:spacing w:line="240" w:lineRule="auto"/>
              <w:ind w:firstLine="0" w:firstLineChars="0"/>
              <w:jc w:val="center"/>
              <w:rPr>
                <w:rFonts w:eastAsia="仿宋_GB2312"/>
                <w:sz w:val="18"/>
                <w:szCs w:val="18"/>
              </w:rPr>
            </w:pPr>
            <w:r>
              <w:rPr>
                <w:rFonts w:eastAsia="仿宋_GB2312"/>
                <w:sz w:val="18"/>
                <w:szCs w:val="18"/>
              </w:rPr>
              <w:t>47</w:t>
            </w:r>
          </w:p>
        </w:tc>
        <w:tc>
          <w:tcPr>
            <w:tcW w:w="845" w:type="dxa"/>
            <w:tcBorders>
              <w:top w:val="nil"/>
              <w:left w:val="nil"/>
              <w:bottom w:val="single" w:color="auto" w:sz="4" w:space="0"/>
              <w:right w:val="single" w:color="auto" w:sz="4" w:space="0"/>
            </w:tcBorders>
            <w:vAlign w:val="center"/>
          </w:tcPr>
          <w:p w14:paraId="6407AEA5">
            <w:pPr>
              <w:widowControl/>
              <w:spacing w:line="240" w:lineRule="auto"/>
              <w:ind w:firstLine="0" w:firstLineChars="0"/>
              <w:jc w:val="center"/>
              <w:rPr>
                <w:rFonts w:eastAsia="仿宋_GB2312"/>
                <w:sz w:val="18"/>
                <w:szCs w:val="18"/>
              </w:rPr>
            </w:pPr>
            <w:r>
              <w:rPr>
                <w:rFonts w:eastAsia="仿宋_GB2312"/>
                <w:sz w:val="18"/>
                <w:szCs w:val="18"/>
              </w:rPr>
              <w:t>41</w:t>
            </w:r>
          </w:p>
        </w:tc>
        <w:tc>
          <w:tcPr>
            <w:tcW w:w="842" w:type="dxa"/>
            <w:tcBorders>
              <w:top w:val="nil"/>
              <w:left w:val="nil"/>
              <w:bottom w:val="single" w:color="auto" w:sz="4" w:space="0"/>
              <w:right w:val="single" w:color="auto" w:sz="4" w:space="0"/>
            </w:tcBorders>
            <w:vAlign w:val="center"/>
          </w:tcPr>
          <w:p w14:paraId="0E0827CC">
            <w:pPr>
              <w:widowControl/>
              <w:spacing w:line="240" w:lineRule="auto"/>
              <w:ind w:firstLine="0" w:firstLineChars="0"/>
              <w:jc w:val="center"/>
              <w:rPr>
                <w:rFonts w:eastAsia="仿宋_GB2312"/>
                <w:sz w:val="18"/>
                <w:szCs w:val="18"/>
              </w:rPr>
            </w:pPr>
            <w:r>
              <w:rPr>
                <w:rFonts w:eastAsia="仿宋_GB2312"/>
                <w:sz w:val="18"/>
                <w:szCs w:val="18"/>
              </w:rPr>
              <w:t>39</w:t>
            </w:r>
          </w:p>
        </w:tc>
        <w:tc>
          <w:tcPr>
            <w:tcW w:w="839" w:type="dxa"/>
            <w:tcBorders>
              <w:top w:val="nil"/>
              <w:left w:val="nil"/>
              <w:bottom w:val="single" w:color="auto" w:sz="4" w:space="0"/>
              <w:right w:val="single" w:color="auto" w:sz="4" w:space="0"/>
            </w:tcBorders>
            <w:vAlign w:val="center"/>
          </w:tcPr>
          <w:p w14:paraId="5098ADFB">
            <w:pPr>
              <w:widowControl/>
              <w:spacing w:line="240" w:lineRule="auto"/>
              <w:ind w:firstLine="0" w:firstLineChars="0"/>
              <w:jc w:val="center"/>
              <w:rPr>
                <w:rFonts w:eastAsia="仿宋_GB2312"/>
                <w:sz w:val="18"/>
                <w:szCs w:val="18"/>
              </w:rPr>
            </w:pPr>
            <w:r>
              <w:rPr>
                <w:rFonts w:eastAsia="仿宋_GB2312"/>
                <w:sz w:val="18"/>
                <w:szCs w:val="18"/>
              </w:rPr>
              <w:t>37</w:t>
            </w:r>
          </w:p>
        </w:tc>
        <w:tc>
          <w:tcPr>
            <w:tcW w:w="800" w:type="dxa"/>
            <w:tcBorders>
              <w:top w:val="nil"/>
              <w:left w:val="nil"/>
              <w:bottom w:val="single" w:color="auto" w:sz="4" w:space="0"/>
              <w:right w:val="single" w:color="auto" w:sz="4" w:space="0"/>
            </w:tcBorders>
            <w:vAlign w:val="center"/>
          </w:tcPr>
          <w:p w14:paraId="2D62BE06">
            <w:pPr>
              <w:widowControl/>
              <w:spacing w:line="240" w:lineRule="auto"/>
              <w:ind w:firstLine="0" w:firstLineChars="0"/>
              <w:jc w:val="center"/>
              <w:rPr>
                <w:rFonts w:eastAsia="仿宋_GB2312"/>
                <w:sz w:val="18"/>
                <w:szCs w:val="18"/>
              </w:rPr>
            </w:pPr>
            <w:r>
              <w:rPr>
                <w:rFonts w:eastAsia="仿宋_GB2312"/>
                <w:sz w:val="18"/>
                <w:szCs w:val="18"/>
              </w:rPr>
              <w:t>35</w:t>
            </w:r>
          </w:p>
        </w:tc>
        <w:tc>
          <w:tcPr>
            <w:tcW w:w="792" w:type="dxa"/>
            <w:tcBorders>
              <w:top w:val="nil"/>
              <w:left w:val="nil"/>
              <w:bottom w:val="single" w:color="auto" w:sz="4" w:space="0"/>
              <w:right w:val="single" w:color="auto" w:sz="4" w:space="0"/>
            </w:tcBorders>
            <w:vAlign w:val="center"/>
          </w:tcPr>
          <w:p w14:paraId="3905EA65">
            <w:pPr>
              <w:widowControl/>
              <w:spacing w:line="240" w:lineRule="auto"/>
              <w:ind w:firstLine="0" w:firstLineChars="0"/>
              <w:jc w:val="center"/>
              <w:rPr>
                <w:rFonts w:eastAsia="仿宋_GB2312"/>
                <w:sz w:val="18"/>
                <w:szCs w:val="18"/>
              </w:rPr>
            </w:pPr>
            <w:r>
              <w:rPr>
                <w:rFonts w:eastAsia="仿宋_GB2312"/>
                <w:sz w:val="18"/>
                <w:szCs w:val="18"/>
              </w:rPr>
              <w:t>33</w:t>
            </w:r>
          </w:p>
        </w:tc>
        <w:tc>
          <w:tcPr>
            <w:tcW w:w="1159" w:type="dxa"/>
            <w:tcBorders>
              <w:top w:val="nil"/>
              <w:left w:val="nil"/>
              <w:bottom w:val="single" w:color="auto" w:sz="4" w:space="0"/>
              <w:right w:val="single" w:color="auto" w:sz="4" w:space="0"/>
            </w:tcBorders>
            <w:vAlign w:val="center"/>
          </w:tcPr>
          <w:p w14:paraId="7E64C15E">
            <w:pPr>
              <w:widowControl/>
              <w:spacing w:line="240" w:lineRule="auto"/>
              <w:ind w:firstLine="0" w:firstLineChars="0"/>
              <w:jc w:val="center"/>
              <w:rPr>
                <w:rFonts w:eastAsia="仿宋_GB2312"/>
                <w:sz w:val="18"/>
                <w:szCs w:val="18"/>
              </w:rPr>
            </w:pPr>
            <w:r>
              <w:rPr>
                <w:rFonts w:eastAsia="仿宋_GB2312"/>
                <w:sz w:val="18"/>
                <w:szCs w:val="18"/>
              </w:rPr>
              <w:t>16</w:t>
            </w:r>
          </w:p>
        </w:tc>
        <w:tc>
          <w:tcPr>
            <w:tcW w:w="723" w:type="dxa"/>
            <w:tcBorders>
              <w:top w:val="nil"/>
              <w:left w:val="nil"/>
              <w:bottom w:val="single" w:color="auto" w:sz="4" w:space="0"/>
              <w:right w:val="single" w:color="auto" w:sz="4" w:space="0"/>
            </w:tcBorders>
            <w:vAlign w:val="center"/>
          </w:tcPr>
          <w:p w14:paraId="3BC20BF7">
            <w:pPr>
              <w:widowControl/>
              <w:spacing w:line="240" w:lineRule="auto"/>
              <w:ind w:firstLine="0" w:firstLineChars="0"/>
              <w:jc w:val="center"/>
              <w:rPr>
                <w:rFonts w:eastAsia="仿宋_GB2312"/>
                <w:sz w:val="18"/>
                <w:szCs w:val="18"/>
              </w:rPr>
            </w:pPr>
            <w:r>
              <w:rPr>
                <w:rFonts w:eastAsia="仿宋_GB2312"/>
                <w:sz w:val="18"/>
                <w:szCs w:val="18"/>
              </w:rPr>
              <w:t>16</w:t>
            </w:r>
          </w:p>
        </w:tc>
        <w:tc>
          <w:tcPr>
            <w:tcW w:w="695" w:type="dxa"/>
            <w:tcBorders>
              <w:top w:val="nil"/>
              <w:left w:val="nil"/>
              <w:bottom w:val="single" w:color="auto" w:sz="4" w:space="0"/>
              <w:right w:val="single" w:color="auto" w:sz="4" w:space="0"/>
            </w:tcBorders>
            <w:vAlign w:val="center"/>
          </w:tcPr>
          <w:p w14:paraId="7D525C27">
            <w:pPr>
              <w:widowControl/>
              <w:spacing w:line="240" w:lineRule="auto"/>
              <w:ind w:firstLine="0" w:firstLineChars="0"/>
              <w:jc w:val="center"/>
              <w:rPr>
                <w:rFonts w:eastAsia="仿宋_GB2312"/>
                <w:sz w:val="18"/>
                <w:szCs w:val="18"/>
              </w:rPr>
            </w:pPr>
            <w:r>
              <w:rPr>
                <w:rFonts w:eastAsia="仿宋_GB2312"/>
                <w:sz w:val="18"/>
                <w:szCs w:val="18"/>
              </w:rPr>
              <w:t>15</w:t>
            </w:r>
          </w:p>
        </w:tc>
        <w:tc>
          <w:tcPr>
            <w:tcW w:w="627" w:type="dxa"/>
            <w:tcBorders>
              <w:top w:val="nil"/>
              <w:left w:val="nil"/>
              <w:bottom w:val="single" w:color="auto" w:sz="4" w:space="0"/>
              <w:right w:val="single" w:color="auto" w:sz="4" w:space="0"/>
            </w:tcBorders>
            <w:vAlign w:val="center"/>
          </w:tcPr>
          <w:p w14:paraId="59EC2BC0">
            <w:pPr>
              <w:widowControl/>
              <w:spacing w:line="240" w:lineRule="auto"/>
              <w:ind w:firstLine="0" w:firstLineChars="0"/>
              <w:jc w:val="center"/>
              <w:rPr>
                <w:rFonts w:eastAsia="仿宋_GB2312"/>
                <w:sz w:val="18"/>
                <w:szCs w:val="18"/>
              </w:rPr>
            </w:pPr>
            <w:r>
              <w:rPr>
                <w:rFonts w:eastAsia="仿宋_GB2312"/>
                <w:sz w:val="18"/>
                <w:szCs w:val="18"/>
              </w:rPr>
              <w:t>15</w:t>
            </w:r>
          </w:p>
        </w:tc>
        <w:tc>
          <w:tcPr>
            <w:tcW w:w="720" w:type="dxa"/>
            <w:tcBorders>
              <w:top w:val="nil"/>
              <w:left w:val="nil"/>
              <w:bottom w:val="single" w:color="auto" w:sz="4" w:space="0"/>
              <w:right w:val="single" w:color="auto" w:sz="4" w:space="0"/>
            </w:tcBorders>
            <w:vAlign w:val="center"/>
          </w:tcPr>
          <w:p w14:paraId="2728CA6E">
            <w:pPr>
              <w:widowControl/>
              <w:spacing w:line="240" w:lineRule="auto"/>
              <w:ind w:firstLine="0" w:firstLineChars="0"/>
              <w:jc w:val="center"/>
              <w:rPr>
                <w:rFonts w:eastAsia="仿宋_GB2312"/>
                <w:sz w:val="18"/>
                <w:szCs w:val="18"/>
              </w:rPr>
            </w:pPr>
            <w:r>
              <w:rPr>
                <w:rFonts w:eastAsia="仿宋_GB2312"/>
                <w:sz w:val="18"/>
                <w:szCs w:val="18"/>
              </w:rPr>
              <w:t>14</w:t>
            </w:r>
          </w:p>
        </w:tc>
        <w:tc>
          <w:tcPr>
            <w:tcW w:w="720" w:type="dxa"/>
            <w:tcBorders>
              <w:top w:val="nil"/>
              <w:left w:val="nil"/>
              <w:bottom w:val="single" w:color="auto" w:sz="4" w:space="0"/>
              <w:right w:val="single" w:color="auto" w:sz="4" w:space="0"/>
            </w:tcBorders>
            <w:vAlign w:val="center"/>
          </w:tcPr>
          <w:p w14:paraId="0BB9AA64">
            <w:pPr>
              <w:widowControl/>
              <w:spacing w:line="240" w:lineRule="auto"/>
              <w:ind w:firstLine="0" w:firstLineChars="0"/>
              <w:jc w:val="center"/>
              <w:rPr>
                <w:rFonts w:eastAsia="仿宋_GB2312"/>
                <w:sz w:val="18"/>
                <w:szCs w:val="18"/>
              </w:rPr>
            </w:pPr>
            <w:r>
              <w:rPr>
                <w:rFonts w:eastAsia="仿宋_GB2312"/>
                <w:sz w:val="18"/>
                <w:szCs w:val="18"/>
              </w:rPr>
              <w:t>14</w:t>
            </w:r>
          </w:p>
        </w:tc>
        <w:tc>
          <w:tcPr>
            <w:tcW w:w="880" w:type="dxa"/>
            <w:tcBorders>
              <w:top w:val="nil"/>
              <w:left w:val="nil"/>
              <w:bottom w:val="single" w:color="auto" w:sz="4" w:space="0"/>
              <w:right w:val="single" w:color="auto" w:sz="4" w:space="0"/>
            </w:tcBorders>
            <w:vAlign w:val="center"/>
          </w:tcPr>
          <w:p w14:paraId="56014BB3">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FB03A8F">
            <w:pPr>
              <w:widowControl/>
              <w:spacing w:line="240" w:lineRule="auto"/>
              <w:ind w:firstLine="0" w:firstLineChars="0"/>
              <w:jc w:val="center"/>
              <w:rPr>
                <w:rFonts w:eastAsia="仿宋_GB2312"/>
                <w:sz w:val="18"/>
                <w:szCs w:val="18"/>
              </w:rPr>
            </w:pPr>
            <w:r>
              <w:rPr>
                <w:rFonts w:eastAsia="仿宋_GB2312"/>
                <w:sz w:val="18"/>
                <w:szCs w:val="18"/>
              </w:rPr>
              <w:t>80%</w:t>
            </w:r>
          </w:p>
        </w:tc>
      </w:tr>
      <w:tr w14:paraId="5BEBA3AB">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298B314">
            <w:pPr>
              <w:widowControl/>
              <w:spacing w:line="240" w:lineRule="auto"/>
              <w:ind w:firstLine="0" w:firstLineChars="0"/>
              <w:jc w:val="center"/>
              <w:rPr>
                <w:rFonts w:eastAsia="仿宋_GB2312"/>
                <w:b/>
                <w:bCs/>
                <w:sz w:val="18"/>
                <w:szCs w:val="18"/>
              </w:rPr>
            </w:pPr>
            <w:r>
              <w:rPr>
                <w:rFonts w:hint="eastAsia" w:eastAsia="仿宋_GB2312"/>
                <w:b/>
                <w:bCs/>
                <w:sz w:val="18"/>
                <w:szCs w:val="18"/>
              </w:rPr>
              <w:t>东升镇</w:t>
            </w:r>
          </w:p>
        </w:tc>
        <w:tc>
          <w:tcPr>
            <w:tcW w:w="936" w:type="dxa"/>
            <w:tcBorders>
              <w:top w:val="nil"/>
              <w:left w:val="nil"/>
              <w:bottom w:val="single" w:color="auto" w:sz="4" w:space="0"/>
              <w:right w:val="single" w:color="auto" w:sz="4" w:space="0"/>
            </w:tcBorders>
            <w:vAlign w:val="center"/>
          </w:tcPr>
          <w:p w14:paraId="22CF3D7E">
            <w:pPr>
              <w:widowControl/>
              <w:spacing w:line="240" w:lineRule="auto"/>
              <w:ind w:firstLine="0" w:firstLineChars="0"/>
              <w:jc w:val="center"/>
              <w:rPr>
                <w:rFonts w:eastAsia="仿宋_GB2312"/>
                <w:sz w:val="18"/>
                <w:szCs w:val="18"/>
              </w:rPr>
            </w:pPr>
            <w:r>
              <w:rPr>
                <w:rFonts w:eastAsia="仿宋_GB2312"/>
                <w:sz w:val="18"/>
                <w:szCs w:val="18"/>
              </w:rPr>
              <w:t>7546</w:t>
            </w:r>
          </w:p>
        </w:tc>
        <w:tc>
          <w:tcPr>
            <w:tcW w:w="980" w:type="dxa"/>
            <w:tcBorders>
              <w:top w:val="nil"/>
              <w:left w:val="nil"/>
              <w:bottom w:val="single" w:color="auto" w:sz="4" w:space="0"/>
              <w:right w:val="single" w:color="auto" w:sz="4" w:space="0"/>
            </w:tcBorders>
            <w:vAlign w:val="center"/>
          </w:tcPr>
          <w:p w14:paraId="3A2CAA3A">
            <w:pPr>
              <w:widowControl/>
              <w:spacing w:line="240" w:lineRule="auto"/>
              <w:ind w:firstLine="0" w:firstLineChars="0"/>
              <w:jc w:val="center"/>
              <w:rPr>
                <w:rFonts w:eastAsia="仿宋_GB2312"/>
                <w:sz w:val="18"/>
                <w:szCs w:val="18"/>
              </w:rPr>
            </w:pPr>
            <w:r>
              <w:rPr>
                <w:rFonts w:eastAsia="仿宋_GB2312"/>
                <w:sz w:val="18"/>
                <w:szCs w:val="18"/>
              </w:rPr>
              <w:t>3900</w:t>
            </w:r>
          </w:p>
        </w:tc>
        <w:tc>
          <w:tcPr>
            <w:tcW w:w="681" w:type="dxa"/>
            <w:tcBorders>
              <w:top w:val="nil"/>
              <w:left w:val="nil"/>
              <w:bottom w:val="single" w:color="auto" w:sz="4" w:space="0"/>
              <w:right w:val="single" w:color="auto" w:sz="4" w:space="0"/>
            </w:tcBorders>
            <w:vAlign w:val="center"/>
          </w:tcPr>
          <w:p w14:paraId="23A35886">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10B6FA29">
            <w:pPr>
              <w:widowControl/>
              <w:spacing w:line="240" w:lineRule="auto"/>
              <w:ind w:firstLine="0" w:firstLineChars="0"/>
              <w:jc w:val="center"/>
              <w:rPr>
                <w:rFonts w:eastAsia="仿宋_GB2312"/>
                <w:sz w:val="18"/>
                <w:szCs w:val="18"/>
              </w:rPr>
            </w:pPr>
            <w:r>
              <w:rPr>
                <w:rFonts w:eastAsia="仿宋_GB2312"/>
                <w:sz w:val="18"/>
                <w:szCs w:val="18"/>
              </w:rPr>
              <w:t>3646</w:t>
            </w:r>
          </w:p>
        </w:tc>
        <w:tc>
          <w:tcPr>
            <w:tcW w:w="1159" w:type="dxa"/>
            <w:tcBorders>
              <w:top w:val="nil"/>
              <w:left w:val="nil"/>
              <w:bottom w:val="single" w:color="auto" w:sz="4" w:space="0"/>
              <w:right w:val="single" w:color="auto" w:sz="4" w:space="0"/>
            </w:tcBorders>
            <w:vAlign w:val="center"/>
          </w:tcPr>
          <w:p w14:paraId="5210AD6B">
            <w:pPr>
              <w:widowControl/>
              <w:spacing w:line="240" w:lineRule="auto"/>
              <w:ind w:firstLine="0" w:firstLineChars="0"/>
              <w:jc w:val="center"/>
              <w:rPr>
                <w:rFonts w:eastAsia="仿宋_GB2312"/>
                <w:sz w:val="18"/>
                <w:szCs w:val="18"/>
              </w:rPr>
            </w:pPr>
            <w:r>
              <w:rPr>
                <w:rFonts w:eastAsia="仿宋_GB2312"/>
                <w:sz w:val="18"/>
                <w:szCs w:val="18"/>
              </w:rPr>
              <w:t>79</w:t>
            </w:r>
          </w:p>
        </w:tc>
        <w:tc>
          <w:tcPr>
            <w:tcW w:w="845" w:type="dxa"/>
            <w:tcBorders>
              <w:top w:val="nil"/>
              <w:left w:val="nil"/>
              <w:bottom w:val="single" w:color="auto" w:sz="4" w:space="0"/>
              <w:right w:val="single" w:color="auto" w:sz="4" w:space="0"/>
            </w:tcBorders>
            <w:vAlign w:val="center"/>
          </w:tcPr>
          <w:p w14:paraId="22FEEBB2">
            <w:pPr>
              <w:widowControl/>
              <w:spacing w:line="240" w:lineRule="auto"/>
              <w:ind w:firstLine="0" w:firstLineChars="0"/>
              <w:jc w:val="center"/>
              <w:rPr>
                <w:rFonts w:eastAsia="仿宋_GB2312"/>
                <w:sz w:val="18"/>
                <w:szCs w:val="18"/>
              </w:rPr>
            </w:pPr>
            <w:r>
              <w:rPr>
                <w:rFonts w:eastAsia="仿宋_GB2312"/>
                <w:sz w:val="18"/>
                <w:szCs w:val="18"/>
              </w:rPr>
              <w:t>67</w:t>
            </w:r>
          </w:p>
        </w:tc>
        <w:tc>
          <w:tcPr>
            <w:tcW w:w="842" w:type="dxa"/>
            <w:tcBorders>
              <w:top w:val="nil"/>
              <w:left w:val="nil"/>
              <w:bottom w:val="single" w:color="auto" w:sz="4" w:space="0"/>
              <w:right w:val="single" w:color="auto" w:sz="4" w:space="0"/>
            </w:tcBorders>
            <w:vAlign w:val="center"/>
          </w:tcPr>
          <w:p w14:paraId="69249A49">
            <w:pPr>
              <w:widowControl/>
              <w:spacing w:line="240" w:lineRule="auto"/>
              <w:ind w:firstLine="0" w:firstLineChars="0"/>
              <w:jc w:val="center"/>
              <w:rPr>
                <w:rFonts w:eastAsia="仿宋_GB2312"/>
                <w:sz w:val="18"/>
                <w:szCs w:val="18"/>
              </w:rPr>
            </w:pPr>
            <w:r>
              <w:rPr>
                <w:rFonts w:eastAsia="仿宋_GB2312"/>
                <w:sz w:val="18"/>
                <w:szCs w:val="18"/>
              </w:rPr>
              <w:t>64</w:t>
            </w:r>
          </w:p>
        </w:tc>
        <w:tc>
          <w:tcPr>
            <w:tcW w:w="839" w:type="dxa"/>
            <w:tcBorders>
              <w:top w:val="nil"/>
              <w:left w:val="nil"/>
              <w:bottom w:val="single" w:color="auto" w:sz="4" w:space="0"/>
              <w:right w:val="single" w:color="auto" w:sz="4" w:space="0"/>
            </w:tcBorders>
            <w:vAlign w:val="center"/>
          </w:tcPr>
          <w:p w14:paraId="4D24D916">
            <w:pPr>
              <w:widowControl/>
              <w:spacing w:line="240" w:lineRule="auto"/>
              <w:ind w:firstLine="0" w:firstLineChars="0"/>
              <w:jc w:val="center"/>
              <w:rPr>
                <w:rFonts w:eastAsia="仿宋_GB2312"/>
                <w:sz w:val="18"/>
                <w:szCs w:val="18"/>
              </w:rPr>
            </w:pPr>
            <w:r>
              <w:rPr>
                <w:rFonts w:eastAsia="仿宋_GB2312"/>
                <w:sz w:val="18"/>
                <w:szCs w:val="18"/>
              </w:rPr>
              <w:t>61</w:t>
            </w:r>
          </w:p>
        </w:tc>
        <w:tc>
          <w:tcPr>
            <w:tcW w:w="800" w:type="dxa"/>
            <w:tcBorders>
              <w:top w:val="nil"/>
              <w:left w:val="nil"/>
              <w:bottom w:val="single" w:color="auto" w:sz="4" w:space="0"/>
              <w:right w:val="single" w:color="auto" w:sz="4" w:space="0"/>
            </w:tcBorders>
            <w:vAlign w:val="center"/>
          </w:tcPr>
          <w:p w14:paraId="59536529">
            <w:pPr>
              <w:widowControl/>
              <w:spacing w:line="240" w:lineRule="auto"/>
              <w:ind w:firstLine="0" w:firstLineChars="0"/>
              <w:jc w:val="center"/>
              <w:rPr>
                <w:rFonts w:eastAsia="仿宋_GB2312"/>
                <w:sz w:val="18"/>
                <w:szCs w:val="18"/>
              </w:rPr>
            </w:pPr>
            <w:r>
              <w:rPr>
                <w:rFonts w:eastAsia="仿宋_GB2312"/>
                <w:sz w:val="18"/>
                <w:szCs w:val="18"/>
              </w:rPr>
              <w:t>58</w:t>
            </w:r>
          </w:p>
        </w:tc>
        <w:tc>
          <w:tcPr>
            <w:tcW w:w="792" w:type="dxa"/>
            <w:tcBorders>
              <w:top w:val="nil"/>
              <w:left w:val="nil"/>
              <w:bottom w:val="single" w:color="auto" w:sz="4" w:space="0"/>
              <w:right w:val="single" w:color="auto" w:sz="4" w:space="0"/>
            </w:tcBorders>
            <w:vAlign w:val="center"/>
          </w:tcPr>
          <w:p w14:paraId="64CAD3C1">
            <w:pPr>
              <w:widowControl/>
              <w:spacing w:line="240" w:lineRule="auto"/>
              <w:ind w:firstLine="0" w:firstLineChars="0"/>
              <w:jc w:val="center"/>
              <w:rPr>
                <w:rFonts w:eastAsia="仿宋_GB2312"/>
                <w:sz w:val="18"/>
                <w:szCs w:val="18"/>
              </w:rPr>
            </w:pPr>
            <w:r>
              <w:rPr>
                <w:rFonts w:eastAsia="仿宋_GB2312"/>
                <w:sz w:val="18"/>
                <w:szCs w:val="18"/>
              </w:rPr>
              <w:t>55</w:t>
            </w:r>
          </w:p>
        </w:tc>
        <w:tc>
          <w:tcPr>
            <w:tcW w:w="1159" w:type="dxa"/>
            <w:tcBorders>
              <w:top w:val="nil"/>
              <w:left w:val="nil"/>
              <w:bottom w:val="single" w:color="auto" w:sz="4" w:space="0"/>
              <w:right w:val="single" w:color="auto" w:sz="4" w:space="0"/>
            </w:tcBorders>
            <w:vAlign w:val="center"/>
          </w:tcPr>
          <w:p w14:paraId="4A5E53C9">
            <w:pPr>
              <w:widowControl/>
              <w:spacing w:line="240" w:lineRule="auto"/>
              <w:ind w:firstLine="0" w:firstLineChars="0"/>
              <w:jc w:val="center"/>
              <w:rPr>
                <w:rFonts w:eastAsia="仿宋_GB2312"/>
                <w:sz w:val="18"/>
                <w:szCs w:val="18"/>
              </w:rPr>
            </w:pPr>
            <w:r>
              <w:rPr>
                <w:rFonts w:eastAsia="仿宋_GB2312"/>
                <w:sz w:val="18"/>
                <w:szCs w:val="18"/>
              </w:rPr>
              <w:t>17</w:t>
            </w:r>
          </w:p>
        </w:tc>
        <w:tc>
          <w:tcPr>
            <w:tcW w:w="723" w:type="dxa"/>
            <w:tcBorders>
              <w:top w:val="nil"/>
              <w:left w:val="nil"/>
              <w:bottom w:val="single" w:color="auto" w:sz="4" w:space="0"/>
              <w:right w:val="single" w:color="auto" w:sz="4" w:space="0"/>
            </w:tcBorders>
            <w:vAlign w:val="center"/>
          </w:tcPr>
          <w:p w14:paraId="5EC67D29">
            <w:pPr>
              <w:widowControl/>
              <w:spacing w:line="240" w:lineRule="auto"/>
              <w:ind w:firstLine="0" w:firstLineChars="0"/>
              <w:jc w:val="center"/>
              <w:rPr>
                <w:rFonts w:eastAsia="仿宋_GB2312"/>
                <w:sz w:val="18"/>
                <w:szCs w:val="18"/>
              </w:rPr>
            </w:pPr>
            <w:r>
              <w:rPr>
                <w:rFonts w:eastAsia="仿宋_GB2312"/>
                <w:sz w:val="18"/>
                <w:szCs w:val="18"/>
              </w:rPr>
              <w:t>17</w:t>
            </w:r>
          </w:p>
        </w:tc>
        <w:tc>
          <w:tcPr>
            <w:tcW w:w="695" w:type="dxa"/>
            <w:tcBorders>
              <w:top w:val="nil"/>
              <w:left w:val="nil"/>
              <w:bottom w:val="single" w:color="auto" w:sz="4" w:space="0"/>
              <w:right w:val="single" w:color="auto" w:sz="4" w:space="0"/>
            </w:tcBorders>
            <w:vAlign w:val="center"/>
          </w:tcPr>
          <w:p w14:paraId="1225E4E0">
            <w:pPr>
              <w:widowControl/>
              <w:spacing w:line="240" w:lineRule="auto"/>
              <w:ind w:firstLine="0" w:firstLineChars="0"/>
              <w:jc w:val="center"/>
              <w:rPr>
                <w:rFonts w:eastAsia="仿宋_GB2312"/>
                <w:sz w:val="18"/>
                <w:szCs w:val="18"/>
              </w:rPr>
            </w:pPr>
            <w:r>
              <w:rPr>
                <w:rFonts w:eastAsia="仿宋_GB2312"/>
                <w:sz w:val="18"/>
                <w:szCs w:val="18"/>
              </w:rPr>
              <w:t>17</w:t>
            </w:r>
          </w:p>
        </w:tc>
        <w:tc>
          <w:tcPr>
            <w:tcW w:w="627" w:type="dxa"/>
            <w:tcBorders>
              <w:top w:val="nil"/>
              <w:left w:val="nil"/>
              <w:bottom w:val="single" w:color="auto" w:sz="4" w:space="0"/>
              <w:right w:val="single" w:color="auto" w:sz="4" w:space="0"/>
            </w:tcBorders>
            <w:vAlign w:val="center"/>
          </w:tcPr>
          <w:p w14:paraId="31BFFF42">
            <w:pPr>
              <w:widowControl/>
              <w:spacing w:line="240" w:lineRule="auto"/>
              <w:ind w:firstLine="0" w:firstLineChars="0"/>
              <w:jc w:val="center"/>
              <w:rPr>
                <w:rFonts w:eastAsia="仿宋_GB2312"/>
                <w:sz w:val="18"/>
                <w:szCs w:val="18"/>
              </w:rPr>
            </w:pPr>
            <w:r>
              <w:rPr>
                <w:rFonts w:eastAsia="仿宋_GB2312"/>
                <w:sz w:val="18"/>
                <w:szCs w:val="18"/>
              </w:rPr>
              <w:t>16</w:t>
            </w:r>
          </w:p>
        </w:tc>
        <w:tc>
          <w:tcPr>
            <w:tcW w:w="720" w:type="dxa"/>
            <w:tcBorders>
              <w:top w:val="nil"/>
              <w:left w:val="nil"/>
              <w:bottom w:val="single" w:color="auto" w:sz="4" w:space="0"/>
              <w:right w:val="single" w:color="auto" w:sz="4" w:space="0"/>
            </w:tcBorders>
            <w:vAlign w:val="center"/>
          </w:tcPr>
          <w:p w14:paraId="516E8B74">
            <w:pPr>
              <w:widowControl/>
              <w:spacing w:line="240" w:lineRule="auto"/>
              <w:ind w:firstLine="0" w:firstLineChars="0"/>
              <w:jc w:val="center"/>
              <w:rPr>
                <w:rFonts w:eastAsia="仿宋_GB2312"/>
                <w:sz w:val="18"/>
                <w:szCs w:val="18"/>
              </w:rPr>
            </w:pPr>
            <w:r>
              <w:rPr>
                <w:rFonts w:eastAsia="仿宋_GB2312"/>
                <w:sz w:val="18"/>
                <w:szCs w:val="18"/>
              </w:rPr>
              <w:t>16</w:t>
            </w:r>
          </w:p>
        </w:tc>
        <w:tc>
          <w:tcPr>
            <w:tcW w:w="720" w:type="dxa"/>
            <w:tcBorders>
              <w:top w:val="nil"/>
              <w:left w:val="nil"/>
              <w:bottom w:val="single" w:color="auto" w:sz="4" w:space="0"/>
              <w:right w:val="single" w:color="auto" w:sz="4" w:space="0"/>
            </w:tcBorders>
            <w:vAlign w:val="center"/>
          </w:tcPr>
          <w:p w14:paraId="7172437E">
            <w:pPr>
              <w:widowControl/>
              <w:spacing w:line="240" w:lineRule="auto"/>
              <w:ind w:firstLine="0" w:firstLineChars="0"/>
              <w:jc w:val="center"/>
              <w:rPr>
                <w:rFonts w:eastAsia="仿宋_GB2312"/>
                <w:sz w:val="18"/>
                <w:szCs w:val="18"/>
              </w:rPr>
            </w:pPr>
            <w:r>
              <w:rPr>
                <w:rFonts w:eastAsia="仿宋_GB2312"/>
                <w:sz w:val="18"/>
                <w:szCs w:val="18"/>
              </w:rPr>
              <w:t>15</w:t>
            </w:r>
          </w:p>
        </w:tc>
        <w:tc>
          <w:tcPr>
            <w:tcW w:w="880" w:type="dxa"/>
            <w:tcBorders>
              <w:top w:val="nil"/>
              <w:left w:val="nil"/>
              <w:bottom w:val="single" w:color="auto" w:sz="4" w:space="0"/>
              <w:right w:val="single" w:color="auto" w:sz="4" w:space="0"/>
            </w:tcBorders>
            <w:vAlign w:val="center"/>
          </w:tcPr>
          <w:p w14:paraId="70E8DFB0">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B4998D6">
            <w:pPr>
              <w:widowControl/>
              <w:spacing w:line="240" w:lineRule="auto"/>
              <w:ind w:firstLine="0" w:firstLineChars="0"/>
              <w:jc w:val="center"/>
              <w:rPr>
                <w:rFonts w:eastAsia="仿宋_GB2312"/>
                <w:sz w:val="18"/>
                <w:szCs w:val="18"/>
              </w:rPr>
            </w:pPr>
            <w:r>
              <w:rPr>
                <w:rFonts w:eastAsia="仿宋_GB2312"/>
                <w:sz w:val="18"/>
                <w:szCs w:val="18"/>
              </w:rPr>
              <w:t>80%</w:t>
            </w:r>
          </w:p>
        </w:tc>
      </w:tr>
      <w:tr w14:paraId="029DC67C">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E27E3A3">
            <w:pPr>
              <w:widowControl/>
              <w:spacing w:line="240" w:lineRule="auto"/>
              <w:ind w:firstLine="0" w:firstLineChars="0"/>
              <w:jc w:val="center"/>
              <w:rPr>
                <w:rFonts w:eastAsia="仿宋_GB2312"/>
                <w:sz w:val="18"/>
                <w:szCs w:val="18"/>
              </w:rPr>
            </w:pPr>
            <w:r>
              <w:rPr>
                <w:rFonts w:hint="eastAsia" w:eastAsia="仿宋_GB2312"/>
                <w:b/>
                <w:bCs/>
                <w:sz w:val="18"/>
                <w:szCs w:val="18"/>
              </w:rPr>
              <w:t>古  镇</w:t>
            </w:r>
          </w:p>
        </w:tc>
        <w:tc>
          <w:tcPr>
            <w:tcW w:w="936" w:type="dxa"/>
            <w:tcBorders>
              <w:top w:val="nil"/>
              <w:left w:val="nil"/>
              <w:bottom w:val="single" w:color="auto" w:sz="4" w:space="0"/>
              <w:right w:val="single" w:color="auto" w:sz="4" w:space="0"/>
            </w:tcBorders>
            <w:vAlign w:val="center"/>
          </w:tcPr>
          <w:p w14:paraId="21FF6498">
            <w:pPr>
              <w:widowControl/>
              <w:spacing w:line="240" w:lineRule="auto"/>
              <w:ind w:firstLine="0" w:firstLineChars="0"/>
              <w:jc w:val="center"/>
              <w:rPr>
                <w:rFonts w:eastAsia="仿宋_GB2312"/>
                <w:sz w:val="18"/>
                <w:szCs w:val="18"/>
              </w:rPr>
            </w:pPr>
            <w:r>
              <w:rPr>
                <w:rFonts w:eastAsia="仿宋_GB2312"/>
                <w:sz w:val="18"/>
                <w:szCs w:val="18"/>
              </w:rPr>
              <w:t>5924</w:t>
            </w:r>
          </w:p>
        </w:tc>
        <w:tc>
          <w:tcPr>
            <w:tcW w:w="980" w:type="dxa"/>
            <w:tcBorders>
              <w:top w:val="nil"/>
              <w:left w:val="nil"/>
              <w:bottom w:val="single" w:color="auto" w:sz="4" w:space="0"/>
              <w:right w:val="single" w:color="auto" w:sz="4" w:space="0"/>
            </w:tcBorders>
            <w:vAlign w:val="center"/>
          </w:tcPr>
          <w:p w14:paraId="30B87ED6">
            <w:pPr>
              <w:widowControl/>
              <w:spacing w:line="240" w:lineRule="auto"/>
              <w:ind w:firstLine="0" w:firstLineChars="0"/>
              <w:jc w:val="center"/>
              <w:rPr>
                <w:rFonts w:eastAsia="仿宋_GB2312"/>
                <w:sz w:val="18"/>
                <w:szCs w:val="18"/>
              </w:rPr>
            </w:pPr>
            <w:r>
              <w:rPr>
                <w:rFonts w:eastAsia="仿宋_GB2312"/>
                <w:sz w:val="18"/>
                <w:szCs w:val="18"/>
              </w:rPr>
              <w:t>4300</w:t>
            </w:r>
          </w:p>
        </w:tc>
        <w:tc>
          <w:tcPr>
            <w:tcW w:w="681" w:type="dxa"/>
            <w:tcBorders>
              <w:top w:val="nil"/>
              <w:left w:val="nil"/>
              <w:bottom w:val="single" w:color="auto" w:sz="4" w:space="0"/>
              <w:right w:val="single" w:color="auto" w:sz="4" w:space="0"/>
            </w:tcBorders>
            <w:vAlign w:val="center"/>
          </w:tcPr>
          <w:p w14:paraId="133F913B">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30D48D9C">
            <w:pPr>
              <w:widowControl/>
              <w:spacing w:line="240" w:lineRule="auto"/>
              <w:ind w:firstLine="0" w:firstLineChars="0"/>
              <w:jc w:val="center"/>
              <w:rPr>
                <w:rFonts w:eastAsia="仿宋_GB2312"/>
                <w:sz w:val="18"/>
                <w:szCs w:val="18"/>
              </w:rPr>
            </w:pPr>
            <w:r>
              <w:rPr>
                <w:rFonts w:eastAsia="仿宋_GB2312"/>
                <w:sz w:val="18"/>
                <w:szCs w:val="18"/>
              </w:rPr>
              <w:t>1624</w:t>
            </w:r>
          </w:p>
        </w:tc>
        <w:tc>
          <w:tcPr>
            <w:tcW w:w="1159" w:type="dxa"/>
            <w:tcBorders>
              <w:top w:val="nil"/>
              <w:left w:val="nil"/>
              <w:bottom w:val="single" w:color="auto" w:sz="4" w:space="0"/>
              <w:right w:val="single" w:color="auto" w:sz="4" w:space="0"/>
            </w:tcBorders>
            <w:vAlign w:val="center"/>
          </w:tcPr>
          <w:p w14:paraId="4D972987">
            <w:pPr>
              <w:widowControl/>
              <w:spacing w:line="240" w:lineRule="auto"/>
              <w:ind w:firstLine="0" w:firstLineChars="0"/>
              <w:jc w:val="center"/>
              <w:rPr>
                <w:rFonts w:eastAsia="仿宋_GB2312"/>
                <w:sz w:val="18"/>
                <w:szCs w:val="18"/>
              </w:rPr>
            </w:pPr>
            <w:r>
              <w:rPr>
                <w:rFonts w:eastAsia="仿宋_GB2312"/>
                <w:sz w:val="18"/>
                <w:szCs w:val="18"/>
              </w:rPr>
              <w:t>61</w:t>
            </w:r>
          </w:p>
        </w:tc>
        <w:tc>
          <w:tcPr>
            <w:tcW w:w="845" w:type="dxa"/>
            <w:tcBorders>
              <w:top w:val="nil"/>
              <w:left w:val="nil"/>
              <w:bottom w:val="single" w:color="auto" w:sz="4" w:space="0"/>
              <w:right w:val="single" w:color="auto" w:sz="4" w:space="0"/>
            </w:tcBorders>
            <w:vAlign w:val="center"/>
          </w:tcPr>
          <w:p w14:paraId="7909CBF0">
            <w:pPr>
              <w:widowControl/>
              <w:spacing w:line="240" w:lineRule="auto"/>
              <w:ind w:firstLine="0" w:firstLineChars="0"/>
              <w:jc w:val="center"/>
              <w:rPr>
                <w:rFonts w:eastAsia="仿宋_GB2312"/>
                <w:sz w:val="18"/>
                <w:szCs w:val="18"/>
              </w:rPr>
            </w:pPr>
            <w:r>
              <w:rPr>
                <w:rFonts w:eastAsia="仿宋_GB2312"/>
                <w:sz w:val="18"/>
                <w:szCs w:val="18"/>
              </w:rPr>
              <w:t>52</w:t>
            </w:r>
          </w:p>
        </w:tc>
        <w:tc>
          <w:tcPr>
            <w:tcW w:w="842" w:type="dxa"/>
            <w:tcBorders>
              <w:top w:val="nil"/>
              <w:left w:val="nil"/>
              <w:bottom w:val="single" w:color="auto" w:sz="4" w:space="0"/>
              <w:right w:val="single" w:color="auto" w:sz="4" w:space="0"/>
            </w:tcBorders>
            <w:vAlign w:val="center"/>
          </w:tcPr>
          <w:p w14:paraId="520A5317">
            <w:pPr>
              <w:widowControl/>
              <w:spacing w:line="240" w:lineRule="auto"/>
              <w:ind w:firstLine="0" w:firstLineChars="0"/>
              <w:jc w:val="center"/>
              <w:rPr>
                <w:rFonts w:eastAsia="仿宋_GB2312"/>
                <w:sz w:val="18"/>
                <w:szCs w:val="18"/>
              </w:rPr>
            </w:pPr>
            <w:r>
              <w:rPr>
                <w:rFonts w:eastAsia="仿宋_GB2312"/>
                <w:sz w:val="18"/>
                <w:szCs w:val="18"/>
              </w:rPr>
              <w:t>50</w:t>
            </w:r>
          </w:p>
        </w:tc>
        <w:tc>
          <w:tcPr>
            <w:tcW w:w="839" w:type="dxa"/>
            <w:tcBorders>
              <w:top w:val="nil"/>
              <w:left w:val="nil"/>
              <w:bottom w:val="single" w:color="auto" w:sz="4" w:space="0"/>
              <w:right w:val="single" w:color="auto" w:sz="4" w:space="0"/>
            </w:tcBorders>
            <w:vAlign w:val="center"/>
          </w:tcPr>
          <w:p w14:paraId="315194C5">
            <w:pPr>
              <w:widowControl/>
              <w:spacing w:line="240" w:lineRule="auto"/>
              <w:ind w:firstLine="0" w:firstLineChars="0"/>
              <w:jc w:val="center"/>
              <w:rPr>
                <w:rFonts w:eastAsia="仿宋_GB2312"/>
                <w:sz w:val="18"/>
                <w:szCs w:val="18"/>
              </w:rPr>
            </w:pPr>
            <w:r>
              <w:rPr>
                <w:rFonts w:eastAsia="仿宋_GB2312"/>
                <w:sz w:val="18"/>
                <w:szCs w:val="18"/>
              </w:rPr>
              <w:t>47</w:t>
            </w:r>
          </w:p>
        </w:tc>
        <w:tc>
          <w:tcPr>
            <w:tcW w:w="800" w:type="dxa"/>
            <w:tcBorders>
              <w:top w:val="nil"/>
              <w:left w:val="nil"/>
              <w:bottom w:val="single" w:color="auto" w:sz="4" w:space="0"/>
              <w:right w:val="single" w:color="auto" w:sz="4" w:space="0"/>
            </w:tcBorders>
            <w:vAlign w:val="center"/>
          </w:tcPr>
          <w:p w14:paraId="7AAE6C99">
            <w:pPr>
              <w:widowControl/>
              <w:spacing w:line="240" w:lineRule="auto"/>
              <w:ind w:firstLine="0" w:firstLineChars="0"/>
              <w:jc w:val="center"/>
              <w:rPr>
                <w:rFonts w:eastAsia="仿宋_GB2312"/>
                <w:sz w:val="18"/>
                <w:szCs w:val="18"/>
              </w:rPr>
            </w:pPr>
            <w:r>
              <w:rPr>
                <w:rFonts w:eastAsia="仿宋_GB2312"/>
                <w:sz w:val="18"/>
                <w:szCs w:val="18"/>
              </w:rPr>
              <w:t>45</w:t>
            </w:r>
          </w:p>
        </w:tc>
        <w:tc>
          <w:tcPr>
            <w:tcW w:w="792" w:type="dxa"/>
            <w:tcBorders>
              <w:top w:val="nil"/>
              <w:left w:val="nil"/>
              <w:bottom w:val="single" w:color="auto" w:sz="4" w:space="0"/>
              <w:right w:val="single" w:color="auto" w:sz="4" w:space="0"/>
            </w:tcBorders>
            <w:vAlign w:val="center"/>
          </w:tcPr>
          <w:p w14:paraId="61D73E36">
            <w:pPr>
              <w:widowControl/>
              <w:spacing w:line="240" w:lineRule="auto"/>
              <w:ind w:firstLine="0" w:firstLineChars="0"/>
              <w:jc w:val="center"/>
              <w:rPr>
                <w:rFonts w:eastAsia="仿宋_GB2312"/>
                <w:sz w:val="18"/>
                <w:szCs w:val="18"/>
              </w:rPr>
            </w:pPr>
            <w:r>
              <w:rPr>
                <w:rFonts w:eastAsia="仿宋_GB2312"/>
                <w:sz w:val="18"/>
                <w:szCs w:val="18"/>
              </w:rPr>
              <w:t>43</w:t>
            </w:r>
          </w:p>
        </w:tc>
        <w:tc>
          <w:tcPr>
            <w:tcW w:w="1159" w:type="dxa"/>
            <w:tcBorders>
              <w:top w:val="nil"/>
              <w:left w:val="nil"/>
              <w:bottom w:val="single" w:color="auto" w:sz="4" w:space="0"/>
              <w:right w:val="single" w:color="auto" w:sz="4" w:space="0"/>
            </w:tcBorders>
            <w:vAlign w:val="center"/>
          </w:tcPr>
          <w:p w14:paraId="1D0F8A93">
            <w:pPr>
              <w:widowControl/>
              <w:spacing w:line="240" w:lineRule="auto"/>
              <w:ind w:firstLine="0" w:firstLineChars="0"/>
              <w:jc w:val="center"/>
              <w:rPr>
                <w:rFonts w:eastAsia="仿宋_GB2312"/>
                <w:sz w:val="18"/>
                <w:szCs w:val="18"/>
              </w:rPr>
            </w:pPr>
            <w:r>
              <w:rPr>
                <w:rFonts w:eastAsia="仿宋_GB2312"/>
                <w:sz w:val="18"/>
                <w:szCs w:val="18"/>
              </w:rPr>
              <w:t>26</w:t>
            </w:r>
          </w:p>
        </w:tc>
        <w:tc>
          <w:tcPr>
            <w:tcW w:w="723" w:type="dxa"/>
            <w:tcBorders>
              <w:top w:val="nil"/>
              <w:left w:val="nil"/>
              <w:bottom w:val="single" w:color="auto" w:sz="4" w:space="0"/>
              <w:right w:val="single" w:color="auto" w:sz="4" w:space="0"/>
            </w:tcBorders>
            <w:vAlign w:val="center"/>
          </w:tcPr>
          <w:p w14:paraId="209A08EE">
            <w:pPr>
              <w:widowControl/>
              <w:spacing w:line="240" w:lineRule="auto"/>
              <w:ind w:firstLine="0" w:firstLineChars="0"/>
              <w:jc w:val="center"/>
              <w:rPr>
                <w:rFonts w:eastAsia="仿宋_GB2312"/>
                <w:sz w:val="18"/>
                <w:szCs w:val="18"/>
              </w:rPr>
            </w:pPr>
            <w:r>
              <w:rPr>
                <w:rFonts w:eastAsia="仿宋_GB2312"/>
                <w:sz w:val="18"/>
                <w:szCs w:val="18"/>
              </w:rPr>
              <w:t>22</w:t>
            </w:r>
          </w:p>
        </w:tc>
        <w:tc>
          <w:tcPr>
            <w:tcW w:w="695" w:type="dxa"/>
            <w:tcBorders>
              <w:top w:val="nil"/>
              <w:left w:val="nil"/>
              <w:bottom w:val="single" w:color="auto" w:sz="4" w:space="0"/>
              <w:right w:val="single" w:color="auto" w:sz="4" w:space="0"/>
            </w:tcBorders>
            <w:vAlign w:val="center"/>
          </w:tcPr>
          <w:p w14:paraId="31E3A66F">
            <w:pPr>
              <w:widowControl/>
              <w:spacing w:line="240" w:lineRule="auto"/>
              <w:ind w:firstLine="0" w:firstLineChars="0"/>
              <w:jc w:val="center"/>
              <w:rPr>
                <w:rFonts w:eastAsia="仿宋_GB2312"/>
                <w:sz w:val="18"/>
                <w:szCs w:val="18"/>
              </w:rPr>
            </w:pPr>
            <w:r>
              <w:rPr>
                <w:rFonts w:eastAsia="仿宋_GB2312"/>
                <w:sz w:val="18"/>
                <w:szCs w:val="18"/>
              </w:rPr>
              <w:t>21</w:t>
            </w:r>
          </w:p>
        </w:tc>
        <w:tc>
          <w:tcPr>
            <w:tcW w:w="627" w:type="dxa"/>
            <w:tcBorders>
              <w:top w:val="nil"/>
              <w:left w:val="nil"/>
              <w:bottom w:val="single" w:color="auto" w:sz="4" w:space="0"/>
              <w:right w:val="single" w:color="auto" w:sz="4" w:space="0"/>
            </w:tcBorders>
            <w:vAlign w:val="center"/>
          </w:tcPr>
          <w:p w14:paraId="4CD916EF">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72B139C7">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3AF5CA52">
            <w:pPr>
              <w:widowControl/>
              <w:spacing w:line="240" w:lineRule="auto"/>
              <w:ind w:firstLine="0" w:firstLineChars="0"/>
              <w:jc w:val="center"/>
              <w:rPr>
                <w:rFonts w:eastAsia="仿宋_GB2312"/>
                <w:sz w:val="18"/>
                <w:szCs w:val="18"/>
              </w:rPr>
            </w:pPr>
            <w:r>
              <w:rPr>
                <w:rFonts w:eastAsia="仿宋_GB2312"/>
                <w:sz w:val="18"/>
                <w:szCs w:val="18"/>
              </w:rPr>
              <w:t>20</w:t>
            </w:r>
          </w:p>
        </w:tc>
        <w:tc>
          <w:tcPr>
            <w:tcW w:w="880" w:type="dxa"/>
            <w:tcBorders>
              <w:top w:val="nil"/>
              <w:left w:val="nil"/>
              <w:bottom w:val="single" w:color="auto" w:sz="4" w:space="0"/>
              <w:right w:val="single" w:color="auto" w:sz="4" w:space="0"/>
            </w:tcBorders>
            <w:vAlign w:val="center"/>
          </w:tcPr>
          <w:p w14:paraId="3C2653F8">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1B749989">
            <w:pPr>
              <w:widowControl/>
              <w:spacing w:line="240" w:lineRule="auto"/>
              <w:ind w:firstLine="0" w:firstLineChars="0"/>
              <w:jc w:val="center"/>
              <w:rPr>
                <w:rFonts w:eastAsia="仿宋_GB2312"/>
                <w:sz w:val="18"/>
                <w:szCs w:val="18"/>
              </w:rPr>
            </w:pPr>
            <w:r>
              <w:rPr>
                <w:rFonts w:eastAsia="仿宋_GB2312"/>
                <w:sz w:val="18"/>
                <w:szCs w:val="18"/>
              </w:rPr>
              <w:t>80%</w:t>
            </w:r>
          </w:p>
        </w:tc>
      </w:tr>
      <w:tr w14:paraId="3D8B6BA2">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21A9690A">
            <w:pPr>
              <w:widowControl/>
              <w:spacing w:line="240" w:lineRule="auto"/>
              <w:ind w:firstLine="0" w:firstLineChars="0"/>
              <w:jc w:val="center"/>
              <w:rPr>
                <w:rFonts w:eastAsia="仿宋_GB2312"/>
                <w:b/>
                <w:bCs/>
                <w:sz w:val="18"/>
                <w:szCs w:val="18"/>
              </w:rPr>
            </w:pPr>
            <w:r>
              <w:rPr>
                <w:rFonts w:hint="eastAsia" w:eastAsia="仿宋_GB2312"/>
                <w:b/>
                <w:bCs/>
                <w:sz w:val="18"/>
                <w:szCs w:val="18"/>
              </w:rPr>
              <w:t>沙溪镇</w:t>
            </w:r>
          </w:p>
        </w:tc>
        <w:tc>
          <w:tcPr>
            <w:tcW w:w="936" w:type="dxa"/>
            <w:tcBorders>
              <w:top w:val="nil"/>
              <w:left w:val="nil"/>
              <w:bottom w:val="single" w:color="auto" w:sz="4" w:space="0"/>
              <w:right w:val="single" w:color="auto" w:sz="4" w:space="0"/>
            </w:tcBorders>
            <w:vAlign w:val="center"/>
          </w:tcPr>
          <w:p w14:paraId="197A87E3">
            <w:pPr>
              <w:widowControl/>
              <w:spacing w:line="240" w:lineRule="auto"/>
              <w:ind w:firstLine="0" w:firstLineChars="0"/>
              <w:jc w:val="center"/>
              <w:rPr>
                <w:rFonts w:eastAsia="仿宋_GB2312"/>
                <w:sz w:val="18"/>
                <w:szCs w:val="18"/>
              </w:rPr>
            </w:pPr>
            <w:r>
              <w:rPr>
                <w:rFonts w:eastAsia="仿宋_GB2312"/>
                <w:sz w:val="18"/>
                <w:szCs w:val="18"/>
              </w:rPr>
              <w:t>5949</w:t>
            </w:r>
          </w:p>
        </w:tc>
        <w:tc>
          <w:tcPr>
            <w:tcW w:w="980" w:type="dxa"/>
            <w:tcBorders>
              <w:top w:val="nil"/>
              <w:left w:val="nil"/>
              <w:bottom w:val="single" w:color="auto" w:sz="4" w:space="0"/>
              <w:right w:val="single" w:color="auto" w:sz="4" w:space="0"/>
            </w:tcBorders>
            <w:vAlign w:val="center"/>
          </w:tcPr>
          <w:p w14:paraId="7C89EF07">
            <w:pPr>
              <w:widowControl/>
              <w:spacing w:line="240" w:lineRule="auto"/>
              <w:ind w:firstLine="0" w:firstLineChars="0"/>
              <w:jc w:val="center"/>
              <w:rPr>
                <w:rFonts w:eastAsia="仿宋_GB2312"/>
                <w:sz w:val="18"/>
                <w:szCs w:val="18"/>
              </w:rPr>
            </w:pPr>
            <w:r>
              <w:rPr>
                <w:rFonts w:eastAsia="仿宋_GB2312"/>
                <w:sz w:val="18"/>
                <w:szCs w:val="18"/>
              </w:rPr>
              <w:t>3500</w:t>
            </w:r>
          </w:p>
        </w:tc>
        <w:tc>
          <w:tcPr>
            <w:tcW w:w="681" w:type="dxa"/>
            <w:tcBorders>
              <w:top w:val="nil"/>
              <w:left w:val="nil"/>
              <w:bottom w:val="single" w:color="auto" w:sz="4" w:space="0"/>
              <w:right w:val="single" w:color="auto" w:sz="4" w:space="0"/>
            </w:tcBorders>
            <w:vAlign w:val="center"/>
          </w:tcPr>
          <w:p w14:paraId="0A5F24D9">
            <w:pPr>
              <w:widowControl/>
              <w:spacing w:line="240" w:lineRule="auto"/>
              <w:ind w:firstLine="0" w:firstLineChars="0"/>
              <w:jc w:val="center"/>
              <w:rPr>
                <w:rFonts w:eastAsia="仿宋_GB2312"/>
                <w:sz w:val="18"/>
                <w:szCs w:val="18"/>
              </w:rPr>
            </w:pPr>
            <w:r>
              <w:rPr>
                <w:rFonts w:eastAsia="仿宋_GB2312"/>
                <w:sz w:val="18"/>
                <w:szCs w:val="18"/>
              </w:rPr>
              <w:t>120</w:t>
            </w:r>
          </w:p>
        </w:tc>
        <w:tc>
          <w:tcPr>
            <w:tcW w:w="750" w:type="dxa"/>
            <w:tcBorders>
              <w:top w:val="nil"/>
              <w:left w:val="nil"/>
              <w:bottom w:val="single" w:color="auto" w:sz="4" w:space="0"/>
              <w:right w:val="single" w:color="auto" w:sz="4" w:space="0"/>
            </w:tcBorders>
            <w:vAlign w:val="center"/>
          </w:tcPr>
          <w:p w14:paraId="37F04A00">
            <w:pPr>
              <w:widowControl/>
              <w:spacing w:line="240" w:lineRule="auto"/>
              <w:ind w:firstLine="0" w:firstLineChars="0"/>
              <w:jc w:val="center"/>
              <w:rPr>
                <w:rFonts w:eastAsia="仿宋_GB2312"/>
                <w:sz w:val="18"/>
                <w:szCs w:val="18"/>
              </w:rPr>
            </w:pPr>
            <w:r>
              <w:rPr>
                <w:rFonts w:eastAsia="仿宋_GB2312"/>
                <w:sz w:val="18"/>
                <w:szCs w:val="18"/>
              </w:rPr>
              <w:t>2329</w:t>
            </w:r>
          </w:p>
        </w:tc>
        <w:tc>
          <w:tcPr>
            <w:tcW w:w="1159" w:type="dxa"/>
            <w:tcBorders>
              <w:top w:val="nil"/>
              <w:left w:val="nil"/>
              <w:bottom w:val="single" w:color="auto" w:sz="4" w:space="0"/>
              <w:right w:val="single" w:color="auto" w:sz="4" w:space="0"/>
            </w:tcBorders>
            <w:vAlign w:val="center"/>
          </w:tcPr>
          <w:p w14:paraId="4D1E7797">
            <w:pPr>
              <w:widowControl/>
              <w:spacing w:line="240" w:lineRule="auto"/>
              <w:ind w:firstLine="0" w:firstLineChars="0"/>
              <w:jc w:val="center"/>
              <w:rPr>
                <w:rFonts w:eastAsia="仿宋_GB2312"/>
                <w:sz w:val="18"/>
                <w:szCs w:val="18"/>
              </w:rPr>
            </w:pPr>
            <w:r>
              <w:rPr>
                <w:rFonts w:eastAsia="仿宋_GB2312"/>
                <w:sz w:val="18"/>
                <w:szCs w:val="18"/>
              </w:rPr>
              <w:t>69</w:t>
            </w:r>
          </w:p>
        </w:tc>
        <w:tc>
          <w:tcPr>
            <w:tcW w:w="845" w:type="dxa"/>
            <w:tcBorders>
              <w:top w:val="nil"/>
              <w:left w:val="nil"/>
              <w:bottom w:val="single" w:color="auto" w:sz="4" w:space="0"/>
              <w:right w:val="single" w:color="auto" w:sz="4" w:space="0"/>
            </w:tcBorders>
            <w:vAlign w:val="center"/>
          </w:tcPr>
          <w:p w14:paraId="756459FC">
            <w:pPr>
              <w:widowControl/>
              <w:spacing w:line="240" w:lineRule="auto"/>
              <w:ind w:firstLine="0" w:firstLineChars="0"/>
              <w:jc w:val="center"/>
              <w:rPr>
                <w:rFonts w:eastAsia="仿宋_GB2312"/>
                <w:sz w:val="18"/>
                <w:szCs w:val="18"/>
              </w:rPr>
            </w:pPr>
            <w:r>
              <w:rPr>
                <w:rFonts w:eastAsia="仿宋_GB2312"/>
                <w:sz w:val="18"/>
                <w:szCs w:val="18"/>
              </w:rPr>
              <w:t>59</w:t>
            </w:r>
          </w:p>
        </w:tc>
        <w:tc>
          <w:tcPr>
            <w:tcW w:w="842" w:type="dxa"/>
            <w:tcBorders>
              <w:top w:val="nil"/>
              <w:left w:val="nil"/>
              <w:bottom w:val="single" w:color="auto" w:sz="4" w:space="0"/>
              <w:right w:val="single" w:color="auto" w:sz="4" w:space="0"/>
            </w:tcBorders>
            <w:vAlign w:val="center"/>
          </w:tcPr>
          <w:p w14:paraId="1D7DB968">
            <w:pPr>
              <w:widowControl/>
              <w:spacing w:line="240" w:lineRule="auto"/>
              <w:ind w:firstLine="0" w:firstLineChars="0"/>
              <w:jc w:val="center"/>
              <w:rPr>
                <w:rFonts w:eastAsia="仿宋_GB2312"/>
                <w:sz w:val="18"/>
                <w:szCs w:val="18"/>
              </w:rPr>
            </w:pPr>
            <w:r>
              <w:rPr>
                <w:rFonts w:eastAsia="仿宋_GB2312"/>
                <w:sz w:val="18"/>
                <w:szCs w:val="18"/>
              </w:rPr>
              <w:t>56</w:t>
            </w:r>
          </w:p>
        </w:tc>
        <w:tc>
          <w:tcPr>
            <w:tcW w:w="839" w:type="dxa"/>
            <w:tcBorders>
              <w:top w:val="nil"/>
              <w:left w:val="nil"/>
              <w:bottom w:val="single" w:color="auto" w:sz="4" w:space="0"/>
              <w:right w:val="single" w:color="auto" w:sz="4" w:space="0"/>
            </w:tcBorders>
            <w:vAlign w:val="center"/>
          </w:tcPr>
          <w:p w14:paraId="5DBD26D4">
            <w:pPr>
              <w:widowControl/>
              <w:spacing w:line="240" w:lineRule="auto"/>
              <w:ind w:firstLine="0" w:firstLineChars="0"/>
              <w:jc w:val="center"/>
              <w:rPr>
                <w:rFonts w:eastAsia="仿宋_GB2312"/>
                <w:sz w:val="18"/>
                <w:szCs w:val="18"/>
              </w:rPr>
            </w:pPr>
            <w:r>
              <w:rPr>
                <w:rFonts w:eastAsia="仿宋_GB2312"/>
                <w:sz w:val="18"/>
                <w:szCs w:val="18"/>
              </w:rPr>
              <w:t>53</w:t>
            </w:r>
          </w:p>
        </w:tc>
        <w:tc>
          <w:tcPr>
            <w:tcW w:w="800" w:type="dxa"/>
            <w:tcBorders>
              <w:top w:val="nil"/>
              <w:left w:val="nil"/>
              <w:bottom w:val="single" w:color="auto" w:sz="4" w:space="0"/>
              <w:right w:val="single" w:color="auto" w:sz="4" w:space="0"/>
            </w:tcBorders>
            <w:vAlign w:val="center"/>
          </w:tcPr>
          <w:p w14:paraId="3D4A84EB">
            <w:pPr>
              <w:widowControl/>
              <w:spacing w:line="240" w:lineRule="auto"/>
              <w:ind w:firstLine="0" w:firstLineChars="0"/>
              <w:jc w:val="center"/>
              <w:rPr>
                <w:rFonts w:eastAsia="仿宋_GB2312"/>
                <w:sz w:val="18"/>
                <w:szCs w:val="18"/>
              </w:rPr>
            </w:pPr>
            <w:r>
              <w:rPr>
                <w:rFonts w:eastAsia="仿宋_GB2312"/>
                <w:sz w:val="18"/>
                <w:szCs w:val="18"/>
              </w:rPr>
              <w:t>51</w:t>
            </w:r>
          </w:p>
        </w:tc>
        <w:tc>
          <w:tcPr>
            <w:tcW w:w="792" w:type="dxa"/>
            <w:tcBorders>
              <w:top w:val="nil"/>
              <w:left w:val="nil"/>
              <w:bottom w:val="single" w:color="auto" w:sz="4" w:space="0"/>
              <w:right w:val="single" w:color="auto" w:sz="4" w:space="0"/>
            </w:tcBorders>
            <w:vAlign w:val="center"/>
          </w:tcPr>
          <w:p w14:paraId="3AD00B18">
            <w:pPr>
              <w:widowControl/>
              <w:spacing w:line="240" w:lineRule="auto"/>
              <w:ind w:firstLine="0" w:firstLineChars="0"/>
              <w:jc w:val="center"/>
              <w:rPr>
                <w:rFonts w:eastAsia="仿宋_GB2312"/>
                <w:sz w:val="18"/>
                <w:szCs w:val="18"/>
              </w:rPr>
            </w:pPr>
            <w:r>
              <w:rPr>
                <w:rFonts w:eastAsia="仿宋_GB2312"/>
                <w:sz w:val="18"/>
                <w:szCs w:val="18"/>
              </w:rPr>
              <w:t>48</w:t>
            </w:r>
          </w:p>
        </w:tc>
        <w:tc>
          <w:tcPr>
            <w:tcW w:w="1159" w:type="dxa"/>
            <w:tcBorders>
              <w:top w:val="nil"/>
              <w:left w:val="nil"/>
              <w:bottom w:val="single" w:color="auto" w:sz="4" w:space="0"/>
              <w:right w:val="single" w:color="auto" w:sz="4" w:space="0"/>
            </w:tcBorders>
            <w:vAlign w:val="center"/>
          </w:tcPr>
          <w:p w14:paraId="2956D55D">
            <w:pPr>
              <w:widowControl/>
              <w:spacing w:line="240" w:lineRule="auto"/>
              <w:ind w:firstLine="0" w:firstLineChars="0"/>
              <w:jc w:val="center"/>
              <w:rPr>
                <w:rFonts w:eastAsia="仿宋_GB2312"/>
                <w:sz w:val="18"/>
                <w:szCs w:val="18"/>
              </w:rPr>
            </w:pPr>
            <w:r>
              <w:rPr>
                <w:rFonts w:eastAsia="仿宋_GB2312"/>
                <w:sz w:val="18"/>
                <w:szCs w:val="18"/>
              </w:rPr>
              <w:t>21</w:t>
            </w:r>
          </w:p>
        </w:tc>
        <w:tc>
          <w:tcPr>
            <w:tcW w:w="723" w:type="dxa"/>
            <w:tcBorders>
              <w:top w:val="nil"/>
              <w:left w:val="nil"/>
              <w:bottom w:val="single" w:color="auto" w:sz="4" w:space="0"/>
              <w:right w:val="single" w:color="auto" w:sz="4" w:space="0"/>
            </w:tcBorders>
            <w:vAlign w:val="center"/>
          </w:tcPr>
          <w:p w14:paraId="4A5CBD44">
            <w:pPr>
              <w:widowControl/>
              <w:spacing w:line="240" w:lineRule="auto"/>
              <w:ind w:firstLine="0" w:firstLineChars="0"/>
              <w:jc w:val="center"/>
              <w:rPr>
                <w:rFonts w:eastAsia="仿宋_GB2312"/>
                <w:sz w:val="18"/>
                <w:szCs w:val="18"/>
              </w:rPr>
            </w:pPr>
            <w:r>
              <w:rPr>
                <w:rFonts w:eastAsia="仿宋_GB2312"/>
                <w:sz w:val="18"/>
                <w:szCs w:val="18"/>
              </w:rPr>
              <w:t>19</w:t>
            </w:r>
          </w:p>
        </w:tc>
        <w:tc>
          <w:tcPr>
            <w:tcW w:w="695" w:type="dxa"/>
            <w:tcBorders>
              <w:top w:val="nil"/>
              <w:left w:val="nil"/>
              <w:bottom w:val="single" w:color="auto" w:sz="4" w:space="0"/>
              <w:right w:val="single" w:color="auto" w:sz="4" w:space="0"/>
            </w:tcBorders>
            <w:vAlign w:val="center"/>
          </w:tcPr>
          <w:p w14:paraId="306EA8EE">
            <w:pPr>
              <w:widowControl/>
              <w:spacing w:line="240" w:lineRule="auto"/>
              <w:ind w:firstLine="0" w:firstLineChars="0"/>
              <w:jc w:val="center"/>
              <w:rPr>
                <w:rFonts w:eastAsia="仿宋_GB2312"/>
                <w:sz w:val="18"/>
                <w:szCs w:val="18"/>
              </w:rPr>
            </w:pPr>
            <w:r>
              <w:rPr>
                <w:rFonts w:eastAsia="仿宋_GB2312"/>
                <w:sz w:val="18"/>
                <w:szCs w:val="18"/>
              </w:rPr>
              <w:t>18</w:t>
            </w:r>
          </w:p>
        </w:tc>
        <w:tc>
          <w:tcPr>
            <w:tcW w:w="627" w:type="dxa"/>
            <w:tcBorders>
              <w:top w:val="nil"/>
              <w:left w:val="nil"/>
              <w:bottom w:val="single" w:color="auto" w:sz="4" w:space="0"/>
              <w:right w:val="single" w:color="auto" w:sz="4" w:space="0"/>
            </w:tcBorders>
            <w:vAlign w:val="center"/>
          </w:tcPr>
          <w:p w14:paraId="2C2CA007">
            <w:pPr>
              <w:widowControl/>
              <w:spacing w:line="240" w:lineRule="auto"/>
              <w:ind w:firstLine="0" w:firstLineChars="0"/>
              <w:jc w:val="center"/>
              <w:rPr>
                <w:rFonts w:eastAsia="仿宋_GB2312"/>
                <w:sz w:val="18"/>
                <w:szCs w:val="18"/>
              </w:rPr>
            </w:pPr>
            <w:r>
              <w:rPr>
                <w:rFonts w:eastAsia="仿宋_GB2312"/>
                <w:sz w:val="18"/>
                <w:szCs w:val="18"/>
              </w:rPr>
              <w:t>18</w:t>
            </w:r>
          </w:p>
        </w:tc>
        <w:tc>
          <w:tcPr>
            <w:tcW w:w="720" w:type="dxa"/>
            <w:tcBorders>
              <w:top w:val="nil"/>
              <w:left w:val="nil"/>
              <w:bottom w:val="single" w:color="auto" w:sz="4" w:space="0"/>
              <w:right w:val="single" w:color="auto" w:sz="4" w:space="0"/>
            </w:tcBorders>
            <w:vAlign w:val="center"/>
          </w:tcPr>
          <w:p w14:paraId="0328B52D">
            <w:pPr>
              <w:widowControl/>
              <w:spacing w:line="240" w:lineRule="auto"/>
              <w:ind w:firstLine="0" w:firstLineChars="0"/>
              <w:jc w:val="center"/>
              <w:rPr>
                <w:rFonts w:eastAsia="仿宋_GB2312"/>
                <w:sz w:val="18"/>
                <w:szCs w:val="18"/>
              </w:rPr>
            </w:pPr>
            <w:r>
              <w:rPr>
                <w:rFonts w:eastAsia="仿宋_GB2312"/>
                <w:sz w:val="18"/>
                <w:szCs w:val="18"/>
              </w:rPr>
              <w:t>17</w:t>
            </w:r>
          </w:p>
        </w:tc>
        <w:tc>
          <w:tcPr>
            <w:tcW w:w="720" w:type="dxa"/>
            <w:tcBorders>
              <w:top w:val="nil"/>
              <w:left w:val="nil"/>
              <w:bottom w:val="single" w:color="auto" w:sz="4" w:space="0"/>
              <w:right w:val="single" w:color="auto" w:sz="4" w:space="0"/>
            </w:tcBorders>
            <w:vAlign w:val="center"/>
          </w:tcPr>
          <w:p w14:paraId="203FF97E">
            <w:pPr>
              <w:widowControl/>
              <w:spacing w:line="240" w:lineRule="auto"/>
              <w:ind w:firstLine="0" w:firstLineChars="0"/>
              <w:jc w:val="center"/>
              <w:rPr>
                <w:rFonts w:eastAsia="仿宋_GB2312"/>
                <w:sz w:val="18"/>
                <w:szCs w:val="18"/>
              </w:rPr>
            </w:pPr>
            <w:r>
              <w:rPr>
                <w:rFonts w:eastAsia="仿宋_GB2312"/>
                <w:sz w:val="18"/>
                <w:szCs w:val="18"/>
              </w:rPr>
              <w:t>17</w:t>
            </w:r>
          </w:p>
        </w:tc>
        <w:tc>
          <w:tcPr>
            <w:tcW w:w="880" w:type="dxa"/>
            <w:tcBorders>
              <w:top w:val="nil"/>
              <w:left w:val="nil"/>
              <w:bottom w:val="single" w:color="auto" w:sz="4" w:space="0"/>
              <w:right w:val="single" w:color="auto" w:sz="4" w:space="0"/>
            </w:tcBorders>
            <w:vAlign w:val="center"/>
          </w:tcPr>
          <w:p w14:paraId="45A5DEED">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9E2CEA0">
            <w:pPr>
              <w:widowControl/>
              <w:spacing w:line="240" w:lineRule="auto"/>
              <w:ind w:firstLine="0" w:firstLineChars="0"/>
              <w:jc w:val="center"/>
              <w:rPr>
                <w:rFonts w:eastAsia="仿宋_GB2312"/>
                <w:sz w:val="18"/>
                <w:szCs w:val="18"/>
              </w:rPr>
            </w:pPr>
            <w:r>
              <w:rPr>
                <w:rFonts w:eastAsia="仿宋_GB2312"/>
                <w:sz w:val="18"/>
                <w:szCs w:val="18"/>
              </w:rPr>
              <w:t>80%</w:t>
            </w:r>
          </w:p>
        </w:tc>
      </w:tr>
      <w:tr w14:paraId="56E1EEC5">
        <w:tblPrEx>
          <w:tblCellMar>
            <w:top w:w="0" w:type="dxa"/>
            <w:left w:w="108" w:type="dxa"/>
            <w:bottom w:w="0" w:type="dxa"/>
            <w:right w:w="108" w:type="dxa"/>
          </w:tblCellMar>
        </w:tblPrEx>
        <w:trPr>
          <w:trHeight w:val="90" w:hRule="atLeast"/>
          <w:jc w:val="center"/>
        </w:trPr>
        <w:tc>
          <w:tcPr>
            <w:tcW w:w="964" w:type="dxa"/>
            <w:tcBorders>
              <w:top w:val="nil"/>
              <w:left w:val="single" w:color="auto" w:sz="4" w:space="0"/>
              <w:bottom w:val="single" w:color="auto" w:sz="4" w:space="0"/>
              <w:right w:val="single" w:color="auto" w:sz="4" w:space="0"/>
            </w:tcBorders>
            <w:vAlign w:val="center"/>
          </w:tcPr>
          <w:p w14:paraId="672BB110">
            <w:pPr>
              <w:widowControl/>
              <w:spacing w:line="240" w:lineRule="auto"/>
              <w:ind w:firstLine="0" w:firstLineChars="0"/>
              <w:jc w:val="center"/>
              <w:rPr>
                <w:rFonts w:eastAsia="仿宋_GB2312"/>
                <w:b/>
                <w:bCs/>
                <w:sz w:val="18"/>
                <w:szCs w:val="18"/>
              </w:rPr>
            </w:pPr>
            <w:r>
              <w:rPr>
                <w:rFonts w:hint="eastAsia" w:eastAsia="仿宋_GB2312"/>
                <w:b/>
                <w:bCs/>
                <w:sz w:val="18"/>
                <w:szCs w:val="18"/>
              </w:rPr>
              <w:t>坦洲镇</w:t>
            </w:r>
          </w:p>
        </w:tc>
        <w:tc>
          <w:tcPr>
            <w:tcW w:w="936" w:type="dxa"/>
            <w:tcBorders>
              <w:top w:val="nil"/>
              <w:left w:val="nil"/>
              <w:bottom w:val="single" w:color="auto" w:sz="4" w:space="0"/>
              <w:right w:val="single" w:color="auto" w:sz="4" w:space="0"/>
            </w:tcBorders>
            <w:vAlign w:val="center"/>
          </w:tcPr>
          <w:p w14:paraId="401752E0">
            <w:pPr>
              <w:widowControl/>
              <w:spacing w:line="240" w:lineRule="auto"/>
              <w:ind w:firstLine="0" w:firstLineChars="0"/>
              <w:jc w:val="center"/>
              <w:rPr>
                <w:rFonts w:eastAsia="仿宋_GB2312"/>
                <w:sz w:val="18"/>
                <w:szCs w:val="18"/>
              </w:rPr>
            </w:pPr>
            <w:r>
              <w:rPr>
                <w:rFonts w:eastAsia="仿宋_GB2312"/>
                <w:sz w:val="18"/>
                <w:szCs w:val="18"/>
              </w:rPr>
              <w:t>9205</w:t>
            </w:r>
          </w:p>
        </w:tc>
        <w:tc>
          <w:tcPr>
            <w:tcW w:w="980" w:type="dxa"/>
            <w:tcBorders>
              <w:top w:val="nil"/>
              <w:left w:val="nil"/>
              <w:bottom w:val="single" w:color="auto" w:sz="4" w:space="0"/>
              <w:right w:val="single" w:color="auto" w:sz="4" w:space="0"/>
            </w:tcBorders>
            <w:vAlign w:val="center"/>
          </w:tcPr>
          <w:p w14:paraId="307E59A4">
            <w:pPr>
              <w:widowControl/>
              <w:spacing w:line="240" w:lineRule="auto"/>
              <w:ind w:firstLine="0" w:firstLineChars="0"/>
              <w:jc w:val="center"/>
              <w:rPr>
                <w:rFonts w:eastAsia="仿宋_GB2312"/>
                <w:sz w:val="18"/>
                <w:szCs w:val="18"/>
              </w:rPr>
            </w:pPr>
            <w:r>
              <w:rPr>
                <w:rFonts w:eastAsia="仿宋_GB2312"/>
                <w:sz w:val="18"/>
                <w:szCs w:val="18"/>
              </w:rPr>
              <w:t>4400</w:t>
            </w:r>
          </w:p>
        </w:tc>
        <w:tc>
          <w:tcPr>
            <w:tcW w:w="681" w:type="dxa"/>
            <w:tcBorders>
              <w:top w:val="nil"/>
              <w:left w:val="nil"/>
              <w:bottom w:val="single" w:color="auto" w:sz="4" w:space="0"/>
              <w:right w:val="single" w:color="auto" w:sz="4" w:space="0"/>
            </w:tcBorders>
            <w:vAlign w:val="center"/>
          </w:tcPr>
          <w:p w14:paraId="6889C57D">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70609CC6">
            <w:pPr>
              <w:widowControl/>
              <w:spacing w:line="240" w:lineRule="auto"/>
              <w:ind w:firstLine="0" w:firstLineChars="0"/>
              <w:jc w:val="center"/>
              <w:rPr>
                <w:rFonts w:eastAsia="仿宋_GB2312"/>
                <w:sz w:val="18"/>
                <w:szCs w:val="18"/>
              </w:rPr>
            </w:pPr>
            <w:r>
              <w:rPr>
                <w:rFonts w:eastAsia="仿宋_GB2312"/>
                <w:sz w:val="18"/>
                <w:szCs w:val="18"/>
              </w:rPr>
              <w:t>4805</w:t>
            </w:r>
          </w:p>
        </w:tc>
        <w:tc>
          <w:tcPr>
            <w:tcW w:w="1159" w:type="dxa"/>
            <w:tcBorders>
              <w:top w:val="nil"/>
              <w:left w:val="nil"/>
              <w:bottom w:val="single" w:color="auto" w:sz="4" w:space="0"/>
              <w:right w:val="single" w:color="auto" w:sz="4" w:space="0"/>
            </w:tcBorders>
            <w:vAlign w:val="center"/>
          </w:tcPr>
          <w:p w14:paraId="077DF10E">
            <w:pPr>
              <w:widowControl/>
              <w:spacing w:line="240" w:lineRule="auto"/>
              <w:ind w:firstLine="0" w:firstLineChars="0"/>
              <w:jc w:val="center"/>
              <w:rPr>
                <w:rFonts w:eastAsia="仿宋_GB2312"/>
                <w:sz w:val="18"/>
                <w:szCs w:val="18"/>
              </w:rPr>
            </w:pPr>
            <w:r>
              <w:rPr>
                <w:rFonts w:eastAsia="仿宋_GB2312"/>
                <w:sz w:val="18"/>
                <w:szCs w:val="18"/>
              </w:rPr>
              <w:t>87</w:t>
            </w:r>
          </w:p>
        </w:tc>
        <w:tc>
          <w:tcPr>
            <w:tcW w:w="845" w:type="dxa"/>
            <w:tcBorders>
              <w:top w:val="nil"/>
              <w:left w:val="nil"/>
              <w:bottom w:val="single" w:color="auto" w:sz="4" w:space="0"/>
              <w:right w:val="single" w:color="auto" w:sz="4" w:space="0"/>
            </w:tcBorders>
            <w:vAlign w:val="center"/>
          </w:tcPr>
          <w:p w14:paraId="0CF99223">
            <w:pPr>
              <w:widowControl/>
              <w:spacing w:line="240" w:lineRule="auto"/>
              <w:ind w:firstLine="0" w:firstLineChars="0"/>
              <w:jc w:val="center"/>
              <w:rPr>
                <w:rFonts w:eastAsia="仿宋_GB2312"/>
                <w:sz w:val="18"/>
                <w:szCs w:val="18"/>
              </w:rPr>
            </w:pPr>
            <w:r>
              <w:rPr>
                <w:rFonts w:eastAsia="仿宋_GB2312"/>
                <w:sz w:val="18"/>
                <w:szCs w:val="18"/>
              </w:rPr>
              <w:t>74</w:t>
            </w:r>
          </w:p>
        </w:tc>
        <w:tc>
          <w:tcPr>
            <w:tcW w:w="842" w:type="dxa"/>
            <w:tcBorders>
              <w:top w:val="nil"/>
              <w:left w:val="nil"/>
              <w:bottom w:val="single" w:color="auto" w:sz="4" w:space="0"/>
              <w:right w:val="single" w:color="auto" w:sz="4" w:space="0"/>
            </w:tcBorders>
            <w:vAlign w:val="center"/>
          </w:tcPr>
          <w:p w14:paraId="13629D1C">
            <w:pPr>
              <w:widowControl/>
              <w:spacing w:line="240" w:lineRule="auto"/>
              <w:ind w:firstLine="0" w:firstLineChars="0"/>
              <w:jc w:val="center"/>
              <w:rPr>
                <w:rFonts w:eastAsia="仿宋_GB2312"/>
                <w:sz w:val="18"/>
                <w:szCs w:val="18"/>
              </w:rPr>
            </w:pPr>
            <w:r>
              <w:rPr>
                <w:rFonts w:eastAsia="仿宋_GB2312"/>
                <w:sz w:val="18"/>
                <w:szCs w:val="18"/>
              </w:rPr>
              <w:t>71</w:t>
            </w:r>
          </w:p>
        </w:tc>
        <w:tc>
          <w:tcPr>
            <w:tcW w:w="839" w:type="dxa"/>
            <w:tcBorders>
              <w:top w:val="nil"/>
              <w:left w:val="nil"/>
              <w:bottom w:val="single" w:color="auto" w:sz="4" w:space="0"/>
              <w:right w:val="single" w:color="auto" w:sz="4" w:space="0"/>
            </w:tcBorders>
            <w:vAlign w:val="center"/>
          </w:tcPr>
          <w:p w14:paraId="17A6082E">
            <w:pPr>
              <w:widowControl/>
              <w:spacing w:line="240" w:lineRule="auto"/>
              <w:ind w:firstLine="0" w:firstLineChars="0"/>
              <w:jc w:val="center"/>
              <w:rPr>
                <w:rFonts w:eastAsia="仿宋_GB2312"/>
                <w:sz w:val="18"/>
                <w:szCs w:val="18"/>
              </w:rPr>
            </w:pPr>
            <w:r>
              <w:rPr>
                <w:rFonts w:eastAsia="仿宋_GB2312"/>
                <w:sz w:val="18"/>
                <w:szCs w:val="18"/>
              </w:rPr>
              <w:t>67</w:t>
            </w:r>
          </w:p>
        </w:tc>
        <w:tc>
          <w:tcPr>
            <w:tcW w:w="800" w:type="dxa"/>
            <w:tcBorders>
              <w:top w:val="nil"/>
              <w:left w:val="nil"/>
              <w:bottom w:val="single" w:color="auto" w:sz="4" w:space="0"/>
              <w:right w:val="single" w:color="auto" w:sz="4" w:space="0"/>
            </w:tcBorders>
            <w:vAlign w:val="center"/>
          </w:tcPr>
          <w:p w14:paraId="0FC8F657">
            <w:pPr>
              <w:widowControl/>
              <w:spacing w:line="240" w:lineRule="auto"/>
              <w:ind w:firstLine="0" w:firstLineChars="0"/>
              <w:jc w:val="center"/>
              <w:rPr>
                <w:rFonts w:eastAsia="仿宋_GB2312"/>
                <w:sz w:val="18"/>
                <w:szCs w:val="18"/>
              </w:rPr>
            </w:pPr>
            <w:r>
              <w:rPr>
                <w:rFonts w:eastAsia="仿宋_GB2312"/>
                <w:sz w:val="18"/>
                <w:szCs w:val="18"/>
              </w:rPr>
              <w:t>64</w:t>
            </w:r>
          </w:p>
        </w:tc>
        <w:tc>
          <w:tcPr>
            <w:tcW w:w="792" w:type="dxa"/>
            <w:tcBorders>
              <w:top w:val="nil"/>
              <w:left w:val="nil"/>
              <w:bottom w:val="single" w:color="auto" w:sz="4" w:space="0"/>
              <w:right w:val="single" w:color="auto" w:sz="4" w:space="0"/>
            </w:tcBorders>
            <w:vAlign w:val="center"/>
          </w:tcPr>
          <w:p w14:paraId="1CE2E11C">
            <w:pPr>
              <w:widowControl/>
              <w:spacing w:line="240" w:lineRule="auto"/>
              <w:ind w:firstLine="0" w:firstLineChars="0"/>
              <w:jc w:val="center"/>
              <w:rPr>
                <w:rFonts w:eastAsia="仿宋_GB2312"/>
                <w:sz w:val="18"/>
                <w:szCs w:val="18"/>
              </w:rPr>
            </w:pPr>
            <w:r>
              <w:rPr>
                <w:rFonts w:eastAsia="仿宋_GB2312"/>
                <w:sz w:val="18"/>
                <w:szCs w:val="18"/>
              </w:rPr>
              <w:t>60</w:t>
            </w:r>
          </w:p>
        </w:tc>
        <w:tc>
          <w:tcPr>
            <w:tcW w:w="1159" w:type="dxa"/>
            <w:tcBorders>
              <w:top w:val="nil"/>
              <w:left w:val="nil"/>
              <w:bottom w:val="single" w:color="auto" w:sz="4" w:space="0"/>
              <w:right w:val="single" w:color="auto" w:sz="4" w:space="0"/>
            </w:tcBorders>
            <w:vAlign w:val="center"/>
          </w:tcPr>
          <w:p w14:paraId="2FC609B7">
            <w:pPr>
              <w:widowControl/>
              <w:spacing w:line="240" w:lineRule="auto"/>
              <w:ind w:firstLine="0" w:firstLineChars="0"/>
              <w:jc w:val="center"/>
              <w:rPr>
                <w:rFonts w:eastAsia="仿宋_GB2312"/>
                <w:sz w:val="18"/>
                <w:szCs w:val="18"/>
              </w:rPr>
            </w:pPr>
            <w:r>
              <w:rPr>
                <w:rFonts w:eastAsia="仿宋_GB2312"/>
                <w:sz w:val="18"/>
                <w:szCs w:val="18"/>
              </w:rPr>
              <w:t>12</w:t>
            </w:r>
          </w:p>
        </w:tc>
        <w:tc>
          <w:tcPr>
            <w:tcW w:w="723" w:type="dxa"/>
            <w:tcBorders>
              <w:top w:val="nil"/>
              <w:left w:val="nil"/>
              <w:bottom w:val="single" w:color="auto" w:sz="4" w:space="0"/>
              <w:right w:val="single" w:color="auto" w:sz="4" w:space="0"/>
            </w:tcBorders>
            <w:vAlign w:val="center"/>
          </w:tcPr>
          <w:p w14:paraId="783734C7">
            <w:pPr>
              <w:widowControl/>
              <w:spacing w:line="240" w:lineRule="auto"/>
              <w:ind w:firstLine="0" w:firstLineChars="0"/>
              <w:jc w:val="center"/>
              <w:rPr>
                <w:rFonts w:eastAsia="仿宋_GB2312"/>
                <w:sz w:val="18"/>
                <w:szCs w:val="18"/>
              </w:rPr>
            </w:pPr>
            <w:r>
              <w:rPr>
                <w:rFonts w:eastAsia="仿宋_GB2312"/>
                <w:sz w:val="18"/>
                <w:szCs w:val="18"/>
              </w:rPr>
              <w:t>12</w:t>
            </w:r>
          </w:p>
        </w:tc>
        <w:tc>
          <w:tcPr>
            <w:tcW w:w="695" w:type="dxa"/>
            <w:tcBorders>
              <w:top w:val="nil"/>
              <w:left w:val="nil"/>
              <w:bottom w:val="single" w:color="auto" w:sz="4" w:space="0"/>
              <w:right w:val="single" w:color="auto" w:sz="4" w:space="0"/>
            </w:tcBorders>
            <w:vAlign w:val="center"/>
          </w:tcPr>
          <w:p w14:paraId="3D70CAF4">
            <w:pPr>
              <w:widowControl/>
              <w:spacing w:line="240" w:lineRule="auto"/>
              <w:ind w:firstLine="0" w:firstLineChars="0"/>
              <w:jc w:val="center"/>
              <w:rPr>
                <w:rFonts w:eastAsia="仿宋_GB2312"/>
                <w:sz w:val="18"/>
                <w:szCs w:val="18"/>
              </w:rPr>
            </w:pPr>
            <w:r>
              <w:rPr>
                <w:rFonts w:eastAsia="仿宋_GB2312"/>
                <w:sz w:val="18"/>
                <w:szCs w:val="18"/>
              </w:rPr>
              <w:t>11</w:t>
            </w:r>
          </w:p>
        </w:tc>
        <w:tc>
          <w:tcPr>
            <w:tcW w:w="627" w:type="dxa"/>
            <w:tcBorders>
              <w:top w:val="nil"/>
              <w:left w:val="nil"/>
              <w:bottom w:val="single" w:color="auto" w:sz="4" w:space="0"/>
              <w:right w:val="single" w:color="auto" w:sz="4" w:space="0"/>
            </w:tcBorders>
            <w:vAlign w:val="center"/>
          </w:tcPr>
          <w:p w14:paraId="4C79898C">
            <w:pPr>
              <w:widowControl/>
              <w:spacing w:line="240" w:lineRule="auto"/>
              <w:ind w:firstLine="0" w:firstLineChars="0"/>
              <w:jc w:val="center"/>
              <w:rPr>
                <w:rFonts w:eastAsia="仿宋_GB2312"/>
                <w:sz w:val="18"/>
                <w:szCs w:val="18"/>
              </w:rPr>
            </w:pPr>
            <w:r>
              <w:rPr>
                <w:rFonts w:eastAsia="仿宋_GB2312"/>
                <w:sz w:val="18"/>
                <w:szCs w:val="18"/>
              </w:rPr>
              <w:t>11</w:t>
            </w:r>
          </w:p>
        </w:tc>
        <w:tc>
          <w:tcPr>
            <w:tcW w:w="720" w:type="dxa"/>
            <w:tcBorders>
              <w:top w:val="nil"/>
              <w:left w:val="nil"/>
              <w:bottom w:val="single" w:color="auto" w:sz="4" w:space="0"/>
              <w:right w:val="single" w:color="auto" w:sz="4" w:space="0"/>
            </w:tcBorders>
            <w:vAlign w:val="center"/>
          </w:tcPr>
          <w:p w14:paraId="207CDA30">
            <w:pPr>
              <w:widowControl/>
              <w:spacing w:line="240" w:lineRule="auto"/>
              <w:ind w:firstLine="0" w:firstLineChars="0"/>
              <w:jc w:val="center"/>
              <w:rPr>
                <w:rFonts w:eastAsia="仿宋_GB2312"/>
                <w:sz w:val="18"/>
                <w:szCs w:val="18"/>
              </w:rPr>
            </w:pPr>
            <w:r>
              <w:rPr>
                <w:rFonts w:eastAsia="仿宋_GB2312"/>
                <w:sz w:val="18"/>
                <w:szCs w:val="18"/>
              </w:rPr>
              <w:t>11</w:t>
            </w:r>
          </w:p>
        </w:tc>
        <w:tc>
          <w:tcPr>
            <w:tcW w:w="720" w:type="dxa"/>
            <w:tcBorders>
              <w:top w:val="nil"/>
              <w:left w:val="nil"/>
              <w:bottom w:val="single" w:color="auto" w:sz="4" w:space="0"/>
              <w:right w:val="single" w:color="auto" w:sz="4" w:space="0"/>
            </w:tcBorders>
            <w:vAlign w:val="center"/>
          </w:tcPr>
          <w:p w14:paraId="5B09A3C0">
            <w:pPr>
              <w:widowControl/>
              <w:spacing w:line="240" w:lineRule="auto"/>
              <w:ind w:firstLine="0" w:firstLineChars="0"/>
              <w:jc w:val="center"/>
              <w:rPr>
                <w:rFonts w:eastAsia="仿宋_GB2312"/>
                <w:sz w:val="18"/>
                <w:szCs w:val="18"/>
              </w:rPr>
            </w:pPr>
            <w:r>
              <w:rPr>
                <w:rFonts w:eastAsia="仿宋_GB2312"/>
                <w:sz w:val="18"/>
                <w:szCs w:val="18"/>
              </w:rPr>
              <w:t>11</w:t>
            </w:r>
          </w:p>
        </w:tc>
        <w:tc>
          <w:tcPr>
            <w:tcW w:w="880" w:type="dxa"/>
            <w:tcBorders>
              <w:top w:val="nil"/>
              <w:left w:val="nil"/>
              <w:bottom w:val="single" w:color="auto" w:sz="4" w:space="0"/>
              <w:right w:val="single" w:color="auto" w:sz="4" w:space="0"/>
            </w:tcBorders>
            <w:vAlign w:val="center"/>
          </w:tcPr>
          <w:p w14:paraId="23BB05FE">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150EEE0C">
            <w:pPr>
              <w:widowControl/>
              <w:spacing w:line="240" w:lineRule="auto"/>
              <w:ind w:firstLine="0" w:firstLineChars="0"/>
              <w:jc w:val="center"/>
              <w:rPr>
                <w:rFonts w:eastAsia="仿宋_GB2312"/>
                <w:sz w:val="18"/>
                <w:szCs w:val="18"/>
              </w:rPr>
            </w:pPr>
            <w:r>
              <w:rPr>
                <w:rFonts w:eastAsia="仿宋_GB2312"/>
                <w:sz w:val="18"/>
                <w:szCs w:val="18"/>
              </w:rPr>
              <w:t>80%</w:t>
            </w:r>
          </w:p>
        </w:tc>
      </w:tr>
      <w:tr w14:paraId="0218DD21">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2192963">
            <w:pPr>
              <w:widowControl/>
              <w:spacing w:line="240" w:lineRule="auto"/>
              <w:ind w:firstLine="0" w:firstLineChars="0"/>
              <w:jc w:val="center"/>
              <w:rPr>
                <w:rFonts w:eastAsia="仿宋_GB2312"/>
                <w:b/>
                <w:sz w:val="18"/>
                <w:szCs w:val="18"/>
              </w:rPr>
            </w:pPr>
            <w:r>
              <w:rPr>
                <w:rFonts w:hint="eastAsia" w:eastAsia="仿宋_GB2312"/>
                <w:b/>
                <w:sz w:val="18"/>
                <w:szCs w:val="18"/>
              </w:rPr>
              <w:t>港口镇</w:t>
            </w:r>
          </w:p>
        </w:tc>
        <w:tc>
          <w:tcPr>
            <w:tcW w:w="936" w:type="dxa"/>
            <w:tcBorders>
              <w:top w:val="nil"/>
              <w:left w:val="nil"/>
              <w:bottom w:val="single" w:color="auto" w:sz="4" w:space="0"/>
              <w:right w:val="single" w:color="auto" w:sz="4" w:space="0"/>
            </w:tcBorders>
            <w:vAlign w:val="center"/>
          </w:tcPr>
          <w:p w14:paraId="11DB9030">
            <w:pPr>
              <w:widowControl/>
              <w:spacing w:line="240" w:lineRule="auto"/>
              <w:ind w:firstLine="0" w:firstLineChars="0"/>
              <w:jc w:val="center"/>
              <w:rPr>
                <w:rFonts w:eastAsia="仿宋_GB2312"/>
                <w:sz w:val="18"/>
                <w:szCs w:val="18"/>
              </w:rPr>
            </w:pPr>
            <w:r>
              <w:rPr>
                <w:rFonts w:eastAsia="仿宋_GB2312"/>
                <w:sz w:val="18"/>
                <w:szCs w:val="18"/>
              </w:rPr>
              <w:t>6218</w:t>
            </w:r>
          </w:p>
        </w:tc>
        <w:tc>
          <w:tcPr>
            <w:tcW w:w="980" w:type="dxa"/>
            <w:tcBorders>
              <w:top w:val="nil"/>
              <w:left w:val="nil"/>
              <w:bottom w:val="single" w:color="auto" w:sz="4" w:space="0"/>
              <w:right w:val="single" w:color="auto" w:sz="4" w:space="0"/>
            </w:tcBorders>
            <w:vAlign w:val="center"/>
          </w:tcPr>
          <w:p w14:paraId="34A0549F">
            <w:pPr>
              <w:widowControl/>
              <w:spacing w:line="240" w:lineRule="auto"/>
              <w:ind w:firstLine="0" w:firstLineChars="0"/>
              <w:jc w:val="center"/>
              <w:rPr>
                <w:rFonts w:eastAsia="仿宋_GB2312"/>
                <w:sz w:val="18"/>
                <w:szCs w:val="18"/>
              </w:rPr>
            </w:pPr>
            <w:r>
              <w:rPr>
                <w:rFonts w:eastAsia="仿宋_GB2312"/>
                <w:sz w:val="18"/>
                <w:szCs w:val="18"/>
              </w:rPr>
              <w:t>2200</w:t>
            </w:r>
          </w:p>
        </w:tc>
        <w:tc>
          <w:tcPr>
            <w:tcW w:w="681" w:type="dxa"/>
            <w:tcBorders>
              <w:top w:val="nil"/>
              <w:left w:val="nil"/>
              <w:bottom w:val="single" w:color="auto" w:sz="4" w:space="0"/>
              <w:right w:val="single" w:color="auto" w:sz="4" w:space="0"/>
            </w:tcBorders>
            <w:vAlign w:val="center"/>
          </w:tcPr>
          <w:p w14:paraId="714603E1">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79667633">
            <w:pPr>
              <w:widowControl/>
              <w:spacing w:line="240" w:lineRule="auto"/>
              <w:ind w:firstLine="0" w:firstLineChars="0"/>
              <w:jc w:val="center"/>
              <w:rPr>
                <w:rFonts w:eastAsia="仿宋_GB2312"/>
                <w:sz w:val="18"/>
                <w:szCs w:val="18"/>
              </w:rPr>
            </w:pPr>
            <w:r>
              <w:rPr>
                <w:rFonts w:eastAsia="仿宋_GB2312"/>
                <w:sz w:val="18"/>
                <w:szCs w:val="18"/>
              </w:rPr>
              <w:t>4018</w:t>
            </w:r>
          </w:p>
        </w:tc>
        <w:tc>
          <w:tcPr>
            <w:tcW w:w="1159" w:type="dxa"/>
            <w:tcBorders>
              <w:top w:val="nil"/>
              <w:left w:val="nil"/>
              <w:bottom w:val="single" w:color="auto" w:sz="4" w:space="0"/>
              <w:right w:val="single" w:color="auto" w:sz="4" w:space="0"/>
            </w:tcBorders>
            <w:vAlign w:val="center"/>
          </w:tcPr>
          <w:p w14:paraId="23587C40">
            <w:pPr>
              <w:widowControl/>
              <w:spacing w:line="240" w:lineRule="auto"/>
              <w:ind w:firstLine="0" w:firstLineChars="0"/>
              <w:jc w:val="center"/>
              <w:rPr>
                <w:rFonts w:eastAsia="仿宋_GB2312"/>
                <w:sz w:val="18"/>
                <w:szCs w:val="18"/>
              </w:rPr>
            </w:pPr>
            <w:r>
              <w:rPr>
                <w:rFonts w:eastAsia="仿宋_GB2312"/>
                <w:sz w:val="18"/>
                <w:szCs w:val="18"/>
              </w:rPr>
              <w:t>126</w:t>
            </w:r>
          </w:p>
        </w:tc>
        <w:tc>
          <w:tcPr>
            <w:tcW w:w="845" w:type="dxa"/>
            <w:tcBorders>
              <w:top w:val="nil"/>
              <w:left w:val="nil"/>
              <w:bottom w:val="single" w:color="auto" w:sz="4" w:space="0"/>
              <w:right w:val="single" w:color="auto" w:sz="4" w:space="0"/>
            </w:tcBorders>
            <w:vAlign w:val="center"/>
          </w:tcPr>
          <w:p w14:paraId="5FF74DD8">
            <w:pPr>
              <w:widowControl/>
              <w:spacing w:line="240" w:lineRule="auto"/>
              <w:ind w:firstLine="0" w:firstLineChars="0"/>
              <w:jc w:val="center"/>
              <w:rPr>
                <w:rFonts w:eastAsia="仿宋_GB2312"/>
                <w:sz w:val="18"/>
                <w:szCs w:val="18"/>
              </w:rPr>
            </w:pPr>
            <w:r>
              <w:rPr>
                <w:rFonts w:eastAsia="仿宋_GB2312"/>
                <w:sz w:val="18"/>
                <w:szCs w:val="18"/>
              </w:rPr>
              <w:t>108</w:t>
            </w:r>
          </w:p>
        </w:tc>
        <w:tc>
          <w:tcPr>
            <w:tcW w:w="842" w:type="dxa"/>
            <w:tcBorders>
              <w:top w:val="nil"/>
              <w:left w:val="nil"/>
              <w:bottom w:val="single" w:color="auto" w:sz="4" w:space="0"/>
              <w:right w:val="single" w:color="auto" w:sz="4" w:space="0"/>
            </w:tcBorders>
            <w:vAlign w:val="center"/>
          </w:tcPr>
          <w:p w14:paraId="14F7719B">
            <w:pPr>
              <w:widowControl/>
              <w:spacing w:line="240" w:lineRule="auto"/>
              <w:ind w:firstLine="0" w:firstLineChars="0"/>
              <w:jc w:val="center"/>
              <w:rPr>
                <w:rFonts w:eastAsia="仿宋_GB2312"/>
                <w:sz w:val="18"/>
                <w:szCs w:val="18"/>
              </w:rPr>
            </w:pPr>
            <w:r>
              <w:rPr>
                <w:rFonts w:eastAsia="仿宋_GB2312"/>
                <w:sz w:val="18"/>
                <w:szCs w:val="18"/>
              </w:rPr>
              <w:t>103</w:t>
            </w:r>
          </w:p>
        </w:tc>
        <w:tc>
          <w:tcPr>
            <w:tcW w:w="839" w:type="dxa"/>
            <w:tcBorders>
              <w:top w:val="nil"/>
              <w:left w:val="nil"/>
              <w:bottom w:val="single" w:color="auto" w:sz="4" w:space="0"/>
              <w:right w:val="single" w:color="auto" w:sz="4" w:space="0"/>
            </w:tcBorders>
            <w:vAlign w:val="center"/>
          </w:tcPr>
          <w:p w14:paraId="456B4CC8">
            <w:pPr>
              <w:widowControl/>
              <w:spacing w:line="240" w:lineRule="auto"/>
              <w:ind w:firstLine="0" w:firstLineChars="0"/>
              <w:jc w:val="center"/>
              <w:rPr>
                <w:rFonts w:eastAsia="仿宋_GB2312"/>
                <w:sz w:val="18"/>
                <w:szCs w:val="18"/>
              </w:rPr>
            </w:pPr>
            <w:r>
              <w:rPr>
                <w:rFonts w:eastAsia="仿宋_GB2312"/>
                <w:sz w:val="18"/>
                <w:szCs w:val="18"/>
              </w:rPr>
              <w:t>98</w:t>
            </w:r>
          </w:p>
        </w:tc>
        <w:tc>
          <w:tcPr>
            <w:tcW w:w="800" w:type="dxa"/>
            <w:tcBorders>
              <w:top w:val="nil"/>
              <w:left w:val="nil"/>
              <w:bottom w:val="single" w:color="auto" w:sz="4" w:space="0"/>
              <w:right w:val="single" w:color="auto" w:sz="4" w:space="0"/>
            </w:tcBorders>
            <w:vAlign w:val="center"/>
          </w:tcPr>
          <w:p w14:paraId="3FA560C2">
            <w:pPr>
              <w:widowControl/>
              <w:spacing w:line="240" w:lineRule="auto"/>
              <w:ind w:firstLine="0" w:firstLineChars="0"/>
              <w:jc w:val="center"/>
              <w:rPr>
                <w:rFonts w:eastAsia="仿宋_GB2312"/>
                <w:sz w:val="18"/>
                <w:szCs w:val="18"/>
              </w:rPr>
            </w:pPr>
            <w:r>
              <w:rPr>
                <w:rFonts w:eastAsia="仿宋_GB2312"/>
                <w:sz w:val="18"/>
                <w:szCs w:val="18"/>
              </w:rPr>
              <w:t>93</w:t>
            </w:r>
          </w:p>
        </w:tc>
        <w:tc>
          <w:tcPr>
            <w:tcW w:w="792" w:type="dxa"/>
            <w:tcBorders>
              <w:top w:val="nil"/>
              <w:left w:val="nil"/>
              <w:bottom w:val="single" w:color="auto" w:sz="4" w:space="0"/>
              <w:right w:val="single" w:color="auto" w:sz="4" w:space="0"/>
            </w:tcBorders>
            <w:vAlign w:val="center"/>
          </w:tcPr>
          <w:p w14:paraId="5FBB437F">
            <w:pPr>
              <w:widowControl/>
              <w:spacing w:line="240" w:lineRule="auto"/>
              <w:ind w:firstLine="0" w:firstLineChars="0"/>
              <w:jc w:val="center"/>
              <w:rPr>
                <w:rFonts w:eastAsia="仿宋_GB2312"/>
                <w:sz w:val="18"/>
                <w:szCs w:val="18"/>
              </w:rPr>
            </w:pPr>
            <w:r>
              <w:rPr>
                <w:rFonts w:eastAsia="仿宋_GB2312"/>
                <w:sz w:val="18"/>
                <w:szCs w:val="18"/>
              </w:rPr>
              <w:t>88</w:t>
            </w:r>
          </w:p>
        </w:tc>
        <w:tc>
          <w:tcPr>
            <w:tcW w:w="1159" w:type="dxa"/>
            <w:tcBorders>
              <w:top w:val="nil"/>
              <w:left w:val="nil"/>
              <w:bottom w:val="single" w:color="auto" w:sz="4" w:space="0"/>
              <w:right w:val="single" w:color="auto" w:sz="4" w:space="0"/>
            </w:tcBorders>
            <w:vAlign w:val="center"/>
          </w:tcPr>
          <w:p w14:paraId="72D28BC8">
            <w:pPr>
              <w:widowControl/>
              <w:spacing w:line="240" w:lineRule="auto"/>
              <w:ind w:firstLine="0" w:firstLineChars="0"/>
              <w:jc w:val="center"/>
              <w:rPr>
                <w:rFonts w:eastAsia="仿宋_GB2312"/>
                <w:sz w:val="18"/>
                <w:szCs w:val="18"/>
              </w:rPr>
            </w:pPr>
            <w:r>
              <w:rPr>
                <w:rFonts w:eastAsia="仿宋_GB2312"/>
                <w:sz w:val="18"/>
                <w:szCs w:val="18"/>
              </w:rPr>
              <w:t>21</w:t>
            </w:r>
          </w:p>
        </w:tc>
        <w:tc>
          <w:tcPr>
            <w:tcW w:w="723" w:type="dxa"/>
            <w:tcBorders>
              <w:top w:val="nil"/>
              <w:left w:val="nil"/>
              <w:bottom w:val="single" w:color="auto" w:sz="4" w:space="0"/>
              <w:right w:val="single" w:color="auto" w:sz="4" w:space="0"/>
            </w:tcBorders>
            <w:vAlign w:val="center"/>
          </w:tcPr>
          <w:p w14:paraId="62B8F921">
            <w:pPr>
              <w:widowControl/>
              <w:spacing w:line="240" w:lineRule="auto"/>
              <w:ind w:firstLine="0" w:firstLineChars="0"/>
              <w:jc w:val="center"/>
              <w:rPr>
                <w:rFonts w:eastAsia="仿宋_GB2312"/>
                <w:sz w:val="18"/>
                <w:szCs w:val="18"/>
              </w:rPr>
            </w:pPr>
            <w:r>
              <w:rPr>
                <w:rFonts w:eastAsia="仿宋_GB2312"/>
                <w:sz w:val="18"/>
                <w:szCs w:val="18"/>
              </w:rPr>
              <w:t>18</w:t>
            </w:r>
          </w:p>
        </w:tc>
        <w:tc>
          <w:tcPr>
            <w:tcW w:w="695" w:type="dxa"/>
            <w:tcBorders>
              <w:top w:val="nil"/>
              <w:left w:val="nil"/>
              <w:bottom w:val="single" w:color="auto" w:sz="4" w:space="0"/>
              <w:right w:val="single" w:color="auto" w:sz="4" w:space="0"/>
            </w:tcBorders>
            <w:vAlign w:val="center"/>
          </w:tcPr>
          <w:p w14:paraId="631BE6CD">
            <w:pPr>
              <w:widowControl/>
              <w:spacing w:line="240" w:lineRule="auto"/>
              <w:ind w:firstLine="0" w:firstLineChars="0"/>
              <w:jc w:val="center"/>
              <w:rPr>
                <w:rFonts w:eastAsia="仿宋_GB2312"/>
                <w:sz w:val="18"/>
                <w:szCs w:val="18"/>
              </w:rPr>
            </w:pPr>
            <w:r>
              <w:rPr>
                <w:rFonts w:eastAsia="仿宋_GB2312"/>
                <w:sz w:val="18"/>
                <w:szCs w:val="18"/>
              </w:rPr>
              <w:t>17</w:t>
            </w:r>
          </w:p>
        </w:tc>
        <w:tc>
          <w:tcPr>
            <w:tcW w:w="627" w:type="dxa"/>
            <w:tcBorders>
              <w:top w:val="nil"/>
              <w:left w:val="nil"/>
              <w:bottom w:val="single" w:color="auto" w:sz="4" w:space="0"/>
              <w:right w:val="single" w:color="auto" w:sz="4" w:space="0"/>
            </w:tcBorders>
            <w:vAlign w:val="center"/>
          </w:tcPr>
          <w:p w14:paraId="175504C1">
            <w:pPr>
              <w:widowControl/>
              <w:spacing w:line="240" w:lineRule="auto"/>
              <w:ind w:firstLine="0" w:firstLineChars="0"/>
              <w:jc w:val="center"/>
              <w:rPr>
                <w:rFonts w:eastAsia="仿宋_GB2312"/>
                <w:sz w:val="18"/>
                <w:szCs w:val="18"/>
              </w:rPr>
            </w:pPr>
            <w:r>
              <w:rPr>
                <w:rFonts w:eastAsia="仿宋_GB2312"/>
                <w:sz w:val="18"/>
                <w:szCs w:val="18"/>
              </w:rPr>
              <w:t>17</w:t>
            </w:r>
          </w:p>
        </w:tc>
        <w:tc>
          <w:tcPr>
            <w:tcW w:w="720" w:type="dxa"/>
            <w:tcBorders>
              <w:top w:val="nil"/>
              <w:left w:val="nil"/>
              <w:bottom w:val="single" w:color="auto" w:sz="4" w:space="0"/>
              <w:right w:val="single" w:color="auto" w:sz="4" w:space="0"/>
            </w:tcBorders>
            <w:vAlign w:val="center"/>
          </w:tcPr>
          <w:p w14:paraId="4CC8B0DF">
            <w:pPr>
              <w:widowControl/>
              <w:spacing w:line="240" w:lineRule="auto"/>
              <w:ind w:firstLine="0" w:firstLineChars="0"/>
              <w:jc w:val="center"/>
              <w:rPr>
                <w:rFonts w:eastAsia="仿宋_GB2312"/>
                <w:sz w:val="18"/>
                <w:szCs w:val="18"/>
              </w:rPr>
            </w:pPr>
            <w:r>
              <w:rPr>
                <w:rFonts w:eastAsia="仿宋_GB2312"/>
                <w:sz w:val="18"/>
                <w:szCs w:val="18"/>
              </w:rPr>
              <w:t>16</w:t>
            </w:r>
          </w:p>
        </w:tc>
        <w:tc>
          <w:tcPr>
            <w:tcW w:w="720" w:type="dxa"/>
            <w:tcBorders>
              <w:top w:val="nil"/>
              <w:left w:val="nil"/>
              <w:bottom w:val="single" w:color="auto" w:sz="4" w:space="0"/>
              <w:right w:val="single" w:color="auto" w:sz="4" w:space="0"/>
            </w:tcBorders>
            <w:vAlign w:val="center"/>
          </w:tcPr>
          <w:p w14:paraId="6A22997E">
            <w:pPr>
              <w:widowControl/>
              <w:spacing w:line="240" w:lineRule="auto"/>
              <w:ind w:firstLine="0" w:firstLineChars="0"/>
              <w:jc w:val="center"/>
              <w:rPr>
                <w:rFonts w:eastAsia="仿宋_GB2312"/>
                <w:sz w:val="18"/>
                <w:szCs w:val="18"/>
              </w:rPr>
            </w:pPr>
            <w:r>
              <w:rPr>
                <w:rFonts w:eastAsia="仿宋_GB2312"/>
                <w:sz w:val="18"/>
                <w:szCs w:val="18"/>
              </w:rPr>
              <w:t>16</w:t>
            </w:r>
          </w:p>
        </w:tc>
        <w:tc>
          <w:tcPr>
            <w:tcW w:w="880" w:type="dxa"/>
            <w:tcBorders>
              <w:top w:val="nil"/>
              <w:left w:val="nil"/>
              <w:bottom w:val="single" w:color="auto" w:sz="4" w:space="0"/>
              <w:right w:val="single" w:color="auto" w:sz="4" w:space="0"/>
            </w:tcBorders>
            <w:vAlign w:val="center"/>
          </w:tcPr>
          <w:p w14:paraId="6A1B54A4">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050ADF9D">
            <w:pPr>
              <w:widowControl/>
              <w:spacing w:line="240" w:lineRule="auto"/>
              <w:ind w:firstLine="0" w:firstLineChars="0"/>
              <w:jc w:val="center"/>
              <w:rPr>
                <w:rFonts w:eastAsia="仿宋_GB2312"/>
                <w:sz w:val="18"/>
                <w:szCs w:val="18"/>
              </w:rPr>
            </w:pPr>
            <w:r>
              <w:rPr>
                <w:rFonts w:eastAsia="仿宋_GB2312"/>
                <w:sz w:val="18"/>
                <w:szCs w:val="18"/>
              </w:rPr>
              <w:t>80%</w:t>
            </w:r>
          </w:p>
        </w:tc>
      </w:tr>
      <w:tr w14:paraId="241F3BD3">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28DA7D9A">
            <w:pPr>
              <w:widowControl/>
              <w:spacing w:line="240" w:lineRule="auto"/>
              <w:ind w:firstLine="0" w:firstLineChars="0"/>
              <w:jc w:val="center"/>
              <w:rPr>
                <w:rFonts w:eastAsia="仿宋_GB2312"/>
                <w:b/>
                <w:sz w:val="18"/>
                <w:szCs w:val="18"/>
              </w:rPr>
            </w:pPr>
            <w:r>
              <w:rPr>
                <w:rFonts w:hint="eastAsia" w:eastAsia="仿宋_GB2312"/>
                <w:b/>
                <w:sz w:val="18"/>
                <w:szCs w:val="18"/>
              </w:rPr>
              <w:t>三角镇</w:t>
            </w:r>
          </w:p>
        </w:tc>
        <w:tc>
          <w:tcPr>
            <w:tcW w:w="936" w:type="dxa"/>
            <w:tcBorders>
              <w:top w:val="nil"/>
              <w:left w:val="nil"/>
              <w:bottom w:val="single" w:color="auto" w:sz="4" w:space="0"/>
              <w:right w:val="single" w:color="auto" w:sz="4" w:space="0"/>
            </w:tcBorders>
            <w:vAlign w:val="center"/>
          </w:tcPr>
          <w:p w14:paraId="1FAAC905">
            <w:pPr>
              <w:widowControl/>
              <w:spacing w:line="240" w:lineRule="auto"/>
              <w:ind w:firstLine="0" w:firstLineChars="0"/>
              <w:jc w:val="center"/>
              <w:rPr>
                <w:rFonts w:eastAsia="仿宋_GB2312"/>
                <w:sz w:val="18"/>
                <w:szCs w:val="18"/>
              </w:rPr>
            </w:pPr>
            <w:r>
              <w:rPr>
                <w:rFonts w:eastAsia="仿宋_GB2312"/>
                <w:sz w:val="18"/>
                <w:szCs w:val="18"/>
              </w:rPr>
              <w:t>10200</w:t>
            </w:r>
          </w:p>
        </w:tc>
        <w:tc>
          <w:tcPr>
            <w:tcW w:w="980" w:type="dxa"/>
            <w:tcBorders>
              <w:top w:val="nil"/>
              <w:left w:val="nil"/>
              <w:bottom w:val="single" w:color="auto" w:sz="4" w:space="0"/>
              <w:right w:val="single" w:color="auto" w:sz="4" w:space="0"/>
            </w:tcBorders>
            <w:vAlign w:val="center"/>
          </w:tcPr>
          <w:p w14:paraId="6EF808F9">
            <w:pPr>
              <w:widowControl/>
              <w:spacing w:line="240" w:lineRule="auto"/>
              <w:ind w:firstLine="0" w:firstLineChars="0"/>
              <w:jc w:val="center"/>
              <w:rPr>
                <w:rFonts w:eastAsia="仿宋_GB2312"/>
                <w:sz w:val="18"/>
                <w:szCs w:val="18"/>
              </w:rPr>
            </w:pPr>
            <w:r>
              <w:rPr>
                <w:rFonts w:eastAsia="仿宋_GB2312"/>
                <w:sz w:val="18"/>
                <w:szCs w:val="18"/>
              </w:rPr>
              <w:t>3800</w:t>
            </w:r>
          </w:p>
        </w:tc>
        <w:tc>
          <w:tcPr>
            <w:tcW w:w="681" w:type="dxa"/>
            <w:tcBorders>
              <w:top w:val="nil"/>
              <w:left w:val="nil"/>
              <w:bottom w:val="single" w:color="auto" w:sz="4" w:space="0"/>
              <w:right w:val="single" w:color="auto" w:sz="4" w:space="0"/>
            </w:tcBorders>
            <w:vAlign w:val="center"/>
          </w:tcPr>
          <w:p w14:paraId="43BF3945">
            <w:pPr>
              <w:widowControl/>
              <w:spacing w:line="240" w:lineRule="auto"/>
              <w:ind w:firstLine="0" w:firstLineChars="0"/>
              <w:jc w:val="center"/>
              <w:rPr>
                <w:rFonts w:eastAsia="仿宋_GB2312"/>
                <w:sz w:val="18"/>
                <w:szCs w:val="18"/>
              </w:rPr>
            </w:pPr>
            <w:r>
              <w:rPr>
                <w:rFonts w:eastAsia="仿宋_GB2312"/>
                <w:sz w:val="18"/>
                <w:szCs w:val="18"/>
              </w:rPr>
              <w:t>1530</w:t>
            </w:r>
          </w:p>
        </w:tc>
        <w:tc>
          <w:tcPr>
            <w:tcW w:w="750" w:type="dxa"/>
            <w:tcBorders>
              <w:top w:val="nil"/>
              <w:left w:val="nil"/>
              <w:bottom w:val="single" w:color="auto" w:sz="4" w:space="0"/>
              <w:right w:val="single" w:color="auto" w:sz="4" w:space="0"/>
            </w:tcBorders>
            <w:vAlign w:val="center"/>
          </w:tcPr>
          <w:p w14:paraId="2BD93E64">
            <w:pPr>
              <w:widowControl/>
              <w:spacing w:line="240" w:lineRule="auto"/>
              <w:ind w:firstLine="0" w:firstLineChars="0"/>
              <w:jc w:val="center"/>
              <w:rPr>
                <w:rFonts w:eastAsia="仿宋_GB2312"/>
                <w:sz w:val="18"/>
                <w:szCs w:val="18"/>
              </w:rPr>
            </w:pPr>
            <w:r>
              <w:rPr>
                <w:rFonts w:eastAsia="仿宋_GB2312"/>
                <w:sz w:val="18"/>
                <w:szCs w:val="18"/>
              </w:rPr>
              <w:t>4870</w:t>
            </w:r>
          </w:p>
        </w:tc>
        <w:tc>
          <w:tcPr>
            <w:tcW w:w="1159" w:type="dxa"/>
            <w:tcBorders>
              <w:top w:val="nil"/>
              <w:left w:val="nil"/>
              <w:bottom w:val="single" w:color="auto" w:sz="4" w:space="0"/>
              <w:right w:val="single" w:color="auto" w:sz="4" w:space="0"/>
            </w:tcBorders>
            <w:vAlign w:val="center"/>
          </w:tcPr>
          <w:p w14:paraId="09BD6CF9">
            <w:pPr>
              <w:widowControl/>
              <w:spacing w:line="240" w:lineRule="auto"/>
              <w:ind w:firstLine="0" w:firstLineChars="0"/>
              <w:jc w:val="center"/>
              <w:rPr>
                <w:rFonts w:eastAsia="仿宋_GB2312"/>
                <w:sz w:val="18"/>
                <w:szCs w:val="18"/>
              </w:rPr>
            </w:pPr>
            <w:r>
              <w:rPr>
                <w:rFonts w:eastAsia="仿宋_GB2312"/>
                <w:sz w:val="18"/>
                <w:szCs w:val="18"/>
              </w:rPr>
              <w:t>106</w:t>
            </w:r>
          </w:p>
        </w:tc>
        <w:tc>
          <w:tcPr>
            <w:tcW w:w="845" w:type="dxa"/>
            <w:tcBorders>
              <w:top w:val="nil"/>
              <w:left w:val="nil"/>
              <w:bottom w:val="single" w:color="auto" w:sz="4" w:space="0"/>
              <w:right w:val="single" w:color="auto" w:sz="4" w:space="0"/>
            </w:tcBorders>
            <w:vAlign w:val="center"/>
          </w:tcPr>
          <w:p w14:paraId="025BC9BB">
            <w:pPr>
              <w:widowControl/>
              <w:spacing w:line="240" w:lineRule="auto"/>
              <w:ind w:firstLine="0" w:firstLineChars="0"/>
              <w:jc w:val="center"/>
              <w:rPr>
                <w:rFonts w:eastAsia="仿宋_GB2312"/>
                <w:sz w:val="18"/>
                <w:szCs w:val="18"/>
              </w:rPr>
            </w:pPr>
            <w:r>
              <w:rPr>
                <w:rFonts w:eastAsia="仿宋_GB2312"/>
                <w:sz w:val="18"/>
                <w:szCs w:val="18"/>
              </w:rPr>
              <w:t>91</w:t>
            </w:r>
          </w:p>
        </w:tc>
        <w:tc>
          <w:tcPr>
            <w:tcW w:w="842" w:type="dxa"/>
            <w:tcBorders>
              <w:top w:val="nil"/>
              <w:left w:val="nil"/>
              <w:bottom w:val="single" w:color="auto" w:sz="4" w:space="0"/>
              <w:right w:val="single" w:color="auto" w:sz="4" w:space="0"/>
            </w:tcBorders>
            <w:vAlign w:val="center"/>
          </w:tcPr>
          <w:p w14:paraId="7EFFB1EF">
            <w:pPr>
              <w:widowControl/>
              <w:spacing w:line="240" w:lineRule="auto"/>
              <w:ind w:firstLine="0" w:firstLineChars="0"/>
              <w:jc w:val="center"/>
              <w:rPr>
                <w:rFonts w:eastAsia="仿宋_GB2312"/>
                <w:sz w:val="18"/>
                <w:szCs w:val="18"/>
              </w:rPr>
            </w:pPr>
            <w:r>
              <w:rPr>
                <w:rFonts w:eastAsia="仿宋_GB2312"/>
                <w:sz w:val="18"/>
                <w:szCs w:val="18"/>
              </w:rPr>
              <w:t>86</w:t>
            </w:r>
          </w:p>
        </w:tc>
        <w:tc>
          <w:tcPr>
            <w:tcW w:w="839" w:type="dxa"/>
            <w:tcBorders>
              <w:top w:val="nil"/>
              <w:left w:val="nil"/>
              <w:bottom w:val="single" w:color="auto" w:sz="4" w:space="0"/>
              <w:right w:val="single" w:color="auto" w:sz="4" w:space="0"/>
            </w:tcBorders>
            <w:vAlign w:val="center"/>
          </w:tcPr>
          <w:p w14:paraId="73D4F0F7">
            <w:pPr>
              <w:widowControl/>
              <w:spacing w:line="240" w:lineRule="auto"/>
              <w:ind w:firstLine="0" w:firstLineChars="0"/>
              <w:jc w:val="center"/>
              <w:rPr>
                <w:rFonts w:eastAsia="仿宋_GB2312"/>
                <w:sz w:val="18"/>
                <w:szCs w:val="18"/>
              </w:rPr>
            </w:pPr>
            <w:r>
              <w:rPr>
                <w:rFonts w:eastAsia="仿宋_GB2312"/>
                <w:sz w:val="18"/>
                <w:szCs w:val="18"/>
              </w:rPr>
              <w:t>82</w:t>
            </w:r>
          </w:p>
        </w:tc>
        <w:tc>
          <w:tcPr>
            <w:tcW w:w="800" w:type="dxa"/>
            <w:tcBorders>
              <w:top w:val="nil"/>
              <w:left w:val="nil"/>
              <w:bottom w:val="single" w:color="auto" w:sz="4" w:space="0"/>
              <w:right w:val="single" w:color="auto" w:sz="4" w:space="0"/>
            </w:tcBorders>
            <w:vAlign w:val="center"/>
          </w:tcPr>
          <w:p w14:paraId="70EAE33F">
            <w:pPr>
              <w:widowControl/>
              <w:spacing w:line="240" w:lineRule="auto"/>
              <w:ind w:firstLine="0" w:firstLineChars="0"/>
              <w:jc w:val="center"/>
              <w:rPr>
                <w:rFonts w:eastAsia="仿宋_GB2312"/>
                <w:sz w:val="18"/>
                <w:szCs w:val="18"/>
              </w:rPr>
            </w:pPr>
            <w:r>
              <w:rPr>
                <w:rFonts w:eastAsia="仿宋_GB2312"/>
                <w:sz w:val="18"/>
                <w:szCs w:val="18"/>
              </w:rPr>
              <w:t>78</w:t>
            </w:r>
          </w:p>
        </w:tc>
        <w:tc>
          <w:tcPr>
            <w:tcW w:w="792" w:type="dxa"/>
            <w:tcBorders>
              <w:top w:val="nil"/>
              <w:left w:val="nil"/>
              <w:bottom w:val="single" w:color="auto" w:sz="4" w:space="0"/>
              <w:right w:val="single" w:color="auto" w:sz="4" w:space="0"/>
            </w:tcBorders>
            <w:vAlign w:val="center"/>
          </w:tcPr>
          <w:p w14:paraId="467B47C6">
            <w:pPr>
              <w:widowControl/>
              <w:spacing w:line="240" w:lineRule="auto"/>
              <w:ind w:firstLine="0" w:firstLineChars="0"/>
              <w:jc w:val="center"/>
              <w:rPr>
                <w:rFonts w:eastAsia="仿宋_GB2312"/>
                <w:sz w:val="18"/>
                <w:szCs w:val="18"/>
              </w:rPr>
            </w:pPr>
            <w:r>
              <w:rPr>
                <w:rFonts w:eastAsia="仿宋_GB2312"/>
                <w:sz w:val="18"/>
                <w:szCs w:val="18"/>
              </w:rPr>
              <w:t>74</w:t>
            </w:r>
          </w:p>
        </w:tc>
        <w:tc>
          <w:tcPr>
            <w:tcW w:w="1159" w:type="dxa"/>
            <w:tcBorders>
              <w:top w:val="nil"/>
              <w:left w:val="nil"/>
              <w:bottom w:val="single" w:color="auto" w:sz="4" w:space="0"/>
              <w:right w:val="single" w:color="auto" w:sz="4" w:space="0"/>
            </w:tcBorders>
            <w:vAlign w:val="center"/>
          </w:tcPr>
          <w:p w14:paraId="141FFC29">
            <w:pPr>
              <w:widowControl/>
              <w:spacing w:line="240" w:lineRule="auto"/>
              <w:ind w:firstLine="0" w:firstLineChars="0"/>
              <w:jc w:val="center"/>
              <w:rPr>
                <w:rFonts w:eastAsia="仿宋_GB2312"/>
                <w:sz w:val="18"/>
                <w:szCs w:val="18"/>
              </w:rPr>
            </w:pPr>
            <w:r>
              <w:rPr>
                <w:rFonts w:eastAsia="仿宋_GB2312"/>
                <w:sz w:val="18"/>
                <w:szCs w:val="18"/>
              </w:rPr>
              <w:t>34</w:t>
            </w:r>
          </w:p>
        </w:tc>
        <w:tc>
          <w:tcPr>
            <w:tcW w:w="723" w:type="dxa"/>
            <w:tcBorders>
              <w:top w:val="nil"/>
              <w:left w:val="nil"/>
              <w:bottom w:val="single" w:color="auto" w:sz="4" w:space="0"/>
              <w:right w:val="single" w:color="auto" w:sz="4" w:space="0"/>
            </w:tcBorders>
            <w:vAlign w:val="center"/>
          </w:tcPr>
          <w:p w14:paraId="352EB26B">
            <w:pPr>
              <w:widowControl/>
              <w:spacing w:line="240" w:lineRule="auto"/>
              <w:ind w:firstLine="0" w:firstLineChars="0"/>
              <w:jc w:val="center"/>
              <w:rPr>
                <w:rFonts w:eastAsia="仿宋_GB2312"/>
                <w:sz w:val="18"/>
                <w:szCs w:val="18"/>
              </w:rPr>
            </w:pPr>
            <w:r>
              <w:rPr>
                <w:rFonts w:eastAsia="仿宋_GB2312"/>
                <w:sz w:val="18"/>
                <w:szCs w:val="18"/>
              </w:rPr>
              <w:t>30</w:t>
            </w:r>
          </w:p>
        </w:tc>
        <w:tc>
          <w:tcPr>
            <w:tcW w:w="695" w:type="dxa"/>
            <w:tcBorders>
              <w:top w:val="nil"/>
              <w:left w:val="nil"/>
              <w:bottom w:val="single" w:color="auto" w:sz="4" w:space="0"/>
              <w:right w:val="single" w:color="auto" w:sz="4" w:space="0"/>
            </w:tcBorders>
            <w:vAlign w:val="center"/>
          </w:tcPr>
          <w:p w14:paraId="7CF95A03">
            <w:pPr>
              <w:widowControl/>
              <w:spacing w:line="240" w:lineRule="auto"/>
              <w:ind w:firstLine="0" w:firstLineChars="0"/>
              <w:jc w:val="center"/>
              <w:rPr>
                <w:rFonts w:eastAsia="仿宋_GB2312"/>
                <w:sz w:val="18"/>
                <w:szCs w:val="18"/>
              </w:rPr>
            </w:pPr>
            <w:r>
              <w:rPr>
                <w:rFonts w:eastAsia="仿宋_GB2312"/>
                <w:sz w:val="18"/>
                <w:szCs w:val="18"/>
              </w:rPr>
              <w:t>28</w:t>
            </w:r>
          </w:p>
        </w:tc>
        <w:tc>
          <w:tcPr>
            <w:tcW w:w="627" w:type="dxa"/>
            <w:tcBorders>
              <w:top w:val="nil"/>
              <w:left w:val="nil"/>
              <w:bottom w:val="single" w:color="auto" w:sz="4" w:space="0"/>
              <w:right w:val="single" w:color="auto" w:sz="4" w:space="0"/>
            </w:tcBorders>
            <w:vAlign w:val="center"/>
          </w:tcPr>
          <w:p w14:paraId="45D90E4D">
            <w:pPr>
              <w:widowControl/>
              <w:spacing w:line="240" w:lineRule="auto"/>
              <w:ind w:firstLine="0" w:firstLineChars="0"/>
              <w:jc w:val="center"/>
              <w:rPr>
                <w:rFonts w:eastAsia="仿宋_GB2312"/>
                <w:sz w:val="18"/>
                <w:szCs w:val="18"/>
              </w:rPr>
            </w:pPr>
            <w:r>
              <w:rPr>
                <w:rFonts w:eastAsia="仿宋_GB2312"/>
                <w:sz w:val="18"/>
                <w:szCs w:val="18"/>
              </w:rPr>
              <w:t>26</w:t>
            </w:r>
          </w:p>
        </w:tc>
        <w:tc>
          <w:tcPr>
            <w:tcW w:w="720" w:type="dxa"/>
            <w:tcBorders>
              <w:top w:val="nil"/>
              <w:left w:val="nil"/>
              <w:bottom w:val="single" w:color="auto" w:sz="4" w:space="0"/>
              <w:right w:val="single" w:color="auto" w:sz="4" w:space="0"/>
            </w:tcBorders>
            <w:vAlign w:val="center"/>
          </w:tcPr>
          <w:p w14:paraId="5AD52AFD">
            <w:pPr>
              <w:widowControl/>
              <w:spacing w:line="240" w:lineRule="auto"/>
              <w:ind w:firstLine="0" w:firstLineChars="0"/>
              <w:jc w:val="center"/>
              <w:rPr>
                <w:rFonts w:eastAsia="仿宋_GB2312"/>
                <w:sz w:val="18"/>
                <w:szCs w:val="18"/>
              </w:rPr>
            </w:pPr>
            <w:r>
              <w:rPr>
                <w:rFonts w:eastAsia="仿宋_GB2312"/>
                <w:sz w:val="18"/>
                <w:szCs w:val="18"/>
              </w:rPr>
              <w:t>25</w:t>
            </w:r>
          </w:p>
        </w:tc>
        <w:tc>
          <w:tcPr>
            <w:tcW w:w="720" w:type="dxa"/>
            <w:tcBorders>
              <w:top w:val="nil"/>
              <w:left w:val="nil"/>
              <w:bottom w:val="single" w:color="auto" w:sz="4" w:space="0"/>
              <w:right w:val="single" w:color="auto" w:sz="4" w:space="0"/>
            </w:tcBorders>
            <w:vAlign w:val="center"/>
          </w:tcPr>
          <w:p w14:paraId="01CA1048">
            <w:pPr>
              <w:widowControl/>
              <w:spacing w:line="240" w:lineRule="auto"/>
              <w:ind w:firstLine="0" w:firstLineChars="0"/>
              <w:jc w:val="center"/>
              <w:rPr>
                <w:rFonts w:eastAsia="仿宋_GB2312"/>
                <w:sz w:val="18"/>
                <w:szCs w:val="18"/>
              </w:rPr>
            </w:pPr>
            <w:r>
              <w:rPr>
                <w:rFonts w:eastAsia="仿宋_GB2312"/>
                <w:sz w:val="18"/>
                <w:szCs w:val="18"/>
              </w:rPr>
              <w:t>24</w:t>
            </w:r>
          </w:p>
        </w:tc>
        <w:tc>
          <w:tcPr>
            <w:tcW w:w="880" w:type="dxa"/>
            <w:tcBorders>
              <w:top w:val="nil"/>
              <w:left w:val="nil"/>
              <w:bottom w:val="single" w:color="auto" w:sz="4" w:space="0"/>
              <w:right w:val="single" w:color="auto" w:sz="4" w:space="0"/>
            </w:tcBorders>
            <w:vAlign w:val="center"/>
          </w:tcPr>
          <w:p w14:paraId="0368772C">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A735277">
            <w:pPr>
              <w:widowControl/>
              <w:spacing w:line="240" w:lineRule="auto"/>
              <w:ind w:firstLine="0" w:firstLineChars="0"/>
              <w:jc w:val="center"/>
              <w:rPr>
                <w:rFonts w:eastAsia="仿宋_GB2312"/>
                <w:sz w:val="18"/>
                <w:szCs w:val="18"/>
              </w:rPr>
            </w:pPr>
            <w:r>
              <w:rPr>
                <w:rFonts w:eastAsia="仿宋_GB2312"/>
                <w:sz w:val="18"/>
                <w:szCs w:val="18"/>
              </w:rPr>
              <w:t>80%</w:t>
            </w:r>
          </w:p>
        </w:tc>
      </w:tr>
      <w:tr w14:paraId="569464F5">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5C2E91D">
            <w:pPr>
              <w:widowControl/>
              <w:spacing w:line="240" w:lineRule="auto"/>
              <w:ind w:firstLine="0" w:firstLineChars="0"/>
              <w:jc w:val="center"/>
              <w:rPr>
                <w:rFonts w:eastAsia="仿宋_GB2312"/>
                <w:b/>
                <w:sz w:val="18"/>
                <w:szCs w:val="18"/>
              </w:rPr>
            </w:pPr>
            <w:r>
              <w:rPr>
                <w:rFonts w:hint="eastAsia" w:eastAsia="仿宋_GB2312"/>
                <w:b/>
                <w:sz w:val="18"/>
                <w:szCs w:val="18"/>
              </w:rPr>
              <w:t>横栏镇</w:t>
            </w:r>
          </w:p>
        </w:tc>
        <w:tc>
          <w:tcPr>
            <w:tcW w:w="936" w:type="dxa"/>
            <w:tcBorders>
              <w:top w:val="nil"/>
              <w:left w:val="nil"/>
              <w:bottom w:val="single" w:color="auto" w:sz="4" w:space="0"/>
              <w:right w:val="single" w:color="auto" w:sz="4" w:space="0"/>
            </w:tcBorders>
            <w:vAlign w:val="center"/>
          </w:tcPr>
          <w:p w14:paraId="53F59DD0">
            <w:pPr>
              <w:widowControl/>
              <w:spacing w:line="240" w:lineRule="auto"/>
              <w:ind w:firstLine="0" w:firstLineChars="0"/>
              <w:jc w:val="center"/>
              <w:rPr>
                <w:rFonts w:eastAsia="仿宋_GB2312"/>
                <w:sz w:val="18"/>
                <w:szCs w:val="18"/>
              </w:rPr>
            </w:pPr>
            <w:r>
              <w:rPr>
                <w:rFonts w:eastAsia="仿宋_GB2312"/>
                <w:sz w:val="18"/>
                <w:szCs w:val="18"/>
              </w:rPr>
              <w:t>8953</w:t>
            </w:r>
          </w:p>
        </w:tc>
        <w:tc>
          <w:tcPr>
            <w:tcW w:w="980" w:type="dxa"/>
            <w:tcBorders>
              <w:top w:val="nil"/>
              <w:left w:val="nil"/>
              <w:bottom w:val="single" w:color="auto" w:sz="4" w:space="0"/>
              <w:right w:val="single" w:color="auto" w:sz="4" w:space="0"/>
            </w:tcBorders>
            <w:vAlign w:val="center"/>
          </w:tcPr>
          <w:p w14:paraId="69CFBDDA">
            <w:pPr>
              <w:widowControl/>
              <w:spacing w:line="240" w:lineRule="auto"/>
              <w:ind w:firstLine="0" w:firstLineChars="0"/>
              <w:jc w:val="center"/>
              <w:rPr>
                <w:rFonts w:eastAsia="仿宋_GB2312"/>
                <w:sz w:val="18"/>
                <w:szCs w:val="18"/>
              </w:rPr>
            </w:pPr>
            <w:r>
              <w:rPr>
                <w:rFonts w:eastAsia="仿宋_GB2312"/>
                <w:sz w:val="18"/>
                <w:szCs w:val="18"/>
              </w:rPr>
              <w:t>3500</w:t>
            </w:r>
          </w:p>
        </w:tc>
        <w:tc>
          <w:tcPr>
            <w:tcW w:w="681" w:type="dxa"/>
            <w:tcBorders>
              <w:top w:val="nil"/>
              <w:left w:val="nil"/>
              <w:bottom w:val="single" w:color="auto" w:sz="4" w:space="0"/>
              <w:right w:val="single" w:color="auto" w:sz="4" w:space="0"/>
            </w:tcBorders>
            <w:vAlign w:val="center"/>
          </w:tcPr>
          <w:p w14:paraId="6377A106">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67442EBA">
            <w:pPr>
              <w:widowControl/>
              <w:spacing w:line="240" w:lineRule="auto"/>
              <w:ind w:firstLine="0" w:firstLineChars="0"/>
              <w:jc w:val="center"/>
              <w:rPr>
                <w:rFonts w:eastAsia="仿宋_GB2312"/>
                <w:sz w:val="18"/>
                <w:szCs w:val="18"/>
              </w:rPr>
            </w:pPr>
            <w:r>
              <w:rPr>
                <w:rFonts w:eastAsia="仿宋_GB2312"/>
                <w:sz w:val="18"/>
                <w:szCs w:val="18"/>
              </w:rPr>
              <w:t>5453</w:t>
            </w:r>
          </w:p>
        </w:tc>
        <w:tc>
          <w:tcPr>
            <w:tcW w:w="1159" w:type="dxa"/>
            <w:tcBorders>
              <w:top w:val="nil"/>
              <w:left w:val="nil"/>
              <w:bottom w:val="single" w:color="auto" w:sz="4" w:space="0"/>
              <w:right w:val="single" w:color="auto" w:sz="4" w:space="0"/>
            </w:tcBorders>
            <w:vAlign w:val="center"/>
          </w:tcPr>
          <w:p w14:paraId="38D7D411">
            <w:pPr>
              <w:widowControl/>
              <w:spacing w:line="240" w:lineRule="auto"/>
              <w:ind w:firstLine="0" w:firstLineChars="0"/>
              <w:jc w:val="center"/>
              <w:rPr>
                <w:rFonts w:eastAsia="仿宋_GB2312"/>
                <w:sz w:val="18"/>
                <w:szCs w:val="18"/>
              </w:rPr>
            </w:pPr>
            <w:r>
              <w:rPr>
                <w:rFonts w:eastAsia="仿宋_GB2312"/>
                <w:sz w:val="18"/>
                <w:szCs w:val="18"/>
              </w:rPr>
              <w:t>226</w:t>
            </w:r>
          </w:p>
        </w:tc>
        <w:tc>
          <w:tcPr>
            <w:tcW w:w="845" w:type="dxa"/>
            <w:tcBorders>
              <w:top w:val="nil"/>
              <w:left w:val="nil"/>
              <w:bottom w:val="single" w:color="auto" w:sz="4" w:space="0"/>
              <w:right w:val="single" w:color="auto" w:sz="4" w:space="0"/>
            </w:tcBorders>
            <w:vAlign w:val="center"/>
          </w:tcPr>
          <w:p w14:paraId="63AB285F">
            <w:pPr>
              <w:widowControl/>
              <w:spacing w:line="240" w:lineRule="auto"/>
              <w:ind w:firstLine="0" w:firstLineChars="0"/>
              <w:jc w:val="center"/>
              <w:rPr>
                <w:rFonts w:eastAsia="仿宋_GB2312"/>
                <w:sz w:val="18"/>
                <w:szCs w:val="18"/>
              </w:rPr>
            </w:pPr>
            <w:r>
              <w:rPr>
                <w:rFonts w:eastAsia="仿宋_GB2312"/>
                <w:sz w:val="18"/>
                <w:szCs w:val="18"/>
              </w:rPr>
              <w:t>194</w:t>
            </w:r>
          </w:p>
        </w:tc>
        <w:tc>
          <w:tcPr>
            <w:tcW w:w="842" w:type="dxa"/>
            <w:tcBorders>
              <w:top w:val="nil"/>
              <w:left w:val="nil"/>
              <w:bottom w:val="single" w:color="auto" w:sz="4" w:space="0"/>
              <w:right w:val="single" w:color="auto" w:sz="4" w:space="0"/>
            </w:tcBorders>
            <w:vAlign w:val="center"/>
          </w:tcPr>
          <w:p w14:paraId="4C0636D7">
            <w:pPr>
              <w:widowControl/>
              <w:spacing w:line="240" w:lineRule="auto"/>
              <w:ind w:firstLine="0" w:firstLineChars="0"/>
              <w:jc w:val="center"/>
              <w:rPr>
                <w:rFonts w:eastAsia="仿宋_GB2312"/>
                <w:sz w:val="18"/>
                <w:szCs w:val="18"/>
              </w:rPr>
            </w:pPr>
            <w:r>
              <w:rPr>
                <w:rFonts w:eastAsia="仿宋_GB2312"/>
                <w:sz w:val="18"/>
                <w:szCs w:val="18"/>
              </w:rPr>
              <w:t>184</w:t>
            </w:r>
          </w:p>
        </w:tc>
        <w:tc>
          <w:tcPr>
            <w:tcW w:w="839" w:type="dxa"/>
            <w:tcBorders>
              <w:top w:val="nil"/>
              <w:left w:val="nil"/>
              <w:bottom w:val="single" w:color="auto" w:sz="4" w:space="0"/>
              <w:right w:val="single" w:color="auto" w:sz="4" w:space="0"/>
            </w:tcBorders>
            <w:vAlign w:val="center"/>
          </w:tcPr>
          <w:p w14:paraId="741A7E44">
            <w:pPr>
              <w:widowControl/>
              <w:spacing w:line="240" w:lineRule="auto"/>
              <w:ind w:firstLine="0" w:firstLineChars="0"/>
              <w:jc w:val="center"/>
              <w:rPr>
                <w:rFonts w:eastAsia="仿宋_GB2312"/>
                <w:sz w:val="18"/>
                <w:szCs w:val="18"/>
              </w:rPr>
            </w:pPr>
            <w:r>
              <w:rPr>
                <w:rFonts w:eastAsia="仿宋_GB2312"/>
                <w:sz w:val="18"/>
                <w:szCs w:val="18"/>
              </w:rPr>
              <w:t>175</w:t>
            </w:r>
          </w:p>
        </w:tc>
        <w:tc>
          <w:tcPr>
            <w:tcW w:w="800" w:type="dxa"/>
            <w:tcBorders>
              <w:top w:val="nil"/>
              <w:left w:val="nil"/>
              <w:bottom w:val="single" w:color="auto" w:sz="4" w:space="0"/>
              <w:right w:val="single" w:color="auto" w:sz="4" w:space="0"/>
            </w:tcBorders>
            <w:vAlign w:val="center"/>
          </w:tcPr>
          <w:p w14:paraId="11D7EB74">
            <w:pPr>
              <w:widowControl/>
              <w:spacing w:line="240" w:lineRule="auto"/>
              <w:ind w:firstLine="0" w:firstLineChars="0"/>
              <w:jc w:val="center"/>
              <w:rPr>
                <w:rFonts w:eastAsia="仿宋_GB2312"/>
                <w:sz w:val="18"/>
                <w:szCs w:val="18"/>
              </w:rPr>
            </w:pPr>
            <w:r>
              <w:rPr>
                <w:rFonts w:eastAsia="仿宋_GB2312"/>
                <w:sz w:val="18"/>
                <w:szCs w:val="18"/>
              </w:rPr>
              <w:t>166</w:t>
            </w:r>
          </w:p>
        </w:tc>
        <w:tc>
          <w:tcPr>
            <w:tcW w:w="792" w:type="dxa"/>
            <w:tcBorders>
              <w:top w:val="nil"/>
              <w:left w:val="nil"/>
              <w:bottom w:val="single" w:color="auto" w:sz="4" w:space="0"/>
              <w:right w:val="single" w:color="auto" w:sz="4" w:space="0"/>
            </w:tcBorders>
            <w:vAlign w:val="center"/>
          </w:tcPr>
          <w:p w14:paraId="2E567AAE">
            <w:pPr>
              <w:widowControl/>
              <w:spacing w:line="240" w:lineRule="auto"/>
              <w:ind w:firstLine="0" w:firstLineChars="0"/>
              <w:jc w:val="center"/>
              <w:rPr>
                <w:rFonts w:eastAsia="仿宋_GB2312"/>
                <w:sz w:val="18"/>
                <w:szCs w:val="18"/>
              </w:rPr>
            </w:pPr>
            <w:r>
              <w:rPr>
                <w:rFonts w:eastAsia="仿宋_GB2312"/>
                <w:sz w:val="18"/>
                <w:szCs w:val="18"/>
              </w:rPr>
              <w:t>158</w:t>
            </w:r>
          </w:p>
        </w:tc>
        <w:tc>
          <w:tcPr>
            <w:tcW w:w="1159" w:type="dxa"/>
            <w:tcBorders>
              <w:top w:val="nil"/>
              <w:left w:val="nil"/>
              <w:bottom w:val="single" w:color="auto" w:sz="4" w:space="0"/>
              <w:right w:val="single" w:color="auto" w:sz="4" w:space="0"/>
            </w:tcBorders>
            <w:vAlign w:val="center"/>
          </w:tcPr>
          <w:p w14:paraId="1B60CEFA">
            <w:pPr>
              <w:widowControl/>
              <w:spacing w:line="240" w:lineRule="auto"/>
              <w:ind w:firstLine="0" w:firstLineChars="0"/>
              <w:jc w:val="center"/>
              <w:rPr>
                <w:rFonts w:eastAsia="仿宋_GB2312"/>
                <w:sz w:val="18"/>
                <w:szCs w:val="18"/>
              </w:rPr>
            </w:pPr>
            <w:r>
              <w:rPr>
                <w:rFonts w:eastAsia="仿宋_GB2312"/>
                <w:sz w:val="18"/>
                <w:szCs w:val="18"/>
              </w:rPr>
              <w:t>37</w:t>
            </w:r>
          </w:p>
        </w:tc>
        <w:tc>
          <w:tcPr>
            <w:tcW w:w="723" w:type="dxa"/>
            <w:tcBorders>
              <w:top w:val="nil"/>
              <w:left w:val="nil"/>
              <w:bottom w:val="single" w:color="auto" w:sz="4" w:space="0"/>
              <w:right w:val="single" w:color="auto" w:sz="4" w:space="0"/>
            </w:tcBorders>
            <w:vAlign w:val="center"/>
          </w:tcPr>
          <w:p w14:paraId="0D9EE120">
            <w:pPr>
              <w:widowControl/>
              <w:spacing w:line="240" w:lineRule="auto"/>
              <w:ind w:firstLine="0" w:firstLineChars="0"/>
              <w:jc w:val="center"/>
              <w:rPr>
                <w:rFonts w:eastAsia="仿宋_GB2312"/>
                <w:sz w:val="18"/>
                <w:szCs w:val="18"/>
              </w:rPr>
            </w:pPr>
            <w:r>
              <w:rPr>
                <w:rFonts w:eastAsia="仿宋_GB2312"/>
                <w:sz w:val="18"/>
                <w:szCs w:val="18"/>
              </w:rPr>
              <w:t>34</w:t>
            </w:r>
          </w:p>
        </w:tc>
        <w:tc>
          <w:tcPr>
            <w:tcW w:w="695" w:type="dxa"/>
            <w:tcBorders>
              <w:top w:val="nil"/>
              <w:left w:val="nil"/>
              <w:bottom w:val="single" w:color="auto" w:sz="4" w:space="0"/>
              <w:right w:val="single" w:color="auto" w:sz="4" w:space="0"/>
            </w:tcBorders>
            <w:vAlign w:val="center"/>
          </w:tcPr>
          <w:p w14:paraId="6D1A23BA">
            <w:pPr>
              <w:widowControl/>
              <w:spacing w:line="240" w:lineRule="auto"/>
              <w:ind w:firstLine="0" w:firstLineChars="0"/>
              <w:jc w:val="center"/>
              <w:rPr>
                <w:rFonts w:eastAsia="仿宋_GB2312"/>
                <w:sz w:val="18"/>
                <w:szCs w:val="18"/>
              </w:rPr>
            </w:pPr>
            <w:r>
              <w:rPr>
                <w:rFonts w:eastAsia="仿宋_GB2312"/>
                <w:sz w:val="18"/>
                <w:szCs w:val="18"/>
              </w:rPr>
              <w:t>31</w:t>
            </w:r>
          </w:p>
        </w:tc>
        <w:tc>
          <w:tcPr>
            <w:tcW w:w="627" w:type="dxa"/>
            <w:tcBorders>
              <w:top w:val="nil"/>
              <w:left w:val="nil"/>
              <w:bottom w:val="single" w:color="auto" w:sz="4" w:space="0"/>
              <w:right w:val="single" w:color="auto" w:sz="4" w:space="0"/>
            </w:tcBorders>
            <w:vAlign w:val="center"/>
          </w:tcPr>
          <w:p w14:paraId="3950839E">
            <w:pPr>
              <w:widowControl/>
              <w:spacing w:line="240" w:lineRule="auto"/>
              <w:ind w:firstLine="0" w:firstLineChars="0"/>
              <w:jc w:val="center"/>
              <w:rPr>
                <w:rFonts w:eastAsia="仿宋_GB2312"/>
                <w:sz w:val="18"/>
                <w:szCs w:val="18"/>
              </w:rPr>
            </w:pPr>
            <w:r>
              <w:rPr>
                <w:rFonts w:eastAsia="仿宋_GB2312"/>
                <w:sz w:val="18"/>
                <w:szCs w:val="18"/>
              </w:rPr>
              <w:t>28</w:t>
            </w:r>
          </w:p>
        </w:tc>
        <w:tc>
          <w:tcPr>
            <w:tcW w:w="720" w:type="dxa"/>
            <w:tcBorders>
              <w:top w:val="nil"/>
              <w:left w:val="nil"/>
              <w:bottom w:val="single" w:color="auto" w:sz="4" w:space="0"/>
              <w:right w:val="single" w:color="auto" w:sz="4" w:space="0"/>
            </w:tcBorders>
            <w:vAlign w:val="center"/>
          </w:tcPr>
          <w:p w14:paraId="0FFDBA36">
            <w:pPr>
              <w:widowControl/>
              <w:spacing w:line="240" w:lineRule="auto"/>
              <w:ind w:firstLine="0" w:firstLineChars="0"/>
              <w:jc w:val="center"/>
              <w:rPr>
                <w:rFonts w:eastAsia="仿宋_GB2312"/>
                <w:sz w:val="18"/>
                <w:szCs w:val="18"/>
              </w:rPr>
            </w:pPr>
            <w:r>
              <w:rPr>
                <w:rFonts w:eastAsia="仿宋_GB2312"/>
                <w:sz w:val="18"/>
                <w:szCs w:val="18"/>
              </w:rPr>
              <w:t>26</w:t>
            </w:r>
          </w:p>
        </w:tc>
        <w:tc>
          <w:tcPr>
            <w:tcW w:w="720" w:type="dxa"/>
            <w:tcBorders>
              <w:top w:val="nil"/>
              <w:left w:val="nil"/>
              <w:bottom w:val="single" w:color="auto" w:sz="4" w:space="0"/>
              <w:right w:val="single" w:color="auto" w:sz="4" w:space="0"/>
            </w:tcBorders>
            <w:vAlign w:val="center"/>
          </w:tcPr>
          <w:p w14:paraId="1A09C2EA">
            <w:pPr>
              <w:widowControl/>
              <w:spacing w:line="240" w:lineRule="auto"/>
              <w:ind w:firstLine="0" w:firstLineChars="0"/>
              <w:jc w:val="center"/>
              <w:rPr>
                <w:rFonts w:eastAsia="仿宋_GB2312"/>
                <w:sz w:val="18"/>
                <w:szCs w:val="18"/>
              </w:rPr>
            </w:pPr>
            <w:r>
              <w:rPr>
                <w:rFonts w:eastAsia="仿宋_GB2312"/>
                <w:sz w:val="18"/>
                <w:szCs w:val="18"/>
              </w:rPr>
              <w:t>25</w:t>
            </w:r>
          </w:p>
        </w:tc>
        <w:tc>
          <w:tcPr>
            <w:tcW w:w="880" w:type="dxa"/>
            <w:tcBorders>
              <w:top w:val="nil"/>
              <w:left w:val="nil"/>
              <w:bottom w:val="single" w:color="auto" w:sz="4" w:space="0"/>
              <w:right w:val="single" w:color="auto" w:sz="4" w:space="0"/>
            </w:tcBorders>
            <w:vAlign w:val="center"/>
          </w:tcPr>
          <w:p w14:paraId="3416AA72">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3518B2B6">
            <w:pPr>
              <w:widowControl/>
              <w:spacing w:line="240" w:lineRule="auto"/>
              <w:ind w:firstLine="0" w:firstLineChars="0"/>
              <w:jc w:val="center"/>
              <w:rPr>
                <w:rFonts w:eastAsia="仿宋_GB2312"/>
                <w:sz w:val="18"/>
                <w:szCs w:val="18"/>
              </w:rPr>
            </w:pPr>
            <w:r>
              <w:rPr>
                <w:rFonts w:eastAsia="仿宋_GB2312"/>
                <w:sz w:val="18"/>
                <w:szCs w:val="18"/>
              </w:rPr>
              <w:t>80%</w:t>
            </w:r>
          </w:p>
        </w:tc>
      </w:tr>
      <w:tr w14:paraId="3FB0EA43">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F848D10">
            <w:pPr>
              <w:widowControl/>
              <w:spacing w:line="240" w:lineRule="auto"/>
              <w:ind w:firstLine="0" w:firstLineChars="0"/>
              <w:jc w:val="center"/>
              <w:rPr>
                <w:rFonts w:eastAsia="仿宋_GB2312"/>
                <w:sz w:val="18"/>
                <w:szCs w:val="18"/>
              </w:rPr>
            </w:pPr>
            <w:r>
              <w:rPr>
                <w:rFonts w:hint="eastAsia" w:eastAsia="仿宋_GB2312"/>
                <w:b/>
                <w:sz w:val="18"/>
                <w:szCs w:val="18"/>
              </w:rPr>
              <w:t>南头镇</w:t>
            </w:r>
          </w:p>
        </w:tc>
        <w:tc>
          <w:tcPr>
            <w:tcW w:w="936" w:type="dxa"/>
            <w:tcBorders>
              <w:top w:val="nil"/>
              <w:left w:val="nil"/>
              <w:bottom w:val="single" w:color="auto" w:sz="4" w:space="0"/>
              <w:right w:val="single" w:color="auto" w:sz="4" w:space="0"/>
            </w:tcBorders>
            <w:vAlign w:val="center"/>
          </w:tcPr>
          <w:p w14:paraId="52457904">
            <w:pPr>
              <w:widowControl/>
              <w:spacing w:line="240" w:lineRule="auto"/>
              <w:ind w:firstLine="0" w:firstLineChars="0"/>
              <w:jc w:val="center"/>
              <w:rPr>
                <w:rFonts w:eastAsia="仿宋_GB2312"/>
                <w:sz w:val="18"/>
                <w:szCs w:val="18"/>
              </w:rPr>
            </w:pPr>
            <w:r>
              <w:rPr>
                <w:rFonts w:eastAsia="仿宋_GB2312"/>
                <w:sz w:val="18"/>
                <w:szCs w:val="18"/>
              </w:rPr>
              <w:t>3154</w:t>
            </w:r>
          </w:p>
        </w:tc>
        <w:tc>
          <w:tcPr>
            <w:tcW w:w="980" w:type="dxa"/>
            <w:tcBorders>
              <w:top w:val="nil"/>
              <w:left w:val="nil"/>
              <w:bottom w:val="single" w:color="auto" w:sz="4" w:space="0"/>
              <w:right w:val="single" w:color="auto" w:sz="4" w:space="0"/>
            </w:tcBorders>
            <w:vAlign w:val="center"/>
          </w:tcPr>
          <w:p w14:paraId="37A47EC6">
            <w:pPr>
              <w:widowControl/>
              <w:spacing w:line="240" w:lineRule="auto"/>
              <w:ind w:firstLine="0" w:firstLineChars="0"/>
              <w:jc w:val="center"/>
              <w:rPr>
                <w:rFonts w:eastAsia="仿宋_GB2312"/>
                <w:sz w:val="18"/>
                <w:szCs w:val="18"/>
              </w:rPr>
            </w:pPr>
            <w:r>
              <w:rPr>
                <w:rFonts w:eastAsia="仿宋_GB2312"/>
                <w:sz w:val="18"/>
                <w:szCs w:val="18"/>
              </w:rPr>
              <w:t>3000</w:t>
            </w:r>
          </w:p>
        </w:tc>
        <w:tc>
          <w:tcPr>
            <w:tcW w:w="681" w:type="dxa"/>
            <w:tcBorders>
              <w:top w:val="nil"/>
              <w:left w:val="nil"/>
              <w:bottom w:val="single" w:color="auto" w:sz="4" w:space="0"/>
              <w:right w:val="single" w:color="auto" w:sz="4" w:space="0"/>
            </w:tcBorders>
            <w:vAlign w:val="center"/>
          </w:tcPr>
          <w:p w14:paraId="65B9D5E0">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02A65A99">
            <w:pPr>
              <w:widowControl/>
              <w:spacing w:line="240" w:lineRule="auto"/>
              <w:ind w:firstLine="0" w:firstLineChars="0"/>
              <w:jc w:val="center"/>
              <w:rPr>
                <w:rFonts w:eastAsia="仿宋_GB2312"/>
                <w:sz w:val="18"/>
                <w:szCs w:val="18"/>
              </w:rPr>
            </w:pPr>
            <w:r>
              <w:rPr>
                <w:rFonts w:eastAsia="仿宋_GB2312"/>
                <w:sz w:val="18"/>
                <w:szCs w:val="18"/>
              </w:rPr>
              <w:t>154</w:t>
            </w:r>
          </w:p>
        </w:tc>
        <w:tc>
          <w:tcPr>
            <w:tcW w:w="1159" w:type="dxa"/>
            <w:tcBorders>
              <w:top w:val="nil"/>
              <w:left w:val="nil"/>
              <w:bottom w:val="single" w:color="auto" w:sz="4" w:space="0"/>
              <w:right w:val="single" w:color="auto" w:sz="4" w:space="0"/>
            </w:tcBorders>
            <w:vAlign w:val="center"/>
          </w:tcPr>
          <w:p w14:paraId="27B3A80B">
            <w:pPr>
              <w:widowControl/>
              <w:spacing w:line="240" w:lineRule="auto"/>
              <w:ind w:firstLine="0" w:firstLineChars="0"/>
              <w:jc w:val="center"/>
              <w:rPr>
                <w:rFonts w:eastAsia="仿宋_GB2312"/>
                <w:sz w:val="18"/>
                <w:szCs w:val="18"/>
              </w:rPr>
            </w:pPr>
            <w:r>
              <w:rPr>
                <w:rFonts w:eastAsia="仿宋_GB2312"/>
                <w:sz w:val="18"/>
                <w:szCs w:val="18"/>
              </w:rPr>
              <w:t>19</w:t>
            </w:r>
          </w:p>
        </w:tc>
        <w:tc>
          <w:tcPr>
            <w:tcW w:w="845" w:type="dxa"/>
            <w:tcBorders>
              <w:top w:val="nil"/>
              <w:left w:val="nil"/>
              <w:bottom w:val="single" w:color="auto" w:sz="4" w:space="0"/>
              <w:right w:val="single" w:color="auto" w:sz="4" w:space="0"/>
            </w:tcBorders>
            <w:vAlign w:val="center"/>
          </w:tcPr>
          <w:p w14:paraId="22E74F10">
            <w:pPr>
              <w:widowControl/>
              <w:spacing w:line="240" w:lineRule="auto"/>
              <w:ind w:firstLine="0" w:firstLineChars="0"/>
              <w:jc w:val="center"/>
              <w:rPr>
                <w:rFonts w:eastAsia="仿宋_GB2312"/>
                <w:sz w:val="18"/>
                <w:szCs w:val="18"/>
              </w:rPr>
            </w:pPr>
            <w:r>
              <w:rPr>
                <w:rFonts w:eastAsia="仿宋_GB2312"/>
                <w:sz w:val="18"/>
                <w:szCs w:val="18"/>
              </w:rPr>
              <w:t>17</w:t>
            </w:r>
          </w:p>
        </w:tc>
        <w:tc>
          <w:tcPr>
            <w:tcW w:w="842" w:type="dxa"/>
            <w:tcBorders>
              <w:top w:val="nil"/>
              <w:left w:val="nil"/>
              <w:bottom w:val="single" w:color="auto" w:sz="4" w:space="0"/>
              <w:right w:val="single" w:color="auto" w:sz="4" w:space="0"/>
            </w:tcBorders>
            <w:vAlign w:val="center"/>
          </w:tcPr>
          <w:p w14:paraId="1364DF06">
            <w:pPr>
              <w:widowControl/>
              <w:spacing w:line="240" w:lineRule="auto"/>
              <w:ind w:firstLine="0" w:firstLineChars="0"/>
              <w:jc w:val="center"/>
              <w:rPr>
                <w:rFonts w:eastAsia="仿宋_GB2312"/>
                <w:sz w:val="18"/>
                <w:szCs w:val="18"/>
              </w:rPr>
            </w:pPr>
            <w:r>
              <w:rPr>
                <w:rFonts w:eastAsia="仿宋_GB2312"/>
                <w:sz w:val="18"/>
                <w:szCs w:val="18"/>
              </w:rPr>
              <w:t>16</w:t>
            </w:r>
          </w:p>
        </w:tc>
        <w:tc>
          <w:tcPr>
            <w:tcW w:w="839" w:type="dxa"/>
            <w:tcBorders>
              <w:top w:val="nil"/>
              <w:left w:val="nil"/>
              <w:bottom w:val="single" w:color="auto" w:sz="4" w:space="0"/>
              <w:right w:val="single" w:color="auto" w:sz="4" w:space="0"/>
            </w:tcBorders>
            <w:vAlign w:val="center"/>
          </w:tcPr>
          <w:p w14:paraId="42E99688">
            <w:pPr>
              <w:widowControl/>
              <w:spacing w:line="240" w:lineRule="auto"/>
              <w:ind w:firstLine="0" w:firstLineChars="0"/>
              <w:jc w:val="center"/>
              <w:rPr>
                <w:rFonts w:eastAsia="仿宋_GB2312"/>
                <w:sz w:val="18"/>
                <w:szCs w:val="18"/>
              </w:rPr>
            </w:pPr>
            <w:r>
              <w:rPr>
                <w:rFonts w:eastAsia="仿宋_GB2312"/>
                <w:sz w:val="18"/>
                <w:szCs w:val="18"/>
              </w:rPr>
              <w:t>15</w:t>
            </w:r>
          </w:p>
        </w:tc>
        <w:tc>
          <w:tcPr>
            <w:tcW w:w="800" w:type="dxa"/>
            <w:tcBorders>
              <w:top w:val="nil"/>
              <w:left w:val="nil"/>
              <w:bottom w:val="single" w:color="auto" w:sz="4" w:space="0"/>
              <w:right w:val="single" w:color="auto" w:sz="4" w:space="0"/>
            </w:tcBorders>
            <w:vAlign w:val="center"/>
          </w:tcPr>
          <w:p w14:paraId="0E4E2F4F">
            <w:pPr>
              <w:widowControl/>
              <w:spacing w:line="240" w:lineRule="auto"/>
              <w:ind w:firstLine="0" w:firstLineChars="0"/>
              <w:jc w:val="center"/>
              <w:rPr>
                <w:rFonts w:eastAsia="仿宋_GB2312"/>
                <w:sz w:val="18"/>
                <w:szCs w:val="18"/>
              </w:rPr>
            </w:pPr>
            <w:r>
              <w:rPr>
                <w:rFonts w:eastAsia="仿宋_GB2312"/>
                <w:sz w:val="18"/>
                <w:szCs w:val="18"/>
              </w:rPr>
              <w:t>14</w:t>
            </w:r>
          </w:p>
        </w:tc>
        <w:tc>
          <w:tcPr>
            <w:tcW w:w="792" w:type="dxa"/>
            <w:tcBorders>
              <w:top w:val="nil"/>
              <w:left w:val="nil"/>
              <w:bottom w:val="single" w:color="auto" w:sz="4" w:space="0"/>
              <w:right w:val="single" w:color="auto" w:sz="4" w:space="0"/>
            </w:tcBorders>
            <w:vAlign w:val="center"/>
          </w:tcPr>
          <w:p w14:paraId="4FA726AA">
            <w:pPr>
              <w:widowControl/>
              <w:spacing w:line="240" w:lineRule="auto"/>
              <w:ind w:firstLine="0" w:firstLineChars="0"/>
              <w:jc w:val="center"/>
              <w:rPr>
                <w:rFonts w:eastAsia="仿宋_GB2312"/>
                <w:sz w:val="18"/>
                <w:szCs w:val="18"/>
              </w:rPr>
            </w:pPr>
            <w:r>
              <w:rPr>
                <w:rFonts w:eastAsia="仿宋_GB2312"/>
                <w:sz w:val="18"/>
                <w:szCs w:val="18"/>
              </w:rPr>
              <w:t>14</w:t>
            </w:r>
          </w:p>
        </w:tc>
        <w:tc>
          <w:tcPr>
            <w:tcW w:w="1159" w:type="dxa"/>
            <w:tcBorders>
              <w:top w:val="nil"/>
              <w:left w:val="nil"/>
              <w:bottom w:val="single" w:color="auto" w:sz="4" w:space="0"/>
              <w:right w:val="single" w:color="auto" w:sz="4" w:space="0"/>
            </w:tcBorders>
            <w:vAlign w:val="center"/>
          </w:tcPr>
          <w:p w14:paraId="0C3E4017">
            <w:pPr>
              <w:widowControl/>
              <w:spacing w:line="240" w:lineRule="auto"/>
              <w:ind w:firstLine="0" w:firstLineChars="0"/>
              <w:jc w:val="center"/>
              <w:rPr>
                <w:rFonts w:eastAsia="仿宋_GB2312"/>
                <w:sz w:val="18"/>
                <w:szCs w:val="18"/>
              </w:rPr>
            </w:pPr>
            <w:r>
              <w:rPr>
                <w:rFonts w:eastAsia="仿宋_GB2312"/>
                <w:sz w:val="18"/>
                <w:szCs w:val="18"/>
              </w:rPr>
              <w:t>17</w:t>
            </w:r>
          </w:p>
        </w:tc>
        <w:tc>
          <w:tcPr>
            <w:tcW w:w="723" w:type="dxa"/>
            <w:tcBorders>
              <w:top w:val="nil"/>
              <w:left w:val="nil"/>
              <w:bottom w:val="single" w:color="auto" w:sz="4" w:space="0"/>
              <w:right w:val="single" w:color="auto" w:sz="4" w:space="0"/>
            </w:tcBorders>
            <w:vAlign w:val="center"/>
          </w:tcPr>
          <w:p w14:paraId="4C970D72">
            <w:pPr>
              <w:widowControl/>
              <w:spacing w:line="240" w:lineRule="auto"/>
              <w:ind w:firstLine="0" w:firstLineChars="0"/>
              <w:jc w:val="center"/>
              <w:rPr>
                <w:rFonts w:eastAsia="仿宋_GB2312"/>
                <w:sz w:val="18"/>
                <w:szCs w:val="18"/>
              </w:rPr>
            </w:pPr>
            <w:r>
              <w:rPr>
                <w:rFonts w:eastAsia="仿宋_GB2312"/>
                <w:sz w:val="18"/>
                <w:szCs w:val="18"/>
              </w:rPr>
              <w:t>16</w:t>
            </w:r>
          </w:p>
        </w:tc>
        <w:tc>
          <w:tcPr>
            <w:tcW w:w="695" w:type="dxa"/>
            <w:tcBorders>
              <w:top w:val="nil"/>
              <w:left w:val="nil"/>
              <w:bottom w:val="single" w:color="auto" w:sz="4" w:space="0"/>
              <w:right w:val="single" w:color="auto" w:sz="4" w:space="0"/>
            </w:tcBorders>
            <w:vAlign w:val="center"/>
          </w:tcPr>
          <w:p w14:paraId="57E184F9">
            <w:pPr>
              <w:widowControl/>
              <w:spacing w:line="240" w:lineRule="auto"/>
              <w:ind w:firstLine="0" w:firstLineChars="0"/>
              <w:jc w:val="center"/>
              <w:rPr>
                <w:rFonts w:eastAsia="仿宋_GB2312"/>
                <w:sz w:val="18"/>
                <w:szCs w:val="18"/>
              </w:rPr>
            </w:pPr>
            <w:r>
              <w:rPr>
                <w:rFonts w:eastAsia="仿宋_GB2312"/>
                <w:sz w:val="18"/>
                <w:szCs w:val="18"/>
              </w:rPr>
              <w:t>15</w:t>
            </w:r>
          </w:p>
        </w:tc>
        <w:tc>
          <w:tcPr>
            <w:tcW w:w="627" w:type="dxa"/>
            <w:tcBorders>
              <w:top w:val="nil"/>
              <w:left w:val="nil"/>
              <w:bottom w:val="single" w:color="auto" w:sz="4" w:space="0"/>
              <w:right w:val="single" w:color="auto" w:sz="4" w:space="0"/>
            </w:tcBorders>
            <w:vAlign w:val="center"/>
          </w:tcPr>
          <w:p w14:paraId="0D4739A0">
            <w:pPr>
              <w:widowControl/>
              <w:spacing w:line="240" w:lineRule="auto"/>
              <w:ind w:firstLine="0" w:firstLineChars="0"/>
              <w:jc w:val="center"/>
              <w:rPr>
                <w:rFonts w:eastAsia="仿宋_GB2312"/>
                <w:sz w:val="18"/>
                <w:szCs w:val="18"/>
              </w:rPr>
            </w:pPr>
            <w:r>
              <w:rPr>
                <w:rFonts w:eastAsia="仿宋_GB2312"/>
                <w:sz w:val="18"/>
                <w:szCs w:val="18"/>
              </w:rPr>
              <w:t>15</w:t>
            </w:r>
          </w:p>
        </w:tc>
        <w:tc>
          <w:tcPr>
            <w:tcW w:w="720" w:type="dxa"/>
            <w:tcBorders>
              <w:top w:val="nil"/>
              <w:left w:val="nil"/>
              <w:bottom w:val="single" w:color="auto" w:sz="4" w:space="0"/>
              <w:right w:val="single" w:color="auto" w:sz="4" w:space="0"/>
            </w:tcBorders>
            <w:vAlign w:val="center"/>
          </w:tcPr>
          <w:p w14:paraId="01134D39">
            <w:pPr>
              <w:widowControl/>
              <w:spacing w:line="240" w:lineRule="auto"/>
              <w:ind w:firstLine="0" w:firstLineChars="0"/>
              <w:jc w:val="center"/>
              <w:rPr>
                <w:rFonts w:eastAsia="仿宋_GB2312"/>
                <w:sz w:val="18"/>
                <w:szCs w:val="18"/>
              </w:rPr>
            </w:pPr>
            <w:r>
              <w:rPr>
                <w:rFonts w:eastAsia="仿宋_GB2312"/>
                <w:sz w:val="18"/>
                <w:szCs w:val="18"/>
              </w:rPr>
              <w:t>15</w:t>
            </w:r>
          </w:p>
        </w:tc>
        <w:tc>
          <w:tcPr>
            <w:tcW w:w="720" w:type="dxa"/>
            <w:tcBorders>
              <w:top w:val="nil"/>
              <w:left w:val="nil"/>
              <w:bottom w:val="single" w:color="auto" w:sz="4" w:space="0"/>
              <w:right w:val="single" w:color="auto" w:sz="4" w:space="0"/>
            </w:tcBorders>
            <w:vAlign w:val="center"/>
          </w:tcPr>
          <w:p w14:paraId="3BEDDB50">
            <w:pPr>
              <w:widowControl/>
              <w:spacing w:line="240" w:lineRule="auto"/>
              <w:ind w:firstLine="0" w:firstLineChars="0"/>
              <w:jc w:val="center"/>
              <w:rPr>
                <w:rFonts w:eastAsia="仿宋_GB2312"/>
                <w:sz w:val="18"/>
                <w:szCs w:val="18"/>
              </w:rPr>
            </w:pPr>
            <w:r>
              <w:rPr>
                <w:rFonts w:eastAsia="仿宋_GB2312"/>
                <w:sz w:val="18"/>
                <w:szCs w:val="18"/>
              </w:rPr>
              <w:t>15</w:t>
            </w:r>
          </w:p>
        </w:tc>
        <w:tc>
          <w:tcPr>
            <w:tcW w:w="880" w:type="dxa"/>
            <w:tcBorders>
              <w:top w:val="nil"/>
              <w:left w:val="nil"/>
              <w:bottom w:val="single" w:color="auto" w:sz="4" w:space="0"/>
              <w:right w:val="single" w:color="auto" w:sz="4" w:space="0"/>
            </w:tcBorders>
            <w:vAlign w:val="center"/>
          </w:tcPr>
          <w:p w14:paraId="01766EDB">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310849E8">
            <w:pPr>
              <w:widowControl/>
              <w:spacing w:line="240" w:lineRule="auto"/>
              <w:ind w:firstLine="0" w:firstLineChars="0"/>
              <w:jc w:val="center"/>
              <w:rPr>
                <w:rFonts w:eastAsia="仿宋_GB2312"/>
                <w:sz w:val="18"/>
                <w:szCs w:val="18"/>
              </w:rPr>
            </w:pPr>
            <w:r>
              <w:rPr>
                <w:rFonts w:eastAsia="仿宋_GB2312"/>
                <w:sz w:val="18"/>
                <w:szCs w:val="18"/>
              </w:rPr>
              <w:t>80%</w:t>
            </w:r>
          </w:p>
        </w:tc>
      </w:tr>
      <w:tr w14:paraId="34DE4680">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00315112">
            <w:pPr>
              <w:widowControl/>
              <w:spacing w:line="240" w:lineRule="auto"/>
              <w:ind w:firstLine="0" w:firstLineChars="0"/>
              <w:jc w:val="center"/>
              <w:rPr>
                <w:rFonts w:eastAsia="仿宋_GB2312"/>
                <w:b/>
                <w:sz w:val="18"/>
                <w:szCs w:val="18"/>
              </w:rPr>
            </w:pPr>
            <w:r>
              <w:rPr>
                <w:rFonts w:hint="eastAsia" w:eastAsia="仿宋_GB2312"/>
                <w:b/>
                <w:sz w:val="18"/>
                <w:szCs w:val="18"/>
              </w:rPr>
              <w:t>阜沙镇</w:t>
            </w:r>
          </w:p>
        </w:tc>
        <w:tc>
          <w:tcPr>
            <w:tcW w:w="936" w:type="dxa"/>
            <w:tcBorders>
              <w:top w:val="nil"/>
              <w:left w:val="nil"/>
              <w:bottom w:val="single" w:color="auto" w:sz="4" w:space="0"/>
              <w:right w:val="single" w:color="auto" w:sz="4" w:space="0"/>
            </w:tcBorders>
            <w:vAlign w:val="center"/>
          </w:tcPr>
          <w:p w14:paraId="627C5D0C">
            <w:pPr>
              <w:widowControl/>
              <w:spacing w:line="240" w:lineRule="auto"/>
              <w:ind w:firstLine="0" w:firstLineChars="0"/>
              <w:jc w:val="center"/>
              <w:rPr>
                <w:rFonts w:eastAsia="仿宋_GB2312"/>
                <w:sz w:val="18"/>
                <w:szCs w:val="18"/>
              </w:rPr>
            </w:pPr>
            <w:r>
              <w:rPr>
                <w:rFonts w:eastAsia="仿宋_GB2312"/>
                <w:sz w:val="18"/>
                <w:szCs w:val="18"/>
              </w:rPr>
              <w:t>4084</w:t>
            </w:r>
          </w:p>
        </w:tc>
        <w:tc>
          <w:tcPr>
            <w:tcW w:w="980" w:type="dxa"/>
            <w:tcBorders>
              <w:top w:val="nil"/>
              <w:left w:val="nil"/>
              <w:bottom w:val="single" w:color="auto" w:sz="4" w:space="0"/>
              <w:right w:val="single" w:color="auto" w:sz="4" w:space="0"/>
            </w:tcBorders>
            <w:vAlign w:val="center"/>
          </w:tcPr>
          <w:p w14:paraId="11D61438">
            <w:pPr>
              <w:widowControl/>
              <w:spacing w:line="240" w:lineRule="auto"/>
              <w:ind w:firstLine="0" w:firstLineChars="0"/>
              <w:jc w:val="center"/>
              <w:rPr>
                <w:rFonts w:eastAsia="仿宋_GB2312"/>
                <w:sz w:val="18"/>
                <w:szCs w:val="18"/>
              </w:rPr>
            </w:pPr>
            <w:r>
              <w:rPr>
                <w:rFonts w:eastAsia="仿宋_GB2312"/>
                <w:sz w:val="18"/>
                <w:szCs w:val="18"/>
              </w:rPr>
              <w:t>1800</w:t>
            </w:r>
          </w:p>
        </w:tc>
        <w:tc>
          <w:tcPr>
            <w:tcW w:w="681" w:type="dxa"/>
            <w:tcBorders>
              <w:top w:val="nil"/>
              <w:left w:val="nil"/>
              <w:bottom w:val="single" w:color="auto" w:sz="4" w:space="0"/>
              <w:right w:val="single" w:color="auto" w:sz="4" w:space="0"/>
            </w:tcBorders>
            <w:vAlign w:val="center"/>
          </w:tcPr>
          <w:p w14:paraId="69E1C6FF">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5134AA64">
            <w:pPr>
              <w:widowControl/>
              <w:spacing w:line="240" w:lineRule="auto"/>
              <w:ind w:firstLine="0" w:firstLineChars="0"/>
              <w:jc w:val="center"/>
              <w:rPr>
                <w:rFonts w:eastAsia="仿宋_GB2312"/>
                <w:sz w:val="18"/>
                <w:szCs w:val="18"/>
              </w:rPr>
            </w:pPr>
            <w:r>
              <w:rPr>
                <w:rFonts w:eastAsia="仿宋_GB2312"/>
                <w:sz w:val="18"/>
                <w:szCs w:val="18"/>
              </w:rPr>
              <w:t>2284</w:t>
            </w:r>
          </w:p>
        </w:tc>
        <w:tc>
          <w:tcPr>
            <w:tcW w:w="1159" w:type="dxa"/>
            <w:tcBorders>
              <w:top w:val="nil"/>
              <w:left w:val="nil"/>
              <w:bottom w:val="single" w:color="auto" w:sz="4" w:space="0"/>
              <w:right w:val="single" w:color="auto" w:sz="4" w:space="0"/>
            </w:tcBorders>
            <w:vAlign w:val="center"/>
          </w:tcPr>
          <w:p w14:paraId="3AE66DB1">
            <w:pPr>
              <w:widowControl/>
              <w:spacing w:line="240" w:lineRule="auto"/>
              <w:ind w:firstLine="0" w:firstLineChars="0"/>
              <w:jc w:val="center"/>
              <w:rPr>
                <w:rFonts w:eastAsia="仿宋_GB2312"/>
                <w:sz w:val="18"/>
                <w:szCs w:val="18"/>
              </w:rPr>
            </w:pPr>
            <w:r>
              <w:rPr>
                <w:rFonts w:eastAsia="仿宋_GB2312"/>
                <w:sz w:val="18"/>
                <w:szCs w:val="18"/>
              </w:rPr>
              <w:t>113</w:t>
            </w:r>
          </w:p>
        </w:tc>
        <w:tc>
          <w:tcPr>
            <w:tcW w:w="845" w:type="dxa"/>
            <w:tcBorders>
              <w:top w:val="nil"/>
              <w:left w:val="nil"/>
              <w:bottom w:val="single" w:color="auto" w:sz="4" w:space="0"/>
              <w:right w:val="single" w:color="auto" w:sz="4" w:space="0"/>
            </w:tcBorders>
            <w:vAlign w:val="center"/>
          </w:tcPr>
          <w:p w14:paraId="54A302E5">
            <w:pPr>
              <w:widowControl/>
              <w:spacing w:line="240" w:lineRule="auto"/>
              <w:ind w:firstLine="0" w:firstLineChars="0"/>
              <w:jc w:val="center"/>
              <w:rPr>
                <w:rFonts w:eastAsia="仿宋_GB2312"/>
                <w:sz w:val="18"/>
                <w:szCs w:val="18"/>
              </w:rPr>
            </w:pPr>
            <w:r>
              <w:rPr>
                <w:rFonts w:eastAsia="仿宋_GB2312"/>
                <w:sz w:val="18"/>
                <w:szCs w:val="18"/>
              </w:rPr>
              <w:t>97</w:t>
            </w:r>
          </w:p>
        </w:tc>
        <w:tc>
          <w:tcPr>
            <w:tcW w:w="842" w:type="dxa"/>
            <w:tcBorders>
              <w:top w:val="nil"/>
              <w:left w:val="nil"/>
              <w:bottom w:val="single" w:color="auto" w:sz="4" w:space="0"/>
              <w:right w:val="single" w:color="auto" w:sz="4" w:space="0"/>
            </w:tcBorders>
            <w:vAlign w:val="center"/>
          </w:tcPr>
          <w:p w14:paraId="5089434A">
            <w:pPr>
              <w:widowControl/>
              <w:spacing w:line="240" w:lineRule="auto"/>
              <w:ind w:firstLine="0" w:firstLineChars="0"/>
              <w:jc w:val="center"/>
              <w:rPr>
                <w:rFonts w:eastAsia="仿宋_GB2312"/>
                <w:sz w:val="18"/>
                <w:szCs w:val="18"/>
              </w:rPr>
            </w:pPr>
            <w:r>
              <w:rPr>
                <w:rFonts w:eastAsia="仿宋_GB2312"/>
                <w:sz w:val="18"/>
                <w:szCs w:val="18"/>
              </w:rPr>
              <w:t>92</w:t>
            </w:r>
          </w:p>
        </w:tc>
        <w:tc>
          <w:tcPr>
            <w:tcW w:w="839" w:type="dxa"/>
            <w:tcBorders>
              <w:top w:val="nil"/>
              <w:left w:val="nil"/>
              <w:bottom w:val="single" w:color="auto" w:sz="4" w:space="0"/>
              <w:right w:val="single" w:color="auto" w:sz="4" w:space="0"/>
            </w:tcBorders>
            <w:vAlign w:val="center"/>
          </w:tcPr>
          <w:p w14:paraId="0F1AB427">
            <w:pPr>
              <w:widowControl/>
              <w:spacing w:line="240" w:lineRule="auto"/>
              <w:ind w:firstLine="0" w:firstLineChars="0"/>
              <w:jc w:val="center"/>
              <w:rPr>
                <w:rFonts w:eastAsia="仿宋_GB2312"/>
                <w:sz w:val="18"/>
                <w:szCs w:val="18"/>
              </w:rPr>
            </w:pPr>
            <w:r>
              <w:rPr>
                <w:rFonts w:eastAsia="仿宋_GB2312"/>
                <w:sz w:val="18"/>
                <w:szCs w:val="18"/>
              </w:rPr>
              <w:t>88</w:t>
            </w:r>
          </w:p>
        </w:tc>
        <w:tc>
          <w:tcPr>
            <w:tcW w:w="800" w:type="dxa"/>
            <w:tcBorders>
              <w:top w:val="nil"/>
              <w:left w:val="nil"/>
              <w:bottom w:val="single" w:color="auto" w:sz="4" w:space="0"/>
              <w:right w:val="single" w:color="auto" w:sz="4" w:space="0"/>
            </w:tcBorders>
            <w:vAlign w:val="center"/>
          </w:tcPr>
          <w:p w14:paraId="05E72C93">
            <w:pPr>
              <w:widowControl/>
              <w:spacing w:line="240" w:lineRule="auto"/>
              <w:ind w:firstLine="0" w:firstLineChars="0"/>
              <w:jc w:val="center"/>
              <w:rPr>
                <w:rFonts w:eastAsia="仿宋_GB2312"/>
                <w:sz w:val="18"/>
                <w:szCs w:val="18"/>
              </w:rPr>
            </w:pPr>
            <w:r>
              <w:rPr>
                <w:rFonts w:eastAsia="仿宋_GB2312"/>
                <w:sz w:val="18"/>
                <w:szCs w:val="18"/>
              </w:rPr>
              <w:t>83</w:t>
            </w:r>
          </w:p>
        </w:tc>
        <w:tc>
          <w:tcPr>
            <w:tcW w:w="792" w:type="dxa"/>
            <w:tcBorders>
              <w:top w:val="nil"/>
              <w:left w:val="nil"/>
              <w:bottom w:val="single" w:color="auto" w:sz="4" w:space="0"/>
              <w:right w:val="single" w:color="auto" w:sz="4" w:space="0"/>
            </w:tcBorders>
            <w:vAlign w:val="center"/>
          </w:tcPr>
          <w:p w14:paraId="24D1D175">
            <w:pPr>
              <w:widowControl/>
              <w:spacing w:line="240" w:lineRule="auto"/>
              <w:ind w:firstLine="0" w:firstLineChars="0"/>
              <w:jc w:val="center"/>
              <w:rPr>
                <w:rFonts w:eastAsia="仿宋_GB2312"/>
                <w:sz w:val="18"/>
                <w:szCs w:val="18"/>
              </w:rPr>
            </w:pPr>
            <w:r>
              <w:rPr>
                <w:rFonts w:eastAsia="仿宋_GB2312"/>
                <w:sz w:val="18"/>
                <w:szCs w:val="18"/>
              </w:rPr>
              <w:t>79</w:t>
            </w:r>
          </w:p>
        </w:tc>
        <w:tc>
          <w:tcPr>
            <w:tcW w:w="1159" w:type="dxa"/>
            <w:tcBorders>
              <w:top w:val="nil"/>
              <w:left w:val="nil"/>
              <w:bottom w:val="single" w:color="auto" w:sz="4" w:space="0"/>
              <w:right w:val="single" w:color="auto" w:sz="4" w:space="0"/>
            </w:tcBorders>
            <w:vAlign w:val="center"/>
          </w:tcPr>
          <w:p w14:paraId="75C01212">
            <w:pPr>
              <w:widowControl/>
              <w:spacing w:line="240" w:lineRule="auto"/>
              <w:ind w:firstLine="0" w:firstLineChars="0"/>
              <w:jc w:val="center"/>
              <w:rPr>
                <w:rFonts w:eastAsia="仿宋_GB2312"/>
                <w:sz w:val="18"/>
                <w:szCs w:val="18"/>
              </w:rPr>
            </w:pPr>
            <w:r>
              <w:rPr>
                <w:rFonts w:eastAsia="仿宋_GB2312"/>
                <w:sz w:val="18"/>
                <w:szCs w:val="18"/>
              </w:rPr>
              <w:t>28</w:t>
            </w:r>
          </w:p>
        </w:tc>
        <w:tc>
          <w:tcPr>
            <w:tcW w:w="723" w:type="dxa"/>
            <w:tcBorders>
              <w:top w:val="nil"/>
              <w:left w:val="nil"/>
              <w:bottom w:val="single" w:color="auto" w:sz="4" w:space="0"/>
              <w:right w:val="single" w:color="auto" w:sz="4" w:space="0"/>
            </w:tcBorders>
            <w:vAlign w:val="center"/>
          </w:tcPr>
          <w:p w14:paraId="197BAF34">
            <w:pPr>
              <w:widowControl/>
              <w:spacing w:line="240" w:lineRule="auto"/>
              <w:ind w:firstLine="0" w:firstLineChars="0"/>
              <w:jc w:val="center"/>
              <w:rPr>
                <w:rFonts w:eastAsia="仿宋_GB2312"/>
                <w:sz w:val="18"/>
                <w:szCs w:val="18"/>
              </w:rPr>
            </w:pPr>
            <w:r>
              <w:rPr>
                <w:rFonts w:eastAsia="仿宋_GB2312"/>
                <w:sz w:val="18"/>
                <w:szCs w:val="18"/>
              </w:rPr>
              <w:t>25</w:t>
            </w:r>
          </w:p>
        </w:tc>
        <w:tc>
          <w:tcPr>
            <w:tcW w:w="695" w:type="dxa"/>
            <w:tcBorders>
              <w:top w:val="nil"/>
              <w:left w:val="nil"/>
              <w:bottom w:val="single" w:color="auto" w:sz="4" w:space="0"/>
              <w:right w:val="single" w:color="auto" w:sz="4" w:space="0"/>
            </w:tcBorders>
            <w:vAlign w:val="center"/>
          </w:tcPr>
          <w:p w14:paraId="1D58F328">
            <w:pPr>
              <w:widowControl/>
              <w:spacing w:line="240" w:lineRule="auto"/>
              <w:ind w:firstLine="0" w:firstLineChars="0"/>
              <w:jc w:val="center"/>
              <w:rPr>
                <w:rFonts w:eastAsia="仿宋_GB2312"/>
                <w:sz w:val="18"/>
                <w:szCs w:val="18"/>
              </w:rPr>
            </w:pPr>
            <w:r>
              <w:rPr>
                <w:rFonts w:eastAsia="仿宋_GB2312"/>
                <w:sz w:val="18"/>
                <w:szCs w:val="18"/>
              </w:rPr>
              <w:t>24</w:t>
            </w:r>
          </w:p>
        </w:tc>
        <w:tc>
          <w:tcPr>
            <w:tcW w:w="627" w:type="dxa"/>
            <w:tcBorders>
              <w:top w:val="nil"/>
              <w:left w:val="nil"/>
              <w:bottom w:val="single" w:color="auto" w:sz="4" w:space="0"/>
              <w:right w:val="single" w:color="auto" w:sz="4" w:space="0"/>
            </w:tcBorders>
            <w:vAlign w:val="center"/>
          </w:tcPr>
          <w:p w14:paraId="21924226">
            <w:pPr>
              <w:widowControl/>
              <w:spacing w:line="240" w:lineRule="auto"/>
              <w:ind w:firstLine="0" w:firstLineChars="0"/>
              <w:jc w:val="center"/>
              <w:rPr>
                <w:rFonts w:eastAsia="仿宋_GB2312"/>
                <w:sz w:val="18"/>
                <w:szCs w:val="18"/>
              </w:rPr>
            </w:pPr>
            <w:r>
              <w:rPr>
                <w:rFonts w:eastAsia="仿宋_GB2312"/>
                <w:sz w:val="18"/>
                <w:szCs w:val="18"/>
              </w:rPr>
              <w:t>23</w:t>
            </w:r>
          </w:p>
        </w:tc>
        <w:tc>
          <w:tcPr>
            <w:tcW w:w="720" w:type="dxa"/>
            <w:tcBorders>
              <w:top w:val="nil"/>
              <w:left w:val="nil"/>
              <w:bottom w:val="single" w:color="auto" w:sz="4" w:space="0"/>
              <w:right w:val="single" w:color="auto" w:sz="4" w:space="0"/>
            </w:tcBorders>
            <w:vAlign w:val="center"/>
          </w:tcPr>
          <w:p w14:paraId="717E2E3E">
            <w:pPr>
              <w:widowControl/>
              <w:spacing w:line="240" w:lineRule="auto"/>
              <w:ind w:firstLine="0" w:firstLineChars="0"/>
              <w:jc w:val="center"/>
              <w:rPr>
                <w:rFonts w:eastAsia="仿宋_GB2312"/>
                <w:sz w:val="18"/>
                <w:szCs w:val="18"/>
              </w:rPr>
            </w:pPr>
            <w:r>
              <w:rPr>
                <w:rFonts w:eastAsia="仿宋_GB2312"/>
                <w:sz w:val="18"/>
                <w:szCs w:val="18"/>
              </w:rPr>
              <w:t>22</w:t>
            </w:r>
          </w:p>
        </w:tc>
        <w:tc>
          <w:tcPr>
            <w:tcW w:w="720" w:type="dxa"/>
            <w:tcBorders>
              <w:top w:val="nil"/>
              <w:left w:val="nil"/>
              <w:bottom w:val="single" w:color="auto" w:sz="4" w:space="0"/>
              <w:right w:val="single" w:color="auto" w:sz="4" w:space="0"/>
            </w:tcBorders>
            <w:vAlign w:val="center"/>
          </w:tcPr>
          <w:p w14:paraId="38490A20">
            <w:pPr>
              <w:widowControl/>
              <w:spacing w:line="240" w:lineRule="auto"/>
              <w:ind w:firstLine="0" w:firstLineChars="0"/>
              <w:jc w:val="center"/>
              <w:rPr>
                <w:rFonts w:eastAsia="仿宋_GB2312"/>
                <w:sz w:val="18"/>
                <w:szCs w:val="18"/>
              </w:rPr>
            </w:pPr>
            <w:r>
              <w:rPr>
                <w:rFonts w:eastAsia="仿宋_GB2312"/>
                <w:sz w:val="18"/>
                <w:szCs w:val="18"/>
              </w:rPr>
              <w:t>22</w:t>
            </w:r>
          </w:p>
        </w:tc>
        <w:tc>
          <w:tcPr>
            <w:tcW w:w="880" w:type="dxa"/>
            <w:tcBorders>
              <w:top w:val="nil"/>
              <w:left w:val="nil"/>
              <w:bottom w:val="single" w:color="auto" w:sz="4" w:space="0"/>
              <w:right w:val="single" w:color="auto" w:sz="4" w:space="0"/>
            </w:tcBorders>
            <w:vAlign w:val="center"/>
          </w:tcPr>
          <w:p w14:paraId="1C2BC1B7">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D1F52FB">
            <w:pPr>
              <w:widowControl/>
              <w:spacing w:line="240" w:lineRule="auto"/>
              <w:ind w:firstLine="0" w:firstLineChars="0"/>
              <w:jc w:val="center"/>
              <w:rPr>
                <w:rFonts w:eastAsia="仿宋_GB2312"/>
                <w:sz w:val="18"/>
                <w:szCs w:val="18"/>
              </w:rPr>
            </w:pPr>
            <w:r>
              <w:rPr>
                <w:rFonts w:eastAsia="仿宋_GB2312"/>
                <w:sz w:val="18"/>
                <w:szCs w:val="18"/>
              </w:rPr>
              <w:t>80%</w:t>
            </w:r>
          </w:p>
        </w:tc>
      </w:tr>
      <w:tr w14:paraId="27B33C78">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9541A55">
            <w:pPr>
              <w:widowControl/>
              <w:spacing w:line="240" w:lineRule="auto"/>
              <w:ind w:firstLine="0" w:firstLineChars="0"/>
              <w:jc w:val="center"/>
              <w:rPr>
                <w:rFonts w:eastAsia="仿宋_GB2312"/>
                <w:b/>
                <w:sz w:val="18"/>
                <w:szCs w:val="18"/>
              </w:rPr>
            </w:pPr>
            <w:r>
              <w:rPr>
                <w:rFonts w:hint="eastAsia" w:eastAsia="仿宋_GB2312"/>
                <w:b/>
                <w:sz w:val="18"/>
                <w:szCs w:val="18"/>
              </w:rPr>
              <w:t>南朗镇</w:t>
            </w:r>
          </w:p>
        </w:tc>
        <w:tc>
          <w:tcPr>
            <w:tcW w:w="936" w:type="dxa"/>
            <w:tcBorders>
              <w:top w:val="nil"/>
              <w:left w:val="nil"/>
              <w:bottom w:val="single" w:color="auto" w:sz="4" w:space="0"/>
              <w:right w:val="single" w:color="auto" w:sz="4" w:space="0"/>
            </w:tcBorders>
            <w:vAlign w:val="center"/>
          </w:tcPr>
          <w:p w14:paraId="0E90DA8A">
            <w:pPr>
              <w:widowControl/>
              <w:spacing w:line="240" w:lineRule="auto"/>
              <w:ind w:firstLine="0" w:firstLineChars="0"/>
              <w:jc w:val="center"/>
              <w:rPr>
                <w:rFonts w:eastAsia="仿宋_GB2312"/>
                <w:sz w:val="18"/>
                <w:szCs w:val="18"/>
              </w:rPr>
            </w:pPr>
            <w:r>
              <w:rPr>
                <w:rFonts w:eastAsia="仿宋_GB2312"/>
                <w:sz w:val="18"/>
                <w:szCs w:val="18"/>
              </w:rPr>
              <w:t>7973</w:t>
            </w:r>
          </w:p>
        </w:tc>
        <w:tc>
          <w:tcPr>
            <w:tcW w:w="980" w:type="dxa"/>
            <w:tcBorders>
              <w:top w:val="nil"/>
              <w:left w:val="nil"/>
              <w:bottom w:val="single" w:color="auto" w:sz="4" w:space="0"/>
              <w:right w:val="single" w:color="auto" w:sz="4" w:space="0"/>
            </w:tcBorders>
            <w:vAlign w:val="center"/>
          </w:tcPr>
          <w:p w14:paraId="12F3776E">
            <w:pPr>
              <w:widowControl/>
              <w:spacing w:line="240" w:lineRule="auto"/>
              <w:ind w:firstLine="0" w:firstLineChars="0"/>
              <w:jc w:val="center"/>
              <w:rPr>
                <w:rFonts w:eastAsia="仿宋_GB2312"/>
                <w:sz w:val="18"/>
                <w:szCs w:val="18"/>
              </w:rPr>
            </w:pPr>
            <w:r>
              <w:rPr>
                <w:rFonts w:eastAsia="仿宋_GB2312"/>
                <w:sz w:val="18"/>
                <w:szCs w:val="18"/>
              </w:rPr>
              <w:t>2560</w:t>
            </w:r>
          </w:p>
        </w:tc>
        <w:tc>
          <w:tcPr>
            <w:tcW w:w="681" w:type="dxa"/>
            <w:tcBorders>
              <w:top w:val="nil"/>
              <w:left w:val="nil"/>
              <w:bottom w:val="single" w:color="auto" w:sz="4" w:space="0"/>
              <w:right w:val="single" w:color="auto" w:sz="4" w:space="0"/>
            </w:tcBorders>
            <w:vAlign w:val="center"/>
          </w:tcPr>
          <w:p w14:paraId="56583B07">
            <w:pPr>
              <w:widowControl/>
              <w:spacing w:line="240" w:lineRule="auto"/>
              <w:ind w:firstLine="0" w:firstLineChars="0"/>
              <w:jc w:val="center"/>
              <w:rPr>
                <w:rFonts w:eastAsia="仿宋_GB2312"/>
                <w:sz w:val="18"/>
                <w:szCs w:val="18"/>
              </w:rPr>
            </w:pPr>
            <w:r>
              <w:rPr>
                <w:rFonts w:eastAsia="仿宋_GB2312"/>
                <w:sz w:val="18"/>
                <w:szCs w:val="18"/>
              </w:rPr>
              <w:t>270</w:t>
            </w:r>
          </w:p>
        </w:tc>
        <w:tc>
          <w:tcPr>
            <w:tcW w:w="750" w:type="dxa"/>
            <w:tcBorders>
              <w:top w:val="nil"/>
              <w:left w:val="nil"/>
              <w:bottom w:val="single" w:color="auto" w:sz="4" w:space="0"/>
              <w:right w:val="single" w:color="auto" w:sz="4" w:space="0"/>
            </w:tcBorders>
            <w:vAlign w:val="center"/>
          </w:tcPr>
          <w:p w14:paraId="31CAD0B2">
            <w:pPr>
              <w:widowControl/>
              <w:spacing w:line="240" w:lineRule="auto"/>
              <w:ind w:firstLine="0" w:firstLineChars="0"/>
              <w:jc w:val="center"/>
              <w:rPr>
                <w:rFonts w:eastAsia="仿宋_GB2312"/>
                <w:sz w:val="18"/>
                <w:szCs w:val="18"/>
              </w:rPr>
            </w:pPr>
            <w:r>
              <w:rPr>
                <w:rFonts w:eastAsia="仿宋_GB2312"/>
                <w:sz w:val="18"/>
                <w:szCs w:val="18"/>
              </w:rPr>
              <w:t>5143</w:t>
            </w:r>
          </w:p>
        </w:tc>
        <w:tc>
          <w:tcPr>
            <w:tcW w:w="1159" w:type="dxa"/>
            <w:tcBorders>
              <w:top w:val="nil"/>
              <w:left w:val="nil"/>
              <w:bottom w:val="single" w:color="auto" w:sz="4" w:space="0"/>
              <w:right w:val="single" w:color="auto" w:sz="4" w:space="0"/>
            </w:tcBorders>
            <w:vAlign w:val="center"/>
          </w:tcPr>
          <w:p w14:paraId="0F9AD46A">
            <w:pPr>
              <w:widowControl/>
              <w:spacing w:line="240" w:lineRule="auto"/>
              <w:ind w:firstLine="0" w:firstLineChars="0"/>
              <w:jc w:val="center"/>
              <w:rPr>
                <w:rFonts w:eastAsia="仿宋_GB2312"/>
                <w:sz w:val="18"/>
                <w:szCs w:val="18"/>
              </w:rPr>
            </w:pPr>
            <w:r>
              <w:rPr>
                <w:rFonts w:eastAsia="仿宋_GB2312"/>
                <w:sz w:val="18"/>
                <w:szCs w:val="18"/>
              </w:rPr>
              <w:t>109</w:t>
            </w:r>
          </w:p>
        </w:tc>
        <w:tc>
          <w:tcPr>
            <w:tcW w:w="845" w:type="dxa"/>
            <w:tcBorders>
              <w:top w:val="nil"/>
              <w:left w:val="nil"/>
              <w:bottom w:val="single" w:color="auto" w:sz="4" w:space="0"/>
              <w:right w:val="single" w:color="auto" w:sz="4" w:space="0"/>
            </w:tcBorders>
            <w:vAlign w:val="center"/>
          </w:tcPr>
          <w:p w14:paraId="38AABBBF">
            <w:pPr>
              <w:widowControl/>
              <w:spacing w:line="240" w:lineRule="auto"/>
              <w:ind w:firstLine="0" w:firstLineChars="0"/>
              <w:jc w:val="center"/>
              <w:rPr>
                <w:rFonts w:eastAsia="仿宋_GB2312"/>
                <w:sz w:val="18"/>
                <w:szCs w:val="18"/>
              </w:rPr>
            </w:pPr>
            <w:r>
              <w:rPr>
                <w:rFonts w:eastAsia="仿宋_GB2312"/>
                <w:sz w:val="18"/>
                <w:szCs w:val="18"/>
              </w:rPr>
              <w:t>94</w:t>
            </w:r>
          </w:p>
        </w:tc>
        <w:tc>
          <w:tcPr>
            <w:tcW w:w="842" w:type="dxa"/>
            <w:tcBorders>
              <w:top w:val="nil"/>
              <w:left w:val="nil"/>
              <w:bottom w:val="single" w:color="auto" w:sz="4" w:space="0"/>
              <w:right w:val="single" w:color="auto" w:sz="4" w:space="0"/>
            </w:tcBorders>
            <w:vAlign w:val="center"/>
          </w:tcPr>
          <w:p w14:paraId="7332CB61">
            <w:pPr>
              <w:widowControl/>
              <w:spacing w:line="240" w:lineRule="auto"/>
              <w:ind w:firstLine="0" w:firstLineChars="0"/>
              <w:jc w:val="center"/>
              <w:rPr>
                <w:rFonts w:eastAsia="仿宋_GB2312"/>
                <w:sz w:val="18"/>
                <w:szCs w:val="18"/>
              </w:rPr>
            </w:pPr>
            <w:r>
              <w:rPr>
                <w:rFonts w:eastAsia="仿宋_GB2312"/>
                <w:sz w:val="18"/>
                <w:szCs w:val="18"/>
              </w:rPr>
              <w:t>89</w:t>
            </w:r>
          </w:p>
        </w:tc>
        <w:tc>
          <w:tcPr>
            <w:tcW w:w="839" w:type="dxa"/>
            <w:tcBorders>
              <w:top w:val="nil"/>
              <w:left w:val="nil"/>
              <w:bottom w:val="single" w:color="auto" w:sz="4" w:space="0"/>
              <w:right w:val="single" w:color="auto" w:sz="4" w:space="0"/>
            </w:tcBorders>
            <w:vAlign w:val="center"/>
          </w:tcPr>
          <w:p w14:paraId="7569AA6B">
            <w:pPr>
              <w:widowControl/>
              <w:spacing w:line="240" w:lineRule="auto"/>
              <w:ind w:firstLine="0" w:firstLineChars="0"/>
              <w:jc w:val="center"/>
              <w:rPr>
                <w:rFonts w:eastAsia="仿宋_GB2312"/>
                <w:sz w:val="18"/>
                <w:szCs w:val="18"/>
              </w:rPr>
            </w:pPr>
            <w:r>
              <w:rPr>
                <w:rFonts w:eastAsia="仿宋_GB2312"/>
                <w:sz w:val="18"/>
                <w:szCs w:val="18"/>
              </w:rPr>
              <w:t>85</w:t>
            </w:r>
          </w:p>
        </w:tc>
        <w:tc>
          <w:tcPr>
            <w:tcW w:w="800" w:type="dxa"/>
            <w:tcBorders>
              <w:top w:val="nil"/>
              <w:left w:val="nil"/>
              <w:bottom w:val="single" w:color="auto" w:sz="4" w:space="0"/>
              <w:right w:val="single" w:color="auto" w:sz="4" w:space="0"/>
            </w:tcBorders>
            <w:vAlign w:val="center"/>
          </w:tcPr>
          <w:p w14:paraId="73FB976A">
            <w:pPr>
              <w:widowControl/>
              <w:spacing w:line="240" w:lineRule="auto"/>
              <w:ind w:firstLine="0" w:firstLineChars="0"/>
              <w:jc w:val="center"/>
              <w:rPr>
                <w:rFonts w:eastAsia="仿宋_GB2312"/>
                <w:sz w:val="18"/>
                <w:szCs w:val="18"/>
              </w:rPr>
            </w:pPr>
            <w:r>
              <w:rPr>
                <w:rFonts w:eastAsia="仿宋_GB2312"/>
                <w:sz w:val="18"/>
                <w:szCs w:val="18"/>
              </w:rPr>
              <w:t>80</w:t>
            </w:r>
          </w:p>
        </w:tc>
        <w:tc>
          <w:tcPr>
            <w:tcW w:w="792" w:type="dxa"/>
            <w:tcBorders>
              <w:top w:val="nil"/>
              <w:left w:val="nil"/>
              <w:bottom w:val="single" w:color="auto" w:sz="4" w:space="0"/>
              <w:right w:val="single" w:color="auto" w:sz="4" w:space="0"/>
            </w:tcBorders>
            <w:vAlign w:val="center"/>
          </w:tcPr>
          <w:p w14:paraId="6A47030A">
            <w:pPr>
              <w:widowControl/>
              <w:spacing w:line="240" w:lineRule="auto"/>
              <w:ind w:firstLine="0" w:firstLineChars="0"/>
              <w:jc w:val="center"/>
              <w:rPr>
                <w:rFonts w:eastAsia="仿宋_GB2312"/>
                <w:sz w:val="18"/>
                <w:szCs w:val="18"/>
              </w:rPr>
            </w:pPr>
            <w:r>
              <w:rPr>
                <w:rFonts w:eastAsia="仿宋_GB2312"/>
                <w:sz w:val="18"/>
                <w:szCs w:val="18"/>
              </w:rPr>
              <w:t>76</w:t>
            </w:r>
          </w:p>
        </w:tc>
        <w:tc>
          <w:tcPr>
            <w:tcW w:w="1159" w:type="dxa"/>
            <w:tcBorders>
              <w:top w:val="nil"/>
              <w:left w:val="nil"/>
              <w:bottom w:val="single" w:color="auto" w:sz="4" w:space="0"/>
              <w:right w:val="single" w:color="auto" w:sz="4" w:space="0"/>
            </w:tcBorders>
            <w:vAlign w:val="center"/>
          </w:tcPr>
          <w:p w14:paraId="1DAC16C0">
            <w:pPr>
              <w:widowControl/>
              <w:spacing w:line="240" w:lineRule="auto"/>
              <w:ind w:firstLine="0" w:firstLineChars="0"/>
              <w:jc w:val="center"/>
              <w:rPr>
                <w:rFonts w:eastAsia="仿宋_GB2312"/>
                <w:sz w:val="18"/>
                <w:szCs w:val="18"/>
              </w:rPr>
            </w:pPr>
            <w:r>
              <w:rPr>
                <w:rFonts w:eastAsia="仿宋_GB2312"/>
                <w:sz w:val="18"/>
                <w:szCs w:val="18"/>
              </w:rPr>
              <w:t>14</w:t>
            </w:r>
          </w:p>
        </w:tc>
        <w:tc>
          <w:tcPr>
            <w:tcW w:w="723" w:type="dxa"/>
            <w:tcBorders>
              <w:top w:val="nil"/>
              <w:left w:val="nil"/>
              <w:bottom w:val="single" w:color="auto" w:sz="4" w:space="0"/>
              <w:right w:val="single" w:color="auto" w:sz="4" w:space="0"/>
            </w:tcBorders>
            <w:vAlign w:val="center"/>
          </w:tcPr>
          <w:p w14:paraId="657A075F">
            <w:pPr>
              <w:widowControl/>
              <w:spacing w:line="240" w:lineRule="auto"/>
              <w:ind w:firstLine="0" w:firstLineChars="0"/>
              <w:jc w:val="center"/>
              <w:rPr>
                <w:rFonts w:eastAsia="仿宋_GB2312"/>
                <w:sz w:val="18"/>
                <w:szCs w:val="18"/>
              </w:rPr>
            </w:pPr>
            <w:r>
              <w:rPr>
                <w:rFonts w:hint="eastAsia" w:eastAsia="仿宋_GB2312"/>
                <w:sz w:val="18"/>
                <w:szCs w:val="18"/>
              </w:rPr>
              <w:t>1</w:t>
            </w:r>
            <w:r>
              <w:rPr>
                <w:rFonts w:eastAsia="仿宋_GB2312"/>
                <w:sz w:val="18"/>
                <w:szCs w:val="18"/>
              </w:rPr>
              <w:t>3</w:t>
            </w:r>
          </w:p>
        </w:tc>
        <w:tc>
          <w:tcPr>
            <w:tcW w:w="695" w:type="dxa"/>
            <w:tcBorders>
              <w:top w:val="nil"/>
              <w:left w:val="nil"/>
              <w:bottom w:val="single" w:color="auto" w:sz="4" w:space="0"/>
              <w:right w:val="single" w:color="auto" w:sz="4" w:space="0"/>
            </w:tcBorders>
            <w:vAlign w:val="center"/>
          </w:tcPr>
          <w:p w14:paraId="416AC378">
            <w:pPr>
              <w:widowControl/>
              <w:spacing w:line="240" w:lineRule="auto"/>
              <w:ind w:firstLine="0" w:firstLineChars="0"/>
              <w:jc w:val="center"/>
              <w:rPr>
                <w:rFonts w:eastAsia="仿宋_GB2312"/>
                <w:sz w:val="18"/>
                <w:szCs w:val="18"/>
              </w:rPr>
            </w:pPr>
            <w:r>
              <w:rPr>
                <w:rFonts w:eastAsia="仿宋_GB2312"/>
                <w:sz w:val="18"/>
                <w:szCs w:val="18"/>
              </w:rPr>
              <w:t>13</w:t>
            </w:r>
          </w:p>
        </w:tc>
        <w:tc>
          <w:tcPr>
            <w:tcW w:w="627" w:type="dxa"/>
            <w:tcBorders>
              <w:top w:val="nil"/>
              <w:left w:val="nil"/>
              <w:bottom w:val="single" w:color="auto" w:sz="4" w:space="0"/>
              <w:right w:val="single" w:color="auto" w:sz="4" w:space="0"/>
            </w:tcBorders>
            <w:vAlign w:val="center"/>
          </w:tcPr>
          <w:p w14:paraId="6937D978">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09458BDC">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042A04EE">
            <w:pPr>
              <w:widowControl/>
              <w:spacing w:line="240" w:lineRule="auto"/>
              <w:ind w:firstLine="0" w:firstLineChars="0"/>
              <w:jc w:val="center"/>
              <w:rPr>
                <w:rFonts w:eastAsia="仿宋_GB2312"/>
                <w:sz w:val="18"/>
                <w:szCs w:val="18"/>
              </w:rPr>
            </w:pPr>
            <w:r>
              <w:rPr>
                <w:rFonts w:eastAsia="仿宋_GB2312"/>
                <w:sz w:val="18"/>
                <w:szCs w:val="18"/>
              </w:rPr>
              <w:t>12</w:t>
            </w:r>
          </w:p>
        </w:tc>
        <w:tc>
          <w:tcPr>
            <w:tcW w:w="880" w:type="dxa"/>
            <w:tcBorders>
              <w:top w:val="nil"/>
              <w:left w:val="nil"/>
              <w:bottom w:val="single" w:color="auto" w:sz="4" w:space="0"/>
              <w:right w:val="single" w:color="auto" w:sz="4" w:space="0"/>
            </w:tcBorders>
            <w:vAlign w:val="center"/>
          </w:tcPr>
          <w:p w14:paraId="403ECBDD">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29E65A4">
            <w:pPr>
              <w:widowControl/>
              <w:spacing w:line="240" w:lineRule="auto"/>
              <w:ind w:firstLine="0" w:firstLineChars="0"/>
              <w:jc w:val="center"/>
              <w:rPr>
                <w:rFonts w:eastAsia="仿宋_GB2312"/>
                <w:sz w:val="18"/>
                <w:szCs w:val="18"/>
              </w:rPr>
            </w:pPr>
            <w:r>
              <w:rPr>
                <w:rFonts w:eastAsia="仿宋_GB2312"/>
                <w:sz w:val="18"/>
                <w:szCs w:val="18"/>
              </w:rPr>
              <w:t>80%</w:t>
            </w:r>
          </w:p>
        </w:tc>
      </w:tr>
      <w:tr w14:paraId="12E2C7AC">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12664A6">
            <w:pPr>
              <w:widowControl/>
              <w:spacing w:line="240" w:lineRule="auto"/>
              <w:ind w:firstLine="0" w:firstLineChars="0"/>
              <w:jc w:val="center"/>
              <w:rPr>
                <w:rFonts w:eastAsia="仿宋_GB2312"/>
                <w:b/>
                <w:sz w:val="18"/>
                <w:szCs w:val="18"/>
              </w:rPr>
            </w:pPr>
            <w:r>
              <w:rPr>
                <w:rFonts w:hint="eastAsia" w:eastAsia="仿宋_GB2312"/>
                <w:b/>
                <w:sz w:val="18"/>
                <w:szCs w:val="18"/>
              </w:rPr>
              <w:t>三乡镇</w:t>
            </w:r>
          </w:p>
        </w:tc>
        <w:tc>
          <w:tcPr>
            <w:tcW w:w="936" w:type="dxa"/>
            <w:tcBorders>
              <w:top w:val="nil"/>
              <w:left w:val="nil"/>
              <w:bottom w:val="single" w:color="auto" w:sz="4" w:space="0"/>
              <w:right w:val="single" w:color="auto" w:sz="4" w:space="0"/>
            </w:tcBorders>
            <w:vAlign w:val="center"/>
          </w:tcPr>
          <w:p w14:paraId="71BD4508">
            <w:pPr>
              <w:widowControl/>
              <w:spacing w:line="240" w:lineRule="auto"/>
              <w:ind w:firstLine="0" w:firstLineChars="0"/>
              <w:jc w:val="center"/>
              <w:rPr>
                <w:rFonts w:eastAsia="仿宋_GB2312"/>
                <w:sz w:val="18"/>
                <w:szCs w:val="18"/>
              </w:rPr>
            </w:pPr>
            <w:r>
              <w:rPr>
                <w:rFonts w:eastAsia="仿宋_GB2312"/>
                <w:sz w:val="18"/>
                <w:szCs w:val="18"/>
              </w:rPr>
              <w:t>5836</w:t>
            </w:r>
          </w:p>
        </w:tc>
        <w:tc>
          <w:tcPr>
            <w:tcW w:w="980" w:type="dxa"/>
            <w:tcBorders>
              <w:top w:val="nil"/>
              <w:left w:val="nil"/>
              <w:bottom w:val="single" w:color="auto" w:sz="4" w:space="0"/>
              <w:right w:val="single" w:color="auto" w:sz="4" w:space="0"/>
            </w:tcBorders>
            <w:vAlign w:val="center"/>
          </w:tcPr>
          <w:p w14:paraId="0FD6399E">
            <w:pPr>
              <w:widowControl/>
              <w:spacing w:line="240" w:lineRule="auto"/>
              <w:ind w:firstLine="0" w:firstLineChars="0"/>
              <w:jc w:val="center"/>
              <w:rPr>
                <w:rFonts w:eastAsia="仿宋_GB2312"/>
                <w:sz w:val="18"/>
                <w:szCs w:val="18"/>
              </w:rPr>
            </w:pPr>
            <w:r>
              <w:rPr>
                <w:rFonts w:eastAsia="仿宋_GB2312"/>
                <w:sz w:val="18"/>
                <w:szCs w:val="18"/>
              </w:rPr>
              <w:t>4600</w:t>
            </w:r>
          </w:p>
        </w:tc>
        <w:tc>
          <w:tcPr>
            <w:tcW w:w="681" w:type="dxa"/>
            <w:tcBorders>
              <w:top w:val="nil"/>
              <w:left w:val="nil"/>
              <w:bottom w:val="single" w:color="auto" w:sz="4" w:space="0"/>
              <w:right w:val="single" w:color="auto" w:sz="4" w:space="0"/>
            </w:tcBorders>
            <w:vAlign w:val="center"/>
          </w:tcPr>
          <w:p w14:paraId="0B46F4CA">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6CD68581">
            <w:pPr>
              <w:widowControl/>
              <w:spacing w:line="240" w:lineRule="auto"/>
              <w:ind w:firstLine="0" w:firstLineChars="0"/>
              <w:jc w:val="center"/>
              <w:rPr>
                <w:rFonts w:eastAsia="仿宋_GB2312"/>
                <w:sz w:val="18"/>
                <w:szCs w:val="18"/>
              </w:rPr>
            </w:pPr>
            <w:r>
              <w:rPr>
                <w:rFonts w:eastAsia="仿宋_GB2312"/>
                <w:sz w:val="18"/>
                <w:szCs w:val="18"/>
              </w:rPr>
              <w:t>1236</w:t>
            </w:r>
          </w:p>
        </w:tc>
        <w:tc>
          <w:tcPr>
            <w:tcW w:w="1159" w:type="dxa"/>
            <w:tcBorders>
              <w:top w:val="nil"/>
              <w:left w:val="nil"/>
              <w:bottom w:val="single" w:color="auto" w:sz="4" w:space="0"/>
              <w:right w:val="single" w:color="auto" w:sz="4" w:space="0"/>
            </w:tcBorders>
            <w:vAlign w:val="center"/>
          </w:tcPr>
          <w:p w14:paraId="4342DD51">
            <w:pPr>
              <w:widowControl/>
              <w:spacing w:line="240" w:lineRule="auto"/>
              <w:ind w:firstLine="0" w:firstLineChars="0"/>
              <w:jc w:val="center"/>
              <w:rPr>
                <w:rFonts w:eastAsia="仿宋_GB2312"/>
                <w:sz w:val="18"/>
                <w:szCs w:val="18"/>
              </w:rPr>
            </w:pPr>
            <w:r>
              <w:rPr>
                <w:rFonts w:eastAsia="仿宋_GB2312"/>
                <w:sz w:val="18"/>
                <w:szCs w:val="18"/>
              </w:rPr>
              <w:t>56</w:t>
            </w:r>
          </w:p>
        </w:tc>
        <w:tc>
          <w:tcPr>
            <w:tcW w:w="845" w:type="dxa"/>
            <w:tcBorders>
              <w:top w:val="nil"/>
              <w:left w:val="nil"/>
              <w:bottom w:val="single" w:color="auto" w:sz="4" w:space="0"/>
              <w:right w:val="single" w:color="auto" w:sz="4" w:space="0"/>
            </w:tcBorders>
            <w:vAlign w:val="center"/>
          </w:tcPr>
          <w:p w14:paraId="0BD7109F">
            <w:pPr>
              <w:widowControl/>
              <w:spacing w:line="240" w:lineRule="auto"/>
              <w:ind w:firstLine="0" w:firstLineChars="0"/>
              <w:jc w:val="center"/>
              <w:rPr>
                <w:rFonts w:eastAsia="仿宋_GB2312"/>
                <w:sz w:val="18"/>
                <w:szCs w:val="18"/>
              </w:rPr>
            </w:pPr>
            <w:r>
              <w:rPr>
                <w:rFonts w:eastAsia="仿宋_GB2312"/>
                <w:sz w:val="18"/>
                <w:szCs w:val="18"/>
              </w:rPr>
              <w:t>48</w:t>
            </w:r>
          </w:p>
        </w:tc>
        <w:tc>
          <w:tcPr>
            <w:tcW w:w="842" w:type="dxa"/>
            <w:tcBorders>
              <w:top w:val="nil"/>
              <w:left w:val="nil"/>
              <w:bottom w:val="single" w:color="auto" w:sz="4" w:space="0"/>
              <w:right w:val="single" w:color="auto" w:sz="4" w:space="0"/>
            </w:tcBorders>
            <w:vAlign w:val="center"/>
          </w:tcPr>
          <w:p w14:paraId="48E5F28B">
            <w:pPr>
              <w:widowControl/>
              <w:spacing w:line="240" w:lineRule="auto"/>
              <w:ind w:firstLine="0" w:firstLineChars="0"/>
              <w:jc w:val="center"/>
              <w:rPr>
                <w:rFonts w:eastAsia="仿宋_GB2312"/>
                <w:sz w:val="18"/>
                <w:szCs w:val="18"/>
              </w:rPr>
            </w:pPr>
            <w:r>
              <w:rPr>
                <w:rFonts w:eastAsia="仿宋_GB2312"/>
                <w:sz w:val="18"/>
                <w:szCs w:val="18"/>
              </w:rPr>
              <w:t>46</w:t>
            </w:r>
          </w:p>
        </w:tc>
        <w:tc>
          <w:tcPr>
            <w:tcW w:w="839" w:type="dxa"/>
            <w:tcBorders>
              <w:top w:val="nil"/>
              <w:left w:val="nil"/>
              <w:bottom w:val="single" w:color="auto" w:sz="4" w:space="0"/>
              <w:right w:val="single" w:color="auto" w:sz="4" w:space="0"/>
            </w:tcBorders>
            <w:vAlign w:val="center"/>
          </w:tcPr>
          <w:p w14:paraId="3CC7B20B">
            <w:pPr>
              <w:widowControl/>
              <w:spacing w:line="240" w:lineRule="auto"/>
              <w:ind w:firstLine="0" w:firstLineChars="0"/>
              <w:jc w:val="center"/>
              <w:rPr>
                <w:rFonts w:eastAsia="仿宋_GB2312"/>
                <w:sz w:val="18"/>
                <w:szCs w:val="18"/>
              </w:rPr>
            </w:pPr>
            <w:r>
              <w:rPr>
                <w:rFonts w:eastAsia="仿宋_GB2312"/>
                <w:sz w:val="18"/>
                <w:szCs w:val="18"/>
              </w:rPr>
              <w:t>43</w:t>
            </w:r>
          </w:p>
        </w:tc>
        <w:tc>
          <w:tcPr>
            <w:tcW w:w="800" w:type="dxa"/>
            <w:tcBorders>
              <w:top w:val="nil"/>
              <w:left w:val="nil"/>
              <w:bottom w:val="single" w:color="auto" w:sz="4" w:space="0"/>
              <w:right w:val="single" w:color="auto" w:sz="4" w:space="0"/>
            </w:tcBorders>
            <w:vAlign w:val="center"/>
          </w:tcPr>
          <w:p w14:paraId="78D4653B">
            <w:pPr>
              <w:widowControl/>
              <w:spacing w:line="240" w:lineRule="auto"/>
              <w:ind w:firstLine="0" w:firstLineChars="0"/>
              <w:jc w:val="center"/>
              <w:rPr>
                <w:rFonts w:eastAsia="仿宋_GB2312"/>
                <w:sz w:val="18"/>
                <w:szCs w:val="18"/>
              </w:rPr>
            </w:pPr>
            <w:r>
              <w:rPr>
                <w:rFonts w:eastAsia="仿宋_GB2312"/>
                <w:sz w:val="18"/>
                <w:szCs w:val="18"/>
              </w:rPr>
              <w:t>41</w:t>
            </w:r>
          </w:p>
        </w:tc>
        <w:tc>
          <w:tcPr>
            <w:tcW w:w="792" w:type="dxa"/>
            <w:tcBorders>
              <w:top w:val="nil"/>
              <w:left w:val="nil"/>
              <w:bottom w:val="single" w:color="auto" w:sz="4" w:space="0"/>
              <w:right w:val="single" w:color="auto" w:sz="4" w:space="0"/>
            </w:tcBorders>
            <w:vAlign w:val="center"/>
          </w:tcPr>
          <w:p w14:paraId="2B083DC3">
            <w:pPr>
              <w:widowControl/>
              <w:spacing w:line="240" w:lineRule="auto"/>
              <w:ind w:firstLine="0" w:firstLineChars="0"/>
              <w:jc w:val="center"/>
              <w:rPr>
                <w:rFonts w:eastAsia="仿宋_GB2312"/>
                <w:sz w:val="18"/>
                <w:szCs w:val="18"/>
              </w:rPr>
            </w:pPr>
            <w:r>
              <w:rPr>
                <w:rFonts w:eastAsia="仿宋_GB2312"/>
                <w:sz w:val="18"/>
                <w:szCs w:val="18"/>
              </w:rPr>
              <w:t>39</w:t>
            </w:r>
          </w:p>
        </w:tc>
        <w:tc>
          <w:tcPr>
            <w:tcW w:w="1159" w:type="dxa"/>
            <w:tcBorders>
              <w:top w:val="nil"/>
              <w:left w:val="nil"/>
              <w:bottom w:val="single" w:color="auto" w:sz="4" w:space="0"/>
              <w:right w:val="single" w:color="auto" w:sz="4" w:space="0"/>
            </w:tcBorders>
            <w:vAlign w:val="center"/>
          </w:tcPr>
          <w:p w14:paraId="67E251C4">
            <w:pPr>
              <w:widowControl/>
              <w:spacing w:line="240" w:lineRule="auto"/>
              <w:ind w:firstLine="0" w:firstLineChars="0"/>
              <w:jc w:val="center"/>
              <w:rPr>
                <w:rFonts w:eastAsia="仿宋_GB2312"/>
                <w:sz w:val="18"/>
                <w:szCs w:val="18"/>
              </w:rPr>
            </w:pPr>
            <w:r>
              <w:rPr>
                <w:rFonts w:eastAsia="仿宋_GB2312"/>
                <w:sz w:val="18"/>
                <w:szCs w:val="18"/>
              </w:rPr>
              <w:t>34</w:t>
            </w:r>
          </w:p>
        </w:tc>
        <w:tc>
          <w:tcPr>
            <w:tcW w:w="723" w:type="dxa"/>
            <w:tcBorders>
              <w:top w:val="nil"/>
              <w:left w:val="nil"/>
              <w:bottom w:val="single" w:color="auto" w:sz="4" w:space="0"/>
              <w:right w:val="single" w:color="auto" w:sz="4" w:space="0"/>
            </w:tcBorders>
            <w:vAlign w:val="center"/>
          </w:tcPr>
          <w:p w14:paraId="63B65856">
            <w:pPr>
              <w:widowControl/>
              <w:spacing w:line="240" w:lineRule="auto"/>
              <w:ind w:firstLine="0" w:firstLineChars="0"/>
              <w:jc w:val="center"/>
              <w:rPr>
                <w:rFonts w:eastAsia="仿宋_GB2312"/>
                <w:sz w:val="18"/>
                <w:szCs w:val="18"/>
              </w:rPr>
            </w:pPr>
            <w:r>
              <w:rPr>
                <w:rFonts w:eastAsia="仿宋_GB2312"/>
                <w:sz w:val="18"/>
                <w:szCs w:val="18"/>
              </w:rPr>
              <w:t>28</w:t>
            </w:r>
          </w:p>
        </w:tc>
        <w:tc>
          <w:tcPr>
            <w:tcW w:w="695" w:type="dxa"/>
            <w:tcBorders>
              <w:top w:val="nil"/>
              <w:left w:val="nil"/>
              <w:bottom w:val="single" w:color="auto" w:sz="4" w:space="0"/>
              <w:right w:val="single" w:color="auto" w:sz="4" w:space="0"/>
            </w:tcBorders>
            <w:vAlign w:val="center"/>
          </w:tcPr>
          <w:p w14:paraId="2D70206F">
            <w:pPr>
              <w:widowControl/>
              <w:spacing w:line="240" w:lineRule="auto"/>
              <w:ind w:firstLine="0" w:firstLineChars="0"/>
              <w:jc w:val="center"/>
              <w:rPr>
                <w:rFonts w:eastAsia="仿宋_GB2312"/>
                <w:sz w:val="18"/>
                <w:szCs w:val="18"/>
              </w:rPr>
            </w:pPr>
            <w:r>
              <w:rPr>
                <w:rFonts w:eastAsia="仿宋_GB2312"/>
                <w:sz w:val="18"/>
                <w:szCs w:val="18"/>
              </w:rPr>
              <w:t>27</w:t>
            </w:r>
          </w:p>
        </w:tc>
        <w:tc>
          <w:tcPr>
            <w:tcW w:w="627" w:type="dxa"/>
            <w:tcBorders>
              <w:top w:val="nil"/>
              <w:left w:val="nil"/>
              <w:bottom w:val="single" w:color="auto" w:sz="4" w:space="0"/>
              <w:right w:val="single" w:color="auto" w:sz="4" w:space="0"/>
            </w:tcBorders>
            <w:vAlign w:val="center"/>
          </w:tcPr>
          <w:p w14:paraId="2E2F9D03">
            <w:pPr>
              <w:widowControl/>
              <w:spacing w:line="240" w:lineRule="auto"/>
              <w:ind w:firstLine="0" w:firstLineChars="0"/>
              <w:jc w:val="center"/>
              <w:rPr>
                <w:rFonts w:eastAsia="仿宋_GB2312"/>
                <w:sz w:val="18"/>
                <w:szCs w:val="18"/>
              </w:rPr>
            </w:pPr>
            <w:r>
              <w:rPr>
                <w:rFonts w:eastAsia="仿宋_GB2312"/>
                <w:sz w:val="18"/>
                <w:szCs w:val="18"/>
              </w:rPr>
              <w:t>26</w:t>
            </w:r>
          </w:p>
        </w:tc>
        <w:tc>
          <w:tcPr>
            <w:tcW w:w="720" w:type="dxa"/>
            <w:tcBorders>
              <w:top w:val="nil"/>
              <w:left w:val="nil"/>
              <w:bottom w:val="single" w:color="auto" w:sz="4" w:space="0"/>
              <w:right w:val="single" w:color="auto" w:sz="4" w:space="0"/>
            </w:tcBorders>
            <w:vAlign w:val="center"/>
          </w:tcPr>
          <w:p w14:paraId="6C5173B7">
            <w:pPr>
              <w:widowControl/>
              <w:spacing w:line="240" w:lineRule="auto"/>
              <w:ind w:firstLine="0" w:firstLineChars="0"/>
              <w:jc w:val="center"/>
              <w:rPr>
                <w:rFonts w:eastAsia="仿宋_GB2312"/>
                <w:sz w:val="18"/>
                <w:szCs w:val="18"/>
              </w:rPr>
            </w:pPr>
            <w:r>
              <w:rPr>
                <w:rFonts w:eastAsia="仿宋_GB2312"/>
                <w:sz w:val="18"/>
                <w:szCs w:val="18"/>
              </w:rPr>
              <w:t>25</w:t>
            </w:r>
          </w:p>
        </w:tc>
        <w:tc>
          <w:tcPr>
            <w:tcW w:w="720" w:type="dxa"/>
            <w:tcBorders>
              <w:top w:val="nil"/>
              <w:left w:val="nil"/>
              <w:bottom w:val="single" w:color="auto" w:sz="4" w:space="0"/>
              <w:right w:val="single" w:color="auto" w:sz="4" w:space="0"/>
            </w:tcBorders>
            <w:vAlign w:val="center"/>
          </w:tcPr>
          <w:p w14:paraId="13A5D181">
            <w:pPr>
              <w:widowControl/>
              <w:spacing w:line="240" w:lineRule="auto"/>
              <w:ind w:firstLine="0" w:firstLineChars="0"/>
              <w:jc w:val="center"/>
              <w:rPr>
                <w:rFonts w:eastAsia="仿宋_GB2312"/>
                <w:sz w:val="18"/>
                <w:szCs w:val="18"/>
              </w:rPr>
            </w:pPr>
            <w:r>
              <w:rPr>
                <w:rFonts w:eastAsia="仿宋_GB2312"/>
                <w:sz w:val="18"/>
                <w:szCs w:val="18"/>
              </w:rPr>
              <w:t>24</w:t>
            </w:r>
          </w:p>
        </w:tc>
        <w:tc>
          <w:tcPr>
            <w:tcW w:w="880" w:type="dxa"/>
            <w:tcBorders>
              <w:top w:val="nil"/>
              <w:left w:val="nil"/>
              <w:bottom w:val="single" w:color="auto" w:sz="4" w:space="0"/>
              <w:right w:val="single" w:color="auto" w:sz="4" w:space="0"/>
            </w:tcBorders>
            <w:vAlign w:val="center"/>
          </w:tcPr>
          <w:p w14:paraId="7ACC85A0">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2718D35">
            <w:pPr>
              <w:widowControl/>
              <w:spacing w:line="240" w:lineRule="auto"/>
              <w:ind w:firstLine="0" w:firstLineChars="0"/>
              <w:jc w:val="center"/>
              <w:rPr>
                <w:rFonts w:eastAsia="仿宋_GB2312"/>
                <w:sz w:val="18"/>
                <w:szCs w:val="18"/>
              </w:rPr>
            </w:pPr>
            <w:r>
              <w:rPr>
                <w:rFonts w:eastAsia="仿宋_GB2312"/>
                <w:sz w:val="18"/>
                <w:szCs w:val="18"/>
              </w:rPr>
              <w:t>80%</w:t>
            </w:r>
          </w:p>
        </w:tc>
      </w:tr>
      <w:tr w14:paraId="342A0971">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1D3143E">
            <w:pPr>
              <w:widowControl/>
              <w:spacing w:line="240" w:lineRule="auto"/>
              <w:ind w:firstLine="0" w:firstLineChars="0"/>
              <w:jc w:val="center"/>
              <w:rPr>
                <w:rFonts w:eastAsia="仿宋_GB2312"/>
                <w:b/>
                <w:sz w:val="18"/>
                <w:szCs w:val="18"/>
              </w:rPr>
            </w:pPr>
            <w:r>
              <w:rPr>
                <w:rFonts w:hint="eastAsia" w:eastAsia="仿宋_GB2312"/>
                <w:b/>
                <w:sz w:val="18"/>
                <w:szCs w:val="18"/>
              </w:rPr>
              <w:t>板芙镇</w:t>
            </w:r>
          </w:p>
        </w:tc>
        <w:tc>
          <w:tcPr>
            <w:tcW w:w="936" w:type="dxa"/>
            <w:tcBorders>
              <w:top w:val="nil"/>
              <w:left w:val="nil"/>
              <w:bottom w:val="single" w:color="auto" w:sz="4" w:space="0"/>
              <w:right w:val="single" w:color="auto" w:sz="4" w:space="0"/>
            </w:tcBorders>
            <w:vAlign w:val="center"/>
          </w:tcPr>
          <w:p w14:paraId="42B21440">
            <w:pPr>
              <w:widowControl/>
              <w:spacing w:line="240" w:lineRule="auto"/>
              <w:ind w:firstLine="0" w:firstLineChars="0"/>
              <w:jc w:val="center"/>
              <w:rPr>
                <w:rFonts w:eastAsia="仿宋_GB2312"/>
                <w:sz w:val="18"/>
                <w:szCs w:val="18"/>
              </w:rPr>
            </w:pPr>
            <w:r>
              <w:rPr>
                <w:rFonts w:eastAsia="仿宋_GB2312"/>
                <w:sz w:val="18"/>
                <w:szCs w:val="18"/>
              </w:rPr>
              <w:t>6063</w:t>
            </w:r>
          </w:p>
        </w:tc>
        <w:tc>
          <w:tcPr>
            <w:tcW w:w="980" w:type="dxa"/>
            <w:tcBorders>
              <w:top w:val="nil"/>
              <w:left w:val="nil"/>
              <w:bottom w:val="single" w:color="auto" w:sz="4" w:space="0"/>
              <w:right w:val="single" w:color="auto" w:sz="4" w:space="0"/>
            </w:tcBorders>
            <w:vAlign w:val="center"/>
          </w:tcPr>
          <w:p w14:paraId="40F24803">
            <w:pPr>
              <w:widowControl/>
              <w:spacing w:line="240" w:lineRule="auto"/>
              <w:ind w:firstLine="0" w:firstLineChars="0"/>
              <w:jc w:val="center"/>
              <w:rPr>
                <w:rFonts w:eastAsia="仿宋_GB2312"/>
                <w:sz w:val="18"/>
                <w:szCs w:val="18"/>
              </w:rPr>
            </w:pPr>
            <w:r>
              <w:rPr>
                <w:rFonts w:eastAsia="仿宋_GB2312"/>
                <w:sz w:val="18"/>
                <w:szCs w:val="18"/>
              </w:rPr>
              <w:t>2100</w:t>
            </w:r>
          </w:p>
        </w:tc>
        <w:tc>
          <w:tcPr>
            <w:tcW w:w="681" w:type="dxa"/>
            <w:tcBorders>
              <w:top w:val="nil"/>
              <w:left w:val="nil"/>
              <w:bottom w:val="single" w:color="auto" w:sz="4" w:space="0"/>
              <w:right w:val="single" w:color="auto" w:sz="4" w:space="0"/>
            </w:tcBorders>
            <w:vAlign w:val="center"/>
          </w:tcPr>
          <w:p w14:paraId="25FF56C6">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0B70298F">
            <w:pPr>
              <w:widowControl/>
              <w:spacing w:line="240" w:lineRule="auto"/>
              <w:ind w:firstLine="0" w:firstLineChars="0"/>
              <w:jc w:val="center"/>
              <w:rPr>
                <w:rFonts w:eastAsia="仿宋_GB2312"/>
                <w:sz w:val="18"/>
                <w:szCs w:val="18"/>
              </w:rPr>
            </w:pPr>
            <w:r>
              <w:rPr>
                <w:rFonts w:eastAsia="仿宋_GB2312"/>
                <w:sz w:val="18"/>
                <w:szCs w:val="18"/>
              </w:rPr>
              <w:t>3963</w:t>
            </w:r>
          </w:p>
        </w:tc>
        <w:tc>
          <w:tcPr>
            <w:tcW w:w="1159" w:type="dxa"/>
            <w:tcBorders>
              <w:top w:val="nil"/>
              <w:left w:val="nil"/>
              <w:bottom w:val="single" w:color="auto" w:sz="4" w:space="0"/>
              <w:right w:val="single" w:color="auto" w:sz="4" w:space="0"/>
            </w:tcBorders>
            <w:vAlign w:val="center"/>
          </w:tcPr>
          <w:p w14:paraId="5F2E2C23">
            <w:pPr>
              <w:widowControl/>
              <w:spacing w:line="240" w:lineRule="auto"/>
              <w:ind w:firstLine="0" w:firstLineChars="0"/>
              <w:jc w:val="center"/>
              <w:rPr>
                <w:rFonts w:eastAsia="仿宋_GB2312"/>
                <w:sz w:val="18"/>
                <w:szCs w:val="18"/>
              </w:rPr>
            </w:pPr>
            <w:r>
              <w:rPr>
                <w:rFonts w:eastAsia="仿宋_GB2312"/>
                <w:sz w:val="18"/>
                <w:szCs w:val="18"/>
              </w:rPr>
              <w:t>112</w:t>
            </w:r>
          </w:p>
        </w:tc>
        <w:tc>
          <w:tcPr>
            <w:tcW w:w="845" w:type="dxa"/>
            <w:tcBorders>
              <w:top w:val="nil"/>
              <w:left w:val="nil"/>
              <w:bottom w:val="single" w:color="auto" w:sz="4" w:space="0"/>
              <w:right w:val="single" w:color="auto" w:sz="4" w:space="0"/>
            </w:tcBorders>
            <w:vAlign w:val="center"/>
          </w:tcPr>
          <w:p w14:paraId="1E358EB9">
            <w:pPr>
              <w:widowControl/>
              <w:spacing w:line="240" w:lineRule="auto"/>
              <w:ind w:firstLine="0" w:firstLineChars="0"/>
              <w:jc w:val="center"/>
              <w:rPr>
                <w:rFonts w:eastAsia="仿宋_GB2312"/>
                <w:sz w:val="18"/>
                <w:szCs w:val="18"/>
              </w:rPr>
            </w:pPr>
            <w:r>
              <w:rPr>
                <w:rFonts w:eastAsia="仿宋_GB2312"/>
                <w:sz w:val="18"/>
                <w:szCs w:val="18"/>
              </w:rPr>
              <w:t>96</w:t>
            </w:r>
          </w:p>
        </w:tc>
        <w:tc>
          <w:tcPr>
            <w:tcW w:w="842" w:type="dxa"/>
            <w:tcBorders>
              <w:top w:val="nil"/>
              <w:left w:val="nil"/>
              <w:bottom w:val="single" w:color="auto" w:sz="4" w:space="0"/>
              <w:right w:val="single" w:color="auto" w:sz="4" w:space="0"/>
            </w:tcBorders>
            <w:vAlign w:val="center"/>
          </w:tcPr>
          <w:p w14:paraId="028358F0">
            <w:pPr>
              <w:widowControl/>
              <w:spacing w:line="240" w:lineRule="auto"/>
              <w:ind w:firstLine="0" w:firstLineChars="0"/>
              <w:jc w:val="center"/>
              <w:rPr>
                <w:rFonts w:eastAsia="仿宋_GB2312"/>
                <w:sz w:val="18"/>
                <w:szCs w:val="18"/>
              </w:rPr>
            </w:pPr>
            <w:r>
              <w:rPr>
                <w:rFonts w:eastAsia="仿宋_GB2312"/>
                <w:sz w:val="18"/>
                <w:szCs w:val="18"/>
              </w:rPr>
              <w:t>91</w:t>
            </w:r>
          </w:p>
        </w:tc>
        <w:tc>
          <w:tcPr>
            <w:tcW w:w="839" w:type="dxa"/>
            <w:tcBorders>
              <w:top w:val="nil"/>
              <w:left w:val="nil"/>
              <w:bottom w:val="single" w:color="auto" w:sz="4" w:space="0"/>
              <w:right w:val="single" w:color="auto" w:sz="4" w:space="0"/>
            </w:tcBorders>
            <w:vAlign w:val="center"/>
          </w:tcPr>
          <w:p w14:paraId="34EE188F">
            <w:pPr>
              <w:widowControl/>
              <w:spacing w:line="240" w:lineRule="auto"/>
              <w:ind w:firstLine="0" w:firstLineChars="0"/>
              <w:jc w:val="center"/>
              <w:rPr>
                <w:rFonts w:eastAsia="仿宋_GB2312"/>
                <w:sz w:val="18"/>
                <w:szCs w:val="18"/>
              </w:rPr>
            </w:pPr>
            <w:r>
              <w:rPr>
                <w:rFonts w:eastAsia="仿宋_GB2312"/>
                <w:sz w:val="18"/>
                <w:szCs w:val="18"/>
              </w:rPr>
              <w:t>86</w:t>
            </w:r>
          </w:p>
        </w:tc>
        <w:tc>
          <w:tcPr>
            <w:tcW w:w="800" w:type="dxa"/>
            <w:tcBorders>
              <w:top w:val="nil"/>
              <w:left w:val="nil"/>
              <w:bottom w:val="single" w:color="auto" w:sz="4" w:space="0"/>
              <w:right w:val="single" w:color="auto" w:sz="4" w:space="0"/>
            </w:tcBorders>
            <w:vAlign w:val="center"/>
          </w:tcPr>
          <w:p w14:paraId="4142B44B">
            <w:pPr>
              <w:widowControl/>
              <w:spacing w:line="240" w:lineRule="auto"/>
              <w:ind w:firstLine="0" w:firstLineChars="0"/>
              <w:jc w:val="center"/>
              <w:rPr>
                <w:rFonts w:eastAsia="仿宋_GB2312"/>
                <w:sz w:val="18"/>
                <w:szCs w:val="18"/>
              </w:rPr>
            </w:pPr>
            <w:r>
              <w:rPr>
                <w:rFonts w:eastAsia="仿宋_GB2312"/>
                <w:sz w:val="18"/>
                <w:szCs w:val="18"/>
              </w:rPr>
              <w:t>82</w:t>
            </w:r>
          </w:p>
        </w:tc>
        <w:tc>
          <w:tcPr>
            <w:tcW w:w="792" w:type="dxa"/>
            <w:tcBorders>
              <w:top w:val="nil"/>
              <w:left w:val="nil"/>
              <w:bottom w:val="single" w:color="auto" w:sz="4" w:space="0"/>
              <w:right w:val="single" w:color="auto" w:sz="4" w:space="0"/>
            </w:tcBorders>
            <w:vAlign w:val="center"/>
          </w:tcPr>
          <w:p w14:paraId="27607E1D">
            <w:pPr>
              <w:widowControl/>
              <w:spacing w:line="240" w:lineRule="auto"/>
              <w:ind w:firstLine="0" w:firstLineChars="0"/>
              <w:jc w:val="center"/>
              <w:rPr>
                <w:rFonts w:eastAsia="仿宋_GB2312"/>
                <w:sz w:val="18"/>
                <w:szCs w:val="18"/>
              </w:rPr>
            </w:pPr>
            <w:r>
              <w:rPr>
                <w:rFonts w:eastAsia="仿宋_GB2312"/>
                <w:sz w:val="18"/>
                <w:szCs w:val="18"/>
              </w:rPr>
              <w:t>78</w:t>
            </w:r>
          </w:p>
        </w:tc>
        <w:tc>
          <w:tcPr>
            <w:tcW w:w="1159" w:type="dxa"/>
            <w:tcBorders>
              <w:top w:val="nil"/>
              <w:left w:val="nil"/>
              <w:bottom w:val="single" w:color="auto" w:sz="4" w:space="0"/>
              <w:right w:val="single" w:color="auto" w:sz="4" w:space="0"/>
            </w:tcBorders>
            <w:vAlign w:val="center"/>
          </w:tcPr>
          <w:p w14:paraId="6D1120AA">
            <w:pPr>
              <w:widowControl/>
              <w:spacing w:line="240" w:lineRule="auto"/>
              <w:ind w:firstLine="0" w:firstLineChars="0"/>
              <w:jc w:val="center"/>
              <w:rPr>
                <w:rFonts w:eastAsia="仿宋_GB2312"/>
                <w:sz w:val="18"/>
                <w:szCs w:val="18"/>
              </w:rPr>
            </w:pPr>
            <w:r>
              <w:rPr>
                <w:rFonts w:eastAsia="仿宋_GB2312"/>
                <w:sz w:val="18"/>
                <w:szCs w:val="18"/>
              </w:rPr>
              <w:t>17</w:t>
            </w:r>
          </w:p>
        </w:tc>
        <w:tc>
          <w:tcPr>
            <w:tcW w:w="723" w:type="dxa"/>
            <w:tcBorders>
              <w:top w:val="nil"/>
              <w:left w:val="nil"/>
              <w:bottom w:val="single" w:color="auto" w:sz="4" w:space="0"/>
              <w:right w:val="single" w:color="auto" w:sz="4" w:space="0"/>
            </w:tcBorders>
            <w:vAlign w:val="center"/>
          </w:tcPr>
          <w:p w14:paraId="5AAA1ADF">
            <w:pPr>
              <w:widowControl/>
              <w:spacing w:line="240" w:lineRule="auto"/>
              <w:ind w:firstLine="0" w:firstLineChars="0"/>
              <w:jc w:val="center"/>
              <w:rPr>
                <w:rFonts w:eastAsia="仿宋_GB2312"/>
                <w:sz w:val="18"/>
                <w:szCs w:val="18"/>
              </w:rPr>
            </w:pPr>
            <w:r>
              <w:rPr>
                <w:rFonts w:eastAsia="仿宋_GB2312"/>
                <w:sz w:val="18"/>
                <w:szCs w:val="18"/>
              </w:rPr>
              <w:t>15</w:t>
            </w:r>
          </w:p>
        </w:tc>
        <w:tc>
          <w:tcPr>
            <w:tcW w:w="695" w:type="dxa"/>
            <w:tcBorders>
              <w:top w:val="nil"/>
              <w:left w:val="nil"/>
              <w:bottom w:val="single" w:color="auto" w:sz="4" w:space="0"/>
              <w:right w:val="single" w:color="auto" w:sz="4" w:space="0"/>
            </w:tcBorders>
            <w:vAlign w:val="center"/>
          </w:tcPr>
          <w:p w14:paraId="2C23E1FB">
            <w:pPr>
              <w:widowControl/>
              <w:spacing w:line="240" w:lineRule="auto"/>
              <w:ind w:firstLine="0" w:firstLineChars="0"/>
              <w:jc w:val="center"/>
              <w:rPr>
                <w:rFonts w:eastAsia="仿宋_GB2312"/>
                <w:sz w:val="18"/>
                <w:szCs w:val="18"/>
              </w:rPr>
            </w:pPr>
            <w:r>
              <w:rPr>
                <w:rFonts w:eastAsia="仿宋_GB2312"/>
                <w:sz w:val="18"/>
                <w:szCs w:val="18"/>
              </w:rPr>
              <w:t>15</w:t>
            </w:r>
          </w:p>
        </w:tc>
        <w:tc>
          <w:tcPr>
            <w:tcW w:w="627" w:type="dxa"/>
            <w:tcBorders>
              <w:top w:val="nil"/>
              <w:left w:val="nil"/>
              <w:bottom w:val="single" w:color="auto" w:sz="4" w:space="0"/>
              <w:right w:val="single" w:color="auto" w:sz="4" w:space="0"/>
            </w:tcBorders>
            <w:vAlign w:val="center"/>
          </w:tcPr>
          <w:p w14:paraId="3E0DB58C">
            <w:pPr>
              <w:widowControl/>
              <w:spacing w:line="240" w:lineRule="auto"/>
              <w:ind w:firstLine="0" w:firstLineChars="0"/>
              <w:jc w:val="center"/>
              <w:rPr>
                <w:rFonts w:eastAsia="仿宋_GB2312"/>
                <w:sz w:val="18"/>
                <w:szCs w:val="18"/>
              </w:rPr>
            </w:pPr>
            <w:r>
              <w:rPr>
                <w:rFonts w:eastAsia="仿宋_GB2312"/>
                <w:sz w:val="18"/>
                <w:szCs w:val="18"/>
              </w:rPr>
              <w:t>14</w:t>
            </w:r>
          </w:p>
        </w:tc>
        <w:tc>
          <w:tcPr>
            <w:tcW w:w="720" w:type="dxa"/>
            <w:tcBorders>
              <w:top w:val="nil"/>
              <w:left w:val="nil"/>
              <w:bottom w:val="single" w:color="auto" w:sz="4" w:space="0"/>
              <w:right w:val="single" w:color="auto" w:sz="4" w:space="0"/>
            </w:tcBorders>
            <w:vAlign w:val="center"/>
          </w:tcPr>
          <w:p w14:paraId="1D2E3985">
            <w:pPr>
              <w:widowControl/>
              <w:spacing w:line="240" w:lineRule="auto"/>
              <w:ind w:firstLine="0" w:firstLineChars="0"/>
              <w:jc w:val="center"/>
              <w:rPr>
                <w:rFonts w:eastAsia="仿宋_GB2312"/>
                <w:sz w:val="18"/>
                <w:szCs w:val="18"/>
              </w:rPr>
            </w:pPr>
            <w:r>
              <w:rPr>
                <w:rFonts w:eastAsia="仿宋_GB2312"/>
                <w:sz w:val="18"/>
                <w:szCs w:val="18"/>
              </w:rPr>
              <w:t>14</w:t>
            </w:r>
          </w:p>
        </w:tc>
        <w:tc>
          <w:tcPr>
            <w:tcW w:w="720" w:type="dxa"/>
            <w:tcBorders>
              <w:top w:val="nil"/>
              <w:left w:val="nil"/>
              <w:bottom w:val="single" w:color="auto" w:sz="4" w:space="0"/>
              <w:right w:val="single" w:color="auto" w:sz="4" w:space="0"/>
            </w:tcBorders>
            <w:vAlign w:val="center"/>
          </w:tcPr>
          <w:p w14:paraId="7903D145">
            <w:pPr>
              <w:widowControl/>
              <w:spacing w:line="240" w:lineRule="auto"/>
              <w:ind w:firstLine="0" w:firstLineChars="0"/>
              <w:jc w:val="center"/>
              <w:rPr>
                <w:rFonts w:eastAsia="仿宋_GB2312"/>
                <w:sz w:val="18"/>
                <w:szCs w:val="18"/>
              </w:rPr>
            </w:pPr>
            <w:r>
              <w:rPr>
                <w:rFonts w:eastAsia="仿宋_GB2312"/>
                <w:sz w:val="18"/>
                <w:szCs w:val="18"/>
              </w:rPr>
              <w:t>14</w:t>
            </w:r>
          </w:p>
        </w:tc>
        <w:tc>
          <w:tcPr>
            <w:tcW w:w="880" w:type="dxa"/>
            <w:tcBorders>
              <w:top w:val="nil"/>
              <w:left w:val="nil"/>
              <w:bottom w:val="single" w:color="auto" w:sz="4" w:space="0"/>
              <w:right w:val="single" w:color="auto" w:sz="4" w:space="0"/>
            </w:tcBorders>
            <w:vAlign w:val="center"/>
          </w:tcPr>
          <w:p w14:paraId="6189CF53">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B7F6763">
            <w:pPr>
              <w:widowControl/>
              <w:spacing w:line="240" w:lineRule="auto"/>
              <w:ind w:firstLine="0" w:firstLineChars="0"/>
              <w:jc w:val="center"/>
              <w:rPr>
                <w:rFonts w:eastAsia="仿宋_GB2312"/>
                <w:sz w:val="18"/>
                <w:szCs w:val="18"/>
              </w:rPr>
            </w:pPr>
            <w:r>
              <w:rPr>
                <w:rFonts w:eastAsia="仿宋_GB2312"/>
                <w:sz w:val="18"/>
                <w:szCs w:val="18"/>
              </w:rPr>
              <w:t>80%</w:t>
            </w:r>
          </w:p>
        </w:tc>
      </w:tr>
      <w:tr w14:paraId="142DB917">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3199B3F">
            <w:pPr>
              <w:widowControl/>
              <w:spacing w:line="240" w:lineRule="auto"/>
              <w:ind w:firstLine="0" w:firstLineChars="0"/>
              <w:jc w:val="center"/>
              <w:rPr>
                <w:rFonts w:eastAsia="仿宋_GB2312"/>
                <w:sz w:val="18"/>
                <w:szCs w:val="18"/>
              </w:rPr>
            </w:pPr>
            <w:r>
              <w:rPr>
                <w:rFonts w:hint="eastAsia" w:eastAsia="仿宋_GB2312"/>
                <w:b/>
                <w:sz w:val="18"/>
                <w:szCs w:val="18"/>
              </w:rPr>
              <w:t>大涌镇</w:t>
            </w:r>
          </w:p>
        </w:tc>
        <w:tc>
          <w:tcPr>
            <w:tcW w:w="936" w:type="dxa"/>
            <w:tcBorders>
              <w:top w:val="nil"/>
              <w:left w:val="nil"/>
              <w:bottom w:val="single" w:color="auto" w:sz="4" w:space="0"/>
              <w:right w:val="single" w:color="auto" w:sz="4" w:space="0"/>
            </w:tcBorders>
            <w:vAlign w:val="center"/>
          </w:tcPr>
          <w:p w14:paraId="1651EC63">
            <w:pPr>
              <w:widowControl/>
              <w:spacing w:line="240" w:lineRule="auto"/>
              <w:ind w:firstLine="0" w:firstLineChars="0"/>
              <w:jc w:val="center"/>
              <w:rPr>
                <w:rFonts w:eastAsia="仿宋_GB2312"/>
                <w:sz w:val="18"/>
                <w:szCs w:val="18"/>
              </w:rPr>
            </w:pPr>
            <w:r>
              <w:rPr>
                <w:rFonts w:eastAsia="仿宋_GB2312"/>
                <w:sz w:val="18"/>
                <w:szCs w:val="18"/>
              </w:rPr>
              <w:t>4240</w:t>
            </w:r>
          </w:p>
        </w:tc>
        <w:tc>
          <w:tcPr>
            <w:tcW w:w="980" w:type="dxa"/>
            <w:tcBorders>
              <w:top w:val="nil"/>
              <w:left w:val="nil"/>
              <w:bottom w:val="single" w:color="auto" w:sz="4" w:space="0"/>
              <w:right w:val="single" w:color="auto" w:sz="4" w:space="0"/>
            </w:tcBorders>
            <w:vAlign w:val="center"/>
          </w:tcPr>
          <w:p w14:paraId="55F20713">
            <w:pPr>
              <w:widowControl/>
              <w:spacing w:line="240" w:lineRule="auto"/>
              <w:ind w:firstLine="0" w:firstLineChars="0"/>
              <w:jc w:val="center"/>
              <w:rPr>
                <w:rFonts w:eastAsia="仿宋_GB2312"/>
                <w:sz w:val="18"/>
                <w:szCs w:val="18"/>
              </w:rPr>
            </w:pPr>
            <w:r>
              <w:rPr>
                <w:rFonts w:eastAsia="仿宋_GB2312"/>
                <w:sz w:val="18"/>
                <w:szCs w:val="18"/>
              </w:rPr>
              <w:t>3000</w:t>
            </w:r>
          </w:p>
        </w:tc>
        <w:tc>
          <w:tcPr>
            <w:tcW w:w="681" w:type="dxa"/>
            <w:tcBorders>
              <w:top w:val="nil"/>
              <w:left w:val="nil"/>
              <w:bottom w:val="single" w:color="auto" w:sz="4" w:space="0"/>
              <w:right w:val="single" w:color="auto" w:sz="4" w:space="0"/>
            </w:tcBorders>
            <w:vAlign w:val="center"/>
          </w:tcPr>
          <w:p w14:paraId="61933827">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2066B48C">
            <w:pPr>
              <w:widowControl/>
              <w:spacing w:line="240" w:lineRule="auto"/>
              <w:ind w:firstLine="0" w:firstLineChars="0"/>
              <w:jc w:val="center"/>
              <w:rPr>
                <w:rFonts w:eastAsia="仿宋_GB2312"/>
                <w:sz w:val="18"/>
                <w:szCs w:val="18"/>
              </w:rPr>
            </w:pPr>
            <w:r>
              <w:rPr>
                <w:rFonts w:eastAsia="仿宋_GB2312"/>
                <w:sz w:val="18"/>
                <w:szCs w:val="18"/>
              </w:rPr>
              <w:t>1240</w:t>
            </w:r>
          </w:p>
        </w:tc>
        <w:tc>
          <w:tcPr>
            <w:tcW w:w="1159" w:type="dxa"/>
            <w:tcBorders>
              <w:top w:val="nil"/>
              <w:left w:val="nil"/>
              <w:bottom w:val="single" w:color="auto" w:sz="4" w:space="0"/>
              <w:right w:val="single" w:color="auto" w:sz="4" w:space="0"/>
            </w:tcBorders>
            <w:vAlign w:val="center"/>
          </w:tcPr>
          <w:p w14:paraId="5A25566B">
            <w:pPr>
              <w:widowControl/>
              <w:spacing w:line="240" w:lineRule="auto"/>
              <w:ind w:firstLine="0" w:firstLineChars="0"/>
              <w:jc w:val="center"/>
              <w:rPr>
                <w:rFonts w:eastAsia="仿宋_GB2312"/>
                <w:sz w:val="18"/>
                <w:szCs w:val="18"/>
              </w:rPr>
            </w:pPr>
            <w:r>
              <w:rPr>
                <w:rFonts w:eastAsia="仿宋_GB2312"/>
                <w:sz w:val="18"/>
                <w:szCs w:val="18"/>
              </w:rPr>
              <w:t>88</w:t>
            </w:r>
          </w:p>
        </w:tc>
        <w:tc>
          <w:tcPr>
            <w:tcW w:w="845" w:type="dxa"/>
            <w:tcBorders>
              <w:top w:val="nil"/>
              <w:left w:val="nil"/>
              <w:bottom w:val="single" w:color="auto" w:sz="4" w:space="0"/>
              <w:right w:val="single" w:color="auto" w:sz="4" w:space="0"/>
            </w:tcBorders>
            <w:vAlign w:val="center"/>
          </w:tcPr>
          <w:p w14:paraId="1CFDE47B">
            <w:pPr>
              <w:widowControl/>
              <w:spacing w:line="240" w:lineRule="auto"/>
              <w:ind w:firstLine="0" w:firstLineChars="0"/>
              <w:jc w:val="center"/>
              <w:rPr>
                <w:rFonts w:eastAsia="仿宋_GB2312"/>
                <w:sz w:val="18"/>
                <w:szCs w:val="18"/>
              </w:rPr>
            </w:pPr>
            <w:r>
              <w:rPr>
                <w:rFonts w:eastAsia="仿宋_GB2312"/>
                <w:sz w:val="18"/>
                <w:szCs w:val="18"/>
              </w:rPr>
              <w:t>76</w:t>
            </w:r>
          </w:p>
        </w:tc>
        <w:tc>
          <w:tcPr>
            <w:tcW w:w="842" w:type="dxa"/>
            <w:tcBorders>
              <w:top w:val="nil"/>
              <w:left w:val="nil"/>
              <w:bottom w:val="single" w:color="auto" w:sz="4" w:space="0"/>
              <w:right w:val="single" w:color="auto" w:sz="4" w:space="0"/>
            </w:tcBorders>
            <w:vAlign w:val="center"/>
          </w:tcPr>
          <w:p w14:paraId="44C806FA">
            <w:pPr>
              <w:widowControl/>
              <w:spacing w:line="240" w:lineRule="auto"/>
              <w:ind w:firstLine="0" w:firstLineChars="0"/>
              <w:jc w:val="center"/>
              <w:rPr>
                <w:rFonts w:eastAsia="仿宋_GB2312"/>
                <w:sz w:val="18"/>
                <w:szCs w:val="18"/>
              </w:rPr>
            </w:pPr>
            <w:r>
              <w:rPr>
                <w:rFonts w:eastAsia="仿宋_GB2312"/>
                <w:sz w:val="18"/>
                <w:szCs w:val="18"/>
              </w:rPr>
              <w:t>72</w:t>
            </w:r>
          </w:p>
        </w:tc>
        <w:tc>
          <w:tcPr>
            <w:tcW w:w="839" w:type="dxa"/>
            <w:tcBorders>
              <w:top w:val="nil"/>
              <w:left w:val="nil"/>
              <w:bottom w:val="single" w:color="auto" w:sz="4" w:space="0"/>
              <w:right w:val="single" w:color="auto" w:sz="4" w:space="0"/>
            </w:tcBorders>
            <w:vAlign w:val="center"/>
          </w:tcPr>
          <w:p w14:paraId="6B6D9645">
            <w:pPr>
              <w:widowControl/>
              <w:spacing w:line="240" w:lineRule="auto"/>
              <w:ind w:firstLine="0" w:firstLineChars="0"/>
              <w:jc w:val="center"/>
              <w:rPr>
                <w:rFonts w:eastAsia="仿宋_GB2312"/>
                <w:sz w:val="18"/>
                <w:szCs w:val="18"/>
              </w:rPr>
            </w:pPr>
            <w:r>
              <w:rPr>
                <w:rFonts w:eastAsia="仿宋_GB2312"/>
                <w:sz w:val="18"/>
                <w:szCs w:val="18"/>
              </w:rPr>
              <w:t>68</w:t>
            </w:r>
          </w:p>
        </w:tc>
        <w:tc>
          <w:tcPr>
            <w:tcW w:w="800" w:type="dxa"/>
            <w:tcBorders>
              <w:top w:val="nil"/>
              <w:left w:val="nil"/>
              <w:bottom w:val="single" w:color="auto" w:sz="4" w:space="0"/>
              <w:right w:val="single" w:color="auto" w:sz="4" w:space="0"/>
            </w:tcBorders>
            <w:vAlign w:val="center"/>
          </w:tcPr>
          <w:p w14:paraId="64DFDA8C">
            <w:pPr>
              <w:widowControl/>
              <w:spacing w:line="240" w:lineRule="auto"/>
              <w:ind w:firstLine="0" w:firstLineChars="0"/>
              <w:jc w:val="center"/>
              <w:rPr>
                <w:rFonts w:eastAsia="仿宋_GB2312"/>
                <w:sz w:val="18"/>
                <w:szCs w:val="18"/>
              </w:rPr>
            </w:pPr>
            <w:r>
              <w:rPr>
                <w:rFonts w:eastAsia="仿宋_GB2312"/>
                <w:sz w:val="18"/>
                <w:szCs w:val="18"/>
              </w:rPr>
              <w:t>65</w:t>
            </w:r>
          </w:p>
        </w:tc>
        <w:tc>
          <w:tcPr>
            <w:tcW w:w="792" w:type="dxa"/>
            <w:tcBorders>
              <w:top w:val="nil"/>
              <w:left w:val="nil"/>
              <w:bottom w:val="single" w:color="auto" w:sz="4" w:space="0"/>
              <w:right w:val="single" w:color="auto" w:sz="4" w:space="0"/>
            </w:tcBorders>
            <w:vAlign w:val="center"/>
          </w:tcPr>
          <w:p w14:paraId="203D6E69">
            <w:pPr>
              <w:widowControl/>
              <w:spacing w:line="240" w:lineRule="auto"/>
              <w:ind w:firstLine="0" w:firstLineChars="0"/>
              <w:jc w:val="center"/>
              <w:rPr>
                <w:rFonts w:eastAsia="仿宋_GB2312"/>
                <w:sz w:val="18"/>
                <w:szCs w:val="18"/>
              </w:rPr>
            </w:pPr>
            <w:r>
              <w:rPr>
                <w:rFonts w:eastAsia="仿宋_GB2312"/>
                <w:sz w:val="18"/>
                <w:szCs w:val="18"/>
              </w:rPr>
              <w:t>62</w:t>
            </w:r>
          </w:p>
        </w:tc>
        <w:tc>
          <w:tcPr>
            <w:tcW w:w="1159" w:type="dxa"/>
            <w:tcBorders>
              <w:top w:val="nil"/>
              <w:left w:val="nil"/>
              <w:bottom w:val="single" w:color="auto" w:sz="4" w:space="0"/>
              <w:right w:val="single" w:color="auto" w:sz="4" w:space="0"/>
            </w:tcBorders>
            <w:vAlign w:val="center"/>
          </w:tcPr>
          <w:p w14:paraId="1D9817A5">
            <w:pPr>
              <w:widowControl/>
              <w:spacing w:line="240" w:lineRule="auto"/>
              <w:ind w:firstLine="0" w:firstLineChars="0"/>
              <w:jc w:val="center"/>
              <w:rPr>
                <w:rFonts w:eastAsia="仿宋_GB2312"/>
                <w:sz w:val="18"/>
                <w:szCs w:val="18"/>
              </w:rPr>
            </w:pPr>
            <w:r>
              <w:rPr>
                <w:rFonts w:eastAsia="仿宋_GB2312"/>
                <w:sz w:val="18"/>
                <w:szCs w:val="18"/>
              </w:rPr>
              <w:t>49</w:t>
            </w:r>
          </w:p>
        </w:tc>
        <w:tc>
          <w:tcPr>
            <w:tcW w:w="723" w:type="dxa"/>
            <w:tcBorders>
              <w:top w:val="nil"/>
              <w:left w:val="nil"/>
              <w:bottom w:val="single" w:color="auto" w:sz="4" w:space="0"/>
              <w:right w:val="single" w:color="auto" w:sz="4" w:space="0"/>
            </w:tcBorders>
            <w:vAlign w:val="center"/>
          </w:tcPr>
          <w:p w14:paraId="29B6FAE0">
            <w:pPr>
              <w:widowControl/>
              <w:spacing w:line="240" w:lineRule="auto"/>
              <w:ind w:firstLine="0" w:firstLineChars="0"/>
              <w:jc w:val="center"/>
              <w:rPr>
                <w:rFonts w:eastAsia="仿宋_GB2312"/>
                <w:sz w:val="18"/>
                <w:szCs w:val="18"/>
              </w:rPr>
            </w:pPr>
            <w:r>
              <w:rPr>
                <w:rFonts w:eastAsia="仿宋_GB2312"/>
                <w:sz w:val="18"/>
                <w:szCs w:val="18"/>
              </w:rPr>
              <w:t>37</w:t>
            </w:r>
          </w:p>
        </w:tc>
        <w:tc>
          <w:tcPr>
            <w:tcW w:w="695" w:type="dxa"/>
            <w:tcBorders>
              <w:top w:val="nil"/>
              <w:left w:val="nil"/>
              <w:bottom w:val="single" w:color="auto" w:sz="4" w:space="0"/>
              <w:right w:val="single" w:color="auto" w:sz="4" w:space="0"/>
            </w:tcBorders>
            <w:vAlign w:val="center"/>
          </w:tcPr>
          <w:p w14:paraId="3F25FB80">
            <w:pPr>
              <w:widowControl/>
              <w:spacing w:line="240" w:lineRule="auto"/>
              <w:ind w:firstLine="0" w:firstLineChars="0"/>
              <w:jc w:val="center"/>
              <w:rPr>
                <w:rFonts w:eastAsia="仿宋_GB2312"/>
                <w:sz w:val="18"/>
                <w:szCs w:val="18"/>
              </w:rPr>
            </w:pPr>
            <w:r>
              <w:rPr>
                <w:rFonts w:eastAsia="仿宋_GB2312"/>
                <w:sz w:val="18"/>
                <w:szCs w:val="18"/>
              </w:rPr>
              <w:t>36</w:t>
            </w:r>
          </w:p>
        </w:tc>
        <w:tc>
          <w:tcPr>
            <w:tcW w:w="627" w:type="dxa"/>
            <w:tcBorders>
              <w:top w:val="nil"/>
              <w:left w:val="nil"/>
              <w:bottom w:val="single" w:color="auto" w:sz="4" w:space="0"/>
              <w:right w:val="single" w:color="auto" w:sz="4" w:space="0"/>
            </w:tcBorders>
            <w:vAlign w:val="center"/>
          </w:tcPr>
          <w:p w14:paraId="39ACB17C">
            <w:pPr>
              <w:widowControl/>
              <w:spacing w:line="240" w:lineRule="auto"/>
              <w:ind w:firstLine="0" w:firstLineChars="0"/>
              <w:jc w:val="center"/>
              <w:rPr>
                <w:rFonts w:eastAsia="仿宋_GB2312"/>
                <w:sz w:val="18"/>
                <w:szCs w:val="18"/>
              </w:rPr>
            </w:pPr>
            <w:r>
              <w:rPr>
                <w:rFonts w:eastAsia="仿宋_GB2312"/>
                <w:sz w:val="18"/>
                <w:szCs w:val="18"/>
              </w:rPr>
              <w:t>35</w:t>
            </w:r>
          </w:p>
        </w:tc>
        <w:tc>
          <w:tcPr>
            <w:tcW w:w="720" w:type="dxa"/>
            <w:tcBorders>
              <w:top w:val="nil"/>
              <w:left w:val="nil"/>
              <w:bottom w:val="single" w:color="auto" w:sz="4" w:space="0"/>
              <w:right w:val="single" w:color="auto" w:sz="4" w:space="0"/>
            </w:tcBorders>
            <w:vAlign w:val="center"/>
          </w:tcPr>
          <w:p w14:paraId="652C7C8A">
            <w:pPr>
              <w:widowControl/>
              <w:spacing w:line="240" w:lineRule="auto"/>
              <w:ind w:firstLine="0" w:firstLineChars="0"/>
              <w:jc w:val="center"/>
              <w:rPr>
                <w:rFonts w:eastAsia="仿宋_GB2312"/>
                <w:sz w:val="18"/>
                <w:szCs w:val="18"/>
              </w:rPr>
            </w:pPr>
            <w:r>
              <w:rPr>
                <w:rFonts w:eastAsia="仿宋_GB2312"/>
                <w:sz w:val="18"/>
                <w:szCs w:val="18"/>
              </w:rPr>
              <w:t>34</w:t>
            </w:r>
          </w:p>
        </w:tc>
        <w:tc>
          <w:tcPr>
            <w:tcW w:w="720" w:type="dxa"/>
            <w:tcBorders>
              <w:top w:val="nil"/>
              <w:left w:val="nil"/>
              <w:bottom w:val="single" w:color="auto" w:sz="4" w:space="0"/>
              <w:right w:val="single" w:color="auto" w:sz="4" w:space="0"/>
            </w:tcBorders>
            <w:vAlign w:val="center"/>
          </w:tcPr>
          <w:p w14:paraId="555AF5C1">
            <w:pPr>
              <w:widowControl/>
              <w:spacing w:line="240" w:lineRule="auto"/>
              <w:ind w:firstLine="0" w:firstLineChars="0"/>
              <w:jc w:val="center"/>
              <w:rPr>
                <w:rFonts w:eastAsia="仿宋_GB2312"/>
                <w:sz w:val="18"/>
                <w:szCs w:val="18"/>
              </w:rPr>
            </w:pPr>
            <w:r>
              <w:rPr>
                <w:rFonts w:eastAsia="仿宋_GB2312"/>
                <w:sz w:val="18"/>
                <w:szCs w:val="18"/>
              </w:rPr>
              <w:t>34</w:t>
            </w:r>
          </w:p>
        </w:tc>
        <w:tc>
          <w:tcPr>
            <w:tcW w:w="880" w:type="dxa"/>
            <w:tcBorders>
              <w:top w:val="nil"/>
              <w:left w:val="nil"/>
              <w:bottom w:val="single" w:color="auto" w:sz="4" w:space="0"/>
              <w:right w:val="single" w:color="auto" w:sz="4" w:space="0"/>
            </w:tcBorders>
            <w:vAlign w:val="center"/>
          </w:tcPr>
          <w:p w14:paraId="782D9578">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288B977">
            <w:pPr>
              <w:widowControl/>
              <w:spacing w:line="240" w:lineRule="auto"/>
              <w:ind w:firstLine="0" w:firstLineChars="0"/>
              <w:jc w:val="center"/>
              <w:rPr>
                <w:rFonts w:eastAsia="仿宋_GB2312"/>
                <w:sz w:val="18"/>
                <w:szCs w:val="18"/>
              </w:rPr>
            </w:pPr>
            <w:r>
              <w:rPr>
                <w:rFonts w:eastAsia="仿宋_GB2312"/>
                <w:sz w:val="18"/>
                <w:szCs w:val="18"/>
              </w:rPr>
              <w:t>80%</w:t>
            </w:r>
          </w:p>
        </w:tc>
      </w:tr>
      <w:tr w14:paraId="788A507A">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6619E946">
            <w:pPr>
              <w:widowControl/>
              <w:spacing w:line="240" w:lineRule="auto"/>
              <w:ind w:firstLine="0" w:firstLineChars="0"/>
              <w:jc w:val="center"/>
              <w:rPr>
                <w:rFonts w:eastAsia="仿宋_GB2312"/>
                <w:b/>
                <w:sz w:val="18"/>
                <w:szCs w:val="18"/>
              </w:rPr>
            </w:pPr>
            <w:r>
              <w:rPr>
                <w:rFonts w:hint="eastAsia" w:eastAsia="仿宋_GB2312"/>
                <w:b/>
                <w:sz w:val="18"/>
                <w:szCs w:val="18"/>
              </w:rPr>
              <w:t>神湾镇</w:t>
            </w:r>
          </w:p>
        </w:tc>
        <w:tc>
          <w:tcPr>
            <w:tcW w:w="936" w:type="dxa"/>
            <w:tcBorders>
              <w:top w:val="nil"/>
              <w:left w:val="nil"/>
              <w:bottom w:val="single" w:color="auto" w:sz="4" w:space="0"/>
              <w:right w:val="single" w:color="auto" w:sz="4" w:space="0"/>
            </w:tcBorders>
            <w:vAlign w:val="center"/>
          </w:tcPr>
          <w:p w14:paraId="2C0105B8">
            <w:pPr>
              <w:widowControl/>
              <w:spacing w:line="240" w:lineRule="auto"/>
              <w:ind w:firstLine="0" w:firstLineChars="0"/>
              <w:jc w:val="center"/>
              <w:rPr>
                <w:rFonts w:eastAsia="仿宋_GB2312"/>
                <w:sz w:val="18"/>
                <w:szCs w:val="18"/>
              </w:rPr>
            </w:pPr>
            <w:r>
              <w:rPr>
                <w:rFonts w:eastAsia="仿宋_GB2312"/>
                <w:sz w:val="18"/>
                <w:szCs w:val="18"/>
              </w:rPr>
              <w:t>3997</w:t>
            </w:r>
          </w:p>
        </w:tc>
        <w:tc>
          <w:tcPr>
            <w:tcW w:w="980" w:type="dxa"/>
            <w:tcBorders>
              <w:top w:val="nil"/>
              <w:left w:val="nil"/>
              <w:bottom w:val="single" w:color="auto" w:sz="4" w:space="0"/>
              <w:right w:val="single" w:color="auto" w:sz="4" w:space="0"/>
            </w:tcBorders>
            <w:vAlign w:val="center"/>
          </w:tcPr>
          <w:p w14:paraId="4F8C9B0E">
            <w:pPr>
              <w:widowControl/>
              <w:spacing w:line="240" w:lineRule="auto"/>
              <w:ind w:firstLine="0" w:firstLineChars="0"/>
              <w:jc w:val="center"/>
              <w:rPr>
                <w:rFonts w:eastAsia="仿宋_GB2312"/>
                <w:sz w:val="18"/>
                <w:szCs w:val="18"/>
              </w:rPr>
            </w:pPr>
            <w:r>
              <w:rPr>
                <w:rFonts w:eastAsia="仿宋_GB2312"/>
                <w:sz w:val="18"/>
                <w:szCs w:val="18"/>
              </w:rPr>
              <w:t>1700</w:t>
            </w:r>
          </w:p>
        </w:tc>
        <w:tc>
          <w:tcPr>
            <w:tcW w:w="681" w:type="dxa"/>
            <w:tcBorders>
              <w:top w:val="nil"/>
              <w:left w:val="nil"/>
              <w:bottom w:val="single" w:color="auto" w:sz="4" w:space="0"/>
              <w:right w:val="single" w:color="auto" w:sz="4" w:space="0"/>
            </w:tcBorders>
            <w:vAlign w:val="center"/>
          </w:tcPr>
          <w:p w14:paraId="3DDA8202">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323A56C6">
            <w:pPr>
              <w:widowControl/>
              <w:spacing w:line="240" w:lineRule="auto"/>
              <w:ind w:firstLine="0" w:firstLineChars="0"/>
              <w:jc w:val="center"/>
              <w:rPr>
                <w:rFonts w:eastAsia="仿宋_GB2312"/>
                <w:sz w:val="18"/>
                <w:szCs w:val="18"/>
              </w:rPr>
            </w:pPr>
            <w:r>
              <w:rPr>
                <w:rFonts w:eastAsia="仿宋_GB2312"/>
                <w:sz w:val="18"/>
                <w:szCs w:val="18"/>
              </w:rPr>
              <w:t>2297</w:t>
            </w:r>
          </w:p>
        </w:tc>
        <w:tc>
          <w:tcPr>
            <w:tcW w:w="1159" w:type="dxa"/>
            <w:tcBorders>
              <w:top w:val="nil"/>
              <w:left w:val="nil"/>
              <w:bottom w:val="single" w:color="auto" w:sz="4" w:space="0"/>
              <w:right w:val="single" w:color="auto" w:sz="4" w:space="0"/>
            </w:tcBorders>
            <w:vAlign w:val="center"/>
          </w:tcPr>
          <w:p w14:paraId="31D3ECF4">
            <w:pPr>
              <w:widowControl/>
              <w:spacing w:line="240" w:lineRule="auto"/>
              <w:ind w:firstLine="0" w:firstLineChars="0"/>
              <w:jc w:val="center"/>
              <w:rPr>
                <w:rFonts w:eastAsia="仿宋_GB2312"/>
                <w:sz w:val="18"/>
                <w:szCs w:val="18"/>
              </w:rPr>
            </w:pPr>
            <w:r>
              <w:rPr>
                <w:rFonts w:eastAsia="仿宋_GB2312"/>
                <w:sz w:val="18"/>
                <w:szCs w:val="18"/>
              </w:rPr>
              <w:t>177</w:t>
            </w:r>
          </w:p>
        </w:tc>
        <w:tc>
          <w:tcPr>
            <w:tcW w:w="845" w:type="dxa"/>
            <w:tcBorders>
              <w:top w:val="nil"/>
              <w:left w:val="nil"/>
              <w:bottom w:val="single" w:color="auto" w:sz="4" w:space="0"/>
              <w:right w:val="single" w:color="auto" w:sz="4" w:space="0"/>
            </w:tcBorders>
            <w:vAlign w:val="center"/>
          </w:tcPr>
          <w:p w14:paraId="6A7C3A66">
            <w:pPr>
              <w:widowControl/>
              <w:spacing w:line="240" w:lineRule="auto"/>
              <w:ind w:firstLine="0" w:firstLineChars="0"/>
              <w:jc w:val="center"/>
              <w:rPr>
                <w:rFonts w:eastAsia="仿宋_GB2312"/>
                <w:sz w:val="18"/>
                <w:szCs w:val="18"/>
              </w:rPr>
            </w:pPr>
            <w:r>
              <w:rPr>
                <w:rFonts w:eastAsia="仿宋_GB2312"/>
                <w:sz w:val="18"/>
                <w:szCs w:val="18"/>
              </w:rPr>
              <w:t>151</w:t>
            </w:r>
          </w:p>
        </w:tc>
        <w:tc>
          <w:tcPr>
            <w:tcW w:w="842" w:type="dxa"/>
            <w:tcBorders>
              <w:top w:val="nil"/>
              <w:left w:val="nil"/>
              <w:bottom w:val="single" w:color="auto" w:sz="4" w:space="0"/>
              <w:right w:val="single" w:color="auto" w:sz="4" w:space="0"/>
            </w:tcBorders>
            <w:vAlign w:val="center"/>
          </w:tcPr>
          <w:p w14:paraId="40DC591E">
            <w:pPr>
              <w:widowControl/>
              <w:spacing w:line="240" w:lineRule="auto"/>
              <w:ind w:firstLine="0" w:firstLineChars="0"/>
              <w:jc w:val="center"/>
              <w:rPr>
                <w:rFonts w:eastAsia="仿宋_GB2312"/>
                <w:sz w:val="18"/>
                <w:szCs w:val="18"/>
              </w:rPr>
            </w:pPr>
            <w:r>
              <w:rPr>
                <w:rFonts w:eastAsia="仿宋_GB2312"/>
                <w:sz w:val="18"/>
                <w:szCs w:val="18"/>
              </w:rPr>
              <w:t>144</w:t>
            </w:r>
          </w:p>
        </w:tc>
        <w:tc>
          <w:tcPr>
            <w:tcW w:w="839" w:type="dxa"/>
            <w:tcBorders>
              <w:top w:val="nil"/>
              <w:left w:val="nil"/>
              <w:bottom w:val="single" w:color="auto" w:sz="4" w:space="0"/>
              <w:right w:val="single" w:color="auto" w:sz="4" w:space="0"/>
            </w:tcBorders>
            <w:vAlign w:val="center"/>
          </w:tcPr>
          <w:p w14:paraId="00490029">
            <w:pPr>
              <w:widowControl/>
              <w:spacing w:line="240" w:lineRule="auto"/>
              <w:ind w:firstLine="0" w:firstLineChars="0"/>
              <w:jc w:val="center"/>
              <w:rPr>
                <w:rFonts w:eastAsia="仿宋_GB2312"/>
                <w:sz w:val="18"/>
                <w:szCs w:val="18"/>
              </w:rPr>
            </w:pPr>
            <w:r>
              <w:rPr>
                <w:rFonts w:eastAsia="仿宋_GB2312"/>
                <w:sz w:val="18"/>
                <w:szCs w:val="18"/>
              </w:rPr>
              <w:t>137</w:t>
            </w:r>
          </w:p>
        </w:tc>
        <w:tc>
          <w:tcPr>
            <w:tcW w:w="800" w:type="dxa"/>
            <w:tcBorders>
              <w:top w:val="nil"/>
              <w:left w:val="nil"/>
              <w:bottom w:val="single" w:color="auto" w:sz="4" w:space="0"/>
              <w:right w:val="single" w:color="auto" w:sz="4" w:space="0"/>
            </w:tcBorders>
            <w:vAlign w:val="center"/>
          </w:tcPr>
          <w:p w14:paraId="535A6888">
            <w:pPr>
              <w:widowControl/>
              <w:spacing w:line="240" w:lineRule="auto"/>
              <w:ind w:firstLine="0" w:firstLineChars="0"/>
              <w:jc w:val="center"/>
              <w:rPr>
                <w:rFonts w:eastAsia="仿宋_GB2312"/>
                <w:sz w:val="18"/>
                <w:szCs w:val="18"/>
              </w:rPr>
            </w:pPr>
            <w:r>
              <w:rPr>
                <w:rFonts w:eastAsia="仿宋_GB2312"/>
                <w:sz w:val="18"/>
                <w:szCs w:val="18"/>
              </w:rPr>
              <w:t>130</w:t>
            </w:r>
          </w:p>
        </w:tc>
        <w:tc>
          <w:tcPr>
            <w:tcW w:w="792" w:type="dxa"/>
            <w:tcBorders>
              <w:top w:val="nil"/>
              <w:left w:val="nil"/>
              <w:bottom w:val="single" w:color="auto" w:sz="4" w:space="0"/>
              <w:right w:val="single" w:color="auto" w:sz="4" w:space="0"/>
            </w:tcBorders>
            <w:vAlign w:val="center"/>
          </w:tcPr>
          <w:p w14:paraId="2BEA8F3F">
            <w:pPr>
              <w:widowControl/>
              <w:spacing w:line="240" w:lineRule="auto"/>
              <w:ind w:firstLine="0" w:firstLineChars="0"/>
              <w:jc w:val="center"/>
              <w:rPr>
                <w:rFonts w:eastAsia="仿宋_GB2312"/>
                <w:sz w:val="18"/>
                <w:szCs w:val="18"/>
              </w:rPr>
            </w:pPr>
            <w:r>
              <w:rPr>
                <w:rFonts w:eastAsia="仿宋_GB2312"/>
                <w:sz w:val="18"/>
                <w:szCs w:val="18"/>
              </w:rPr>
              <w:t>123</w:t>
            </w:r>
          </w:p>
        </w:tc>
        <w:tc>
          <w:tcPr>
            <w:tcW w:w="1159" w:type="dxa"/>
            <w:tcBorders>
              <w:top w:val="nil"/>
              <w:left w:val="nil"/>
              <w:bottom w:val="single" w:color="auto" w:sz="4" w:space="0"/>
              <w:right w:val="single" w:color="auto" w:sz="4" w:space="0"/>
            </w:tcBorders>
            <w:vAlign w:val="center"/>
          </w:tcPr>
          <w:p w14:paraId="71AE8E9A">
            <w:pPr>
              <w:widowControl/>
              <w:spacing w:line="240" w:lineRule="auto"/>
              <w:ind w:firstLine="0" w:firstLineChars="0"/>
              <w:jc w:val="center"/>
              <w:rPr>
                <w:rFonts w:eastAsia="仿宋_GB2312"/>
                <w:sz w:val="18"/>
                <w:szCs w:val="18"/>
              </w:rPr>
            </w:pPr>
            <w:r>
              <w:rPr>
                <w:rFonts w:eastAsia="仿宋_GB2312"/>
                <w:sz w:val="18"/>
                <w:szCs w:val="18"/>
              </w:rPr>
              <w:t>32</w:t>
            </w:r>
          </w:p>
        </w:tc>
        <w:tc>
          <w:tcPr>
            <w:tcW w:w="723" w:type="dxa"/>
            <w:tcBorders>
              <w:top w:val="nil"/>
              <w:left w:val="nil"/>
              <w:bottom w:val="single" w:color="auto" w:sz="4" w:space="0"/>
              <w:right w:val="single" w:color="auto" w:sz="4" w:space="0"/>
            </w:tcBorders>
            <w:vAlign w:val="center"/>
          </w:tcPr>
          <w:p w14:paraId="1830C292">
            <w:pPr>
              <w:widowControl/>
              <w:spacing w:line="240" w:lineRule="auto"/>
              <w:ind w:firstLine="0" w:firstLineChars="0"/>
              <w:jc w:val="center"/>
              <w:rPr>
                <w:rFonts w:eastAsia="仿宋_GB2312"/>
                <w:sz w:val="18"/>
                <w:szCs w:val="18"/>
              </w:rPr>
            </w:pPr>
            <w:r>
              <w:rPr>
                <w:rFonts w:eastAsia="仿宋_GB2312"/>
                <w:sz w:val="18"/>
                <w:szCs w:val="18"/>
              </w:rPr>
              <w:t>29</w:t>
            </w:r>
          </w:p>
        </w:tc>
        <w:tc>
          <w:tcPr>
            <w:tcW w:w="695" w:type="dxa"/>
            <w:tcBorders>
              <w:top w:val="nil"/>
              <w:left w:val="nil"/>
              <w:bottom w:val="single" w:color="auto" w:sz="4" w:space="0"/>
              <w:right w:val="single" w:color="auto" w:sz="4" w:space="0"/>
            </w:tcBorders>
            <w:vAlign w:val="center"/>
          </w:tcPr>
          <w:p w14:paraId="0CB4C35A">
            <w:pPr>
              <w:widowControl/>
              <w:spacing w:line="240" w:lineRule="auto"/>
              <w:ind w:firstLine="0" w:firstLineChars="0"/>
              <w:jc w:val="center"/>
              <w:rPr>
                <w:rFonts w:eastAsia="仿宋_GB2312"/>
                <w:sz w:val="18"/>
                <w:szCs w:val="18"/>
              </w:rPr>
            </w:pPr>
            <w:r>
              <w:rPr>
                <w:rFonts w:eastAsia="仿宋_GB2312"/>
                <w:sz w:val="18"/>
                <w:szCs w:val="18"/>
              </w:rPr>
              <w:t>27</w:t>
            </w:r>
          </w:p>
        </w:tc>
        <w:tc>
          <w:tcPr>
            <w:tcW w:w="627" w:type="dxa"/>
            <w:tcBorders>
              <w:top w:val="nil"/>
              <w:left w:val="nil"/>
              <w:bottom w:val="single" w:color="auto" w:sz="4" w:space="0"/>
              <w:right w:val="single" w:color="auto" w:sz="4" w:space="0"/>
            </w:tcBorders>
            <w:vAlign w:val="center"/>
          </w:tcPr>
          <w:p w14:paraId="645C935F">
            <w:pPr>
              <w:widowControl/>
              <w:spacing w:line="240" w:lineRule="auto"/>
              <w:ind w:firstLine="0" w:firstLineChars="0"/>
              <w:jc w:val="center"/>
              <w:rPr>
                <w:rFonts w:eastAsia="仿宋_GB2312"/>
                <w:sz w:val="18"/>
                <w:szCs w:val="18"/>
              </w:rPr>
            </w:pPr>
            <w:r>
              <w:rPr>
                <w:rFonts w:eastAsia="仿宋_GB2312"/>
                <w:sz w:val="18"/>
                <w:szCs w:val="18"/>
              </w:rPr>
              <w:t>25</w:t>
            </w:r>
          </w:p>
        </w:tc>
        <w:tc>
          <w:tcPr>
            <w:tcW w:w="720" w:type="dxa"/>
            <w:tcBorders>
              <w:top w:val="nil"/>
              <w:left w:val="nil"/>
              <w:bottom w:val="single" w:color="auto" w:sz="4" w:space="0"/>
              <w:right w:val="single" w:color="auto" w:sz="4" w:space="0"/>
            </w:tcBorders>
            <w:vAlign w:val="center"/>
          </w:tcPr>
          <w:p w14:paraId="6BCFBC2A">
            <w:pPr>
              <w:widowControl/>
              <w:spacing w:line="240" w:lineRule="auto"/>
              <w:ind w:firstLine="0" w:firstLineChars="0"/>
              <w:jc w:val="center"/>
              <w:rPr>
                <w:rFonts w:eastAsia="仿宋_GB2312"/>
                <w:sz w:val="18"/>
                <w:szCs w:val="18"/>
              </w:rPr>
            </w:pPr>
            <w:r>
              <w:rPr>
                <w:rFonts w:eastAsia="仿宋_GB2312"/>
                <w:sz w:val="18"/>
                <w:szCs w:val="18"/>
              </w:rPr>
              <w:t>24</w:t>
            </w:r>
          </w:p>
        </w:tc>
        <w:tc>
          <w:tcPr>
            <w:tcW w:w="720" w:type="dxa"/>
            <w:tcBorders>
              <w:top w:val="nil"/>
              <w:left w:val="nil"/>
              <w:bottom w:val="single" w:color="auto" w:sz="4" w:space="0"/>
              <w:right w:val="single" w:color="auto" w:sz="4" w:space="0"/>
            </w:tcBorders>
            <w:vAlign w:val="center"/>
          </w:tcPr>
          <w:p w14:paraId="2AED3044">
            <w:pPr>
              <w:widowControl/>
              <w:spacing w:line="240" w:lineRule="auto"/>
              <w:ind w:firstLine="0" w:firstLineChars="0"/>
              <w:jc w:val="center"/>
              <w:rPr>
                <w:rFonts w:eastAsia="仿宋_GB2312"/>
                <w:sz w:val="18"/>
                <w:szCs w:val="18"/>
              </w:rPr>
            </w:pPr>
            <w:r>
              <w:rPr>
                <w:rFonts w:eastAsia="仿宋_GB2312"/>
                <w:sz w:val="18"/>
                <w:szCs w:val="18"/>
              </w:rPr>
              <w:t>23</w:t>
            </w:r>
          </w:p>
        </w:tc>
        <w:tc>
          <w:tcPr>
            <w:tcW w:w="880" w:type="dxa"/>
            <w:tcBorders>
              <w:top w:val="nil"/>
              <w:left w:val="nil"/>
              <w:bottom w:val="single" w:color="auto" w:sz="4" w:space="0"/>
              <w:right w:val="single" w:color="auto" w:sz="4" w:space="0"/>
            </w:tcBorders>
            <w:vAlign w:val="center"/>
          </w:tcPr>
          <w:p w14:paraId="52CF51AE">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0FCCB444">
            <w:pPr>
              <w:widowControl/>
              <w:spacing w:line="240" w:lineRule="auto"/>
              <w:ind w:firstLine="0" w:firstLineChars="0"/>
              <w:jc w:val="center"/>
              <w:rPr>
                <w:rFonts w:eastAsia="仿宋_GB2312"/>
                <w:sz w:val="18"/>
                <w:szCs w:val="18"/>
              </w:rPr>
            </w:pPr>
            <w:r>
              <w:rPr>
                <w:rFonts w:eastAsia="仿宋_GB2312"/>
                <w:sz w:val="18"/>
                <w:szCs w:val="18"/>
              </w:rPr>
              <w:t>80%</w:t>
            </w:r>
          </w:p>
        </w:tc>
      </w:tr>
      <w:tr w14:paraId="05B0FCEA">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48DE06A0">
            <w:pPr>
              <w:widowControl/>
              <w:spacing w:line="240" w:lineRule="auto"/>
              <w:ind w:firstLine="0" w:firstLineChars="0"/>
              <w:jc w:val="center"/>
              <w:rPr>
                <w:rFonts w:eastAsia="仿宋_GB2312"/>
                <w:b/>
                <w:sz w:val="18"/>
                <w:szCs w:val="18"/>
              </w:rPr>
            </w:pPr>
            <w:r>
              <w:rPr>
                <w:rFonts w:hint="eastAsia" w:eastAsia="仿宋_GB2312"/>
                <w:b/>
                <w:sz w:val="18"/>
                <w:szCs w:val="18"/>
              </w:rPr>
              <w:t>合</w:t>
            </w:r>
            <w:r>
              <w:rPr>
                <w:rFonts w:eastAsia="仿宋_GB2312"/>
                <w:b/>
                <w:sz w:val="18"/>
                <w:szCs w:val="18"/>
              </w:rPr>
              <w:t xml:space="preserve">  </w:t>
            </w:r>
            <w:r>
              <w:rPr>
                <w:rFonts w:hint="eastAsia" w:eastAsia="仿宋_GB2312"/>
                <w:b/>
                <w:sz w:val="18"/>
                <w:szCs w:val="18"/>
              </w:rPr>
              <w:t>计</w:t>
            </w:r>
          </w:p>
        </w:tc>
        <w:tc>
          <w:tcPr>
            <w:tcW w:w="936" w:type="dxa"/>
            <w:tcBorders>
              <w:top w:val="nil"/>
              <w:left w:val="nil"/>
              <w:bottom w:val="single" w:color="auto" w:sz="4" w:space="0"/>
              <w:right w:val="single" w:color="auto" w:sz="4" w:space="0"/>
            </w:tcBorders>
            <w:vAlign w:val="center"/>
          </w:tcPr>
          <w:p w14:paraId="2C881A0D">
            <w:pPr>
              <w:widowControl/>
              <w:spacing w:line="240" w:lineRule="auto"/>
              <w:ind w:firstLine="0" w:firstLineChars="0"/>
              <w:jc w:val="center"/>
              <w:rPr>
                <w:rFonts w:eastAsia="仿宋_GB2312"/>
                <w:sz w:val="18"/>
                <w:szCs w:val="18"/>
              </w:rPr>
            </w:pPr>
            <w:r>
              <w:rPr>
                <w:rFonts w:eastAsia="仿宋_GB2312"/>
                <w:sz w:val="18"/>
                <w:szCs w:val="18"/>
              </w:rPr>
              <w:t>14</w:t>
            </w:r>
            <w:r>
              <w:rPr>
                <w:rFonts w:hint="eastAsia" w:eastAsia="仿宋_GB2312"/>
                <w:sz w:val="18"/>
                <w:szCs w:val="18"/>
              </w:rPr>
              <w:t>51</w:t>
            </w:r>
            <w:r>
              <w:rPr>
                <w:rFonts w:eastAsia="仿宋_GB2312"/>
                <w:sz w:val="18"/>
                <w:szCs w:val="18"/>
              </w:rPr>
              <w:t>33</w:t>
            </w:r>
          </w:p>
        </w:tc>
        <w:tc>
          <w:tcPr>
            <w:tcW w:w="980" w:type="dxa"/>
            <w:tcBorders>
              <w:top w:val="nil"/>
              <w:left w:val="nil"/>
              <w:bottom w:val="single" w:color="auto" w:sz="4" w:space="0"/>
              <w:right w:val="single" w:color="auto" w:sz="4" w:space="0"/>
            </w:tcBorders>
            <w:vAlign w:val="center"/>
          </w:tcPr>
          <w:p w14:paraId="2DCE76F9">
            <w:pPr>
              <w:widowControl/>
              <w:spacing w:line="240" w:lineRule="auto"/>
              <w:ind w:firstLine="0" w:firstLineChars="0"/>
              <w:jc w:val="center"/>
              <w:rPr>
                <w:rFonts w:eastAsia="仿宋_GB2312"/>
                <w:sz w:val="18"/>
                <w:szCs w:val="18"/>
              </w:rPr>
            </w:pPr>
            <w:r>
              <w:rPr>
                <w:rFonts w:eastAsia="仿宋_GB2312"/>
                <w:sz w:val="18"/>
                <w:szCs w:val="18"/>
              </w:rPr>
              <w:t>81</w:t>
            </w:r>
            <w:r>
              <w:rPr>
                <w:rFonts w:hint="eastAsia" w:eastAsia="仿宋_GB2312"/>
                <w:sz w:val="18"/>
                <w:szCs w:val="18"/>
              </w:rPr>
              <w:t>7</w:t>
            </w:r>
            <w:r>
              <w:rPr>
                <w:rFonts w:eastAsia="仿宋_GB2312"/>
                <w:sz w:val="18"/>
                <w:szCs w:val="18"/>
              </w:rPr>
              <w:t>70</w:t>
            </w:r>
          </w:p>
        </w:tc>
        <w:tc>
          <w:tcPr>
            <w:tcW w:w="681" w:type="dxa"/>
            <w:tcBorders>
              <w:top w:val="nil"/>
              <w:left w:val="nil"/>
              <w:bottom w:val="single" w:color="auto" w:sz="4" w:space="0"/>
              <w:right w:val="single" w:color="auto" w:sz="4" w:space="0"/>
            </w:tcBorders>
            <w:vAlign w:val="center"/>
          </w:tcPr>
          <w:p w14:paraId="70F507C9">
            <w:pPr>
              <w:widowControl/>
              <w:spacing w:line="240" w:lineRule="auto"/>
              <w:ind w:firstLine="0" w:firstLineChars="0"/>
              <w:jc w:val="center"/>
              <w:rPr>
                <w:rFonts w:eastAsia="仿宋_GB2312"/>
                <w:sz w:val="18"/>
                <w:szCs w:val="18"/>
              </w:rPr>
            </w:pPr>
            <w:r>
              <w:rPr>
                <w:rFonts w:eastAsia="仿宋_GB2312"/>
                <w:sz w:val="18"/>
                <w:szCs w:val="18"/>
              </w:rPr>
              <w:t>4140</w:t>
            </w:r>
          </w:p>
        </w:tc>
        <w:tc>
          <w:tcPr>
            <w:tcW w:w="750" w:type="dxa"/>
            <w:tcBorders>
              <w:top w:val="nil"/>
              <w:left w:val="nil"/>
              <w:bottom w:val="single" w:color="auto" w:sz="4" w:space="0"/>
              <w:right w:val="single" w:color="auto" w:sz="4" w:space="0"/>
            </w:tcBorders>
            <w:vAlign w:val="center"/>
          </w:tcPr>
          <w:p w14:paraId="22DFD38B">
            <w:pPr>
              <w:widowControl/>
              <w:spacing w:line="240" w:lineRule="auto"/>
              <w:ind w:firstLine="0" w:firstLineChars="0"/>
              <w:jc w:val="center"/>
              <w:rPr>
                <w:rFonts w:eastAsia="仿宋_GB2312"/>
                <w:sz w:val="18"/>
                <w:szCs w:val="18"/>
              </w:rPr>
            </w:pPr>
            <w:r>
              <w:rPr>
                <w:rFonts w:eastAsia="仿宋_GB2312"/>
                <w:sz w:val="18"/>
                <w:szCs w:val="18"/>
              </w:rPr>
              <w:t>59223</w:t>
            </w:r>
          </w:p>
        </w:tc>
        <w:tc>
          <w:tcPr>
            <w:tcW w:w="1159" w:type="dxa"/>
            <w:tcBorders>
              <w:top w:val="nil"/>
              <w:left w:val="nil"/>
              <w:bottom w:val="single" w:color="auto" w:sz="4" w:space="0"/>
              <w:right w:val="single" w:color="auto" w:sz="4" w:space="0"/>
            </w:tcBorders>
            <w:vAlign w:val="center"/>
          </w:tcPr>
          <w:p w14:paraId="5CED4485">
            <w:pPr>
              <w:widowControl/>
              <w:spacing w:line="240" w:lineRule="auto"/>
              <w:ind w:firstLine="0" w:firstLineChars="0"/>
              <w:jc w:val="center"/>
              <w:rPr>
                <w:rFonts w:eastAsia="仿宋_GB2312"/>
                <w:sz w:val="18"/>
                <w:szCs w:val="18"/>
              </w:rPr>
            </w:pPr>
            <w:r>
              <w:rPr>
                <w:rFonts w:eastAsia="仿宋_GB2312"/>
                <w:sz w:val="18"/>
                <w:szCs w:val="18"/>
              </w:rPr>
              <w:t>/</w:t>
            </w:r>
          </w:p>
        </w:tc>
        <w:tc>
          <w:tcPr>
            <w:tcW w:w="845" w:type="dxa"/>
            <w:tcBorders>
              <w:top w:val="nil"/>
              <w:left w:val="nil"/>
              <w:bottom w:val="single" w:color="auto" w:sz="4" w:space="0"/>
              <w:right w:val="single" w:color="auto" w:sz="4" w:space="0"/>
            </w:tcBorders>
            <w:vAlign w:val="center"/>
          </w:tcPr>
          <w:p w14:paraId="7E681E6B">
            <w:pPr>
              <w:widowControl/>
              <w:spacing w:line="240" w:lineRule="auto"/>
              <w:ind w:firstLine="0" w:firstLineChars="0"/>
              <w:jc w:val="center"/>
              <w:rPr>
                <w:rFonts w:eastAsia="仿宋_GB2312"/>
                <w:sz w:val="18"/>
                <w:szCs w:val="18"/>
              </w:rPr>
            </w:pPr>
            <w:r>
              <w:rPr>
                <w:rFonts w:eastAsia="仿宋_GB2312"/>
                <w:sz w:val="18"/>
                <w:szCs w:val="18"/>
              </w:rPr>
              <w:t>/</w:t>
            </w:r>
          </w:p>
        </w:tc>
        <w:tc>
          <w:tcPr>
            <w:tcW w:w="842" w:type="dxa"/>
            <w:tcBorders>
              <w:top w:val="nil"/>
              <w:left w:val="nil"/>
              <w:bottom w:val="single" w:color="auto" w:sz="4" w:space="0"/>
              <w:right w:val="single" w:color="auto" w:sz="4" w:space="0"/>
            </w:tcBorders>
            <w:vAlign w:val="center"/>
          </w:tcPr>
          <w:p w14:paraId="0AAE5540">
            <w:pPr>
              <w:widowControl/>
              <w:spacing w:line="240" w:lineRule="auto"/>
              <w:ind w:firstLine="0" w:firstLineChars="0"/>
              <w:jc w:val="center"/>
              <w:rPr>
                <w:rFonts w:eastAsia="仿宋_GB2312"/>
                <w:sz w:val="18"/>
                <w:szCs w:val="18"/>
              </w:rPr>
            </w:pPr>
            <w:r>
              <w:rPr>
                <w:rFonts w:eastAsia="仿宋_GB2312"/>
                <w:sz w:val="18"/>
                <w:szCs w:val="18"/>
              </w:rPr>
              <w:t>/</w:t>
            </w:r>
          </w:p>
        </w:tc>
        <w:tc>
          <w:tcPr>
            <w:tcW w:w="839" w:type="dxa"/>
            <w:tcBorders>
              <w:top w:val="nil"/>
              <w:left w:val="nil"/>
              <w:bottom w:val="single" w:color="auto" w:sz="4" w:space="0"/>
              <w:right w:val="single" w:color="auto" w:sz="4" w:space="0"/>
            </w:tcBorders>
            <w:vAlign w:val="center"/>
          </w:tcPr>
          <w:p w14:paraId="6A5BCF3D">
            <w:pPr>
              <w:widowControl/>
              <w:spacing w:line="240" w:lineRule="auto"/>
              <w:ind w:firstLine="0" w:firstLineChars="0"/>
              <w:jc w:val="center"/>
              <w:rPr>
                <w:rFonts w:eastAsia="仿宋_GB2312"/>
                <w:sz w:val="18"/>
                <w:szCs w:val="18"/>
              </w:rPr>
            </w:pPr>
            <w:r>
              <w:rPr>
                <w:rFonts w:eastAsia="仿宋_GB2312"/>
                <w:sz w:val="18"/>
                <w:szCs w:val="18"/>
              </w:rPr>
              <w:t>/</w:t>
            </w:r>
          </w:p>
        </w:tc>
        <w:tc>
          <w:tcPr>
            <w:tcW w:w="800" w:type="dxa"/>
            <w:tcBorders>
              <w:top w:val="nil"/>
              <w:left w:val="nil"/>
              <w:bottom w:val="single" w:color="auto" w:sz="4" w:space="0"/>
              <w:right w:val="single" w:color="auto" w:sz="4" w:space="0"/>
            </w:tcBorders>
            <w:vAlign w:val="center"/>
          </w:tcPr>
          <w:p w14:paraId="1C313109">
            <w:pPr>
              <w:widowControl/>
              <w:spacing w:line="240" w:lineRule="auto"/>
              <w:ind w:firstLine="0" w:firstLineChars="0"/>
              <w:jc w:val="center"/>
              <w:rPr>
                <w:rFonts w:eastAsia="仿宋_GB2312"/>
                <w:sz w:val="18"/>
                <w:szCs w:val="18"/>
              </w:rPr>
            </w:pPr>
            <w:r>
              <w:rPr>
                <w:rFonts w:eastAsia="仿宋_GB2312"/>
                <w:sz w:val="18"/>
                <w:szCs w:val="18"/>
              </w:rPr>
              <w:t>/</w:t>
            </w:r>
          </w:p>
        </w:tc>
        <w:tc>
          <w:tcPr>
            <w:tcW w:w="792" w:type="dxa"/>
            <w:tcBorders>
              <w:top w:val="nil"/>
              <w:left w:val="nil"/>
              <w:bottom w:val="single" w:color="auto" w:sz="4" w:space="0"/>
              <w:right w:val="single" w:color="auto" w:sz="4" w:space="0"/>
            </w:tcBorders>
            <w:vAlign w:val="center"/>
          </w:tcPr>
          <w:p w14:paraId="032E1FD8">
            <w:pPr>
              <w:widowControl/>
              <w:spacing w:line="240" w:lineRule="auto"/>
              <w:ind w:firstLine="0" w:firstLineChars="0"/>
              <w:jc w:val="center"/>
              <w:rPr>
                <w:rFonts w:eastAsia="仿宋_GB2312"/>
                <w:sz w:val="18"/>
                <w:szCs w:val="18"/>
              </w:rPr>
            </w:pPr>
            <w:r>
              <w:rPr>
                <w:rFonts w:eastAsia="仿宋_GB2312"/>
                <w:sz w:val="18"/>
                <w:szCs w:val="18"/>
              </w:rPr>
              <w:t>/</w:t>
            </w:r>
          </w:p>
        </w:tc>
        <w:tc>
          <w:tcPr>
            <w:tcW w:w="1159" w:type="dxa"/>
            <w:tcBorders>
              <w:top w:val="nil"/>
              <w:left w:val="nil"/>
              <w:bottom w:val="single" w:color="auto" w:sz="4" w:space="0"/>
              <w:right w:val="single" w:color="auto" w:sz="4" w:space="0"/>
            </w:tcBorders>
            <w:vAlign w:val="center"/>
          </w:tcPr>
          <w:p w14:paraId="163D2294">
            <w:pPr>
              <w:widowControl/>
              <w:spacing w:line="240" w:lineRule="auto"/>
              <w:ind w:firstLine="0" w:firstLineChars="0"/>
              <w:jc w:val="center"/>
              <w:rPr>
                <w:rFonts w:eastAsia="仿宋_GB2312"/>
                <w:sz w:val="18"/>
                <w:szCs w:val="18"/>
              </w:rPr>
            </w:pPr>
            <w:r>
              <w:rPr>
                <w:rFonts w:eastAsia="仿宋_GB2312"/>
                <w:sz w:val="18"/>
                <w:szCs w:val="18"/>
              </w:rPr>
              <w:t>/</w:t>
            </w:r>
          </w:p>
        </w:tc>
        <w:tc>
          <w:tcPr>
            <w:tcW w:w="723" w:type="dxa"/>
            <w:tcBorders>
              <w:top w:val="nil"/>
              <w:left w:val="nil"/>
              <w:bottom w:val="single" w:color="auto" w:sz="4" w:space="0"/>
              <w:right w:val="single" w:color="auto" w:sz="4" w:space="0"/>
            </w:tcBorders>
            <w:vAlign w:val="center"/>
          </w:tcPr>
          <w:p w14:paraId="1CB13C2F">
            <w:pPr>
              <w:widowControl/>
              <w:spacing w:line="240" w:lineRule="auto"/>
              <w:ind w:firstLine="0" w:firstLineChars="0"/>
              <w:jc w:val="center"/>
              <w:rPr>
                <w:rFonts w:eastAsia="仿宋_GB2312"/>
                <w:sz w:val="18"/>
                <w:szCs w:val="18"/>
              </w:rPr>
            </w:pPr>
            <w:r>
              <w:rPr>
                <w:rFonts w:eastAsia="仿宋_GB2312"/>
                <w:sz w:val="18"/>
                <w:szCs w:val="18"/>
              </w:rPr>
              <w:t>/</w:t>
            </w:r>
          </w:p>
        </w:tc>
        <w:tc>
          <w:tcPr>
            <w:tcW w:w="695" w:type="dxa"/>
            <w:tcBorders>
              <w:top w:val="nil"/>
              <w:left w:val="nil"/>
              <w:bottom w:val="single" w:color="auto" w:sz="4" w:space="0"/>
              <w:right w:val="single" w:color="auto" w:sz="4" w:space="0"/>
            </w:tcBorders>
            <w:vAlign w:val="center"/>
          </w:tcPr>
          <w:p w14:paraId="7BF80CF8">
            <w:pPr>
              <w:widowControl/>
              <w:spacing w:line="240" w:lineRule="auto"/>
              <w:ind w:firstLine="0" w:firstLineChars="0"/>
              <w:jc w:val="center"/>
              <w:rPr>
                <w:rFonts w:eastAsia="仿宋_GB2312"/>
                <w:sz w:val="18"/>
                <w:szCs w:val="18"/>
              </w:rPr>
            </w:pPr>
            <w:r>
              <w:rPr>
                <w:rFonts w:eastAsia="仿宋_GB2312"/>
                <w:sz w:val="18"/>
                <w:szCs w:val="18"/>
              </w:rPr>
              <w:t>/</w:t>
            </w:r>
          </w:p>
        </w:tc>
        <w:tc>
          <w:tcPr>
            <w:tcW w:w="627" w:type="dxa"/>
            <w:tcBorders>
              <w:top w:val="nil"/>
              <w:left w:val="nil"/>
              <w:bottom w:val="single" w:color="auto" w:sz="4" w:space="0"/>
              <w:right w:val="single" w:color="auto" w:sz="4" w:space="0"/>
            </w:tcBorders>
            <w:vAlign w:val="center"/>
          </w:tcPr>
          <w:p w14:paraId="40911D48">
            <w:pPr>
              <w:widowControl/>
              <w:spacing w:line="240" w:lineRule="auto"/>
              <w:ind w:firstLine="0" w:firstLineChars="0"/>
              <w:jc w:val="center"/>
              <w:rPr>
                <w:rFonts w:eastAsia="仿宋_GB2312"/>
                <w:sz w:val="18"/>
                <w:szCs w:val="18"/>
              </w:rPr>
            </w:pPr>
            <w:r>
              <w:rPr>
                <w:rFonts w:eastAsia="仿宋_GB2312"/>
                <w:sz w:val="18"/>
                <w:szCs w:val="18"/>
              </w:rPr>
              <w:t>/</w:t>
            </w:r>
          </w:p>
        </w:tc>
        <w:tc>
          <w:tcPr>
            <w:tcW w:w="720" w:type="dxa"/>
            <w:tcBorders>
              <w:top w:val="nil"/>
              <w:left w:val="nil"/>
              <w:bottom w:val="single" w:color="auto" w:sz="4" w:space="0"/>
              <w:right w:val="single" w:color="auto" w:sz="4" w:space="0"/>
            </w:tcBorders>
            <w:vAlign w:val="center"/>
          </w:tcPr>
          <w:p w14:paraId="728B2D96">
            <w:pPr>
              <w:widowControl/>
              <w:spacing w:line="240" w:lineRule="auto"/>
              <w:ind w:firstLine="0" w:firstLineChars="0"/>
              <w:jc w:val="center"/>
              <w:rPr>
                <w:rFonts w:eastAsia="仿宋_GB2312"/>
                <w:sz w:val="18"/>
                <w:szCs w:val="18"/>
              </w:rPr>
            </w:pPr>
            <w:r>
              <w:rPr>
                <w:rFonts w:eastAsia="仿宋_GB2312"/>
                <w:sz w:val="18"/>
                <w:szCs w:val="18"/>
              </w:rPr>
              <w:t>/</w:t>
            </w:r>
          </w:p>
        </w:tc>
        <w:tc>
          <w:tcPr>
            <w:tcW w:w="720" w:type="dxa"/>
            <w:tcBorders>
              <w:top w:val="nil"/>
              <w:left w:val="nil"/>
              <w:bottom w:val="single" w:color="auto" w:sz="4" w:space="0"/>
              <w:right w:val="single" w:color="auto" w:sz="4" w:space="0"/>
            </w:tcBorders>
            <w:vAlign w:val="center"/>
          </w:tcPr>
          <w:p w14:paraId="07EC36C8">
            <w:pPr>
              <w:widowControl/>
              <w:spacing w:line="240" w:lineRule="auto"/>
              <w:ind w:firstLine="0" w:firstLineChars="0"/>
              <w:jc w:val="center"/>
              <w:rPr>
                <w:rFonts w:eastAsia="仿宋_GB2312"/>
                <w:sz w:val="18"/>
                <w:szCs w:val="18"/>
              </w:rPr>
            </w:pPr>
            <w:r>
              <w:rPr>
                <w:rFonts w:eastAsia="仿宋_GB2312"/>
                <w:sz w:val="18"/>
                <w:szCs w:val="18"/>
              </w:rPr>
              <w:t>/</w:t>
            </w:r>
          </w:p>
        </w:tc>
        <w:tc>
          <w:tcPr>
            <w:tcW w:w="880" w:type="dxa"/>
            <w:tcBorders>
              <w:top w:val="nil"/>
              <w:left w:val="nil"/>
              <w:bottom w:val="single" w:color="auto" w:sz="4" w:space="0"/>
              <w:right w:val="single" w:color="auto" w:sz="4" w:space="0"/>
            </w:tcBorders>
            <w:vAlign w:val="center"/>
          </w:tcPr>
          <w:p w14:paraId="6E59FDD2">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1FEE46D1">
            <w:pPr>
              <w:widowControl/>
              <w:spacing w:line="240" w:lineRule="auto"/>
              <w:ind w:firstLine="0" w:firstLineChars="0"/>
              <w:jc w:val="center"/>
              <w:rPr>
                <w:rFonts w:eastAsia="仿宋_GB2312"/>
                <w:sz w:val="18"/>
                <w:szCs w:val="18"/>
              </w:rPr>
            </w:pPr>
            <w:r>
              <w:rPr>
                <w:rFonts w:eastAsia="仿宋_GB2312"/>
                <w:sz w:val="18"/>
                <w:szCs w:val="18"/>
              </w:rPr>
              <w:t>80%</w:t>
            </w:r>
          </w:p>
        </w:tc>
      </w:tr>
    </w:tbl>
    <w:p w14:paraId="6BA447E4">
      <w:pPr>
        <w:spacing w:line="240" w:lineRule="auto"/>
        <w:ind w:firstLine="0" w:firstLineChars="0"/>
        <w:rPr>
          <w:sz w:val="18"/>
          <w:szCs w:val="18"/>
        </w:rPr>
      </w:pPr>
      <w:r>
        <w:rPr>
          <w:rFonts w:hint="eastAsia"/>
          <w:sz w:val="18"/>
          <w:szCs w:val="18"/>
        </w:rPr>
        <w:t>注：中山市2016~2020年度各镇区用水指标分配方案来自关于印发《中山市2016-2020年度最严格水资源管理制度考核实施细则》的函（中水函〔2016〕15号）</w:t>
      </w:r>
    </w:p>
    <w:p w14:paraId="433F41B8">
      <w:pPr>
        <w:ind w:firstLine="480"/>
        <w:rPr>
          <w:rFonts w:cs="Times New Roman"/>
          <w:szCs w:val="28"/>
        </w:rPr>
      </w:pPr>
    </w:p>
    <w:p w14:paraId="1CD76278">
      <w:pPr>
        <w:ind w:firstLine="480"/>
        <w:rPr>
          <w:rFonts w:cs="Times New Roman"/>
          <w:szCs w:val="28"/>
        </w:rPr>
      </w:pPr>
    </w:p>
    <w:p w14:paraId="0E1BB9F8">
      <w:pPr>
        <w:pStyle w:val="2"/>
        <w:spacing w:before="0" w:after="0" w:line="360" w:lineRule="auto"/>
        <w:rPr>
          <w:bCs w:val="0"/>
        </w:rPr>
        <w:sectPr>
          <w:pgSz w:w="16838" w:h="11906" w:orient="landscape"/>
          <w:pgMar w:top="1797" w:right="1440" w:bottom="1797" w:left="1440" w:header="851" w:footer="992" w:gutter="0"/>
          <w:cols w:space="425" w:num="1"/>
          <w:docGrid w:type="linesAndChars" w:linePitch="326" w:charSpace="0"/>
        </w:sectPr>
      </w:pPr>
    </w:p>
    <w:p w14:paraId="57C82711">
      <w:pPr>
        <w:pStyle w:val="2"/>
        <w:spacing w:before="0" w:after="0" w:line="360" w:lineRule="auto"/>
        <w:rPr>
          <w:rFonts w:eastAsia="宋体" w:cs="宋体"/>
        </w:rPr>
      </w:pPr>
      <w:bookmarkStart w:id="1051" w:name="_Toc16675142"/>
      <w:r>
        <w:rPr>
          <w:rFonts w:hint="eastAsia"/>
          <w:bCs w:val="0"/>
        </w:rPr>
        <w:t>附表</w:t>
      </w:r>
      <w:r>
        <w:rPr>
          <w:bCs w:val="0"/>
        </w:rPr>
        <w:t xml:space="preserve">2 </w:t>
      </w:r>
      <w:r>
        <w:rPr>
          <w:rFonts w:hint="eastAsia"/>
          <w:bCs w:val="0"/>
        </w:rPr>
        <w:t>西区水生态文明城市建设评价计分细则表</w:t>
      </w:r>
      <w:bookmarkEnd w:id="1051"/>
    </w:p>
    <w:tbl>
      <w:tblPr>
        <w:tblStyle w:val="25"/>
        <w:tblW w:w="10667" w:type="dxa"/>
        <w:jc w:val="center"/>
        <w:tblLayout w:type="fixed"/>
        <w:tblCellMar>
          <w:top w:w="0" w:type="dxa"/>
          <w:left w:w="108" w:type="dxa"/>
          <w:bottom w:w="0" w:type="dxa"/>
          <w:right w:w="108" w:type="dxa"/>
        </w:tblCellMar>
      </w:tblPr>
      <w:tblGrid>
        <w:gridCol w:w="706"/>
        <w:gridCol w:w="426"/>
        <w:gridCol w:w="2502"/>
        <w:gridCol w:w="913"/>
        <w:gridCol w:w="1762"/>
        <w:gridCol w:w="1088"/>
        <w:gridCol w:w="1112"/>
        <w:gridCol w:w="1088"/>
        <w:gridCol w:w="1070"/>
      </w:tblGrid>
      <w:tr w14:paraId="6947AA31">
        <w:tblPrEx>
          <w:tblCellMar>
            <w:top w:w="0" w:type="dxa"/>
            <w:left w:w="108" w:type="dxa"/>
            <w:bottom w:w="0" w:type="dxa"/>
            <w:right w:w="108" w:type="dxa"/>
          </w:tblCellMar>
        </w:tblPrEx>
        <w:trPr>
          <w:trHeight w:val="399" w:hRule="atLeast"/>
          <w:jc w:val="center"/>
        </w:trPr>
        <w:tc>
          <w:tcPr>
            <w:tcW w:w="706" w:type="dxa"/>
            <w:vMerge w:val="restart"/>
            <w:tcBorders>
              <w:top w:val="single" w:color="auto" w:sz="4" w:space="0"/>
              <w:left w:val="single" w:color="auto" w:sz="4" w:space="0"/>
              <w:right w:val="single" w:color="auto" w:sz="4" w:space="0"/>
            </w:tcBorders>
            <w:vAlign w:val="center"/>
          </w:tcPr>
          <w:p w14:paraId="0BADA7AD">
            <w:pPr>
              <w:widowControl/>
              <w:spacing w:line="240" w:lineRule="auto"/>
              <w:ind w:firstLine="0" w:firstLineChars="0"/>
              <w:jc w:val="center"/>
              <w:rPr>
                <w:rFonts w:cs="Times New Roman"/>
                <w:b/>
                <w:bCs/>
                <w:kern w:val="0"/>
                <w:sz w:val="21"/>
              </w:rPr>
            </w:pPr>
            <w:r>
              <w:rPr>
                <w:rFonts w:cs="Times New Roman"/>
                <w:b/>
                <w:bCs/>
                <w:kern w:val="0"/>
                <w:sz w:val="21"/>
              </w:rPr>
              <w:t>性质</w:t>
            </w:r>
          </w:p>
        </w:tc>
        <w:tc>
          <w:tcPr>
            <w:tcW w:w="426" w:type="dxa"/>
            <w:vMerge w:val="restart"/>
            <w:tcBorders>
              <w:top w:val="single" w:color="auto" w:sz="4" w:space="0"/>
              <w:left w:val="single" w:color="auto" w:sz="4" w:space="0"/>
              <w:bottom w:val="single" w:color="auto" w:sz="4" w:space="0"/>
              <w:right w:val="single" w:color="auto" w:sz="4" w:space="0"/>
            </w:tcBorders>
            <w:vAlign w:val="center"/>
          </w:tcPr>
          <w:p w14:paraId="2FE238A9">
            <w:pPr>
              <w:widowControl/>
              <w:spacing w:line="240" w:lineRule="auto"/>
              <w:ind w:firstLine="0" w:firstLineChars="0"/>
              <w:jc w:val="center"/>
              <w:rPr>
                <w:rFonts w:cs="Times New Roman"/>
                <w:b/>
                <w:bCs/>
                <w:kern w:val="0"/>
                <w:sz w:val="21"/>
              </w:rPr>
            </w:pPr>
            <w:r>
              <w:rPr>
                <w:rFonts w:cs="Times New Roman"/>
                <w:b/>
                <w:bCs/>
                <w:kern w:val="0"/>
                <w:sz w:val="21"/>
              </w:rPr>
              <w:t>类别</w:t>
            </w:r>
          </w:p>
        </w:tc>
        <w:tc>
          <w:tcPr>
            <w:tcW w:w="2502" w:type="dxa"/>
            <w:vMerge w:val="restart"/>
            <w:tcBorders>
              <w:top w:val="single" w:color="auto" w:sz="4" w:space="0"/>
              <w:left w:val="single" w:color="auto" w:sz="4" w:space="0"/>
              <w:bottom w:val="single" w:color="000000" w:sz="4" w:space="0"/>
              <w:right w:val="single" w:color="auto" w:sz="4" w:space="0"/>
            </w:tcBorders>
            <w:vAlign w:val="center"/>
          </w:tcPr>
          <w:p w14:paraId="5851A954">
            <w:pPr>
              <w:widowControl/>
              <w:spacing w:line="240" w:lineRule="auto"/>
              <w:ind w:firstLine="0" w:firstLineChars="0"/>
              <w:jc w:val="center"/>
              <w:rPr>
                <w:rFonts w:cs="Times New Roman"/>
                <w:b/>
                <w:bCs/>
                <w:kern w:val="0"/>
                <w:sz w:val="21"/>
              </w:rPr>
            </w:pPr>
            <w:r>
              <w:rPr>
                <w:rFonts w:cs="Times New Roman"/>
                <w:b/>
                <w:bCs/>
                <w:kern w:val="0"/>
                <w:sz w:val="21"/>
              </w:rPr>
              <w:t>指标</w:t>
            </w:r>
          </w:p>
        </w:tc>
        <w:tc>
          <w:tcPr>
            <w:tcW w:w="913" w:type="dxa"/>
            <w:vMerge w:val="restart"/>
            <w:tcBorders>
              <w:top w:val="single" w:color="auto" w:sz="4" w:space="0"/>
              <w:left w:val="single" w:color="auto" w:sz="4" w:space="0"/>
              <w:bottom w:val="single" w:color="auto" w:sz="4" w:space="0"/>
              <w:right w:val="single" w:color="auto" w:sz="4" w:space="0"/>
            </w:tcBorders>
            <w:vAlign w:val="center"/>
          </w:tcPr>
          <w:p w14:paraId="4CDDF601">
            <w:pPr>
              <w:widowControl/>
              <w:spacing w:line="240" w:lineRule="auto"/>
              <w:ind w:firstLine="0" w:firstLineChars="0"/>
              <w:jc w:val="center"/>
              <w:rPr>
                <w:rFonts w:cs="Times New Roman"/>
                <w:b/>
                <w:bCs/>
                <w:kern w:val="0"/>
                <w:sz w:val="21"/>
              </w:rPr>
            </w:pPr>
            <w:r>
              <w:rPr>
                <w:rFonts w:cs="Times New Roman"/>
                <w:b/>
                <w:bCs/>
                <w:kern w:val="0"/>
                <w:sz w:val="21"/>
              </w:rPr>
              <w:t>量纲</w:t>
            </w:r>
          </w:p>
        </w:tc>
        <w:tc>
          <w:tcPr>
            <w:tcW w:w="6120" w:type="dxa"/>
            <w:gridSpan w:val="5"/>
            <w:tcBorders>
              <w:top w:val="single" w:color="auto" w:sz="4" w:space="0"/>
              <w:left w:val="nil"/>
              <w:bottom w:val="single" w:color="auto" w:sz="4" w:space="0"/>
              <w:right w:val="single" w:color="auto" w:sz="4" w:space="0"/>
            </w:tcBorders>
            <w:vAlign w:val="center"/>
          </w:tcPr>
          <w:p w14:paraId="799EF777">
            <w:pPr>
              <w:widowControl/>
              <w:spacing w:line="240" w:lineRule="auto"/>
              <w:ind w:firstLine="0" w:firstLineChars="0"/>
              <w:jc w:val="center"/>
              <w:rPr>
                <w:rFonts w:cs="Times New Roman"/>
                <w:b/>
                <w:bCs/>
                <w:kern w:val="0"/>
                <w:sz w:val="21"/>
              </w:rPr>
            </w:pPr>
            <w:r>
              <w:rPr>
                <w:rFonts w:cs="Times New Roman"/>
                <w:b/>
                <w:bCs/>
                <w:kern w:val="0"/>
                <w:sz w:val="21"/>
              </w:rPr>
              <w:t>指标分级阈值及分值</w:t>
            </w:r>
          </w:p>
        </w:tc>
      </w:tr>
      <w:tr w14:paraId="6087A7A3">
        <w:tblPrEx>
          <w:tblCellMar>
            <w:top w:w="0" w:type="dxa"/>
            <w:left w:w="108" w:type="dxa"/>
            <w:bottom w:w="0" w:type="dxa"/>
            <w:right w:w="108" w:type="dxa"/>
          </w:tblCellMar>
        </w:tblPrEx>
        <w:trPr>
          <w:trHeight w:val="362" w:hRule="atLeast"/>
          <w:jc w:val="center"/>
        </w:trPr>
        <w:tc>
          <w:tcPr>
            <w:tcW w:w="706" w:type="dxa"/>
            <w:vMerge w:val="continue"/>
            <w:tcBorders>
              <w:left w:val="single" w:color="auto" w:sz="4" w:space="0"/>
              <w:bottom w:val="single" w:color="auto" w:sz="4" w:space="0"/>
              <w:right w:val="single" w:color="auto" w:sz="4" w:space="0"/>
            </w:tcBorders>
          </w:tcPr>
          <w:p w14:paraId="31152F9C">
            <w:pPr>
              <w:widowControl/>
              <w:spacing w:line="240" w:lineRule="auto"/>
              <w:ind w:firstLine="0" w:firstLineChars="0"/>
              <w:jc w:val="left"/>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262A2CB6">
            <w:pPr>
              <w:widowControl/>
              <w:spacing w:line="240" w:lineRule="auto"/>
              <w:ind w:firstLine="0" w:firstLineChars="0"/>
              <w:jc w:val="left"/>
              <w:rPr>
                <w:rFonts w:cs="Times New Roman"/>
                <w:b/>
                <w:bCs/>
                <w:kern w:val="0"/>
                <w:sz w:val="21"/>
              </w:rPr>
            </w:pPr>
          </w:p>
        </w:tc>
        <w:tc>
          <w:tcPr>
            <w:tcW w:w="2502" w:type="dxa"/>
            <w:vMerge w:val="continue"/>
            <w:tcBorders>
              <w:top w:val="single" w:color="auto" w:sz="4" w:space="0"/>
              <w:left w:val="single" w:color="auto" w:sz="4" w:space="0"/>
              <w:bottom w:val="single" w:color="auto" w:sz="4" w:space="0"/>
              <w:right w:val="single" w:color="auto" w:sz="4" w:space="0"/>
            </w:tcBorders>
            <w:vAlign w:val="center"/>
          </w:tcPr>
          <w:p w14:paraId="0130A040">
            <w:pPr>
              <w:widowControl/>
              <w:spacing w:line="240" w:lineRule="auto"/>
              <w:ind w:firstLine="0" w:firstLineChars="0"/>
              <w:jc w:val="left"/>
              <w:rPr>
                <w:rFonts w:cs="Times New Roman"/>
                <w:b/>
                <w:bCs/>
                <w:kern w:val="0"/>
                <w:sz w:val="21"/>
              </w:rPr>
            </w:pPr>
          </w:p>
        </w:tc>
        <w:tc>
          <w:tcPr>
            <w:tcW w:w="913" w:type="dxa"/>
            <w:vMerge w:val="continue"/>
            <w:tcBorders>
              <w:top w:val="single" w:color="auto" w:sz="4" w:space="0"/>
              <w:left w:val="single" w:color="auto" w:sz="4" w:space="0"/>
              <w:bottom w:val="single" w:color="auto" w:sz="4" w:space="0"/>
              <w:right w:val="single" w:color="auto" w:sz="4" w:space="0"/>
            </w:tcBorders>
            <w:vAlign w:val="center"/>
          </w:tcPr>
          <w:p w14:paraId="2E0359EF">
            <w:pPr>
              <w:widowControl/>
              <w:spacing w:line="240" w:lineRule="auto"/>
              <w:ind w:firstLine="0" w:firstLineChars="0"/>
              <w:jc w:val="left"/>
              <w:rPr>
                <w:rFonts w:cs="Times New Roman"/>
                <w:b/>
                <w:bCs/>
                <w:kern w:val="0"/>
                <w:sz w:val="21"/>
              </w:rPr>
            </w:pPr>
          </w:p>
        </w:tc>
        <w:tc>
          <w:tcPr>
            <w:tcW w:w="1762" w:type="dxa"/>
            <w:tcBorders>
              <w:top w:val="single" w:color="auto" w:sz="4" w:space="0"/>
              <w:left w:val="nil"/>
              <w:bottom w:val="single" w:color="auto" w:sz="4" w:space="0"/>
              <w:right w:val="single" w:color="auto" w:sz="4" w:space="0"/>
            </w:tcBorders>
            <w:vAlign w:val="center"/>
          </w:tcPr>
          <w:p w14:paraId="049C15E8">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1 \* ROMAN </w:instrText>
            </w:r>
            <w:r>
              <w:rPr>
                <w:rFonts w:cs="Times New Roman"/>
                <w:b/>
                <w:bCs/>
                <w:kern w:val="0"/>
                <w:sz w:val="21"/>
              </w:rPr>
              <w:fldChar w:fldCharType="separate"/>
            </w:r>
            <w:r>
              <w:rPr>
                <w:rFonts w:cs="Times New Roman"/>
                <w:b/>
                <w:bCs/>
                <w:kern w:val="0"/>
                <w:sz w:val="21"/>
              </w:rPr>
              <w:t>I</w:t>
            </w:r>
            <w:r>
              <w:rPr>
                <w:rFonts w:cs="Times New Roman"/>
                <w:b/>
                <w:bCs/>
                <w:kern w:val="0"/>
                <w:sz w:val="21"/>
              </w:rPr>
              <w:fldChar w:fldCharType="end"/>
            </w:r>
            <w:r>
              <w:rPr>
                <w:rFonts w:cs="Times New Roman"/>
                <w:b/>
                <w:bCs/>
                <w:kern w:val="0"/>
                <w:sz w:val="21"/>
              </w:rPr>
              <w:t>级</w:t>
            </w:r>
          </w:p>
          <w:p w14:paraId="09CAFF39">
            <w:pPr>
              <w:widowControl/>
              <w:spacing w:line="240" w:lineRule="auto"/>
              <w:ind w:firstLine="0" w:firstLineChars="0"/>
              <w:jc w:val="center"/>
              <w:rPr>
                <w:rFonts w:cs="Times New Roman"/>
                <w:b/>
                <w:bCs/>
                <w:kern w:val="0"/>
                <w:sz w:val="21"/>
              </w:rPr>
            </w:pPr>
            <w:r>
              <w:rPr>
                <w:rFonts w:cs="Times New Roman"/>
                <w:b/>
                <w:bCs/>
                <w:kern w:val="0"/>
                <w:sz w:val="21"/>
              </w:rPr>
              <w:t>（4分）</w:t>
            </w:r>
          </w:p>
        </w:tc>
        <w:tc>
          <w:tcPr>
            <w:tcW w:w="1088" w:type="dxa"/>
            <w:tcBorders>
              <w:top w:val="nil"/>
              <w:left w:val="nil"/>
              <w:bottom w:val="single" w:color="auto" w:sz="4" w:space="0"/>
              <w:right w:val="single" w:color="auto" w:sz="4" w:space="0"/>
            </w:tcBorders>
            <w:vAlign w:val="center"/>
          </w:tcPr>
          <w:p w14:paraId="43D56B06">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2 \* ROMAN </w:instrText>
            </w:r>
            <w:r>
              <w:rPr>
                <w:rFonts w:cs="Times New Roman"/>
                <w:b/>
                <w:bCs/>
                <w:kern w:val="0"/>
                <w:sz w:val="21"/>
              </w:rPr>
              <w:fldChar w:fldCharType="separate"/>
            </w:r>
            <w:r>
              <w:rPr>
                <w:rFonts w:cs="Times New Roman"/>
                <w:b/>
                <w:bCs/>
                <w:kern w:val="0"/>
                <w:sz w:val="21"/>
              </w:rPr>
              <w:t>II</w:t>
            </w:r>
            <w:r>
              <w:rPr>
                <w:rFonts w:cs="Times New Roman"/>
                <w:b/>
                <w:bCs/>
                <w:kern w:val="0"/>
                <w:sz w:val="21"/>
              </w:rPr>
              <w:fldChar w:fldCharType="end"/>
            </w:r>
            <w:r>
              <w:rPr>
                <w:rFonts w:cs="Times New Roman"/>
                <w:b/>
                <w:bCs/>
                <w:kern w:val="0"/>
                <w:sz w:val="21"/>
              </w:rPr>
              <w:t>级</w:t>
            </w:r>
          </w:p>
          <w:p w14:paraId="0173FAEA">
            <w:pPr>
              <w:widowControl/>
              <w:spacing w:line="240" w:lineRule="auto"/>
              <w:ind w:firstLine="0" w:firstLineChars="0"/>
              <w:jc w:val="center"/>
              <w:rPr>
                <w:rFonts w:cs="Times New Roman"/>
                <w:b/>
                <w:bCs/>
                <w:kern w:val="0"/>
                <w:sz w:val="21"/>
              </w:rPr>
            </w:pPr>
            <w:r>
              <w:rPr>
                <w:rFonts w:cs="Times New Roman"/>
                <w:b/>
                <w:bCs/>
                <w:kern w:val="0"/>
                <w:sz w:val="21"/>
              </w:rPr>
              <w:t>（3分）</w:t>
            </w:r>
          </w:p>
        </w:tc>
        <w:tc>
          <w:tcPr>
            <w:tcW w:w="1112" w:type="dxa"/>
            <w:tcBorders>
              <w:top w:val="nil"/>
              <w:left w:val="nil"/>
              <w:bottom w:val="single" w:color="auto" w:sz="4" w:space="0"/>
              <w:right w:val="single" w:color="auto" w:sz="4" w:space="0"/>
            </w:tcBorders>
            <w:vAlign w:val="center"/>
          </w:tcPr>
          <w:p w14:paraId="11EA866E">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3 \* ROMAN </w:instrText>
            </w:r>
            <w:r>
              <w:rPr>
                <w:rFonts w:cs="Times New Roman"/>
                <w:b/>
                <w:bCs/>
                <w:kern w:val="0"/>
                <w:sz w:val="21"/>
              </w:rPr>
              <w:fldChar w:fldCharType="separate"/>
            </w:r>
            <w:r>
              <w:rPr>
                <w:rFonts w:cs="Times New Roman"/>
                <w:b/>
                <w:bCs/>
                <w:kern w:val="0"/>
                <w:sz w:val="21"/>
              </w:rPr>
              <w:t>III</w:t>
            </w:r>
            <w:r>
              <w:rPr>
                <w:rFonts w:cs="Times New Roman"/>
                <w:b/>
                <w:bCs/>
                <w:kern w:val="0"/>
                <w:sz w:val="21"/>
              </w:rPr>
              <w:fldChar w:fldCharType="end"/>
            </w:r>
            <w:r>
              <w:rPr>
                <w:rFonts w:cs="Times New Roman"/>
                <w:b/>
                <w:bCs/>
                <w:kern w:val="0"/>
                <w:sz w:val="21"/>
              </w:rPr>
              <w:t>级</w:t>
            </w:r>
          </w:p>
          <w:p w14:paraId="53A2F589">
            <w:pPr>
              <w:widowControl/>
              <w:spacing w:line="240" w:lineRule="auto"/>
              <w:ind w:firstLine="0" w:firstLineChars="0"/>
              <w:jc w:val="center"/>
              <w:rPr>
                <w:rFonts w:cs="Times New Roman"/>
                <w:b/>
                <w:bCs/>
                <w:kern w:val="0"/>
                <w:sz w:val="21"/>
              </w:rPr>
            </w:pPr>
            <w:r>
              <w:rPr>
                <w:rFonts w:cs="Times New Roman"/>
                <w:b/>
                <w:bCs/>
                <w:kern w:val="0"/>
                <w:sz w:val="21"/>
              </w:rPr>
              <w:t>（2分）</w:t>
            </w:r>
          </w:p>
        </w:tc>
        <w:tc>
          <w:tcPr>
            <w:tcW w:w="1088" w:type="dxa"/>
            <w:tcBorders>
              <w:top w:val="nil"/>
              <w:left w:val="nil"/>
              <w:bottom w:val="single" w:color="auto" w:sz="4" w:space="0"/>
              <w:right w:val="single" w:color="auto" w:sz="4" w:space="0"/>
            </w:tcBorders>
            <w:vAlign w:val="center"/>
          </w:tcPr>
          <w:p w14:paraId="48A4CDB5">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4 \* ROMAN </w:instrText>
            </w:r>
            <w:r>
              <w:rPr>
                <w:rFonts w:cs="Times New Roman"/>
                <w:b/>
                <w:bCs/>
                <w:kern w:val="0"/>
                <w:sz w:val="21"/>
              </w:rPr>
              <w:fldChar w:fldCharType="separate"/>
            </w:r>
            <w:r>
              <w:rPr>
                <w:rFonts w:cs="Times New Roman"/>
                <w:b/>
                <w:bCs/>
                <w:kern w:val="0"/>
                <w:sz w:val="21"/>
              </w:rPr>
              <w:t>IV</w:t>
            </w:r>
            <w:r>
              <w:rPr>
                <w:rFonts w:cs="Times New Roman"/>
                <w:b/>
                <w:bCs/>
                <w:kern w:val="0"/>
                <w:sz w:val="21"/>
              </w:rPr>
              <w:fldChar w:fldCharType="end"/>
            </w:r>
            <w:r>
              <w:rPr>
                <w:rFonts w:cs="Times New Roman"/>
                <w:b/>
                <w:bCs/>
                <w:kern w:val="0"/>
                <w:sz w:val="21"/>
              </w:rPr>
              <w:t>级</w:t>
            </w:r>
          </w:p>
          <w:p w14:paraId="68287C99">
            <w:pPr>
              <w:widowControl/>
              <w:spacing w:line="240" w:lineRule="auto"/>
              <w:ind w:firstLine="0" w:firstLineChars="0"/>
              <w:jc w:val="center"/>
              <w:rPr>
                <w:rFonts w:cs="Times New Roman"/>
                <w:b/>
                <w:bCs/>
                <w:kern w:val="0"/>
                <w:sz w:val="21"/>
              </w:rPr>
            </w:pPr>
            <w:r>
              <w:rPr>
                <w:rFonts w:cs="Times New Roman"/>
                <w:b/>
                <w:bCs/>
                <w:kern w:val="0"/>
                <w:sz w:val="21"/>
              </w:rPr>
              <w:t>（1分）</w:t>
            </w:r>
          </w:p>
        </w:tc>
        <w:tc>
          <w:tcPr>
            <w:tcW w:w="1070" w:type="dxa"/>
            <w:tcBorders>
              <w:top w:val="nil"/>
              <w:left w:val="nil"/>
              <w:bottom w:val="single" w:color="auto" w:sz="4" w:space="0"/>
              <w:right w:val="single" w:color="auto" w:sz="4" w:space="0"/>
            </w:tcBorders>
            <w:vAlign w:val="center"/>
          </w:tcPr>
          <w:p w14:paraId="258D924E">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5 \* ROMAN </w:instrText>
            </w:r>
            <w:r>
              <w:rPr>
                <w:rFonts w:cs="Times New Roman"/>
                <w:b/>
                <w:bCs/>
                <w:kern w:val="0"/>
                <w:sz w:val="21"/>
              </w:rPr>
              <w:fldChar w:fldCharType="separate"/>
            </w:r>
            <w:r>
              <w:rPr>
                <w:rFonts w:cs="Times New Roman"/>
                <w:b/>
                <w:bCs/>
                <w:kern w:val="0"/>
                <w:sz w:val="21"/>
              </w:rPr>
              <w:t>V</w:t>
            </w:r>
            <w:r>
              <w:rPr>
                <w:rFonts w:cs="Times New Roman"/>
                <w:b/>
                <w:bCs/>
                <w:kern w:val="0"/>
                <w:sz w:val="21"/>
              </w:rPr>
              <w:fldChar w:fldCharType="end"/>
            </w:r>
            <w:r>
              <w:rPr>
                <w:rFonts w:cs="Times New Roman"/>
                <w:b/>
                <w:bCs/>
                <w:kern w:val="0"/>
                <w:sz w:val="21"/>
              </w:rPr>
              <w:t>级</w:t>
            </w:r>
          </w:p>
          <w:p w14:paraId="58CFFE21">
            <w:pPr>
              <w:widowControl/>
              <w:spacing w:line="240" w:lineRule="auto"/>
              <w:ind w:firstLine="0" w:firstLineChars="0"/>
              <w:jc w:val="center"/>
              <w:rPr>
                <w:rFonts w:cs="Times New Roman"/>
                <w:b/>
                <w:bCs/>
                <w:kern w:val="0"/>
                <w:sz w:val="21"/>
              </w:rPr>
            </w:pPr>
            <w:r>
              <w:rPr>
                <w:rFonts w:cs="Times New Roman"/>
                <w:b/>
                <w:bCs/>
                <w:kern w:val="0"/>
                <w:sz w:val="21"/>
              </w:rPr>
              <w:t>（0分）</w:t>
            </w:r>
          </w:p>
        </w:tc>
      </w:tr>
      <w:tr w14:paraId="7F4B0E1A">
        <w:tblPrEx>
          <w:tblCellMar>
            <w:top w:w="0" w:type="dxa"/>
            <w:left w:w="108" w:type="dxa"/>
            <w:bottom w:w="0" w:type="dxa"/>
            <w:right w:w="108" w:type="dxa"/>
          </w:tblCellMar>
        </w:tblPrEx>
        <w:trPr>
          <w:trHeight w:val="454" w:hRule="atLeast"/>
          <w:jc w:val="center"/>
        </w:trPr>
        <w:tc>
          <w:tcPr>
            <w:tcW w:w="706" w:type="dxa"/>
            <w:vMerge w:val="restart"/>
            <w:tcBorders>
              <w:top w:val="single" w:color="auto" w:sz="4" w:space="0"/>
              <w:left w:val="single" w:color="auto" w:sz="4" w:space="0"/>
              <w:right w:val="single" w:color="auto" w:sz="4" w:space="0"/>
            </w:tcBorders>
            <w:vAlign w:val="center"/>
          </w:tcPr>
          <w:p w14:paraId="6FB791A6">
            <w:pPr>
              <w:widowControl/>
              <w:spacing w:line="240" w:lineRule="auto"/>
              <w:ind w:firstLine="0" w:firstLineChars="0"/>
              <w:jc w:val="center"/>
              <w:rPr>
                <w:rFonts w:cs="Times New Roman"/>
                <w:b/>
                <w:bCs/>
                <w:kern w:val="0"/>
                <w:sz w:val="21"/>
              </w:rPr>
            </w:pPr>
            <w:r>
              <w:rPr>
                <w:rFonts w:cs="Times New Roman"/>
                <w:b/>
                <w:bCs/>
                <w:kern w:val="0"/>
                <w:sz w:val="21"/>
              </w:rPr>
              <w:t>全国通用指标</w:t>
            </w:r>
          </w:p>
        </w:tc>
        <w:tc>
          <w:tcPr>
            <w:tcW w:w="426" w:type="dxa"/>
            <w:vMerge w:val="restart"/>
            <w:tcBorders>
              <w:top w:val="single" w:color="auto" w:sz="4" w:space="0"/>
              <w:left w:val="single" w:color="auto" w:sz="4" w:space="0"/>
              <w:right w:val="single" w:color="auto" w:sz="4" w:space="0"/>
            </w:tcBorders>
            <w:vAlign w:val="center"/>
          </w:tcPr>
          <w:p w14:paraId="174BB036">
            <w:pPr>
              <w:widowControl/>
              <w:spacing w:line="240" w:lineRule="auto"/>
              <w:ind w:firstLine="0" w:firstLineChars="0"/>
              <w:jc w:val="center"/>
              <w:rPr>
                <w:rFonts w:cs="Times New Roman"/>
                <w:b/>
                <w:bCs/>
                <w:kern w:val="0"/>
                <w:sz w:val="21"/>
              </w:rPr>
            </w:pPr>
            <w:r>
              <w:rPr>
                <w:rFonts w:cs="Times New Roman"/>
                <w:b/>
                <w:bCs/>
                <w:kern w:val="0"/>
                <w:sz w:val="21"/>
              </w:rPr>
              <w:t>　</w:t>
            </w:r>
          </w:p>
          <w:p w14:paraId="705524D8">
            <w:pPr>
              <w:widowControl/>
              <w:spacing w:line="240" w:lineRule="auto"/>
              <w:ind w:firstLine="0" w:firstLineChars="0"/>
              <w:jc w:val="center"/>
              <w:rPr>
                <w:rFonts w:cs="Times New Roman"/>
                <w:b/>
                <w:bCs/>
                <w:kern w:val="0"/>
                <w:sz w:val="21"/>
              </w:rPr>
            </w:pPr>
            <w:r>
              <w:rPr>
                <w:rFonts w:cs="Times New Roman"/>
                <w:b/>
                <w:bCs/>
                <w:kern w:val="0"/>
                <w:sz w:val="21"/>
              </w:rPr>
              <w:t>水安全</w:t>
            </w:r>
          </w:p>
        </w:tc>
        <w:tc>
          <w:tcPr>
            <w:tcW w:w="2502" w:type="dxa"/>
            <w:tcBorders>
              <w:top w:val="single" w:color="auto" w:sz="4" w:space="0"/>
              <w:left w:val="nil"/>
              <w:bottom w:val="single" w:color="auto" w:sz="4" w:space="0"/>
              <w:right w:val="single" w:color="auto" w:sz="4" w:space="0"/>
            </w:tcBorders>
            <w:vAlign w:val="center"/>
          </w:tcPr>
          <w:p w14:paraId="00535E57">
            <w:pPr>
              <w:widowControl/>
              <w:spacing w:line="240" w:lineRule="auto"/>
              <w:ind w:firstLine="0" w:firstLineChars="0"/>
              <w:jc w:val="left"/>
              <w:rPr>
                <w:rFonts w:cs="Times New Roman"/>
                <w:kern w:val="0"/>
                <w:sz w:val="21"/>
              </w:rPr>
            </w:pPr>
            <w:r>
              <w:rPr>
                <w:rFonts w:cs="Times New Roman"/>
                <w:kern w:val="0"/>
                <w:sz w:val="21"/>
              </w:rPr>
              <w:t>(1)</w:t>
            </w:r>
            <w:r>
              <w:rPr>
                <w:rFonts w:cs="Times New Roman"/>
                <w:sz w:val="21"/>
              </w:rPr>
              <w:t xml:space="preserve"> </w:t>
            </w:r>
            <w:r>
              <w:rPr>
                <w:rFonts w:cs="Times New Roman"/>
                <w:kern w:val="0"/>
                <w:sz w:val="21"/>
              </w:rPr>
              <w:t>防洪排涝达标率</w:t>
            </w:r>
          </w:p>
        </w:tc>
        <w:tc>
          <w:tcPr>
            <w:tcW w:w="913" w:type="dxa"/>
            <w:tcBorders>
              <w:top w:val="single" w:color="auto" w:sz="4" w:space="0"/>
              <w:left w:val="single" w:color="auto" w:sz="4" w:space="0"/>
              <w:bottom w:val="single" w:color="auto" w:sz="4" w:space="0"/>
              <w:right w:val="single" w:color="auto" w:sz="4" w:space="0"/>
            </w:tcBorders>
            <w:vAlign w:val="center"/>
          </w:tcPr>
          <w:p w14:paraId="307F9F4D">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08F4B12">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nil"/>
              <w:left w:val="nil"/>
              <w:bottom w:val="single" w:color="auto" w:sz="4" w:space="0"/>
              <w:right w:val="single" w:color="auto" w:sz="4" w:space="0"/>
            </w:tcBorders>
            <w:vAlign w:val="center"/>
          </w:tcPr>
          <w:p w14:paraId="6543CF89">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nil"/>
              <w:left w:val="nil"/>
              <w:bottom w:val="single" w:color="auto" w:sz="4" w:space="0"/>
              <w:right w:val="single" w:color="auto" w:sz="4" w:space="0"/>
            </w:tcBorders>
            <w:vAlign w:val="center"/>
          </w:tcPr>
          <w:p w14:paraId="04FF92FF">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nil"/>
              <w:left w:val="nil"/>
              <w:bottom w:val="single" w:color="auto" w:sz="4" w:space="0"/>
              <w:right w:val="single" w:color="auto" w:sz="4" w:space="0"/>
            </w:tcBorders>
            <w:vAlign w:val="center"/>
          </w:tcPr>
          <w:p w14:paraId="08B572A9">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nil"/>
              <w:left w:val="nil"/>
              <w:bottom w:val="single" w:color="auto" w:sz="4" w:space="0"/>
              <w:right w:val="single" w:color="auto" w:sz="4" w:space="0"/>
            </w:tcBorders>
            <w:vAlign w:val="center"/>
          </w:tcPr>
          <w:p w14:paraId="10C373C4">
            <w:pPr>
              <w:widowControl/>
              <w:spacing w:line="240" w:lineRule="auto"/>
              <w:ind w:firstLine="0" w:firstLineChars="0"/>
              <w:jc w:val="center"/>
              <w:rPr>
                <w:rFonts w:cs="Times New Roman"/>
                <w:kern w:val="0"/>
                <w:sz w:val="21"/>
              </w:rPr>
            </w:pPr>
            <w:r>
              <w:rPr>
                <w:rFonts w:cs="Times New Roman"/>
                <w:kern w:val="0"/>
                <w:sz w:val="21"/>
              </w:rPr>
              <w:t>40～0</w:t>
            </w:r>
          </w:p>
        </w:tc>
      </w:tr>
      <w:tr w14:paraId="60B4B12F">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2D5A88BA">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63C6D3CC">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EAFCEA9">
            <w:pPr>
              <w:widowControl/>
              <w:spacing w:line="240" w:lineRule="auto"/>
              <w:ind w:firstLine="0" w:firstLineChars="0"/>
              <w:jc w:val="left"/>
              <w:rPr>
                <w:rFonts w:cs="Times New Roman"/>
                <w:kern w:val="0"/>
                <w:sz w:val="21"/>
              </w:rPr>
            </w:pPr>
            <w:r>
              <w:rPr>
                <w:rFonts w:cs="Times New Roman"/>
                <w:kern w:val="0"/>
                <w:sz w:val="21"/>
              </w:rPr>
              <w:t>(2)</w:t>
            </w:r>
            <w:r>
              <w:rPr>
                <w:rFonts w:cs="Times New Roman"/>
                <w:sz w:val="21"/>
              </w:rPr>
              <w:t xml:space="preserve"> </w:t>
            </w:r>
            <w:r>
              <w:rPr>
                <w:rFonts w:cs="Times New Roman"/>
                <w:kern w:val="0"/>
                <w:sz w:val="21"/>
              </w:rPr>
              <w:t>降雨滞蓄率</w:t>
            </w:r>
          </w:p>
        </w:tc>
        <w:tc>
          <w:tcPr>
            <w:tcW w:w="913" w:type="dxa"/>
            <w:tcBorders>
              <w:top w:val="single" w:color="auto" w:sz="4" w:space="0"/>
              <w:left w:val="single" w:color="auto" w:sz="4" w:space="0"/>
              <w:bottom w:val="single" w:color="auto" w:sz="4" w:space="0"/>
              <w:right w:val="single" w:color="auto" w:sz="4" w:space="0"/>
            </w:tcBorders>
            <w:vAlign w:val="center"/>
          </w:tcPr>
          <w:p w14:paraId="64A9DD30">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19CD3F0">
            <w:pPr>
              <w:widowControl/>
              <w:spacing w:line="240" w:lineRule="auto"/>
              <w:ind w:firstLine="0" w:firstLineChars="0"/>
              <w:jc w:val="center"/>
              <w:rPr>
                <w:rFonts w:cs="Times New Roman"/>
                <w:kern w:val="0"/>
                <w:sz w:val="21"/>
              </w:rPr>
            </w:pPr>
            <w:r>
              <w:rPr>
                <w:rFonts w:cs="Times New Roman"/>
                <w:kern w:val="0"/>
                <w:sz w:val="21"/>
              </w:rPr>
              <w:t>≥40</w:t>
            </w:r>
          </w:p>
        </w:tc>
        <w:tc>
          <w:tcPr>
            <w:tcW w:w="1088" w:type="dxa"/>
            <w:tcBorders>
              <w:top w:val="nil"/>
              <w:left w:val="nil"/>
              <w:bottom w:val="single" w:color="auto" w:sz="4" w:space="0"/>
              <w:right w:val="single" w:color="auto" w:sz="4" w:space="0"/>
            </w:tcBorders>
            <w:vAlign w:val="center"/>
          </w:tcPr>
          <w:p w14:paraId="22292943">
            <w:pPr>
              <w:widowControl/>
              <w:spacing w:line="240" w:lineRule="auto"/>
              <w:ind w:firstLine="0" w:firstLineChars="0"/>
              <w:jc w:val="center"/>
              <w:rPr>
                <w:rFonts w:cs="Times New Roman"/>
                <w:kern w:val="0"/>
                <w:sz w:val="21"/>
              </w:rPr>
            </w:pPr>
            <w:r>
              <w:rPr>
                <w:rFonts w:cs="Times New Roman"/>
                <w:kern w:val="0"/>
                <w:sz w:val="21"/>
              </w:rPr>
              <w:t>40～30</w:t>
            </w:r>
          </w:p>
        </w:tc>
        <w:tc>
          <w:tcPr>
            <w:tcW w:w="1112" w:type="dxa"/>
            <w:tcBorders>
              <w:top w:val="nil"/>
              <w:left w:val="nil"/>
              <w:bottom w:val="single" w:color="auto" w:sz="4" w:space="0"/>
              <w:right w:val="single" w:color="auto" w:sz="4" w:space="0"/>
            </w:tcBorders>
            <w:vAlign w:val="center"/>
          </w:tcPr>
          <w:p w14:paraId="5E85656A">
            <w:pPr>
              <w:widowControl/>
              <w:spacing w:line="240" w:lineRule="auto"/>
              <w:ind w:firstLine="0" w:firstLineChars="0"/>
              <w:jc w:val="center"/>
              <w:rPr>
                <w:rFonts w:cs="Times New Roman"/>
                <w:kern w:val="0"/>
                <w:sz w:val="21"/>
              </w:rPr>
            </w:pPr>
            <w:r>
              <w:rPr>
                <w:rFonts w:cs="Times New Roman"/>
                <w:kern w:val="0"/>
                <w:sz w:val="21"/>
              </w:rPr>
              <w:t>30～20</w:t>
            </w:r>
          </w:p>
        </w:tc>
        <w:tc>
          <w:tcPr>
            <w:tcW w:w="1088" w:type="dxa"/>
            <w:tcBorders>
              <w:top w:val="nil"/>
              <w:left w:val="nil"/>
              <w:bottom w:val="single" w:color="auto" w:sz="4" w:space="0"/>
              <w:right w:val="single" w:color="auto" w:sz="4" w:space="0"/>
            </w:tcBorders>
            <w:vAlign w:val="center"/>
          </w:tcPr>
          <w:p w14:paraId="3B9A256B">
            <w:pPr>
              <w:widowControl/>
              <w:spacing w:line="240" w:lineRule="auto"/>
              <w:ind w:firstLine="0" w:firstLineChars="0"/>
              <w:jc w:val="center"/>
              <w:rPr>
                <w:rFonts w:cs="Times New Roman"/>
                <w:kern w:val="0"/>
                <w:sz w:val="21"/>
              </w:rPr>
            </w:pPr>
            <w:r>
              <w:rPr>
                <w:rFonts w:cs="Times New Roman"/>
                <w:kern w:val="0"/>
                <w:sz w:val="21"/>
              </w:rPr>
              <w:t>20～10</w:t>
            </w:r>
          </w:p>
        </w:tc>
        <w:tc>
          <w:tcPr>
            <w:tcW w:w="1070" w:type="dxa"/>
            <w:tcBorders>
              <w:top w:val="nil"/>
              <w:left w:val="nil"/>
              <w:bottom w:val="single" w:color="auto" w:sz="4" w:space="0"/>
              <w:right w:val="single" w:color="auto" w:sz="4" w:space="0"/>
            </w:tcBorders>
            <w:vAlign w:val="center"/>
          </w:tcPr>
          <w:p w14:paraId="168A6E18">
            <w:pPr>
              <w:widowControl/>
              <w:spacing w:line="240" w:lineRule="auto"/>
              <w:ind w:firstLine="0" w:firstLineChars="0"/>
              <w:jc w:val="center"/>
              <w:rPr>
                <w:rFonts w:cs="Times New Roman"/>
                <w:kern w:val="0"/>
                <w:sz w:val="21"/>
              </w:rPr>
            </w:pPr>
            <w:r>
              <w:rPr>
                <w:rFonts w:cs="Times New Roman"/>
                <w:kern w:val="0"/>
                <w:sz w:val="21"/>
              </w:rPr>
              <w:t>10～0</w:t>
            </w:r>
          </w:p>
        </w:tc>
      </w:tr>
      <w:tr w14:paraId="15B24E8A">
        <w:tblPrEx>
          <w:tblCellMar>
            <w:top w:w="0" w:type="dxa"/>
            <w:left w:w="108" w:type="dxa"/>
            <w:bottom w:w="0" w:type="dxa"/>
            <w:right w:w="108" w:type="dxa"/>
          </w:tblCellMar>
        </w:tblPrEx>
        <w:trPr>
          <w:trHeight w:val="685" w:hRule="atLeast"/>
          <w:jc w:val="center"/>
        </w:trPr>
        <w:tc>
          <w:tcPr>
            <w:tcW w:w="706" w:type="dxa"/>
            <w:vMerge w:val="continue"/>
            <w:tcBorders>
              <w:left w:val="single" w:color="auto" w:sz="4" w:space="0"/>
              <w:right w:val="single" w:color="auto" w:sz="4" w:space="0"/>
            </w:tcBorders>
          </w:tcPr>
          <w:p w14:paraId="5A3F1FD3">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149BA1DD">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8F50D1B">
            <w:pPr>
              <w:widowControl/>
              <w:spacing w:line="240" w:lineRule="auto"/>
              <w:ind w:firstLine="0" w:firstLineChars="0"/>
              <w:jc w:val="left"/>
              <w:rPr>
                <w:rFonts w:cs="Times New Roman"/>
                <w:kern w:val="0"/>
                <w:sz w:val="21"/>
              </w:rPr>
            </w:pPr>
            <w:r>
              <w:rPr>
                <w:rFonts w:cs="Times New Roman"/>
                <w:kern w:val="0"/>
                <w:sz w:val="21"/>
              </w:rPr>
              <w:t>(3)集中式饮用水水源地安全保障达标率</w:t>
            </w:r>
          </w:p>
        </w:tc>
        <w:tc>
          <w:tcPr>
            <w:tcW w:w="913" w:type="dxa"/>
            <w:tcBorders>
              <w:top w:val="single" w:color="auto" w:sz="4" w:space="0"/>
              <w:left w:val="single" w:color="auto" w:sz="4" w:space="0"/>
              <w:bottom w:val="single" w:color="auto" w:sz="4" w:space="0"/>
              <w:right w:val="single" w:color="auto" w:sz="4" w:space="0"/>
            </w:tcBorders>
            <w:vAlign w:val="center"/>
          </w:tcPr>
          <w:p w14:paraId="3DAD0604">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BE0DFD5">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100</w:t>
            </w:r>
          </w:p>
        </w:tc>
        <w:tc>
          <w:tcPr>
            <w:tcW w:w="1088" w:type="dxa"/>
            <w:tcBorders>
              <w:top w:val="nil"/>
              <w:left w:val="nil"/>
              <w:bottom w:val="single" w:color="auto" w:sz="4" w:space="0"/>
              <w:right w:val="single" w:color="auto" w:sz="4" w:space="0"/>
            </w:tcBorders>
            <w:vAlign w:val="center"/>
          </w:tcPr>
          <w:p w14:paraId="69BE9789">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100～90</w:t>
            </w:r>
          </w:p>
        </w:tc>
        <w:tc>
          <w:tcPr>
            <w:tcW w:w="1112" w:type="dxa"/>
            <w:tcBorders>
              <w:top w:val="nil"/>
              <w:left w:val="nil"/>
              <w:bottom w:val="single" w:color="auto" w:sz="4" w:space="0"/>
              <w:right w:val="single" w:color="auto" w:sz="4" w:space="0"/>
            </w:tcBorders>
            <w:vAlign w:val="center"/>
          </w:tcPr>
          <w:p w14:paraId="3D0F9579">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90～80</w:t>
            </w:r>
          </w:p>
        </w:tc>
        <w:tc>
          <w:tcPr>
            <w:tcW w:w="1088" w:type="dxa"/>
            <w:tcBorders>
              <w:top w:val="nil"/>
              <w:left w:val="nil"/>
              <w:bottom w:val="single" w:color="auto" w:sz="4" w:space="0"/>
              <w:right w:val="single" w:color="auto" w:sz="4" w:space="0"/>
            </w:tcBorders>
            <w:vAlign w:val="center"/>
          </w:tcPr>
          <w:p w14:paraId="67D09D2E">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80～70</w:t>
            </w:r>
          </w:p>
        </w:tc>
        <w:tc>
          <w:tcPr>
            <w:tcW w:w="1070" w:type="dxa"/>
            <w:tcBorders>
              <w:top w:val="nil"/>
              <w:left w:val="nil"/>
              <w:bottom w:val="single" w:color="auto" w:sz="4" w:space="0"/>
              <w:right w:val="single" w:color="auto" w:sz="4" w:space="0"/>
            </w:tcBorders>
            <w:vAlign w:val="center"/>
          </w:tcPr>
          <w:p w14:paraId="19C21AB3">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70～0</w:t>
            </w:r>
          </w:p>
        </w:tc>
      </w:tr>
      <w:tr w14:paraId="4E23EC77">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07E0B8C7">
            <w:pPr>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4C31D443">
            <w:pPr>
              <w:spacing w:line="240" w:lineRule="auto"/>
              <w:ind w:firstLine="0" w:firstLineChars="0"/>
              <w:jc w:val="center"/>
              <w:rPr>
                <w:rFonts w:cs="Times New Roman"/>
                <w:b/>
                <w:bCs/>
                <w:kern w:val="0"/>
                <w:sz w:val="21"/>
              </w:rPr>
            </w:pPr>
          </w:p>
        </w:tc>
        <w:tc>
          <w:tcPr>
            <w:tcW w:w="2502" w:type="dxa"/>
            <w:tcBorders>
              <w:top w:val="nil"/>
              <w:left w:val="nil"/>
              <w:right w:val="single" w:color="auto" w:sz="4" w:space="0"/>
            </w:tcBorders>
            <w:vAlign w:val="center"/>
          </w:tcPr>
          <w:p w14:paraId="1E8281D6">
            <w:pPr>
              <w:widowControl/>
              <w:spacing w:line="240" w:lineRule="auto"/>
              <w:ind w:firstLine="0" w:firstLineChars="0"/>
              <w:jc w:val="left"/>
              <w:rPr>
                <w:rFonts w:cs="Times New Roman"/>
                <w:kern w:val="0"/>
                <w:sz w:val="21"/>
              </w:rPr>
            </w:pPr>
            <w:r>
              <w:rPr>
                <w:rFonts w:cs="Times New Roman"/>
                <w:kern w:val="0"/>
                <w:sz w:val="21"/>
              </w:rPr>
              <w:t>(4)自来水普及率</w:t>
            </w:r>
          </w:p>
        </w:tc>
        <w:tc>
          <w:tcPr>
            <w:tcW w:w="913" w:type="dxa"/>
            <w:tcBorders>
              <w:top w:val="single" w:color="auto" w:sz="4" w:space="0"/>
              <w:left w:val="single" w:color="auto" w:sz="4" w:space="0"/>
              <w:bottom w:val="single" w:color="auto" w:sz="4" w:space="0"/>
              <w:right w:val="single" w:color="auto" w:sz="4" w:space="0"/>
            </w:tcBorders>
            <w:vAlign w:val="center"/>
          </w:tcPr>
          <w:p w14:paraId="4F95E7E4">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3FC37F09">
            <w:pPr>
              <w:widowControl/>
              <w:spacing w:line="240" w:lineRule="auto"/>
              <w:ind w:firstLine="0" w:firstLineChars="0"/>
              <w:jc w:val="center"/>
              <w:rPr>
                <w:rFonts w:cs="Times New Roman"/>
                <w:kern w:val="0"/>
                <w:sz w:val="21"/>
              </w:rPr>
            </w:pPr>
            <w:r>
              <w:rPr>
                <w:rFonts w:cs="Times New Roman"/>
                <w:kern w:val="0"/>
                <w:sz w:val="21"/>
              </w:rPr>
              <w:t>100～95</w:t>
            </w:r>
          </w:p>
        </w:tc>
        <w:tc>
          <w:tcPr>
            <w:tcW w:w="1088" w:type="dxa"/>
            <w:tcBorders>
              <w:top w:val="nil"/>
              <w:left w:val="nil"/>
              <w:bottom w:val="single" w:color="auto" w:sz="4" w:space="0"/>
              <w:right w:val="single" w:color="auto" w:sz="4" w:space="0"/>
            </w:tcBorders>
            <w:vAlign w:val="center"/>
          </w:tcPr>
          <w:p w14:paraId="7A178DB4">
            <w:pPr>
              <w:widowControl/>
              <w:spacing w:line="240" w:lineRule="auto"/>
              <w:ind w:firstLine="0" w:firstLineChars="0"/>
              <w:jc w:val="center"/>
              <w:rPr>
                <w:rFonts w:cs="Times New Roman"/>
                <w:kern w:val="0"/>
                <w:sz w:val="21"/>
              </w:rPr>
            </w:pPr>
            <w:r>
              <w:rPr>
                <w:rFonts w:cs="Times New Roman"/>
                <w:kern w:val="0"/>
                <w:sz w:val="21"/>
              </w:rPr>
              <w:t>95～80</w:t>
            </w:r>
          </w:p>
        </w:tc>
        <w:tc>
          <w:tcPr>
            <w:tcW w:w="1112" w:type="dxa"/>
            <w:tcBorders>
              <w:top w:val="nil"/>
              <w:left w:val="nil"/>
              <w:bottom w:val="single" w:color="auto" w:sz="4" w:space="0"/>
              <w:right w:val="single" w:color="auto" w:sz="4" w:space="0"/>
            </w:tcBorders>
            <w:vAlign w:val="center"/>
          </w:tcPr>
          <w:p w14:paraId="5CB2FA10">
            <w:pPr>
              <w:widowControl/>
              <w:spacing w:line="240" w:lineRule="auto"/>
              <w:ind w:firstLine="0" w:firstLineChars="0"/>
              <w:jc w:val="center"/>
              <w:rPr>
                <w:rFonts w:cs="Times New Roman"/>
                <w:kern w:val="0"/>
                <w:sz w:val="21"/>
              </w:rPr>
            </w:pPr>
            <w:r>
              <w:rPr>
                <w:rFonts w:cs="Times New Roman"/>
                <w:kern w:val="0"/>
                <w:sz w:val="21"/>
              </w:rPr>
              <w:t>80～60</w:t>
            </w:r>
          </w:p>
        </w:tc>
        <w:tc>
          <w:tcPr>
            <w:tcW w:w="1088" w:type="dxa"/>
            <w:tcBorders>
              <w:top w:val="nil"/>
              <w:left w:val="nil"/>
              <w:bottom w:val="single" w:color="auto" w:sz="4" w:space="0"/>
              <w:right w:val="single" w:color="auto" w:sz="4" w:space="0"/>
            </w:tcBorders>
            <w:vAlign w:val="center"/>
          </w:tcPr>
          <w:p w14:paraId="7ADFE5A7">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nil"/>
              <w:left w:val="nil"/>
              <w:bottom w:val="single" w:color="auto" w:sz="4" w:space="0"/>
              <w:right w:val="single" w:color="auto" w:sz="4" w:space="0"/>
            </w:tcBorders>
            <w:vAlign w:val="center"/>
          </w:tcPr>
          <w:p w14:paraId="61FD387F">
            <w:pPr>
              <w:widowControl/>
              <w:spacing w:line="240" w:lineRule="auto"/>
              <w:ind w:firstLine="0" w:firstLineChars="0"/>
              <w:jc w:val="center"/>
              <w:rPr>
                <w:rFonts w:cs="Times New Roman"/>
                <w:kern w:val="0"/>
                <w:sz w:val="21"/>
              </w:rPr>
            </w:pPr>
            <w:r>
              <w:rPr>
                <w:rFonts w:cs="Times New Roman"/>
                <w:kern w:val="0"/>
                <w:sz w:val="21"/>
              </w:rPr>
              <w:t>40～0</w:t>
            </w:r>
          </w:p>
        </w:tc>
      </w:tr>
      <w:tr w14:paraId="312E15FF">
        <w:tblPrEx>
          <w:tblCellMar>
            <w:top w:w="0" w:type="dxa"/>
            <w:left w:w="108" w:type="dxa"/>
            <w:bottom w:w="0" w:type="dxa"/>
            <w:right w:w="108" w:type="dxa"/>
          </w:tblCellMar>
        </w:tblPrEx>
        <w:trPr>
          <w:trHeight w:val="586" w:hRule="atLeast"/>
          <w:jc w:val="center"/>
        </w:trPr>
        <w:tc>
          <w:tcPr>
            <w:tcW w:w="706" w:type="dxa"/>
            <w:vMerge w:val="continue"/>
            <w:tcBorders>
              <w:left w:val="single" w:color="auto" w:sz="4" w:space="0"/>
              <w:right w:val="single" w:color="auto" w:sz="4" w:space="0"/>
            </w:tcBorders>
          </w:tcPr>
          <w:p w14:paraId="365E6749">
            <w:pPr>
              <w:widowControl/>
              <w:spacing w:line="240" w:lineRule="auto"/>
              <w:ind w:firstLine="0" w:firstLineChars="0"/>
              <w:jc w:val="center"/>
              <w:rPr>
                <w:rFonts w:cs="Times New Roman"/>
                <w:b/>
                <w:bCs/>
                <w:kern w:val="0"/>
                <w:sz w:val="21"/>
              </w:rPr>
            </w:pPr>
          </w:p>
        </w:tc>
        <w:tc>
          <w:tcPr>
            <w:tcW w:w="426" w:type="dxa"/>
            <w:vMerge w:val="restart"/>
            <w:tcBorders>
              <w:top w:val="single" w:color="auto" w:sz="4" w:space="0"/>
              <w:left w:val="single" w:color="auto" w:sz="4" w:space="0"/>
              <w:bottom w:val="single" w:color="auto" w:sz="4" w:space="0"/>
              <w:right w:val="single" w:color="auto" w:sz="4" w:space="0"/>
            </w:tcBorders>
            <w:vAlign w:val="center"/>
          </w:tcPr>
          <w:p w14:paraId="0A0D949D">
            <w:pPr>
              <w:widowControl/>
              <w:spacing w:line="240" w:lineRule="auto"/>
              <w:ind w:firstLine="0" w:firstLineChars="0"/>
              <w:jc w:val="center"/>
              <w:rPr>
                <w:rFonts w:cs="Times New Roman"/>
                <w:b/>
                <w:bCs/>
                <w:kern w:val="0"/>
                <w:sz w:val="21"/>
              </w:rPr>
            </w:pPr>
            <w:r>
              <w:rPr>
                <w:rFonts w:cs="Times New Roman"/>
                <w:b/>
                <w:bCs/>
                <w:kern w:val="0"/>
                <w:sz w:val="21"/>
              </w:rPr>
              <w:t>水生态</w:t>
            </w:r>
          </w:p>
        </w:tc>
        <w:tc>
          <w:tcPr>
            <w:tcW w:w="2502" w:type="dxa"/>
            <w:tcBorders>
              <w:top w:val="single" w:color="auto" w:sz="4" w:space="0"/>
              <w:left w:val="nil"/>
              <w:bottom w:val="single" w:color="auto" w:sz="4" w:space="0"/>
              <w:right w:val="single" w:color="auto" w:sz="4" w:space="0"/>
            </w:tcBorders>
            <w:vAlign w:val="center"/>
          </w:tcPr>
          <w:p w14:paraId="1CE738BB">
            <w:pPr>
              <w:widowControl/>
              <w:spacing w:line="240" w:lineRule="auto"/>
              <w:ind w:firstLine="0" w:firstLineChars="0"/>
              <w:jc w:val="left"/>
              <w:rPr>
                <w:rFonts w:cs="Times New Roman"/>
                <w:kern w:val="0"/>
                <w:sz w:val="21"/>
              </w:rPr>
            </w:pPr>
            <w:r>
              <w:rPr>
                <w:rFonts w:cs="Times New Roman"/>
                <w:kern w:val="0"/>
                <w:sz w:val="21"/>
              </w:rPr>
              <w:t>(5)河流生态基流满足程度</w:t>
            </w:r>
          </w:p>
        </w:tc>
        <w:tc>
          <w:tcPr>
            <w:tcW w:w="913" w:type="dxa"/>
            <w:tcBorders>
              <w:top w:val="single" w:color="auto" w:sz="4" w:space="0"/>
              <w:left w:val="single" w:color="auto" w:sz="4" w:space="0"/>
              <w:bottom w:val="single" w:color="auto" w:sz="4" w:space="0"/>
              <w:right w:val="single" w:color="auto" w:sz="4" w:space="0"/>
            </w:tcBorders>
            <w:vAlign w:val="center"/>
          </w:tcPr>
          <w:p w14:paraId="49313CC0">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F7ABA72">
            <w:pPr>
              <w:widowControl/>
              <w:spacing w:line="240" w:lineRule="auto"/>
              <w:ind w:firstLine="0" w:firstLineChars="0"/>
              <w:jc w:val="center"/>
              <w:rPr>
                <w:rFonts w:cs="Times New Roman"/>
                <w:kern w:val="0"/>
                <w:sz w:val="21"/>
              </w:rPr>
            </w:pPr>
            <w:r>
              <w:rPr>
                <w:rFonts w:cs="Times New Roman"/>
                <w:kern w:val="0"/>
                <w:sz w:val="21"/>
              </w:rPr>
              <w:t>100～98</w:t>
            </w:r>
          </w:p>
        </w:tc>
        <w:tc>
          <w:tcPr>
            <w:tcW w:w="1088" w:type="dxa"/>
            <w:tcBorders>
              <w:top w:val="single" w:color="auto" w:sz="4" w:space="0"/>
              <w:left w:val="nil"/>
              <w:bottom w:val="single" w:color="auto" w:sz="4" w:space="0"/>
              <w:right w:val="single" w:color="auto" w:sz="4" w:space="0"/>
            </w:tcBorders>
            <w:vAlign w:val="center"/>
          </w:tcPr>
          <w:p w14:paraId="7FF0E49A">
            <w:pPr>
              <w:widowControl/>
              <w:spacing w:line="240" w:lineRule="auto"/>
              <w:ind w:firstLine="0" w:firstLineChars="0"/>
              <w:jc w:val="center"/>
              <w:rPr>
                <w:rFonts w:cs="Times New Roman"/>
                <w:kern w:val="0"/>
                <w:sz w:val="21"/>
              </w:rPr>
            </w:pPr>
            <w:r>
              <w:rPr>
                <w:rFonts w:cs="Times New Roman"/>
                <w:kern w:val="0"/>
                <w:sz w:val="21"/>
              </w:rPr>
              <w:t>98～90</w:t>
            </w:r>
          </w:p>
        </w:tc>
        <w:tc>
          <w:tcPr>
            <w:tcW w:w="1112" w:type="dxa"/>
            <w:tcBorders>
              <w:top w:val="single" w:color="auto" w:sz="4" w:space="0"/>
              <w:left w:val="nil"/>
              <w:bottom w:val="single" w:color="auto" w:sz="4" w:space="0"/>
              <w:right w:val="single" w:color="auto" w:sz="4" w:space="0"/>
            </w:tcBorders>
            <w:vAlign w:val="center"/>
          </w:tcPr>
          <w:p w14:paraId="6A552CED">
            <w:pPr>
              <w:widowControl/>
              <w:spacing w:line="240" w:lineRule="auto"/>
              <w:ind w:firstLine="0" w:firstLineChars="0"/>
              <w:jc w:val="center"/>
              <w:rPr>
                <w:rFonts w:cs="Times New Roman"/>
                <w:kern w:val="0"/>
                <w:sz w:val="21"/>
              </w:rPr>
            </w:pPr>
            <w:r>
              <w:rPr>
                <w:rFonts w:cs="Times New Roman"/>
                <w:kern w:val="0"/>
                <w:sz w:val="21"/>
              </w:rPr>
              <w:t>90～80</w:t>
            </w:r>
          </w:p>
        </w:tc>
        <w:tc>
          <w:tcPr>
            <w:tcW w:w="1088" w:type="dxa"/>
            <w:tcBorders>
              <w:top w:val="single" w:color="auto" w:sz="4" w:space="0"/>
              <w:left w:val="nil"/>
              <w:bottom w:val="single" w:color="auto" w:sz="4" w:space="0"/>
              <w:right w:val="single" w:color="auto" w:sz="4" w:space="0"/>
            </w:tcBorders>
            <w:vAlign w:val="center"/>
          </w:tcPr>
          <w:p w14:paraId="19C9D20E">
            <w:pPr>
              <w:widowControl/>
              <w:spacing w:line="240" w:lineRule="auto"/>
              <w:ind w:firstLine="0" w:firstLineChars="0"/>
              <w:jc w:val="center"/>
              <w:rPr>
                <w:rFonts w:cs="Times New Roman"/>
                <w:kern w:val="0"/>
                <w:sz w:val="21"/>
              </w:rPr>
            </w:pPr>
            <w:r>
              <w:rPr>
                <w:rFonts w:cs="Times New Roman"/>
                <w:kern w:val="0"/>
                <w:sz w:val="21"/>
              </w:rPr>
              <w:t>80～60</w:t>
            </w:r>
          </w:p>
        </w:tc>
        <w:tc>
          <w:tcPr>
            <w:tcW w:w="1070" w:type="dxa"/>
            <w:tcBorders>
              <w:top w:val="single" w:color="auto" w:sz="4" w:space="0"/>
              <w:left w:val="nil"/>
              <w:bottom w:val="single" w:color="auto" w:sz="4" w:space="0"/>
              <w:right w:val="single" w:color="auto" w:sz="4" w:space="0"/>
            </w:tcBorders>
            <w:vAlign w:val="center"/>
          </w:tcPr>
          <w:p w14:paraId="43F89441">
            <w:pPr>
              <w:widowControl/>
              <w:spacing w:line="240" w:lineRule="auto"/>
              <w:ind w:firstLine="0" w:firstLineChars="0"/>
              <w:jc w:val="center"/>
              <w:rPr>
                <w:rFonts w:cs="Times New Roman"/>
                <w:kern w:val="0"/>
                <w:sz w:val="21"/>
              </w:rPr>
            </w:pPr>
            <w:r>
              <w:rPr>
                <w:rFonts w:cs="Times New Roman"/>
                <w:kern w:val="0"/>
                <w:sz w:val="21"/>
              </w:rPr>
              <w:t>60～0</w:t>
            </w:r>
          </w:p>
        </w:tc>
      </w:tr>
      <w:tr w14:paraId="2C4B56B7">
        <w:tblPrEx>
          <w:tblCellMar>
            <w:top w:w="0" w:type="dxa"/>
            <w:left w:w="108" w:type="dxa"/>
            <w:bottom w:w="0" w:type="dxa"/>
            <w:right w:w="108" w:type="dxa"/>
          </w:tblCellMar>
        </w:tblPrEx>
        <w:trPr>
          <w:trHeight w:val="550" w:hRule="atLeast"/>
          <w:jc w:val="center"/>
        </w:trPr>
        <w:tc>
          <w:tcPr>
            <w:tcW w:w="706" w:type="dxa"/>
            <w:vMerge w:val="continue"/>
            <w:tcBorders>
              <w:left w:val="single" w:color="auto" w:sz="4" w:space="0"/>
              <w:right w:val="single" w:color="auto" w:sz="4" w:space="0"/>
            </w:tcBorders>
          </w:tcPr>
          <w:p w14:paraId="1332F7BC">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13A25853">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BBFDCB2">
            <w:pPr>
              <w:widowControl/>
              <w:spacing w:line="240" w:lineRule="auto"/>
              <w:ind w:firstLine="0" w:firstLineChars="0"/>
              <w:jc w:val="left"/>
              <w:rPr>
                <w:rFonts w:cs="Times New Roman"/>
                <w:kern w:val="0"/>
                <w:sz w:val="21"/>
              </w:rPr>
            </w:pPr>
            <w:r>
              <w:rPr>
                <w:rFonts w:cs="Times New Roman"/>
                <w:kern w:val="0"/>
                <w:sz w:val="21"/>
              </w:rPr>
              <w:t>(6)河流纵向连通性指数</w:t>
            </w:r>
          </w:p>
        </w:tc>
        <w:tc>
          <w:tcPr>
            <w:tcW w:w="913" w:type="dxa"/>
            <w:tcBorders>
              <w:top w:val="single" w:color="auto" w:sz="4" w:space="0"/>
              <w:left w:val="single" w:color="auto" w:sz="4" w:space="0"/>
              <w:bottom w:val="single" w:color="auto" w:sz="4" w:space="0"/>
              <w:right w:val="single" w:color="auto" w:sz="4" w:space="0"/>
            </w:tcBorders>
            <w:vAlign w:val="center"/>
          </w:tcPr>
          <w:p w14:paraId="5D7743D4">
            <w:pPr>
              <w:widowControl/>
              <w:spacing w:line="240" w:lineRule="auto"/>
              <w:ind w:firstLine="0" w:firstLineChars="0"/>
              <w:jc w:val="center"/>
              <w:rPr>
                <w:rFonts w:cs="Times New Roman"/>
                <w:kern w:val="0"/>
                <w:sz w:val="21"/>
              </w:rPr>
            </w:pPr>
            <w:r>
              <w:rPr>
                <w:rFonts w:cs="Times New Roman"/>
                <w:kern w:val="0"/>
                <w:sz w:val="21"/>
              </w:rPr>
              <w:t>个/100km</w:t>
            </w:r>
          </w:p>
        </w:tc>
        <w:tc>
          <w:tcPr>
            <w:tcW w:w="1762" w:type="dxa"/>
            <w:tcBorders>
              <w:top w:val="single" w:color="auto" w:sz="4" w:space="0"/>
              <w:left w:val="single" w:color="auto" w:sz="4" w:space="0"/>
              <w:bottom w:val="single" w:color="auto" w:sz="4" w:space="0"/>
              <w:right w:val="single" w:color="auto" w:sz="4" w:space="0"/>
            </w:tcBorders>
            <w:vAlign w:val="center"/>
          </w:tcPr>
          <w:p w14:paraId="6A578A03">
            <w:pPr>
              <w:widowControl/>
              <w:spacing w:line="240" w:lineRule="auto"/>
              <w:ind w:firstLine="0" w:firstLineChars="0"/>
              <w:jc w:val="center"/>
              <w:rPr>
                <w:rFonts w:cs="Times New Roman"/>
                <w:kern w:val="0"/>
                <w:sz w:val="21"/>
              </w:rPr>
            </w:pPr>
            <w:r>
              <w:rPr>
                <w:rFonts w:cs="Times New Roman"/>
                <w:kern w:val="0"/>
                <w:sz w:val="21"/>
              </w:rPr>
              <w:t>0～0.3</w:t>
            </w:r>
          </w:p>
        </w:tc>
        <w:tc>
          <w:tcPr>
            <w:tcW w:w="1088" w:type="dxa"/>
            <w:tcBorders>
              <w:top w:val="single" w:color="auto" w:sz="4" w:space="0"/>
              <w:left w:val="nil"/>
              <w:bottom w:val="single" w:color="auto" w:sz="4" w:space="0"/>
              <w:right w:val="single" w:color="auto" w:sz="4" w:space="0"/>
            </w:tcBorders>
            <w:vAlign w:val="center"/>
          </w:tcPr>
          <w:p w14:paraId="3CE10D77">
            <w:pPr>
              <w:widowControl/>
              <w:spacing w:line="240" w:lineRule="auto"/>
              <w:ind w:firstLine="0" w:firstLineChars="0"/>
              <w:jc w:val="center"/>
              <w:rPr>
                <w:rFonts w:cs="Times New Roman"/>
                <w:kern w:val="0"/>
                <w:sz w:val="21"/>
              </w:rPr>
            </w:pPr>
            <w:r>
              <w:rPr>
                <w:rFonts w:cs="Times New Roman"/>
                <w:kern w:val="0"/>
                <w:sz w:val="21"/>
              </w:rPr>
              <w:t>0.3～0.5</w:t>
            </w:r>
          </w:p>
        </w:tc>
        <w:tc>
          <w:tcPr>
            <w:tcW w:w="1112" w:type="dxa"/>
            <w:tcBorders>
              <w:top w:val="single" w:color="auto" w:sz="4" w:space="0"/>
              <w:left w:val="nil"/>
              <w:bottom w:val="single" w:color="auto" w:sz="4" w:space="0"/>
              <w:right w:val="single" w:color="auto" w:sz="4" w:space="0"/>
            </w:tcBorders>
            <w:vAlign w:val="center"/>
          </w:tcPr>
          <w:p w14:paraId="5D4E37C9">
            <w:pPr>
              <w:widowControl/>
              <w:spacing w:line="240" w:lineRule="auto"/>
              <w:ind w:firstLine="0" w:firstLineChars="0"/>
              <w:jc w:val="center"/>
              <w:rPr>
                <w:rFonts w:cs="Times New Roman"/>
                <w:kern w:val="0"/>
                <w:sz w:val="21"/>
              </w:rPr>
            </w:pPr>
            <w:r>
              <w:rPr>
                <w:rFonts w:cs="Times New Roman"/>
                <w:kern w:val="0"/>
                <w:sz w:val="21"/>
              </w:rPr>
              <w:t>0.5～0.8</w:t>
            </w:r>
          </w:p>
        </w:tc>
        <w:tc>
          <w:tcPr>
            <w:tcW w:w="1088" w:type="dxa"/>
            <w:tcBorders>
              <w:top w:val="single" w:color="auto" w:sz="4" w:space="0"/>
              <w:left w:val="nil"/>
              <w:bottom w:val="single" w:color="auto" w:sz="4" w:space="0"/>
              <w:right w:val="single" w:color="auto" w:sz="4" w:space="0"/>
            </w:tcBorders>
            <w:vAlign w:val="center"/>
          </w:tcPr>
          <w:p w14:paraId="0D69C6DC">
            <w:pPr>
              <w:widowControl/>
              <w:spacing w:line="240" w:lineRule="auto"/>
              <w:ind w:firstLine="0" w:firstLineChars="0"/>
              <w:jc w:val="center"/>
              <w:rPr>
                <w:rFonts w:cs="Times New Roman"/>
                <w:kern w:val="0"/>
                <w:sz w:val="21"/>
              </w:rPr>
            </w:pPr>
            <w:r>
              <w:rPr>
                <w:rFonts w:cs="Times New Roman"/>
                <w:kern w:val="0"/>
                <w:sz w:val="21"/>
              </w:rPr>
              <w:t>0.8～1.2</w:t>
            </w:r>
          </w:p>
        </w:tc>
        <w:tc>
          <w:tcPr>
            <w:tcW w:w="1070" w:type="dxa"/>
            <w:tcBorders>
              <w:top w:val="single" w:color="auto" w:sz="4" w:space="0"/>
              <w:left w:val="nil"/>
              <w:bottom w:val="single" w:color="auto" w:sz="4" w:space="0"/>
              <w:right w:val="single" w:color="auto" w:sz="4" w:space="0"/>
            </w:tcBorders>
            <w:vAlign w:val="center"/>
          </w:tcPr>
          <w:p w14:paraId="4D9CD2F7">
            <w:pPr>
              <w:widowControl/>
              <w:spacing w:line="240" w:lineRule="auto"/>
              <w:ind w:firstLine="0" w:firstLineChars="0"/>
              <w:jc w:val="center"/>
              <w:rPr>
                <w:rFonts w:cs="Times New Roman"/>
                <w:kern w:val="0"/>
                <w:sz w:val="21"/>
              </w:rPr>
            </w:pPr>
            <w:r>
              <w:rPr>
                <w:rFonts w:cs="Times New Roman"/>
                <w:kern w:val="0"/>
                <w:sz w:val="21"/>
              </w:rPr>
              <w:t>&gt;1.2</w:t>
            </w:r>
          </w:p>
        </w:tc>
      </w:tr>
      <w:tr w14:paraId="3FF70A92">
        <w:tblPrEx>
          <w:tblCellMar>
            <w:top w:w="0" w:type="dxa"/>
            <w:left w:w="108" w:type="dxa"/>
            <w:bottom w:w="0" w:type="dxa"/>
            <w:right w:w="108" w:type="dxa"/>
          </w:tblCellMar>
        </w:tblPrEx>
        <w:trPr>
          <w:trHeight w:val="642" w:hRule="atLeast"/>
          <w:jc w:val="center"/>
        </w:trPr>
        <w:tc>
          <w:tcPr>
            <w:tcW w:w="706" w:type="dxa"/>
            <w:vMerge w:val="continue"/>
            <w:tcBorders>
              <w:left w:val="single" w:color="auto" w:sz="4" w:space="0"/>
              <w:right w:val="single" w:color="auto" w:sz="4" w:space="0"/>
            </w:tcBorders>
          </w:tcPr>
          <w:p w14:paraId="11ECE225">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6A64DF60">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55E0AA9B">
            <w:pPr>
              <w:widowControl/>
              <w:spacing w:line="240" w:lineRule="auto"/>
              <w:ind w:firstLine="0" w:firstLineChars="0"/>
              <w:jc w:val="left"/>
              <w:rPr>
                <w:rFonts w:cs="Times New Roman"/>
                <w:kern w:val="0"/>
                <w:sz w:val="21"/>
              </w:rPr>
            </w:pPr>
            <w:r>
              <w:rPr>
                <w:rFonts w:cs="Times New Roman"/>
                <w:kern w:val="0"/>
                <w:sz w:val="21"/>
              </w:rPr>
              <w:t>(7)河湖生态护岸比例</w:t>
            </w:r>
          </w:p>
        </w:tc>
        <w:tc>
          <w:tcPr>
            <w:tcW w:w="913" w:type="dxa"/>
            <w:tcBorders>
              <w:top w:val="single" w:color="auto" w:sz="4" w:space="0"/>
              <w:left w:val="single" w:color="auto" w:sz="4" w:space="0"/>
              <w:bottom w:val="single" w:color="auto" w:sz="4" w:space="0"/>
              <w:right w:val="single" w:color="auto" w:sz="4" w:space="0"/>
            </w:tcBorders>
            <w:vAlign w:val="center"/>
          </w:tcPr>
          <w:p w14:paraId="3B7991CF">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A3E555C">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197DA70E">
            <w:pPr>
              <w:widowControl/>
              <w:spacing w:line="240" w:lineRule="auto"/>
              <w:ind w:firstLine="0" w:firstLineChars="0"/>
              <w:jc w:val="center"/>
              <w:rPr>
                <w:rFonts w:cs="Times New Roman"/>
                <w:kern w:val="0"/>
                <w:sz w:val="21"/>
              </w:rPr>
            </w:pPr>
            <w:r>
              <w:rPr>
                <w:rFonts w:cs="Times New Roman"/>
                <w:kern w:val="0"/>
                <w:sz w:val="21"/>
              </w:rPr>
              <w:t>90～70</w:t>
            </w:r>
          </w:p>
        </w:tc>
        <w:tc>
          <w:tcPr>
            <w:tcW w:w="1112" w:type="dxa"/>
            <w:tcBorders>
              <w:top w:val="single" w:color="auto" w:sz="4" w:space="0"/>
              <w:left w:val="nil"/>
              <w:bottom w:val="single" w:color="auto" w:sz="4" w:space="0"/>
              <w:right w:val="single" w:color="auto" w:sz="4" w:space="0"/>
            </w:tcBorders>
            <w:vAlign w:val="center"/>
          </w:tcPr>
          <w:p w14:paraId="339F7792">
            <w:pPr>
              <w:widowControl/>
              <w:spacing w:line="240" w:lineRule="auto"/>
              <w:ind w:firstLine="0" w:firstLineChars="0"/>
              <w:jc w:val="center"/>
              <w:rPr>
                <w:rFonts w:cs="Times New Roman"/>
                <w:kern w:val="0"/>
                <w:sz w:val="21"/>
              </w:rPr>
            </w:pPr>
            <w:r>
              <w:rPr>
                <w:rFonts w:cs="Times New Roman"/>
                <w:kern w:val="0"/>
                <w:sz w:val="21"/>
              </w:rPr>
              <w:t>70～50</w:t>
            </w:r>
          </w:p>
        </w:tc>
        <w:tc>
          <w:tcPr>
            <w:tcW w:w="1088" w:type="dxa"/>
            <w:tcBorders>
              <w:top w:val="single" w:color="auto" w:sz="4" w:space="0"/>
              <w:left w:val="nil"/>
              <w:bottom w:val="single" w:color="auto" w:sz="4" w:space="0"/>
              <w:right w:val="single" w:color="auto" w:sz="4" w:space="0"/>
            </w:tcBorders>
            <w:vAlign w:val="center"/>
          </w:tcPr>
          <w:p w14:paraId="2E5B3832">
            <w:pPr>
              <w:widowControl/>
              <w:spacing w:line="240" w:lineRule="auto"/>
              <w:ind w:firstLine="0" w:firstLineChars="0"/>
              <w:jc w:val="center"/>
              <w:rPr>
                <w:rFonts w:cs="Times New Roman"/>
                <w:kern w:val="0"/>
                <w:sz w:val="21"/>
              </w:rPr>
            </w:pPr>
            <w:r>
              <w:rPr>
                <w:rFonts w:cs="Times New Roman"/>
                <w:kern w:val="0"/>
                <w:sz w:val="21"/>
              </w:rPr>
              <w:t>50～30</w:t>
            </w:r>
          </w:p>
        </w:tc>
        <w:tc>
          <w:tcPr>
            <w:tcW w:w="1070" w:type="dxa"/>
            <w:tcBorders>
              <w:top w:val="single" w:color="auto" w:sz="4" w:space="0"/>
              <w:left w:val="nil"/>
              <w:bottom w:val="single" w:color="auto" w:sz="4" w:space="0"/>
              <w:right w:val="single" w:color="auto" w:sz="4" w:space="0"/>
            </w:tcBorders>
            <w:vAlign w:val="center"/>
          </w:tcPr>
          <w:p w14:paraId="2B802322">
            <w:pPr>
              <w:widowControl/>
              <w:spacing w:line="240" w:lineRule="auto"/>
              <w:ind w:firstLine="0" w:firstLineChars="0"/>
              <w:jc w:val="center"/>
              <w:rPr>
                <w:rFonts w:cs="Times New Roman"/>
                <w:kern w:val="0"/>
                <w:sz w:val="21"/>
              </w:rPr>
            </w:pPr>
            <w:r>
              <w:rPr>
                <w:rFonts w:cs="Times New Roman"/>
                <w:kern w:val="0"/>
                <w:sz w:val="21"/>
              </w:rPr>
              <w:t>30～0</w:t>
            </w:r>
          </w:p>
        </w:tc>
      </w:tr>
      <w:tr w14:paraId="7C5E40FE">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74C103C7">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03E18988">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16AE3F84">
            <w:pPr>
              <w:widowControl/>
              <w:spacing w:line="240" w:lineRule="auto"/>
              <w:ind w:firstLine="0" w:firstLineChars="0"/>
              <w:jc w:val="left"/>
              <w:rPr>
                <w:rFonts w:cs="Times New Roman"/>
                <w:kern w:val="0"/>
                <w:sz w:val="21"/>
              </w:rPr>
            </w:pPr>
            <w:r>
              <w:rPr>
                <w:rFonts w:cs="Times New Roman"/>
                <w:kern w:val="0"/>
                <w:sz w:val="21"/>
              </w:rPr>
              <w:t>(8)水域面积率</w:t>
            </w:r>
          </w:p>
        </w:tc>
        <w:tc>
          <w:tcPr>
            <w:tcW w:w="913" w:type="dxa"/>
            <w:tcBorders>
              <w:top w:val="single" w:color="auto" w:sz="4" w:space="0"/>
              <w:left w:val="single" w:color="auto" w:sz="4" w:space="0"/>
              <w:bottom w:val="single" w:color="auto" w:sz="4" w:space="0"/>
              <w:right w:val="single" w:color="auto" w:sz="4" w:space="0"/>
            </w:tcBorders>
            <w:vAlign w:val="center"/>
          </w:tcPr>
          <w:p w14:paraId="63B35A44">
            <w:pPr>
              <w:widowControl/>
              <w:spacing w:line="240" w:lineRule="auto"/>
              <w:ind w:firstLine="0" w:firstLineChars="0"/>
              <w:rPr>
                <w:rFonts w:cs="Times New Roman"/>
                <w:kern w:val="0"/>
                <w:sz w:val="21"/>
              </w:rPr>
            </w:pPr>
            <w:r>
              <w:rPr>
                <w:rFonts w:cs="Times New Roman"/>
                <w:kern w:val="0"/>
                <w:sz w:val="21"/>
              </w:rPr>
              <w:t>南方,%</w:t>
            </w:r>
          </w:p>
        </w:tc>
        <w:tc>
          <w:tcPr>
            <w:tcW w:w="1762" w:type="dxa"/>
            <w:tcBorders>
              <w:top w:val="single" w:color="auto" w:sz="4" w:space="0"/>
              <w:left w:val="single" w:color="auto" w:sz="4" w:space="0"/>
              <w:bottom w:val="single" w:color="auto" w:sz="4" w:space="0"/>
              <w:right w:val="single" w:color="auto" w:sz="4" w:space="0"/>
            </w:tcBorders>
            <w:vAlign w:val="center"/>
          </w:tcPr>
          <w:p w14:paraId="2B41BB46">
            <w:pPr>
              <w:widowControl/>
              <w:spacing w:line="240" w:lineRule="auto"/>
              <w:ind w:firstLine="0" w:firstLineChars="0"/>
              <w:jc w:val="center"/>
              <w:rPr>
                <w:rFonts w:cs="Times New Roman"/>
                <w:kern w:val="0"/>
                <w:sz w:val="21"/>
              </w:rPr>
            </w:pPr>
            <w:r>
              <w:rPr>
                <w:rFonts w:cs="Times New Roman"/>
                <w:kern w:val="0"/>
                <w:sz w:val="21"/>
              </w:rPr>
              <w:t>100～30</w:t>
            </w:r>
          </w:p>
        </w:tc>
        <w:tc>
          <w:tcPr>
            <w:tcW w:w="1088" w:type="dxa"/>
            <w:tcBorders>
              <w:top w:val="single" w:color="auto" w:sz="4" w:space="0"/>
              <w:left w:val="nil"/>
              <w:bottom w:val="single" w:color="auto" w:sz="4" w:space="0"/>
              <w:right w:val="single" w:color="auto" w:sz="4" w:space="0"/>
            </w:tcBorders>
            <w:vAlign w:val="center"/>
          </w:tcPr>
          <w:p w14:paraId="00CAF36A">
            <w:pPr>
              <w:widowControl/>
              <w:spacing w:line="240" w:lineRule="auto"/>
              <w:ind w:firstLine="0" w:firstLineChars="0"/>
              <w:jc w:val="center"/>
              <w:rPr>
                <w:rFonts w:cs="Times New Roman"/>
                <w:kern w:val="0"/>
                <w:sz w:val="21"/>
              </w:rPr>
            </w:pPr>
            <w:r>
              <w:rPr>
                <w:rFonts w:cs="Times New Roman"/>
                <w:kern w:val="0"/>
                <w:sz w:val="21"/>
              </w:rPr>
              <w:t>30～20</w:t>
            </w:r>
          </w:p>
        </w:tc>
        <w:tc>
          <w:tcPr>
            <w:tcW w:w="1112" w:type="dxa"/>
            <w:tcBorders>
              <w:top w:val="single" w:color="auto" w:sz="4" w:space="0"/>
              <w:left w:val="nil"/>
              <w:bottom w:val="single" w:color="auto" w:sz="4" w:space="0"/>
              <w:right w:val="single" w:color="auto" w:sz="4" w:space="0"/>
            </w:tcBorders>
            <w:vAlign w:val="center"/>
          </w:tcPr>
          <w:p w14:paraId="47744954">
            <w:pPr>
              <w:widowControl/>
              <w:spacing w:line="240" w:lineRule="auto"/>
              <w:ind w:firstLine="0" w:firstLineChars="0"/>
              <w:jc w:val="center"/>
              <w:rPr>
                <w:rFonts w:cs="Times New Roman"/>
                <w:kern w:val="0"/>
                <w:sz w:val="21"/>
              </w:rPr>
            </w:pPr>
            <w:r>
              <w:rPr>
                <w:rFonts w:cs="Times New Roman"/>
                <w:kern w:val="0"/>
                <w:sz w:val="21"/>
              </w:rPr>
              <w:t>20～10</w:t>
            </w:r>
          </w:p>
        </w:tc>
        <w:tc>
          <w:tcPr>
            <w:tcW w:w="1088" w:type="dxa"/>
            <w:tcBorders>
              <w:top w:val="single" w:color="auto" w:sz="4" w:space="0"/>
              <w:left w:val="nil"/>
              <w:bottom w:val="single" w:color="auto" w:sz="4" w:space="0"/>
              <w:right w:val="single" w:color="auto" w:sz="4" w:space="0"/>
            </w:tcBorders>
            <w:vAlign w:val="center"/>
          </w:tcPr>
          <w:p w14:paraId="66DD8B16">
            <w:pPr>
              <w:widowControl/>
              <w:spacing w:line="240" w:lineRule="auto"/>
              <w:ind w:firstLine="0" w:firstLineChars="0"/>
              <w:jc w:val="center"/>
              <w:rPr>
                <w:rFonts w:cs="Times New Roman"/>
                <w:kern w:val="0"/>
                <w:sz w:val="21"/>
              </w:rPr>
            </w:pPr>
            <w:r>
              <w:rPr>
                <w:rFonts w:cs="Times New Roman"/>
                <w:kern w:val="0"/>
                <w:sz w:val="21"/>
              </w:rPr>
              <w:t>10～6</w:t>
            </w:r>
          </w:p>
        </w:tc>
        <w:tc>
          <w:tcPr>
            <w:tcW w:w="1070" w:type="dxa"/>
            <w:tcBorders>
              <w:top w:val="single" w:color="auto" w:sz="4" w:space="0"/>
              <w:left w:val="nil"/>
              <w:bottom w:val="single" w:color="auto" w:sz="4" w:space="0"/>
              <w:right w:val="single" w:color="auto" w:sz="4" w:space="0"/>
            </w:tcBorders>
            <w:vAlign w:val="center"/>
          </w:tcPr>
          <w:p w14:paraId="673FF930">
            <w:pPr>
              <w:widowControl/>
              <w:spacing w:line="240" w:lineRule="auto"/>
              <w:ind w:firstLine="0" w:firstLineChars="0"/>
              <w:jc w:val="center"/>
              <w:rPr>
                <w:rFonts w:cs="Times New Roman"/>
                <w:kern w:val="0"/>
                <w:sz w:val="21"/>
              </w:rPr>
            </w:pPr>
            <w:r>
              <w:rPr>
                <w:rFonts w:cs="Times New Roman"/>
                <w:kern w:val="0"/>
                <w:sz w:val="21"/>
              </w:rPr>
              <w:t>6～0</w:t>
            </w:r>
          </w:p>
        </w:tc>
      </w:tr>
      <w:tr w14:paraId="73FBAF11">
        <w:tblPrEx>
          <w:tblCellMar>
            <w:top w:w="0" w:type="dxa"/>
            <w:left w:w="108" w:type="dxa"/>
            <w:bottom w:w="0" w:type="dxa"/>
            <w:right w:w="108" w:type="dxa"/>
          </w:tblCellMar>
        </w:tblPrEx>
        <w:trPr>
          <w:trHeight w:val="541" w:hRule="atLeast"/>
          <w:jc w:val="center"/>
        </w:trPr>
        <w:tc>
          <w:tcPr>
            <w:tcW w:w="706" w:type="dxa"/>
            <w:vMerge w:val="continue"/>
            <w:tcBorders>
              <w:left w:val="single" w:color="auto" w:sz="4" w:space="0"/>
              <w:right w:val="single" w:color="auto" w:sz="4" w:space="0"/>
            </w:tcBorders>
          </w:tcPr>
          <w:p w14:paraId="0B56479C">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5AD7E0A3">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1D555B60">
            <w:pPr>
              <w:widowControl/>
              <w:spacing w:line="240" w:lineRule="auto"/>
              <w:ind w:firstLine="0" w:firstLineChars="0"/>
              <w:jc w:val="left"/>
              <w:rPr>
                <w:rFonts w:cs="Times New Roman"/>
                <w:kern w:val="0"/>
                <w:sz w:val="21"/>
              </w:rPr>
            </w:pPr>
            <w:r>
              <w:rPr>
                <w:rFonts w:cs="Times New Roman"/>
                <w:kern w:val="0"/>
                <w:sz w:val="21"/>
              </w:rPr>
              <w:t>(9)水生生物完整性指数</w:t>
            </w:r>
          </w:p>
        </w:tc>
        <w:tc>
          <w:tcPr>
            <w:tcW w:w="913" w:type="dxa"/>
            <w:tcBorders>
              <w:top w:val="single" w:color="auto" w:sz="4" w:space="0"/>
              <w:left w:val="single" w:color="auto" w:sz="4" w:space="0"/>
              <w:bottom w:val="single" w:color="auto" w:sz="4" w:space="0"/>
              <w:right w:val="single" w:color="auto" w:sz="4" w:space="0"/>
            </w:tcBorders>
            <w:vAlign w:val="center"/>
          </w:tcPr>
          <w:p w14:paraId="21778FBB">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081B420">
            <w:pPr>
              <w:widowControl/>
              <w:spacing w:line="240" w:lineRule="auto"/>
              <w:ind w:firstLine="0" w:firstLineChars="0"/>
              <w:jc w:val="center"/>
              <w:rPr>
                <w:rFonts w:cs="Times New Roman"/>
                <w:kern w:val="0"/>
                <w:sz w:val="21"/>
              </w:rPr>
            </w:pPr>
            <w:r>
              <w:rPr>
                <w:rFonts w:cs="Times New Roman"/>
                <w:kern w:val="0"/>
                <w:sz w:val="21"/>
              </w:rPr>
              <w:t>100～85</w:t>
            </w:r>
          </w:p>
        </w:tc>
        <w:tc>
          <w:tcPr>
            <w:tcW w:w="1088" w:type="dxa"/>
            <w:tcBorders>
              <w:top w:val="single" w:color="auto" w:sz="4" w:space="0"/>
              <w:left w:val="nil"/>
              <w:bottom w:val="single" w:color="auto" w:sz="4" w:space="0"/>
              <w:right w:val="single" w:color="auto" w:sz="4" w:space="0"/>
            </w:tcBorders>
            <w:vAlign w:val="center"/>
          </w:tcPr>
          <w:p w14:paraId="6C6075F8">
            <w:pPr>
              <w:widowControl/>
              <w:spacing w:line="240" w:lineRule="auto"/>
              <w:ind w:firstLine="0" w:firstLineChars="0"/>
              <w:jc w:val="center"/>
              <w:rPr>
                <w:rFonts w:cs="Times New Roman"/>
                <w:kern w:val="0"/>
                <w:sz w:val="21"/>
              </w:rPr>
            </w:pPr>
            <w:r>
              <w:rPr>
                <w:rFonts w:cs="Times New Roman"/>
                <w:kern w:val="0"/>
                <w:sz w:val="21"/>
              </w:rPr>
              <w:t>85～70</w:t>
            </w:r>
          </w:p>
        </w:tc>
        <w:tc>
          <w:tcPr>
            <w:tcW w:w="1112" w:type="dxa"/>
            <w:tcBorders>
              <w:top w:val="single" w:color="auto" w:sz="4" w:space="0"/>
              <w:left w:val="nil"/>
              <w:bottom w:val="single" w:color="auto" w:sz="4" w:space="0"/>
              <w:right w:val="single" w:color="auto" w:sz="4" w:space="0"/>
            </w:tcBorders>
            <w:vAlign w:val="center"/>
          </w:tcPr>
          <w:p w14:paraId="43C5E050">
            <w:pPr>
              <w:widowControl/>
              <w:spacing w:line="240" w:lineRule="auto"/>
              <w:ind w:firstLine="0" w:firstLineChars="0"/>
              <w:jc w:val="center"/>
              <w:rPr>
                <w:rFonts w:cs="Times New Roman"/>
                <w:kern w:val="0"/>
                <w:sz w:val="21"/>
              </w:rPr>
            </w:pPr>
            <w:r>
              <w:rPr>
                <w:rFonts w:cs="Times New Roman"/>
                <w:kern w:val="0"/>
                <w:sz w:val="21"/>
              </w:rPr>
              <w:t>70～50</w:t>
            </w:r>
          </w:p>
        </w:tc>
        <w:tc>
          <w:tcPr>
            <w:tcW w:w="1088" w:type="dxa"/>
            <w:tcBorders>
              <w:top w:val="single" w:color="auto" w:sz="4" w:space="0"/>
              <w:left w:val="nil"/>
              <w:bottom w:val="single" w:color="auto" w:sz="4" w:space="0"/>
              <w:right w:val="single" w:color="auto" w:sz="4" w:space="0"/>
            </w:tcBorders>
            <w:vAlign w:val="center"/>
          </w:tcPr>
          <w:p w14:paraId="2E498BC8">
            <w:pPr>
              <w:widowControl/>
              <w:spacing w:line="240" w:lineRule="auto"/>
              <w:ind w:firstLine="0" w:firstLineChars="0"/>
              <w:jc w:val="center"/>
              <w:rPr>
                <w:rFonts w:cs="Times New Roman"/>
                <w:kern w:val="0"/>
                <w:sz w:val="21"/>
              </w:rPr>
            </w:pPr>
            <w:r>
              <w:rPr>
                <w:rFonts w:cs="Times New Roman"/>
                <w:kern w:val="0"/>
                <w:sz w:val="21"/>
              </w:rPr>
              <w:t>50～30</w:t>
            </w:r>
          </w:p>
        </w:tc>
        <w:tc>
          <w:tcPr>
            <w:tcW w:w="1070" w:type="dxa"/>
            <w:tcBorders>
              <w:top w:val="single" w:color="auto" w:sz="4" w:space="0"/>
              <w:left w:val="nil"/>
              <w:bottom w:val="single" w:color="auto" w:sz="4" w:space="0"/>
              <w:right w:val="single" w:color="auto" w:sz="4" w:space="0"/>
            </w:tcBorders>
            <w:vAlign w:val="center"/>
          </w:tcPr>
          <w:p w14:paraId="215C2D34">
            <w:pPr>
              <w:widowControl/>
              <w:spacing w:line="240" w:lineRule="auto"/>
              <w:ind w:firstLine="0" w:firstLineChars="0"/>
              <w:jc w:val="center"/>
              <w:rPr>
                <w:rFonts w:cs="Times New Roman"/>
                <w:kern w:val="0"/>
                <w:sz w:val="21"/>
              </w:rPr>
            </w:pPr>
            <w:r>
              <w:rPr>
                <w:rFonts w:cs="Times New Roman"/>
                <w:kern w:val="0"/>
                <w:sz w:val="21"/>
              </w:rPr>
              <w:t>30～0</w:t>
            </w:r>
          </w:p>
        </w:tc>
      </w:tr>
      <w:tr w14:paraId="3BC5C6EF">
        <w:tblPrEx>
          <w:tblCellMar>
            <w:top w:w="0" w:type="dxa"/>
            <w:left w:w="108" w:type="dxa"/>
            <w:bottom w:w="0" w:type="dxa"/>
            <w:right w:w="108" w:type="dxa"/>
          </w:tblCellMar>
        </w:tblPrEx>
        <w:trPr>
          <w:trHeight w:val="634" w:hRule="atLeast"/>
          <w:jc w:val="center"/>
        </w:trPr>
        <w:tc>
          <w:tcPr>
            <w:tcW w:w="706" w:type="dxa"/>
            <w:vMerge w:val="continue"/>
            <w:tcBorders>
              <w:left w:val="single" w:color="auto" w:sz="4" w:space="0"/>
              <w:right w:val="single" w:color="auto" w:sz="4" w:space="0"/>
            </w:tcBorders>
          </w:tcPr>
          <w:p w14:paraId="790E869D">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14360E20">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7113B56">
            <w:pPr>
              <w:widowControl/>
              <w:spacing w:line="240" w:lineRule="auto"/>
              <w:ind w:firstLine="0" w:firstLineChars="0"/>
              <w:jc w:val="left"/>
              <w:rPr>
                <w:rFonts w:cs="Times New Roman"/>
                <w:kern w:val="0"/>
                <w:sz w:val="21"/>
              </w:rPr>
            </w:pPr>
            <w:r>
              <w:rPr>
                <w:rFonts w:cs="Times New Roman"/>
                <w:kern w:val="0"/>
                <w:sz w:val="21"/>
              </w:rPr>
              <w:t>(10)水土流失治理程度</w:t>
            </w:r>
          </w:p>
        </w:tc>
        <w:tc>
          <w:tcPr>
            <w:tcW w:w="913" w:type="dxa"/>
            <w:tcBorders>
              <w:top w:val="single" w:color="auto" w:sz="4" w:space="0"/>
              <w:left w:val="single" w:color="auto" w:sz="4" w:space="0"/>
              <w:bottom w:val="single" w:color="auto" w:sz="4" w:space="0"/>
              <w:right w:val="single" w:color="auto" w:sz="4" w:space="0"/>
            </w:tcBorders>
            <w:vAlign w:val="center"/>
          </w:tcPr>
          <w:p w14:paraId="4C7D7987">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2C95EBB0">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7E835759">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single" w:color="auto" w:sz="4" w:space="0"/>
              <w:left w:val="nil"/>
              <w:bottom w:val="single" w:color="auto" w:sz="4" w:space="0"/>
              <w:right w:val="single" w:color="auto" w:sz="4" w:space="0"/>
            </w:tcBorders>
            <w:vAlign w:val="center"/>
          </w:tcPr>
          <w:p w14:paraId="43A5E84D">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single" w:color="auto" w:sz="4" w:space="0"/>
              <w:left w:val="nil"/>
              <w:bottom w:val="single" w:color="auto" w:sz="4" w:space="0"/>
              <w:right w:val="single" w:color="auto" w:sz="4" w:space="0"/>
            </w:tcBorders>
            <w:vAlign w:val="center"/>
          </w:tcPr>
          <w:p w14:paraId="178962F0">
            <w:pPr>
              <w:widowControl/>
              <w:spacing w:line="240" w:lineRule="auto"/>
              <w:ind w:firstLine="0" w:firstLineChars="0"/>
              <w:jc w:val="center"/>
              <w:rPr>
                <w:rFonts w:cs="Times New Roman"/>
                <w:kern w:val="0"/>
                <w:sz w:val="21"/>
              </w:rPr>
            </w:pPr>
            <w:r>
              <w:rPr>
                <w:rFonts w:cs="Times New Roman"/>
                <w:kern w:val="0"/>
                <w:sz w:val="21"/>
              </w:rPr>
              <w:t>60～50</w:t>
            </w:r>
          </w:p>
        </w:tc>
        <w:tc>
          <w:tcPr>
            <w:tcW w:w="1070" w:type="dxa"/>
            <w:tcBorders>
              <w:top w:val="single" w:color="auto" w:sz="4" w:space="0"/>
              <w:left w:val="nil"/>
              <w:bottom w:val="single" w:color="auto" w:sz="4" w:space="0"/>
              <w:right w:val="single" w:color="auto" w:sz="4" w:space="0"/>
            </w:tcBorders>
            <w:vAlign w:val="center"/>
          </w:tcPr>
          <w:p w14:paraId="27A6F294">
            <w:pPr>
              <w:widowControl/>
              <w:spacing w:line="240" w:lineRule="auto"/>
              <w:ind w:firstLine="0" w:firstLineChars="0"/>
              <w:jc w:val="center"/>
              <w:rPr>
                <w:rFonts w:cs="Times New Roman"/>
                <w:kern w:val="0"/>
                <w:sz w:val="21"/>
              </w:rPr>
            </w:pPr>
            <w:r>
              <w:rPr>
                <w:rFonts w:cs="Times New Roman"/>
                <w:kern w:val="0"/>
                <w:sz w:val="21"/>
              </w:rPr>
              <w:t>50～0</w:t>
            </w:r>
          </w:p>
        </w:tc>
      </w:tr>
      <w:tr w14:paraId="25BB845A">
        <w:tblPrEx>
          <w:tblCellMar>
            <w:top w:w="0" w:type="dxa"/>
            <w:left w:w="108" w:type="dxa"/>
            <w:bottom w:w="0" w:type="dxa"/>
            <w:right w:w="108" w:type="dxa"/>
          </w:tblCellMar>
        </w:tblPrEx>
        <w:trPr>
          <w:trHeight w:val="570" w:hRule="atLeast"/>
          <w:jc w:val="center"/>
        </w:trPr>
        <w:tc>
          <w:tcPr>
            <w:tcW w:w="706" w:type="dxa"/>
            <w:vMerge w:val="continue"/>
            <w:tcBorders>
              <w:left w:val="single" w:color="auto" w:sz="4" w:space="0"/>
              <w:right w:val="single" w:color="auto" w:sz="4" w:space="0"/>
            </w:tcBorders>
          </w:tcPr>
          <w:p w14:paraId="59EE05FC">
            <w:pPr>
              <w:widowControl/>
              <w:spacing w:line="240" w:lineRule="auto"/>
              <w:ind w:firstLine="0" w:firstLineChars="0"/>
              <w:jc w:val="center"/>
              <w:rPr>
                <w:rFonts w:cs="Times New Roman"/>
                <w:b/>
                <w:bCs/>
                <w:kern w:val="0"/>
                <w:sz w:val="21"/>
              </w:rPr>
            </w:pPr>
          </w:p>
        </w:tc>
        <w:tc>
          <w:tcPr>
            <w:tcW w:w="426" w:type="dxa"/>
            <w:vMerge w:val="restart"/>
            <w:tcBorders>
              <w:top w:val="single" w:color="auto" w:sz="4" w:space="0"/>
              <w:left w:val="single" w:color="auto" w:sz="4" w:space="0"/>
              <w:right w:val="single" w:color="auto" w:sz="4" w:space="0"/>
            </w:tcBorders>
            <w:vAlign w:val="center"/>
          </w:tcPr>
          <w:p w14:paraId="384D3393">
            <w:pPr>
              <w:widowControl/>
              <w:spacing w:line="240" w:lineRule="auto"/>
              <w:ind w:firstLine="0" w:firstLineChars="0"/>
              <w:jc w:val="center"/>
              <w:rPr>
                <w:rFonts w:cs="Times New Roman"/>
                <w:b/>
                <w:bCs/>
                <w:kern w:val="0"/>
                <w:sz w:val="21"/>
              </w:rPr>
            </w:pPr>
            <w:r>
              <w:rPr>
                <w:rFonts w:cs="Times New Roman"/>
                <w:b/>
                <w:bCs/>
                <w:kern w:val="0"/>
                <w:sz w:val="21"/>
              </w:rPr>
              <w:t>水环境</w:t>
            </w:r>
          </w:p>
        </w:tc>
        <w:tc>
          <w:tcPr>
            <w:tcW w:w="2502" w:type="dxa"/>
            <w:tcBorders>
              <w:top w:val="single" w:color="auto" w:sz="4" w:space="0"/>
              <w:left w:val="nil"/>
              <w:bottom w:val="single" w:color="auto" w:sz="4" w:space="0"/>
              <w:right w:val="single" w:color="auto" w:sz="4" w:space="0"/>
            </w:tcBorders>
            <w:vAlign w:val="center"/>
          </w:tcPr>
          <w:p w14:paraId="3A57D878">
            <w:pPr>
              <w:widowControl/>
              <w:spacing w:line="240" w:lineRule="auto"/>
              <w:ind w:firstLine="0" w:firstLineChars="0"/>
              <w:jc w:val="left"/>
              <w:rPr>
                <w:rFonts w:cs="Times New Roman"/>
                <w:kern w:val="0"/>
                <w:sz w:val="21"/>
              </w:rPr>
            </w:pPr>
            <w:r>
              <w:rPr>
                <w:rFonts w:cs="Times New Roman"/>
                <w:kern w:val="0"/>
                <w:sz w:val="21"/>
              </w:rPr>
              <w:t>(11)水功能区水质达标率</w:t>
            </w:r>
          </w:p>
        </w:tc>
        <w:tc>
          <w:tcPr>
            <w:tcW w:w="913" w:type="dxa"/>
            <w:tcBorders>
              <w:top w:val="single" w:color="auto" w:sz="4" w:space="0"/>
              <w:left w:val="single" w:color="auto" w:sz="4" w:space="0"/>
              <w:bottom w:val="single" w:color="auto" w:sz="4" w:space="0"/>
              <w:right w:val="single" w:color="auto" w:sz="4" w:space="0"/>
            </w:tcBorders>
            <w:vAlign w:val="center"/>
          </w:tcPr>
          <w:p w14:paraId="088E3DC1">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B712419">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5B004B63">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single" w:color="auto" w:sz="4" w:space="0"/>
              <w:left w:val="nil"/>
              <w:bottom w:val="single" w:color="auto" w:sz="4" w:space="0"/>
              <w:right w:val="single" w:color="auto" w:sz="4" w:space="0"/>
            </w:tcBorders>
            <w:vAlign w:val="center"/>
          </w:tcPr>
          <w:p w14:paraId="01D66D55">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single" w:color="auto" w:sz="4" w:space="0"/>
              <w:left w:val="nil"/>
              <w:bottom w:val="single" w:color="auto" w:sz="4" w:space="0"/>
              <w:right w:val="single" w:color="auto" w:sz="4" w:space="0"/>
            </w:tcBorders>
            <w:vAlign w:val="center"/>
          </w:tcPr>
          <w:p w14:paraId="6401E1C5">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single" w:color="auto" w:sz="4" w:space="0"/>
              <w:left w:val="nil"/>
              <w:bottom w:val="single" w:color="auto" w:sz="4" w:space="0"/>
              <w:right w:val="single" w:color="auto" w:sz="4" w:space="0"/>
            </w:tcBorders>
            <w:vAlign w:val="center"/>
          </w:tcPr>
          <w:p w14:paraId="32393B47">
            <w:pPr>
              <w:widowControl/>
              <w:spacing w:line="240" w:lineRule="auto"/>
              <w:ind w:firstLine="0" w:firstLineChars="0"/>
              <w:jc w:val="center"/>
              <w:rPr>
                <w:rFonts w:cs="Times New Roman"/>
                <w:kern w:val="0"/>
                <w:sz w:val="21"/>
              </w:rPr>
            </w:pPr>
            <w:r>
              <w:rPr>
                <w:rFonts w:cs="Times New Roman"/>
                <w:kern w:val="0"/>
                <w:sz w:val="21"/>
              </w:rPr>
              <w:t>40～0</w:t>
            </w:r>
          </w:p>
        </w:tc>
      </w:tr>
      <w:tr w14:paraId="7EB63691">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3AD47AC5">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17E1086E">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D2BA73B">
            <w:pPr>
              <w:widowControl/>
              <w:spacing w:line="240" w:lineRule="auto"/>
              <w:ind w:firstLine="0" w:firstLineChars="0"/>
              <w:jc w:val="left"/>
              <w:rPr>
                <w:rFonts w:cs="Times New Roman"/>
                <w:kern w:val="0"/>
                <w:sz w:val="21"/>
              </w:rPr>
            </w:pPr>
            <w:r>
              <w:rPr>
                <w:rFonts w:cs="Times New Roman"/>
                <w:kern w:val="0"/>
                <w:sz w:val="21"/>
              </w:rPr>
              <w:t>(12) 水质优良度*</w:t>
            </w:r>
          </w:p>
        </w:tc>
        <w:tc>
          <w:tcPr>
            <w:tcW w:w="913" w:type="dxa"/>
            <w:tcBorders>
              <w:top w:val="single" w:color="auto" w:sz="4" w:space="0"/>
              <w:left w:val="single" w:color="auto" w:sz="4" w:space="0"/>
              <w:bottom w:val="single" w:color="auto" w:sz="4" w:space="0"/>
              <w:right w:val="single" w:color="auto" w:sz="4" w:space="0"/>
            </w:tcBorders>
            <w:vAlign w:val="center"/>
          </w:tcPr>
          <w:p w14:paraId="3B02D1F0">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1F0E58B">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72D49BD6">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single" w:color="auto" w:sz="4" w:space="0"/>
              <w:left w:val="nil"/>
              <w:bottom w:val="single" w:color="auto" w:sz="4" w:space="0"/>
              <w:right w:val="single" w:color="auto" w:sz="4" w:space="0"/>
            </w:tcBorders>
            <w:vAlign w:val="center"/>
          </w:tcPr>
          <w:p w14:paraId="1910AC4F">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single" w:color="auto" w:sz="4" w:space="0"/>
              <w:left w:val="nil"/>
              <w:bottom w:val="single" w:color="auto" w:sz="4" w:space="0"/>
              <w:right w:val="single" w:color="auto" w:sz="4" w:space="0"/>
            </w:tcBorders>
            <w:vAlign w:val="center"/>
          </w:tcPr>
          <w:p w14:paraId="4304EB0A">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single" w:color="auto" w:sz="4" w:space="0"/>
              <w:left w:val="nil"/>
              <w:bottom w:val="single" w:color="auto" w:sz="4" w:space="0"/>
              <w:right w:val="single" w:color="auto" w:sz="4" w:space="0"/>
            </w:tcBorders>
            <w:vAlign w:val="center"/>
          </w:tcPr>
          <w:p w14:paraId="3F3749B8">
            <w:pPr>
              <w:widowControl/>
              <w:spacing w:line="240" w:lineRule="auto"/>
              <w:ind w:firstLine="0" w:firstLineChars="0"/>
              <w:jc w:val="center"/>
              <w:rPr>
                <w:rFonts w:cs="Times New Roman"/>
                <w:kern w:val="0"/>
                <w:sz w:val="21"/>
              </w:rPr>
            </w:pPr>
            <w:r>
              <w:rPr>
                <w:rFonts w:cs="Times New Roman"/>
                <w:kern w:val="0"/>
                <w:sz w:val="21"/>
              </w:rPr>
              <w:t>40～0</w:t>
            </w:r>
          </w:p>
        </w:tc>
      </w:tr>
      <w:tr w14:paraId="656F49E3">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3705AE34">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71248824">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6E297CF4">
            <w:pPr>
              <w:widowControl/>
              <w:spacing w:line="240" w:lineRule="auto"/>
              <w:ind w:firstLine="0" w:firstLineChars="0"/>
              <w:jc w:val="left"/>
              <w:rPr>
                <w:rFonts w:cs="Times New Roman"/>
                <w:kern w:val="0"/>
                <w:sz w:val="21"/>
              </w:rPr>
            </w:pPr>
            <w:r>
              <w:rPr>
                <w:rFonts w:cs="Times New Roman"/>
                <w:kern w:val="0"/>
                <w:sz w:val="21"/>
              </w:rPr>
              <w:t>(13)废污水达标处理率</w:t>
            </w:r>
          </w:p>
        </w:tc>
        <w:tc>
          <w:tcPr>
            <w:tcW w:w="913" w:type="dxa"/>
            <w:tcBorders>
              <w:top w:val="single" w:color="auto" w:sz="4" w:space="0"/>
              <w:left w:val="single" w:color="auto" w:sz="4" w:space="0"/>
              <w:bottom w:val="single" w:color="auto" w:sz="4" w:space="0"/>
              <w:right w:val="single" w:color="auto" w:sz="4" w:space="0"/>
            </w:tcBorders>
            <w:vAlign w:val="center"/>
          </w:tcPr>
          <w:p w14:paraId="674DB175">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EC8F510">
            <w:pPr>
              <w:widowControl/>
              <w:spacing w:line="240" w:lineRule="auto"/>
              <w:ind w:firstLine="0" w:firstLineChars="0"/>
              <w:jc w:val="center"/>
              <w:rPr>
                <w:rFonts w:cs="Times New Roman"/>
                <w:kern w:val="0"/>
                <w:sz w:val="21"/>
              </w:rPr>
            </w:pPr>
            <w:r>
              <w:rPr>
                <w:rFonts w:cs="Times New Roman"/>
                <w:kern w:val="0"/>
                <w:sz w:val="21"/>
              </w:rPr>
              <w:t>100～95，且全部达到一级A及以上排放标准</w:t>
            </w:r>
          </w:p>
        </w:tc>
        <w:tc>
          <w:tcPr>
            <w:tcW w:w="1088" w:type="dxa"/>
            <w:tcBorders>
              <w:top w:val="single" w:color="auto" w:sz="4" w:space="0"/>
              <w:left w:val="nil"/>
              <w:bottom w:val="single" w:color="auto" w:sz="4" w:space="0"/>
              <w:right w:val="single" w:color="auto" w:sz="4" w:space="0"/>
            </w:tcBorders>
            <w:vAlign w:val="center"/>
          </w:tcPr>
          <w:p w14:paraId="1B39BFEB">
            <w:pPr>
              <w:widowControl/>
              <w:spacing w:line="240" w:lineRule="auto"/>
              <w:ind w:firstLine="0" w:firstLineChars="0"/>
              <w:jc w:val="center"/>
              <w:rPr>
                <w:rFonts w:cs="Times New Roman"/>
                <w:kern w:val="0"/>
                <w:sz w:val="21"/>
              </w:rPr>
            </w:pPr>
            <w:r>
              <w:rPr>
                <w:rFonts w:cs="Times New Roman"/>
                <w:kern w:val="0"/>
                <w:sz w:val="21"/>
              </w:rPr>
              <w:t>100～95</w:t>
            </w:r>
          </w:p>
        </w:tc>
        <w:tc>
          <w:tcPr>
            <w:tcW w:w="1112" w:type="dxa"/>
            <w:tcBorders>
              <w:top w:val="single" w:color="auto" w:sz="4" w:space="0"/>
              <w:left w:val="nil"/>
              <w:bottom w:val="single" w:color="auto" w:sz="4" w:space="0"/>
              <w:right w:val="single" w:color="auto" w:sz="4" w:space="0"/>
            </w:tcBorders>
            <w:vAlign w:val="center"/>
          </w:tcPr>
          <w:p w14:paraId="78110D86">
            <w:pPr>
              <w:widowControl/>
              <w:spacing w:line="240" w:lineRule="auto"/>
              <w:ind w:firstLine="0" w:firstLineChars="0"/>
              <w:jc w:val="center"/>
              <w:rPr>
                <w:rFonts w:cs="Times New Roman"/>
                <w:kern w:val="0"/>
                <w:sz w:val="21"/>
              </w:rPr>
            </w:pPr>
            <w:r>
              <w:rPr>
                <w:rFonts w:cs="Times New Roman"/>
                <w:kern w:val="0"/>
                <w:sz w:val="21"/>
              </w:rPr>
              <w:t>95～90</w:t>
            </w:r>
          </w:p>
        </w:tc>
        <w:tc>
          <w:tcPr>
            <w:tcW w:w="1088" w:type="dxa"/>
            <w:tcBorders>
              <w:top w:val="single" w:color="auto" w:sz="4" w:space="0"/>
              <w:left w:val="nil"/>
              <w:bottom w:val="single" w:color="auto" w:sz="4" w:space="0"/>
              <w:right w:val="single" w:color="auto" w:sz="4" w:space="0"/>
            </w:tcBorders>
            <w:vAlign w:val="center"/>
          </w:tcPr>
          <w:p w14:paraId="2A157364">
            <w:pPr>
              <w:widowControl/>
              <w:spacing w:line="240" w:lineRule="auto"/>
              <w:ind w:firstLine="0" w:firstLineChars="0"/>
              <w:jc w:val="center"/>
              <w:rPr>
                <w:rFonts w:cs="Times New Roman"/>
                <w:kern w:val="0"/>
                <w:sz w:val="21"/>
              </w:rPr>
            </w:pPr>
            <w:r>
              <w:rPr>
                <w:rFonts w:cs="Times New Roman"/>
                <w:kern w:val="0"/>
                <w:sz w:val="21"/>
              </w:rPr>
              <w:t>90～85</w:t>
            </w:r>
          </w:p>
        </w:tc>
        <w:tc>
          <w:tcPr>
            <w:tcW w:w="1070" w:type="dxa"/>
            <w:tcBorders>
              <w:top w:val="single" w:color="auto" w:sz="4" w:space="0"/>
              <w:left w:val="nil"/>
              <w:bottom w:val="single" w:color="auto" w:sz="4" w:space="0"/>
              <w:right w:val="single" w:color="auto" w:sz="4" w:space="0"/>
            </w:tcBorders>
            <w:vAlign w:val="center"/>
          </w:tcPr>
          <w:p w14:paraId="3CDEB344">
            <w:pPr>
              <w:widowControl/>
              <w:spacing w:line="240" w:lineRule="auto"/>
              <w:ind w:firstLine="0" w:firstLineChars="0"/>
              <w:jc w:val="center"/>
              <w:rPr>
                <w:rFonts w:cs="Times New Roman"/>
                <w:kern w:val="0"/>
                <w:sz w:val="21"/>
              </w:rPr>
            </w:pPr>
            <w:r>
              <w:rPr>
                <w:rFonts w:cs="Times New Roman"/>
                <w:kern w:val="0"/>
                <w:sz w:val="21"/>
              </w:rPr>
              <w:t>85～0</w:t>
            </w:r>
          </w:p>
        </w:tc>
      </w:tr>
      <w:tr w14:paraId="268D5F5D">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199CCA43">
            <w:pPr>
              <w:widowControl/>
              <w:spacing w:line="240" w:lineRule="auto"/>
              <w:ind w:firstLine="0" w:firstLineChars="0"/>
              <w:jc w:val="left"/>
              <w:rPr>
                <w:rFonts w:cs="Times New Roman"/>
                <w:b/>
                <w:bCs/>
                <w:kern w:val="0"/>
                <w:sz w:val="21"/>
              </w:rPr>
            </w:pPr>
          </w:p>
        </w:tc>
        <w:tc>
          <w:tcPr>
            <w:tcW w:w="426" w:type="dxa"/>
            <w:vMerge w:val="restart"/>
            <w:tcBorders>
              <w:top w:val="single" w:color="auto" w:sz="4" w:space="0"/>
              <w:left w:val="single" w:color="auto" w:sz="4" w:space="0"/>
              <w:right w:val="single" w:color="auto" w:sz="4" w:space="0"/>
            </w:tcBorders>
            <w:vAlign w:val="center"/>
          </w:tcPr>
          <w:p w14:paraId="75148982">
            <w:pPr>
              <w:widowControl/>
              <w:spacing w:line="240" w:lineRule="auto"/>
              <w:ind w:firstLine="0" w:firstLineChars="0"/>
              <w:jc w:val="left"/>
              <w:rPr>
                <w:rFonts w:cs="Times New Roman"/>
                <w:b/>
                <w:bCs/>
                <w:kern w:val="0"/>
                <w:sz w:val="21"/>
              </w:rPr>
            </w:pPr>
            <w:r>
              <w:rPr>
                <w:rFonts w:cs="Times New Roman"/>
                <w:b/>
                <w:bCs/>
                <w:kern w:val="0"/>
                <w:sz w:val="21"/>
              </w:rPr>
              <w:t>水节约</w:t>
            </w:r>
          </w:p>
        </w:tc>
        <w:tc>
          <w:tcPr>
            <w:tcW w:w="2502" w:type="dxa"/>
            <w:tcBorders>
              <w:top w:val="single" w:color="auto" w:sz="4" w:space="0"/>
              <w:left w:val="nil"/>
              <w:bottom w:val="single" w:color="auto" w:sz="4" w:space="0"/>
              <w:right w:val="single" w:color="auto" w:sz="4" w:space="0"/>
            </w:tcBorders>
            <w:vAlign w:val="center"/>
          </w:tcPr>
          <w:p w14:paraId="0C50848D">
            <w:pPr>
              <w:widowControl/>
              <w:spacing w:line="240" w:lineRule="auto"/>
              <w:ind w:firstLine="0" w:firstLineChars="0"/>
              <w:jc w:val="left"/>
              <w:rPr>
                <w:rFonts w:cs="Times New Roman"/>
                <w:kern w:val="0"/>
                <w:sz w:val="21"/>
              </w:rPr>
            </w:pPr>
            <w:r>
              <w:rPr>
                <w:rFonts w:cs="Times New Roman"/>
                <w:kern w:val="0"/>
                <w:sz w:val="21"/>
              </w:rPr>
              <w:t>(14)万元工业增加值用水量相对值</w:t>
            </w:r>
          </w:p>
        </w:tc>
        <w:tc>
          <w:tcPr>
            <w:tcW w:w="913" w:type="dxa"/>
            <w:tcBorders>
              <w:top w:val="single" w:color="auto" w:sz="4" w:space="0"/>
              <w:left w:val="single" w:color="auto" w:sz="4" w:space="0"/>
              <w:bottom w:val="single" w:color="auto" w:sz="4" w:space="0"/>
              <w:right w:val="single" w:color="auto" w:sz="4" w:space="0"/>
            </w:tcBorders>
            <w:vAlign w:val="center"/>
          </w:tcPr>
          <w:p w14:paraId="0FF8D552">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C55D733">
            <w:pPr>
              <w:widowControl/>
              <w:spacing w:line="240" w:lineRule="auto"/>
              <w:ind w:firstLine="0" w:firstLineChars="0"/>
              <w:jc w:val="center"/>
              <w:rPr>
                <w:rFonts w:cs="Times New Roman"/>
                <w:kern w:val="0"/>
                <w:sz w:val="21"/>
              </w:rPr>
            </w:pPr>
            <w:r>
              <w:rPr>
                <w:rFonts w:cs="Times New Roman"/>
                <w:kern w:val="0"/>
                <w:sz w:val="21"/>
              </w:rPr>
              <w:t>0～25</w:t>
            </w:r>
          </w:p>
        </w:tc>
        <w:tc>
          <w:tcPr>
            <w:tcW w:w="1088" w:type="dxa"/>
            <w:tcBorders>
              <w:top w:val="single" w:color="auto" w:sz="4" w:space="0"/>
              <w:left w:val="nil"/>
              <w:bottom w:val="single" w:color="auto" w:sz="4" w:space="0"/>
              <w:right w:val="single" w:color="auto" w:sz="4" w:space="0"/>
            </w:tcBorders>
            <w:vAlign w:val="center"/>
          </w:tcPr>
          <w:p w14:paraId="478DB3EE">
            <w:pPr>
              <w:widowControl/>
              <w:spacing w:line="240" w:lineRule="auto"/>
              <w:ind w:firstLine="0" w:firstLineChars="0"/>
              <w:jc w:val="center"/>
              <w:rPr>
                <w:rFonts w:cs="Times New Roman"/>
                <w:kern w:val="0"/>
                <w:sz w:val="21"/>
              </w:rPr>
            </w:pPr>
            <w:r>
              <w:rPr>
                <w:rFonts w:cs="Times New Roman"/>
                <w:kern w:val="0"/>
                <w:sz w:val="21"/>
              </w:rPr>
              <w:t>25～50</w:t>
            </w:r>
          </w:p>
        </w:tc>
        <w:tc>
          <w:tcPr>
            <w:tcW w:w="1112" w:type="dxa"/>
            <w:tcBorders>
              <w:top w:val="single" w:color="auto" w:sz="4" w:space="0"/>
              <w:left w:val="nil"/>
              <w:bottom w:val="single" w:color="auto" w:sz="4" w:space="0"/>
              <w:right w:val="single" w:color="auto" w:sz="4" w:space="0"/>
            </w:tcBorders>
            <w:vAlign w:val="center"/>
          </w:tcPr>
          <w:p w14:paraId="4850202F">
            <w:pPr>
              <w:widowControl/>
              <w:spacing w:line="240" w:lineRule="auto"/>
              <w:ind w:firstLine="0" w:firstLineChars="0"/>
              <w:jc w:val="center"/>
              <w:rPr>
                <w:rFonts w:cs="Times New Roman"/>
                <w:kern w:val="0"/>
                <w:sz w:val="21"/>
              </w:rPr>
            </w:pPr>
            <w:r>
              <w:rPr>
                <w:rFonts w:cs="Times New Roman"/>
                <w:kern w:val="0"/>
                <w:sz w:val="21"/>
              </w:rPr>
              <w:t>50～100</w:t>
            </w:r>
          </w:p>
        </w:tc>
        <w:tc>
          <w:tcPr>
            <w:tcW w:w="1088" w:type="dxa"/>
            <w:tcBorders>
              <w:top w:val="single" w:color="auto" w:sz="4" w:space="0"/>
              <w:left w:val="nil"/>
              <w:bottom w:val="single" w:color="auto" w:sz="4" w:space="0"/>
              <w:right w:val="single" w:color="auto" w:sz="4" w:space="0"/>
            </w:tcBorders>
            <w:vAlign w:val="center"/>
          </w:tcPr>
          <w:p w14:paraId="1614BDEA">
            <w:pPr>
              <w:widowControl/>
              <w:spacing w:line="240" w:lineRule="auto"/>
              <w:ind w:firstLine="0" w:firstLineChars="0"/>
              <w:jc w:val="center"/>
              <w:rPr>
                <w:rFonts w:cs="Times New Roman"/>
                <w:kern w:val="0"/>
                <w:sz w:val="21"/>
              </w:rPr>
            </w:pPr>
            <w:r>
              <w:rPr>
                <w:rFonts w:cs="Times New Roman"/>
                <w:kern w:val="0"/>
                <w:sz w:val="21"/>
              </w:rPr>
              <w:t>100～150</w:t>
            </w:r>
          </w:p>
        </w:tc>
        <w:tc>
          <w:tcPr>
            <w:tcW w:w="1070" w:type="dxa"/>
            <w:tcBorders>
              <w:top w:val="single" w:color="auto" w:sz="4" w:space="0"/>
              <w:left w:val="nil"/>
              <w:bottom w:val="single" w:color="auto" w:sz="4" w:space="0"/>
              <w:right w:val="single" w:color="auto" w:sz="4" w:space="0"/>
            </w:tcBorders>
            <w:vAlign w:val="center"/>
          </w:tcPr>
          <w:p w14:paraId="3FD943CC">
            <w:pPr>
              <w:widowControl/>
              <w:spacing w:line="240" w:lineRule="auto"/>
              <w:ind w:firstLine="0" w:firstLineChars="0"/>
              <w:jc w:val="center"/>
              <w:rPr>
                <w:rFonts w:cs="Times New Roman"/>
                <w:kern w:val="0"/>
                <w:sz w:val="21"/>
              </w:rPr>
            </w:pPr>
            <w:r>
              <w:rPr>
                <w:rFonts w:cs="Times New Roman"/>
                <w:kern w:val="0"/>
                <w:sz w:val="21"/>
              </w:rPr>
              <w:t>&gt;150</w:t>
            </w:r>
          </w:p>
        </w:tc>
      </w:tr>
      <w:tr w14:paraId="598BBC78">
        <w:tblPrEx>
          <w:tblCellMar>
            <w:top w:w="0" w:type="dxa"/>
            <w:left w:w="108" w:type="dxa"/>
            <w:bottom w:w="0" w:type="dxa"/>
            <w:right w:w="108" w:type="dxa"/>
          </w:tblCellMar>
        </w:tblPrEx>
        <w:trPr>
          <w:trHeight w:val="632" w:hRule="atLeast"/>
          <w:jc w:val="center"/>
        </w:trPr>
        <w:tc>
          <w:tcPr>
            <w:tcW w:w="706" w:type="dxa"/>
            <w:vMerge w:val="continue"/>
            <w:tcBorders>
              <w:left w:val="single" w:color="auto" w:sz="4" w:space="0"/>
              <w:right w:val="single" w:color="auto" w:sz="4" w:space="0"/>
            </w:tcBorders>
          </w:tcPr>
          <w:p w14:paraId="1E4F562F">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31535430">
            <w:pPr>
              <w:widowControl/>
              <w:spacing w:line="240" w:lineRule="auto"/>
              <w:ind w:firstLine="0" w:firstLineChars="0"/>
              <w:jc w:val="left"/>
              <w:rPr>
                <w:rFonts w:cs="Times New Roman"/>
                <w:b/>
                <w:bCs/>
                <w:kern w:val="0"/>
                <w:sz w:val="21"/>
              </w:rPr>
            </w:pPr>
          </w:p>
        </w:tc>
        <w:tc>
          <w:tcPr>
            <w:tcW w:w="2502" w:type="dxa"/>
            <w:tcBorders>
              <w:top w:val="single" w:color="auto" w:sz="4" w:space="0"/>
              <w:left w:val="nil"/>
              <w:right w:val="single" w:color="auto" w:sz="4" w:space="0"/>
            </w:tcBorders>
            <w:vAlign w:val="center"/>
          </w:tcPr>
          <w:p w14:paraId="37AF731A">
            <w:pPr>
              <w:widowControl/>
              <w:spacing w:line="240" w:lineRule="auto"/>
              <w:ind w:firstLine="0" w:firstLineChars="0"/>
              <w:jc w:val="left"/>
              <w:rPr>
                <w:rFonts w:cs="Times New Roman"/>
                <w:kern w:val="0"/>
                <w:sz w:val="21"/>
              </w:rPr>
            </w:pPr>
            <w:r>
              <w:rPr>
                <w:rFonts w:cs="Times New Roman"/>
                <w:kern w:val="0"/>
                <w:sz w:val="21"/>
              </w:rPr>
              <w:t>(15)农田灌溉水有效利用系数</w:t>
            </w:r>
          </w:p>
        </w:tc>
        <w:tc>
          <w:tcPr>
            <w:tcW w:w="913" w:type="dxa"/>
            <w:tcBorders>
              <w:top w:val="single" w:color="auto" w:sz="4" w:space="0"/>
              <w:left w:val="single" w:color="auto" w:sz="4" w:space="0"/>
              <w:right w:val="single" w:color="auto" w:sz="4" w:space="0"/>
            </w:tcBorders>
            <w:vAlign w:val="center"/>
          </w:tcPr>
          <w:p w14:paraId="0B4C8E19">
            <w:pPr>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right w:val="single" w:color="auto" w:sz="4" w:space="0"/>
            </w:tcBorders>
            <w:vAlign w:val="center"/>
          </w:tcPr>
          <w:p w14:paraId="45ABF694">
            <w:pPr>
              <w:widowControl/>
              <w:spacing w:line="240" w:lineRule="auto"/>
              <w:ind w:firstLine="0" w:firstLineChars="0"/>
              <w:jc w:val="center"/>
              <w:rPr>
                <w:rFonts w:cs="Times New Roman"/>
                <w:kern w:val="0"/>
                <w:sz w:val="21"/>
              </w:rPr>
            </w:pPr>
            <w:r>
              <w:rPr>
                <w:rFonts w:cs="Times New Roman"/>
                <w:kern w:val="0"/>
                <w:sz w:val="21"/>
              </w:rPr>
              <w:t>1～0.7</w:t>
            </w:r>
          </w:p>
        </w:tc>
        <w:tc>
          <w:tcPr>
            <w:tcW w:w="1088" w:type="dxa"/>
            <w:tcBorders>
              <w:top w:val="single" w:color="auto" w:sz="4" w:space="0"/>
              <w:left w:val="nil"/>
              <w:right w:val="single" w:color="auto" w:sz="4" w:space="0"/>
            </w:tcBorders>
            <w:vAlign w:val="center"/>
          </w:tcPr>
          <w:p w14:paraId="0141C4DF">
            <w:pPr>
              <w:widowControl/>
              <w:spacing w:line="240" w:lineRule="auto"/>
              <w:ind w:firstLine="0" w:firstLineChars="0"/>
              <w:jc w:val="center"/>
              <w:rPr>
                <w:rFonts w:cs="Times New Roman"/>
                <w:kern w:val="0"/>
                <w:sz w:val="21"/>
              </w:rPr>
            </w:pPr>
            <w:r>
              <w:rPr>
                <w:rFonts w:cs="Times New Roman"/>
                <w:kern w:val="0"/>
                <w:sz w:val="21"/>
              </w:rPr>
              <w:t>0.7～0.6</w:t>
            </w:r>
          </w:p>
        </w:tc>
        <w:tc>
          <w:tcPr>
            <w:tcW w:w="1112" w:type="dxa"/>
            <w:tcBorders>
              <w:top w:val="single" w:color="auto" w:sz="4" w:space="0"/>
              <w:left w:val="nil"/>
              <w:right w:val="single" w:color="auto" w:sz="4" w:space="0"/>
            </w:tcBorders>
            <w:vAlign w:val="center"/>
          </w:tcPr>
          <w:p w14:paraId="2E893DE2">
            <w:pPr>
              <w:widowControl/>
              <w:spacing w:line="240" w:lineRule="auto"/>
              <w:ind w:firstLine="0" w:firstLineChars="0"/>
              <w:jc w:val="center"/>
              <w:rPr>
                <w:rFonts w:cs="Times New Roman"/>
                <w:kern w:val="0"/>
                <w:sz w:val="21"/>
              </w:rPr>
            </w:pPr>
            <w:r>
              <w:rPr>
                <w:rFonts w:cs="Times New Roman"/>
                <w:kern w:val="0"/>
                <w:sz w:val="21"/>
              </w:rPr>
              <w:t>0.6～0.5</w:t>
            </w:r>
          </w:p>
        </w:tc>
        <w:tc>
          <w:tcPr>
            <w:tcW w:w="1088" w:type="dxa"/>
            <w:tcBorders>
              <w:top w:val="single" w:color="auto" w:sz="4" w:space="0"/>
              <w:left w:val="nil"/>
              <w:right w:val="single" w:color="auto" w:sz="4" w:space="0"/>
            </w:tcBorders>
            <w:vAlign w:val="center"/>
          </w:tcPr>
          <w:p w14:paraId="36ECA9D9">
            <w:pPr>
              <w:widowControl/>
              <w:spacing w:line="240" w:lineRule="auto"/>
              <w:ind w:firstLine="0" w:firstLineChars="0"/>
              <w:jc w:val="center"/>
              <w:rPr>
                <w:rFonts w:cs="Times New Roman"/>
                <w:kern w:val="0"/>
                <w:sz w:val="21"/>
              </w:rPr>
            </w:pPr>
            <w:r>
              <w:rPr>
                <w:rFonts w:cs="Times New Roman"/>
                <w:kern w:val="0"/>
                <w:sz w:val="21"/>
              </w:rPr>
              <w:t>0.5～0.45</w:t>
            </w:r>
          </w:p>
        </w:tc>
        <w:tc>
          <w:tcPr>
            <w:tcW w:w="1070" w:type="dxa"/>
            <w:tcBorders>
              <w:top w:val="single" w:color="auto" w:sz="4" w:space="0"/>
              <w:left w:val="nil"/>
              <w:right w:val="single" w:color="auto" w:sz="4" w:space="0"/>
            </w:tcBorders>
            <w:vAlign w:val="center"/>
          </w:tcPr>
          <w:p w14:paraId="55D9F96A">
            <w:pPr>
              <w:spacing w:line="240" w:lineRule="auto"/>
              <w:ind w:firstLine="0" w:firstLineChars="0"/>
              <w:jc w:val="center"/>
              <w:rPr>
                <w:rFonts w:cs="Times New Roman"/>
                <w:kern w:val="0"/>
                <w:sz w:val="21"/>
              </w:rPr>
            </w:pPr>
            <w:r>
              <w:rPr>
                <w:rFonts w:cs="Times New Roman"/>
                <w:kern w:val="0"/>
                <w:sz w:val="21"/>
              </w:rPr>
              <w:t>0.45～0</w:t>
            </w:r>
          </w:p>
        </w:tc>
      </w:tr>
      <w:tr w14:paraId="2D3A6473">
        <w:tblPrEx>
          <w:tblCellMar>
            <w:top w:w="0" w:type="dxa"/>
            <w:left w:w="108" w:type="dxa"/>
            <w:bottom w:w="0" w:type="dxa"/>
            <w:right w:w="108" w:type="dxa"/>
          </w:tblCellMar>
        </w:tblPrEx>
        <w:trPr>
          <w:trHeight w:val="568" w:hRule="atLeast"/>
          <w:jc w:val="center"/>
        </w:trPr>
        <w:tc>
          <w:tcPr>
            <w:tcW w:w="706" w:type="dxa"/>
            <w:vMerge w:val="continue"/>
            <w:tcBorders>
              <w:left w:val="single" w:color="auto" w:sz="4" w:space="0"/>
              <w:right w:val="single" w:color="auto" w:sz="4" w:space="0"/>
            </w:tcBorders>
          </w:tcPr>
          <w:p w14:paraId="1675F40F">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49BC046A">
            <w:pPr>
              <w:widowControl/>
              <w:spacing w:line="240" w:lineRule="auto"/>
              <w:ind w:firstLine="0" w:firstLineChars="0"/>
              <w:jc w:val="left"/>
              <w:rPr>
                <w:rFonts w:cs="Times New Roman"/>
                <w:b/>
                <w:bCs/>
                <w:kern w:val="0"/>
                <w:sz w:val="21"/>
              </w:rPr>
            </w:pPr>
          </w:p>
        </w:tc>
        <w:tc>
          <w:tcPr>
            <w:tcW w:w="2502" w:type="dxa"/>
            <w:tcBorders>
              <w:top w:val="single" w:color="auto" w:sz="4" w:space="0"/>
              <w:left w:val="nil"/>
              <w:right w:val="single" w:color="auto" w:sz="4" w:space="0"/>
            </w:tcBorders>
            <w:vAlign w:val="center"/>
          </w:tcPr>
          <w:p w14:paraId="66FF792A">
            <w:pPr>
              <w:widowControl/>
              <w:spacing w:line="240" w:lineRule="auto"/>
              <w:ind w:firstLine="0" w:firstLineChars="0"/>
              <w:jc w:val="left"/>
              <w:rPr>
                <w:rFonts w:cs="Times New Roman"/>
                <w:kern w:val="0"/>
                <w:sz w:val="21"/>
              </w:rPr>
            </w:pPr>
            <w:r>
              <w:rPr>
                <w:rFonts w:cs="Times New Roman"/>
                <w:kern w:val="0"/>
                <w:sz w:val="21"/>
              </w:rPr>
              <w:t>(16)生活节水器具普及率</w:t>
            </w:r>
          </w:p>
        </w:tc>
        <w:tc>
          <w:tcPr>
            <w:tcW w:w="913" w:type="dxa"/>
            <w:tcBorders>
              <w:top w:val="single" w:color="auto" w:sz="4" w:space="0"/>
              <w:left w:val="single" w:color="auto" w:sz="4" w:space="0"/>
              <w:right w:val="single" w:color="auto" w:sz="4" w:space="0"/>
            </w:tcBorders>
            <w:vAlign w:val="center"/>
          </w:tcPr>
          <w:p w14:paraId="1E3D29B3">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right w:val="single" w:color="auto" w:sz="4" w:space="0"/>
            </w:tcBorders>
            <w:vAlign w:val="center"/>
          </w:tcPr>
          <w:p w14:paraId="61D6C2A5">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right w:val="single" w:color="auto" w:sz="4" w:space="0"/>
            </w:tcBorders>
            <w:vAlign w:val="center"/>
          </w:tcPr>
          <w:p w14:paraId="6BEE5D25">
            <w:pPr>
              <w:widowControl/>
              <w:spacing w:line="240" w:lineRule="auto"/>
              <w:ind w:firstLine="0" w:firstLineChars="0"/>
              <w:jc w:val="center"/>
              <w:rPr>
                <w:rFonts w:cs="Times New Roman"/>
                <w:kern w:val="0"/>
                <w:sz w:val="21"/>
              </w:rPr>
            </w:pPr>
            <w:r>
              <w:rPr>
                <w:rFonts w:cs="Times New Roman"/>
                <w:kern w:val="0"/>
                <w:sz w:val="21"/>
              </w:rPr>
              <w:t>90～80</w:t>
            </w:r>
          </w:p>
        </w:tc>
        <w:tc>
          <w:tcPr>
            <w:tcW w:w="1112" w:type="dxa"/>
            <w:tcBorders>
              <w:top w:val="single" w:color="auto" w:sz="4" w:space="0"/>
              <w:left w:val="nil"/>
              <w:right w:val="single" w:color="auto" w:sz="4" w:space="0"/>
            </w:tcBorders>
            <w:vAlign w:val="center"/>
          </w:tcPr>
          <w:p w14:paraId="0940833A">
            <w:pPr>
              <w:widowControl/>
              <w:spacing w:line="240" w:lineRule="auto"/>
              <w:ind w:firstLine="0" w:firstLineChars="0"/>
              <w:jc w:val="center"/>
              <w:rPr>
                <w:rFonts w:cs="Times New Roman"/>
                <w:kern w:val="0"/>
                <w:sz w:val="21"/>
              </w:rPr>
            </w:pPr>
            <w:r>
              <w:rPr>
                <w:rFonts w:cs="Times New Roman"/>
                <w:kern w:val="0"/>
                <w:sz w:val="21"/>
              </w:rPr>
              <w:t>80～70</w:t>
            </w:r>
          </w:p>
        </w:tc>
        <w:tc>
          <w:tcPr>
            <w:tcW w:w="1088" w:type="dxa"/>
            <w:tcBorders>
              <w:top w:val="single" w:color="auto" w:sz="4" w:space="0"/>
              <w:left w:val="nil"/>
              <w:right w:val="single" w:color="auto" w:sz="4" w:space="0"/>
            </w:tcBorders>
            <w:vAlign w:val="center"/>
          </w:tcPr>
          <w:p w14:paraId="71853837">
            <w:pPr>
              <w:widowControl/>
              <w:spacing w:line="240" w:lineRule="auto"/>
              <w:ind w:firstLine="0" w:firstLineChars="0"/>
              <w:jc w:val="center"/>
              <w:rPr>
                <w:rFonts w:cs="Times New Roman"/>
                <w:kern w:val="0"/>
                <w:sz w:val="21"/>
              </w:rPr>
            </w:pPr>
            <w:r>
              <w:rPr>
                <w:rFonts w:cs="Times New Roman"/>
                <w:kern w:val="0"/>
                <w:sz w:val="21"/>
              </w:rPr>
              <w:t>70～60</w:t>
            </w:r>
          </w:p>
        </w:tc>
        <w:tc>
          <w:tcPr>
            <w:tcW w:w="1070" w:type="dxa"/>
            <w:tcBorders>
              <w:top w:val="single" w:color="auto" w:sz="4" w:space="0"/>
              <w:left w:val="nil"/>
              <w:right w:val="single" w:color="auto" w:sz="4" w:space="0"/>
            </w:tcBorders>
            <w:vAlign w:val="center"/>
          </w:tcPr>
          <w:p w14:paraId="66DA7B42">
            <w:pPr>
              <w:widowControl/>
              <w:spacing w:line="240" w:lineRule="auto"/>
              <w:ind w:firstLine="0" w:firstLineChars="0"/>
              <w:jc w:val="center"/>
              <w:rPr>
                <w:rFonts w:cs="Times New Roman"/>
                <w:kern w:val="0"/>
                <w:sz w:val="21"/>
              </w:rPr>
            </w:pPr>
            <w:r>
              <w:rPr>
                <w:rFonts w:cs="Times New Roman"/>
                <w:kern w:val="0"/>
                <w:sz w:val="21"/>
              </w:rPr>
              <w:t>60～0</w:t>
            </w:r>
          </w:p>
        </w:tc>
      </w:tr>
      <w:tr w14:paraId="193E161F">
        <w:tblPrEx>
          <w:tblCellMar>
            <w:top w:w="0" w:type="dxa"/>
            <w:left w:w="108" w:type="dxa"/>
            <w:bottom w:w="0" w:type="dxa"/>
            <w:right w:w="108" w:type="dxa"/>
          </w:tblCellMar>
        </w:tblPrEx>
        <w:trPr>
          <w:trHeight w:val="660" w:hRule="atLeast"/>
          <w:jc w:val="center"/>
        </w:trPr>
        <w:tc>
          <w:tcPr>
            <w:tcW w:w="706" w:type="dxa"/>
            <w:vMerge w:val="continue"/>
            <w:tcBorders>
              <w:left w:val="single" w:color="auto" w:sz="4" w:space="0"/>
              <w:right w:val="single" w:color="auto" w:sz="4" w:space="0"/>
            </w:tcBorders>
          </w:tcPr>
          <w:p w14:paraId="55F333AA">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3BA714F9">
            <w:pPr>
              <w:widowControl/>
              <w:spacing w:line="240" w:lineRule="auto"/>
              <w:ind w:firstLine="0" w:firstLineChars="0"/>
              <w:jc w:val="left"/>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7487E503">
            <w:pPr>
              <w:widowControl/>
              <w:spacing w:line="240" w:lineRule="auto"/>
              <w:ind w:firstLine="0" w:firstLineChars="0"/>
              <w:jc w:val="left"/>
              <w:rPr>
                <w:rFonts w:cs="Times New Roman"/>
                <w:kern w:val="0"/>
                <w:sz w:val="21"/>
              </w:rPr>
            </w:pPr>
            <w:r>
              <w:rPr>
                <w:rFonts w:cs="Times New Roman"/>
                <w:kern w:val="0"/>
                <w:sz w:val="21"/>
              </w:rPr>
              <w:t>(17)公共供水管网漏损率</w:t>
            </w:r>
          </w:p>
        </w:tc>
        <w:tc>
          <w:tcPr>
            <w:tcW w:w="913" w:type="dxa"/>
            <w:tcBorders>
              <w:top w:val="single" w:color="auto" w:sz="4" w:space="0"/>
              <w:left w:val="single" w:color="auto" w:sz="4" w:space="0"/>
              <w:bottom w:val="single" w:color="auto" w:sz="4" w:space="0"/>
              <w:right w:val="single" w:color="auto" w:sz="4" w:space="0"/>
            </w:tcBorders>
            <w:vAlign w:val="center"/>
          </w:tcPr>
          <w:p w14:paraId="30A21D52">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288C3A0B">
            <w:pPr>
              <w:widowControl/>
              <w:spacing w:line="240" w:lineRule="auto"/>
              <w:ind w:firstLine="0" w:firstLineChars="0"/>
              <w:jc w:val="center"/>
              <w:rPr>
                <w:rFonts w:cs="Times New Roman"/>
                <w:kern w:val="0"/>
                <w:sz w:val="21"/>
              </w:rPr>
            </w:pPr>
            <w:r>
              <w:rPr>
                <w:rFonts w:cs="Times New Roman"/>
                <w:kern w:val="0"/>
                <w:sz w:val="21"/>
              </w:rPr>
              <w:t>0～8</w:t>
            </w:r>
          </w:p>
        </w:tc>
        <w:tc>
          <w:tcPr>
            <w:tcW w:w="1088" w:type="dxa"/>
            <w:tcBorders>
              <w:top w:val="single" w:color="auto" w:sz="4" w:space="0"/>
              <w:left w:val="nil"/>
              <w:bottom w:val="single" w:color="auto" w:sz="4" w:space="0"/>
              <w:right w:val="single" w:color="auto" w:sz="4" w:space="0"/>
            </w:tcBorders>
            <w:vAlign w:val="center"/>
          </w:tcPr>
          <w:p w14:paraId="503534F0">
            <w:pPr>
              <w:widowControl/>
              <w:spacing w:line="240" w:lineRule="auto"/>
              <w:ind w:firstLine="0" w:firstLineChars="0"/>
              <w:jc w:val="center"/>
              <w:rPr>
                <w:rFonts w:cs="Times New Roman"/>
                <w:kern w:val="0"/>
                <w:sz w:val="21"/>
              </w:rPr>
            </w:pPr>
            <w:r>
              <w:rPr>
                <w:rFonts w:cs="Times New Roman"/>
                <w:kern w:val="0"/>
                <w:sz w:val="21"/>
              </w:rPr>
              <w:t>8～12</w:t>
            </w:r>
          </w:p>
        </w:tc>
        <w:tc>
          <w:tcPr>
            <w:tcW w:w="1112" w:type="dxa"/>
            <w:tcBorders>
              <w:top w:val="single" w:color="auto" w:sz="4" w:space="0"/>
              <w:left w:val="nil"/>
              <w:bottom w:val="single" w:color="auto" w:sz="4" w:space="0"/>
              <w:right w:val="single" w:color="auto" w:sz="4" w:space="0"/>
            </w:tcBorders>
            <w:vAlign w:val="center"/>
          </w:tcPr>
          <w:p w14:paraId="36BCC42C">
            <w:pPr>
              <w:widowControl/>
              <w:spacing w:line="240" w:lineRule="auto"/>
              <w:ind w:firstLine="0" w:firstLineChars="0"/>
              <w:jc w:val="center"/>
              <w:rPr>
                <w:rFonts w:cs="Times New Roman"/>
                <w:kern w:val="0"/>
                <w:sz w:val="21"/>
              </w:rPr>
            </w:pPr>
            <w:r>
              <w:rPr>
                <w:rFonts w:cs="Times New Roman"/>
                <w:kern w:val="0"/>
                <w:sz w:val="21"/>
              </w:rPr>
              <w:t>12～18</w:t>
            </w:r>
          </w:p>
        </w:tc>
        <w:tc>
          <w:tcPr>
            <w:tcW w:w="1088" w:type="dxa"/>
            <w:tcBorders>
              <w:top w:val="single" w:color="auto" w:sz="4" w:space="0"/>
              <w:left w:val="nil"/>
              <w:bottom w:val="single" w:color="auto" w:sz="4" w:space="0"/>
              <w:right w:val="single" w:color="auto" w:sz="4" w:space="0"/>
            </w:tcBorders>
            <w:vAlign w:val="center"/>
          </w:tcPr>
          <w:p w14:paraId="727D586F">
            <w:pPr>
              <w:widowControl/>
              <w:spacing w:line="240" w:lineRule="auto"/>
              <w:ind w:firstLine="0" w:firstLineChars="0"/>
              <w:jc w:val="center"/>
              <w:rPr>
                <w:rFonts w:cs="Times New Roman"/>
                <w:kern w:val="0"/>
                <w:sz w:val="21"/>
              </w:rPr>
            </w:pPr>
            <w:r>
              <w:rPr>
                <w:rFonts w:cs="Times New Roman"/>
                <w:kern w:val="0"/>
                <w:sz w:val="21"/>
              </w:rPr>
              <w:t>18～25</w:t>
            </w:r>
          </w:p>
        </w:tc>
        <w:tc>
          <w:tcPr>
            <w:tcW w:w="1070" w:type="dxa"/>
            <w:tcBorders>
              <w:top w:val="single" w:color="auto" w:sz="4" w:space="0"/>
              <w:left w:val="nil"/>
              <w:bottom w:val="single" w:color="auto" w:sz="4" w:space="0"/>
              <w:right w:val="single" w:color="auto" w:sz="4" w:space="0"/>
            </w:tcBorders>
            <w:vAlign w:val="center"/>
          </w:tcPr>
          <w:p w14:paraId="6A5FDEAC">
            <w:pPr>
              <w:widowControl/>
              <w:spacing w:line="240" w:lineRule="auto"/>
              <w:ind w:firstLine="0" w:firstLineChars="0"/>
              <w:jc w:val="center"/>
              <w:rPr>
                <w:rFonts w:cs="Times New Roman"/>
                <w:kern w:val="0"/>
                <w:sz w:val="21"/>
              </w:rPr>
            </w:pPr>
            <w:r>
              <w:rPr>
                <w:rFonts w:cs="Times New Roman"/>
                <w:kern w:val="0"/>
                <w:sz w:val="21"/>
              </w:rPr>
              <w:t>25～100</w:t>
            </w:r>
          </w:p>
        </w:tc>
      </w:tr>
      <w:tr w14:paraId="35E06947">
        <w:tblPrEx>
          <w:tblCellMar>
            <w:top w:w="0" w:type="dxa"/>
            <w:left w:w="108" w:type="dxa"/>
            <w:bottom w:w="0" w:type="dxa"/>
            <w:right w:w="108" w:type="dxa"/>
          </w:tblCellMar>
        </w:tblPrEx>
        <w:trPr>
          <w:trHeight w:val="660" w:hRule="atLeast"/>
          <w:jc w:val="center"/>
        </w:trPr>
        <w:tc>
          <w:tcPr>
            <w:tcW w:w="706" w:type="dxa"/>
            <w:vMerge w:val="continue"/>
            <w:tcBorders>
              <w:left w:val="single" w:color="auto" w:sz="4" w:space="0"/>
              <w:right w:val="single" w:color="auto" w:sz="4" w:space="0"/>
            </w:tcBorders>
          </w:tcPr>
          <w:p w14:paraId="60B2476E">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69B10397">
            <w:pPr>
              <w:widowControl/>
              <w:spacing w:line="240" w:lineRule="auto"/>
              <w:ind w:firstLine="0" w:firstLineChars="0"/>
              <w:jc w:val="left"/>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6EB4D21E">
            <w:pPr>
              <w:widowControl/>
              <w:spacing w:line="240" w:lineRule="auto"/>
              <w:ind w:firstLine="0" w:firstLineChars="0"/>
              <w:jc w:val="left"/>
              <w:rPr>
                <w:rFonts w:cs="Times New Roman"/>
                <w:kern w:val="0"/>
                <w:sz w:val="21"/>
              </w:rPr>
            </w:pPr>
            <w:r>
              <w:rPr>
                <w:rFonts w:hint="eastAsia"/>
                <w:kern w:val="0"/>
                <w:sz w:val="21"/>
              </w:rPr>
              <w:t>（18）工业用水重复利用率</w:t>
            </w:r>
          </w:p>
        </w:tc>
        <w:tc>
          <w:tcPr>
            <w:tcW w:w="913" w:type="dxa"/>
            <w:tcBorders>
              <w:top w:val="single" w:color="auto" w:sz="4" w:space="0"/>
              <w:left w:val="single" w:color="auto" w:sz="4" w:space="0"/>
              <w:bottom w:val="single" w:color="auto" w:sz="4" w:space="0"/>
              <w:right w:val="single" w:color="auto" w:sz="4" w:space="0"/>
            </w:tcBorders>
            <w:vAlign w:val="center"/>
          </w:tcPr>
          <w:p w14:paraId="1A78B46F">
            <w:pPr>
              <w:widowControl/>
              <w:spacing w:line="240" w:lineRule="auto"/>
              <w:ind w:firstLine="0" w:firstLineChars="0"/>
              <w:jc w:val="center"/>
              <w:rPr>
                <w:rFonts w:cs="Times New Roman"/>
                <w:kern w:val="0"/>
                <w:sz w:val="21"/>
              </w:rPr>
            </w:pPr>
            <w:r>
              <w:rPr>
                <w:rFonts w:hint="eastAsia"/>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656D2E8">
            <w:pPr>
              <w:widowControl/>
              <w:spacing w:line="240" w:lineRule="auto"/>
              <w:ind w:firstLine="0" w:firstLineChars="0"/>
              <w:jc w:val="center"/>
              <w:rPr>
                <w:rFonts w:cs="Times New Roman"/>
                <w:kern w:val="0"/>
                <w:sz w:val="21"/>
              </w:rPr>
            </w:pPr>
            <w:r>
              <w:rPr>
                <w:rFonts w:hint="eastAsia"/>
                <w:kern w:val="0"/>
                <w:sz w:val="21"/>
              </w:rPr>
              <w:t>10</w:t>
            </w:r>
            <w:r>
              <w:rPr>
                <w:kern w:val="0"/>
                <w:sz w:val="21"/>
              </w:rPr>
              <w:t>0</w:t>
            </w:r>
            <w:r>
              <w:rPr>
                <w:rFonts w:hint="eastAsia"/>
                <w:kern w:val="0"/>
                <w:sz w:val="21"/>
              </w:rPr>
              <w:t>～90</w:t>
            </w:r>
          </w:p>
        </w:tc>
        <w:tc>
          <w:tcPr>
            <w:tcW w:w="1088" w:type="dxa"/>
            <w:tcBorders>
              <w:top w:val="single" w:color="auto" w:sz="4" w:space="0"/>
              <w:left w:val="nil"/>
              <w:bottom w:val="single" w:color="auto" w:sz="4" w:space="0"/>
              <w:right w:val="single" w:color="auto" w:sz="4" w:space="0"/>
            </w:tcBorders>
            <w:vAlign w:val="center"/>
          </w:tcPr>
          <w:p w14:paraId="605B9F6E">
            <w:pPr>
              <w:widowControl/>
              <w:spacing w:line="240" w:lineRule="auto"/>
              <w:ind w:firstLine="0" w:firstLineChars="0"/>
              <w:jc w:val="center"/>
              <w:rPr>
                <w:rFonts w:cs="Times New Roman"/>
                <w:kern w:val="0"/>
                <w:sz w:val="21"/>
              </w:rPr>
            </w:pPr>
            <w:r>
              <w:rPr>
                <w:rFonts w:hint="eastAsia"/>
                <w:kern w:val="0"/>
                <w:sz w:val="21"/>
              </w:rPr>
              <w:t>90～8</w:t>
            </w:r>
            <w:r>
              <w:rPr>
                <w:kern w:val="0"/>
                <w:sz w:val="21"/>
              </w:rPr>
              <w:t>0</w:t>
            </w:r>
          </w:p>
        </w:tc>
        <w:tc>
          <w:tcPr>
            <w:tcW w:w="1112" w:type="dxa"/>
            <w:tcBorders>
              <w:top w:val="single" w:color="auto" w:sz="4" w:space="0"/>
              <w:left w:val="nil"/>
              <w:bottom w:val="single" w:color="auto" w:sz="4" w:space="0"/>
              <w:right w:val="single" w:color="auto" w:sz="4" w:space="0"/>
            </w:tcBorders>
            <w:vAlign w:val="center"/>
          </w:tcPr>
          <w:p w14:paraId="2F009D99">
            <w:pPr>
              <w:widowControl/>
              <w:spacing w:line="240" w:lineRule="auto"/>
              <w:ind w:firstLine="0" w:firstLineChars="0"/>
              <w:jc w:val="center"/>
              <w:rPr>
                <w:rFonts w:cs="Times New Roman"/>
                <w:kern w:val="0"/>
                <w:sz w:val="21"/>
              </w:rPr>
            </w:pPr>
            <w:r>
              <w:rPr>
                <w:rFonts w:hint="eastAsia"/>
                <w:kern w:val="0"/>
                <w:sz w:val="21"/>
              </w:rPr>
              <w:t>8</w:t>
            </w:r>
            <w:r>
              <w:rPr>
                <w:kern w:val="0"/>
                <w:sz w:val="21"/>
              </w:rPr>
              <w:t>0</w:t>
            </w:r>
            <w:r>
              <w:rPr>
                <w:rFonts w:hint="eastAsia"/>
                <w:kern w:val="0"/>
                <w:sz w:val="21"/>
              </w:rPr>
              <w:t>～6</w:t>
            </w:r>
            <w:r>
              <w:rPr>
                <w:kern w:val="0"/>
                <w:sz w:val="21"/>
              </w:rPr>
              <w:t>0</w:t>
            </w:r>
          </w:p>
        </w:tc>
        <w:tc>
          <w:tcPr>
            <w:tcW w:w="1088" w:type="dxa"/>
            <w:tcBorders>
              <w:top w:val="single" w:color="auto" w:sz="4" w:space="0"/>
              <w:left w:val="nil"/>
              <w:bottom w:val="single" w:color="auto" w:sz="4" w:space="0"/>
              <w:right w:val="single" w:color="auto" w:sz="4" w:space="0"/>
            </w:tcBorders>
            <w:vAlign w:val="center"/>
          </w:tcPr>
          <w:p w14:paraId="029C9EFE">
            <w:pPr>
              <w:widowControl/>
              <w:spacing w:line="240" w:lineRule="auto"/>
              <w:ind w:firstLine="0" w:firstLineChars="0"/>
              <w:jc w:val="center"/>
              <w:rPr>
                <w:rFonts w:cs="Times New Roman"/>
                <w:kern w:val="0"/>
                <w:sz w:val="21"/>
              </w:rPr>
            </w:pPr>
            <w:r>
              <w:rPr>
                <w:rFonts w:hint="eastAsia"/>
                <w:kern w:val="0"/>
                <w:sz w:val="21"/>
              </w:rPr>
              <w:t>60～4</w:t>
            </w:r>
            <w:r>
              <w:rPr>
                <w:kern w:val="0"/>
                <w:sz w:val="21"/>
              </w:rPr>
              <w:t>0</w:t>
            </w:r>
          </w:p>
        </w:tc>
        <w:tc>
          <w:tcPr>
            <w:tcW w:w="1070" w:type="dxa"/>
            <w:tcBorders>
              <w:top w:val="single" w:color="auto" w:sz="4" w:space="0"/>
              <w:left w:val="nil"/>
              <w:bottom w:val="single" w:color="auto" w:sz="4" w:space="0"/>
              <w:right w:val="single" w:color="auto" w:sz="4" w:space="0"/>
            </w:tcBorders>
            <w:vAlign w:val="center"/>
          </w:tcPr>
          <w:p w14:paraId="6A8C025A">
            <w:pPr>
              <w:widowControl/>
              <w:spacing w:line="240" w:lineRule="auto"/>
              <w:ind w:firstLine="0" w:firstLineChars="0"/>
              <w:jc w:val="center"/>
              <w:rPr>
                <w:rFonts w:cs="Times New Roman"/>
                <w:kern w:val="0"/>
                <w:sz w:val="21"/>
              </w:rPr>
            </w:pPr>
            <w:r>
              <w:rPr>
                <w:rFonts w:hint="eastAsia"/>
                <w:kern w:val="0"/>
                <w:sz w:val="21"/>
              </w:rPr>
              <w:t>40～</w:t>
            </w:r>
            <w:r>
              <w:rPr>
                <w:kern w:val="0"/>
                <w:sz w:val="21"/>
              </w:rPr>
              <w:t>0</w:t>
            </w:r>
          </w:p>
        </w:tc>
      </w:tr>
      <w:tr w14:paraId="6EB8203C">
        <w:tblPrEx>
          <w:tblCellMar>
            <w:top w:w="0" w:type="dxa"/>
            <w:left w:w="108" w:type="dxa"/>
            <w:bottom w:w="0" w:type="dxa"/>
            <w:right w:w="108" w:type="dxa"/>
          </w:tblCellMar>
        </w:tblPrEx>
        <w:trPr>
          <w:trHeight w:val="660" w:hRule="atLeast"/>
          <w:jc w:val="center"/>
        </w:trPr>
        <w:tc>
          <w:tcPr>
            <w:tcW w:w="706" w:type="dxa"/>
            <w:vMerge w:val="continue"/>
            <w:tcBorders>
              <w:left w:val="single" w:color="auto" w:sz="4" w:space="0"/>
              <w:bottom w:val="single" w:color="auto" w:sz="4" w:space="0"/>
              <w:right w:val="single" w:color="auto" w:sz="4" w:space="0"/>
            </w:tcBorders>
          </w:tcPr>
          <w:p w14:paraId="7438ED49">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bottom w:val="single" w:color="auto" w:sz="4" w:space="0"/>
              <w:right w:val="single" w:color="auto" w:sz="4" w:space="0"/>
            </w:tcBorders>
            <w:vAlign w:val="center"/>
          </w:tcPr>
          <w:p w14:paraId="50D0C3CF">
            <w:pPr>
              <w:widowControl/>
              <w:spacing w:line="240" w:lineRule="auto"/>
              <w:ind w:firstLine="0" w:firstLineChars="0"/>
              <w:jc w:val="left"/>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5331340E">
            <w:pPr>
              <w:widowControl/>
              <w:spacing w:line="240" w:lineRule="auto"/>
              <w:ind w:firstLine="0" w:firstLineChars="0"/>
              <w:jc w:val="left"/>
              <w:rPr>
                <w:rFonts w:cs="Times New Roman"/>
                <w:kern w:val="0"/>
                <w:sz w:val="21"/>
              </w:rPr>
            </w:pPr>
            <w:r>
              <w:rPr>
                <w:rFonts w:hint="eastAsia"/>
                <w:kern w:val="0"/>
                <w:sz w:val="21"/>
              </w:rPr>
              <w:t>（19）非常规水资源利用率</w:t>
            </w:r>
          </w:p>
        </w:tc>
        <w:tc>
          <w:tcPr>
            <w:tcW w:w="913" w:type="dxa"/>
            <w:tcBorders>
              <w:top w:val="single" w:color="auto" w:sz="4" w:space="0"/>
              <w:left w:val="single" w:color="auto" w:sz="4" w:space="0"/>
              <w:bottom w:val="single" w:color="auto" w:sz="4" w:space="0"/>
              <w:right w:val="single" w:color="auto" w:sz="4" w:space="0"/>
            </w:tcBorders>
            <w:vAlign w:val="center"/>
          </w:tcPr>
          <w:p w14:paraId="18D9548F">
            <w:pPr>
              <w:widowControl/>
              <w:spacing w:line="240" w:lineRule="auto"/>
              <w:ind w:firstLine="0" w:firstLineChars="0"/>
              <w:jc w:val="center"/>
              <w:rPr>
                <w:rFonts w:cs="Times New Roman"/>
                <w:kern w:val="0"/>
                <w:sz w:val="21"/>
              </w:rPr>
            </w:pPr>
            <w:r>
              <w:rPr>
                <w:rFonts w:hint="eastAsia"/>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AC88701">
            <w:pPr>
              <w:widowControl/>
              <w:spacing w:line="240" w:lineRule="auto"/>
              <w:ind w:firstLine="0" w:firstLineChars="0"/>
              <w:jc w:val="center"/>
              <w:rPr>
                <w:rFonts w:cs="Times New Roman"/>
                <w:kern w:val="0"/>
                <w:sz w:val="21"/>
              </w:rPr>
            </w:pPr>
            <w:r>
              <w:rPr>
                <w:rFonts w:hint="eastAsia"/>
                <w:kern w:val="0"/>
                <w:sz w:val="21"/>
              </w:rPr>
              <w:t>10</w:t>
            </w:r>
            <w:r>
              <w:rPr>
                <w:kern w:val="0"/>
                <w:sz w:val="21"/>
              </w:rPr>
              <w:t>0</w:t>
            </w:r>
            <w:r>
              <w:rPr>
                <w:rFonts w:hint="eastAsia"/>
                <w:kern w:val="0"/>
                <w:sz w:val="21"/>
              </w:rPr>
              <w:t>～90</w:t>
            </w:r>
          </w:p>
        </w:tc>
        <w:tc>
          <w:tcPr>
            <w:tcW w:w="1088" w:type="dxa"/>
            <w:tcBorders>
              <w:top w:val="single" w:color="auto" w:sz="4" w:space="0"/>
              <w:left w:val="nil"/>
              <w:bottom w:val="single" w:color="auto" w:sz="4" w:space="0"/>
              <w:right w:val="single" w:color="auto" w:sz="4" w:space="0"/>
            </w:tcBorders>
            <w:vAlign w:val="center"/>
          </w:tcPr>
          <w:p w14:paraId="5A3D19D1">
            <w:pPr>
              <w:widowControl/>
              <w:spacing w:line="240" w:lineRule="auto"/>
              <w:ind w:firstLine="0" w:firstLineChars="0"/>
              <w:jc w:val="center"/>
              <w:rPr>
                <w:rFonts w:cs="Times New Roman"/>
                <w:kern w:val="0"/>
                <w:sz w:val="21"/>
              </w:rPr>
            </w:pPr>
            <w:r>
              <w:rPr>
                <w:rFonts w:hint="eastAsia"/>
                <w:kern w:val="0"/>
                <w:sz w:val="21"/>
              </w:rPr>
              <w:t>90～8</w:t>
            </w:r>
            <w:r>
              <w:rPr>
                <w:kern w:val="0"/>
                <w:sz w:val="21"/>
              </w:rPr>
              <w:t>0</w:t>
            </w:r>
          </w:p>
        </w:tc>
        <w:tc>
          <w:tcPr>
            <w:tcW w:w="1112" w:type="dxa"/>
            <w:tcBorders>
              <w:top w:val="single" w:color="auto" w:sz="4" w:space="0"/>
              <w:left w:val="nil"/>
              <w:bottom w:val="single" w:color="auto" w:sz="4" w:space="0"/>
              <w:right w:val="single" w:color="auto" w:sz="4" w:space="0"/>
            </w:tcBorders>
            <w:vAlign w:val="center"/>
          </w:tcPr>
          <w:p w14:paraId="67B96FD0">
            <w:pPr>
              <w:widowControl/>
              <w:spacing w:line="240" w:lineRule="auto"/>
              <w:ind w:firstLine="0" w:firstLineChars="0"/>
              <w:jc w:val="center"/>
              <w:rPr>
                <w:rFonts w:cs="Times New Roman"/>
                <w:kern w:val="0"/>
                <w:sz w:val="21"/>
              </w:rPr>
            </w:pPr>
            <w:r>
              <w:rPr>
                <w:rFonts w:hint="eastAsia"/>
                <w:kern w:val="0"/>
                <w:sz w:val="21"/>
              </w:rPr>
              <w:t>8</w:t>
            </w:r>
            <w:r>
              <w:rPr>
                <w:kern w:val="0"/>
                <w:sz w:val="21"/>
              </w:rPr>
              <w:t>0</w:t>
            </w:r>
            <w:r>
              <w:rPr>
                <w:rFonts w:hint="eastAsia"/>
                <w:kern w:val="0"/>
                <w:sz w:val="21"/>
              </w:rPr>
              <w:t>～5</w:t>
            </w:r>
            <w:r>
              <w:rPr>
                <w:kern w:val="0"/>
                <w:sz w:val="21"/>
              </w:rPr>
              <w:t>0</w:t>
            </w:r>
          </w:p>
        </w:tc>
        <w:tc>
          <w:tcPr>
            <w:tcW w:w="1088" w:type="dxa"/>
            <w:tcBorders>
              <w:top w:val="single" w:color="auto" w:sz="4" w:space="0"/>
              <w:left w:val="nil"/>
              <w:bottom w:val="single" w:color="auto" w:sz="4" w:space="0"/>
              <w:right w:val="single" w:color="auto" w:sz="4" w:space="0"/>
            </w:tcBorders>
            <w:vAlign w:val="center"/>
          </w:tcPr>
          <w:p w14:paraId="12C3B285">
            <w:pPr>
              <w:widowControl/>
              <w:spacing w:line="240" w:lineRule="auto"/>
              <w:ind w:firstLine="0" w:firstLineChars="0"/>
              <w:jc w:val="center"/>
              <w:rPr>
                <w:rFonts w:cs="Times New Roman"/>
                <w:kern w:val="0"/>
                <w:sz w:val="21"/>
              </w:rPr>
            </w:pPr>
            <w:r>
              <w:rPr>
                <w:rFonts w:hint="eastAsia"/>
                <w:kern w:val="0"/>
                <w:sz w:val="21"/>
              </w:rPr>
              <w:t>50～2</w:t>
            </w:r>
            <w:r>
              <w:rPr>
                <w:kern w:val="0"/>
                <w:sz w:val="21"/>
              </w:rPr>
              <w:t>0</w:t>
            </w:r>
          </w:p>
        </w:tc>
        <w:tc>
          <w:tcPr>
            <w:tcW w:w="1070" w:type="dxa"/>
            <w:tcBorders>
              <w:top w:val="single" w:color="auto" w:sz="4" w:space="0"/>
              <w:left w:val="nil"/>
              <w:bottom w:val="single" w:color="auto" w:sz="4" w:space="0"/>
              <w:right w:val="single" w:color="auto" w:sz="4" w:space="0"/>
            </w:tcBorders>
            <w:vAlign w:val="center"/>
          </w:tcPr>
          <w:p w14:paraId="1BDBE7CF">
            <w:pPr>
              <w:widowControl/>
              <w:spacing w:line="240" w:lineRule="auto"/>
              <w:ind w:firstLine="0" w:firstLineChars="0"/>
              <w:jc w:val="center"/>
              <w:rPr>
                <w:rFonts w:cs="Times New Roman"/>
                <w:kern w:val="0"/>
                <w:sz w:val="21"/>
              </w:rPr>
            </w:pPr>
            <w:r>
              <w:rPr>
                <w:rFonts w:hint="eastAsia"/>
                <w:kern w:val="0"/>
                <w:sz w:val="21"/>
              </w:rPr>
              <w:t>20～</w:t>
            </w:r>
            <w:r>
              <w:rPr>
                <w:kern w:val="0"/>
                <w:sz w:val="21"/>
              </w:rPr>
              <w:t>0</w:t>
            </w:r>
          </w:p>
        </w:tc>
      </w:tr>
    </w:tbl>
    <w:p w14:paraId="758F5ECA">
      <w:pPr>
        <w:ind w:firstLine="482"/>
        <w:jc w:val="center"/>
        <w:rPr>
          <w:b/>
        </w:rPr>
      </w:pPr>
    </w:p>
    <w:p w14:paraId="2D3F27BC">
      <w:pPr>
        <w:spacing w:line="240" w:lineRule="auto"/>
        <w:ind w:firstLine="482"/>
        <w:jc w:val="center"/>
        <w:rPr>
          <w:b/>
        </w:rPr>
      </w:pPr>
    </w:p>
    <w:tbl>
      <w:tblPr>
        <w:tblStyle w:val="25"/>
        <w:tblW w:w="9436" w:type="dxa"/>
        <w:jc w:val="center"/>
        <w:tblLayout w:type="fixed"/>
        <w:tblCellMar>
          <w:top w:w="0" w:type="dxa"/>
          <w:left w:w="108" w:type="dxa"/>
          <w:bottom w:w="0" w:type="dxa"/>
          <w:right w:w="108" w:type="dxa"/>
        </w:tblCellMar>
      </w:tblPr>
      <w:tblGrid>
        <w:gridCol w:w="409"/>
        <w:gridCol w:w="409"/>
        <w:gridCol w:w="1706"/>
        <w:gridCol w:w="993"/>
        <w:gridCol w:w="1128"/>
        <w:gridCol w:w="1140"/>
        <w:gridCol w:w="1275"/>
        <w:gridCol w:w="1129"/>
        <w:gridCol w:w="1247"/>
      </w:tblGrid>
      <w:tr w14:paraId="45927AB1">
        <w:tblPrEx>
          <w:tblCellMar>
            <w:top w:w="0" w:type="dxa"/>
            <w:left w:w="108" w:type="dxa"/>
            <w:bottom w:w="0" w:type="dxa"/>
            <w:right w:w="108" w:type="dxa"/>
          </w:tblCellMar>
        </w:tblPrEx>
        <w:trPr>
          <w:trHeight w:val="399" w:hRule="atLeast"/>
          <w:jc w:val="center"/>
        </w:trPr>
        <w:tc>
          <w:tcPr>
            <w:tcW w:w="409" w:type="dxa"/>
            <w:vMerge w:val="restart"/>
            <w:tcBorders>
              <w:top w:val="single" w:color="auto" w:sz="4" w:space="0"/>
              <w:left w:val="single" w:color="auto" w:sz="4" w:space="0"/>
              <w:bottom w:val="single" w:color="auto" w:sz="4" w:space="0"/>
              <w:right w:val="single" w:color="auto" w:sz="4" w:space="0"/>
            </w:tcBorders>
            <w:vAlign w:val="center"/>
          </w:tcPr>
          <w:p w14:paraId="4BD4EC78">
            <w:pPr>
              <w:widowControl/>
              <w:spacing w:line="240" w:lineRule="auto"/>
              <w:ind w:firstLine="0" w:firstLineChars="0"/>
              <w:jc w:val="center"/>
              <w:rPr>
                <w:rFonts w:cs="Times New Roman"/>
                <w:b/>
                <w:bCs/>
                <w:kern w:val="0"/>
                <w:sz w:val="21"/>
              </w:rPr>
            </w:pPr>
            <w:r>
              <w:rPr>
                <w:rFonts w:cs="Times New Roman"/>
                <w:b/>
                <w:bCs/>
                <w:kern w:val="0"/>
                <w:sz w:val="21"/>
              </w:rPr>
              <w:t>性质</w:t>
            </w:r>
          </w:p>
        </w:tc>
        <w:tc>
          <w:tcPr>
            <w:tcW w:w="409" w:type="dxa"/>
            <w:vMerge w:val="restart"/>
            <w:tcBorders>
              <w:top w:val="single" w:color="auto" w:sz="4" w:space="0"/>
              <w:left w:val="single" w:color="auto" w:sz="4" w:space="0"/>
              <w:bottom w:val="single" w:color="auto" w:sz="4" w:space="0"/>
              <w:right w:val="single" w:color="auto" w:sz="4" w:space="0"/>
            </w:tcBorders>
            <w:vAlign w:val="center"/>
          </w:tcPr>
          <w:p w14:paraId="15F5D486">
            <w:pPr>
              <w:widowControl/>
              <w:spacing w:line="240" w:lineRule="auto"/>
              <w:ind w:firstLine="0" w:firstLineChars="0"/>
              <w:jc w:val="center"/>
              <w:rPr>
                <w:rFonts w:cs="Times New Roman"/>
                <w:b/>
                <w:bCs/>
                <w:kern w:val="0"/>
                <w:sz w:val="21"/>
              </w:rPr>
            </w:pPr>
            <w:r>
              <w:rPr>
                <w:rFonts w:cs="Times New Roman"/>
                <w:b/>
                <w:bCs/>
                <w:kern w:val="0"/>
                <w:sz w:val="21"/>
              </w:rPr>
              <w:t>类别</w:t>
            </w:r>
          </w:p>
        </w:tc>
        <w:tc>
          <w:tcPr>
            <w:tcW w:w="1706" w:type="dxa"/>
            <w:vMerge w:val="restart"/>
            <w:tcBorders>
              <w:top w:val="single" w:color="auto" w:sz="4" w:space="0"/>
              <w:left w:val="single" w:color="auto" w:sz="4" w:space="0"/>
              <w:bottom w:val="single" w:color="000000" w:sz="4" w:space="0"/>
              <w:right w:val="single" w:color="auto" w:sz="4" w:space="0"/>
            </w:tcBorders>
            <w:vAlign w:val="center"/>
          </w:tcPr>
          <w:p w14:paraId="1C6527CD">
            <w:pPr>
              <w:widowControl/>
              <w:spacing w:line="240" w:lineRule="auto"/>
              <w:ind w:firstLine="0" w:firstLineChars="0"/>
              <w:jc w:val="center"/>
              <w:rPr>
                <w:rFonts w:cs="Times New Roman"/>
                <w:b/>
                <w:bCs/>
                <w:kern w:val="0"/>
                <w:sz w:val="21"/>
              </w:rPr>
            </w:pPr>
            <w:r>
              <w:rPr>
                <w:rFonts w:cs="Times New Roman"/>
                <w:b/>
                <w:bCs/>
                <w:kern w:val="0"/>
                <w:sz w:val="21"/>
              </w:rPr>
              <w:t>指标</w:t>
            </w:r>
          </w:p>
        </w:tc>
        <w:tc>
          <w:tcPr>
            <w:tcW w:w="993" w:type="dxa"/>
            <w:vMerge w:val="restart"/>
            <w:tcBorders>
              <w:top w:val="single" w:color="auto" w:sz="4" w:space="0"/>
              <w:left w:val="single" w:color="auto" w:sz="4" w:space="0"/>
              <w:bottom w:val="single" w:color="auto" w:sz="4" w:space="0"/>
              <w:right w:val="single" w:color="auto" w:sz="4" w:space="0"/>
            </w:tcBorders>
            <w:vAlign w:val="center"/>
          </w:tcPr>
          <w:p w14:paraId="3BED8EEA">
            <w:pPr>
              <w:widowControl/>
              <w:spacing w:line="240" w:lineRule="auto"/>
              <w:ind w:firstLine="0" w:firstLineChars="0"/>
              <w:jc w:val="center"/>
              <w:rPr>
                <w:rFonts w:cs="Times New Roman"/>
                <w:b/>
                <w:bCs/>
                <w:kern w:val="0"/>
                <w:sz w:val="21"/>
              </w:rPr>
            </w:pPr>
            <w:r>
              <w:rPr>
                <w:rFonts w:cs="Times New Roman"/>
                <w:b/>
                <w:bCs/>
                <w:kern w:val="0"/>
                <w:sz w:val="21"/>
              </w:rPr>
              <w:t>量纲</w:t>
            </w:r>
          </w:p>
        </w:tc>
        <w:tc>
          <w:tcPr>
            <w:tcW w:w="5919" w:type="dxa"/>
            <w:gridSpan w:val="5"/>
            <w:tcBorders>
              <w:top w:val="single" w:color="auto" w:sz="4" w:space="0"/>
              <w:left w:val="nil"/>
              <w:bottom w:val="single" w:color="auto" w:sz="4" w:space="0"/>
              <w:right w:val="single" w:color="auto" w:sz="4" w:space="0"/>
            </w:tcBorders>
            <w:vAlign w:val="center"/>
          </w:tcPr>
          <w:p w14:paraId="7CB80352">
            <w:pPr>
              <w:widowControl/>
              <w:spacing w:line="240" w:lineRule="auto"/>
              <w:ind w:firstLine="0" w:firstLineChars="0"/>
              <w:jc w:val="center"/>
              <w:rPr>
                <w:rFonts w:cs="Times New Roman"/>
                <w:b/>
                <w:bCs/>
                <w:kern w:val="0"/>
                <w:sz w:val="21"/>
              </w:rPr>
            </w:pPr>
            <w:r>
              <w:rPr>
                <w:rFonts w:cs="Times New Roman"/>
                <w:b/>
                <w:bCs/>
                <w:kern w:val="0"/>
                <w:sz w:val="21"/>
              </w:rPr>
              <w:t>指标分级阈值及分值</w:t>
            </w:r>
          </w:p>
        </w:tc>
      </w:tr>
      <w:tr w14:paraId="16F50099">
        <w:tblPrEx>
          <w:tblCellMar>
            <w:top w:w="0" w:type="dxa"/>
            <w:left w:w="108" w:type="dxa"/>
            <w:bottom w:w="0" w:type="dxa"/>
            <w:right w:w="108" w:type="dxa"/>
          </w:tblCellMar>
        </w:tblPrEx>
        <w:trPr>
          <w:trHeight w:val="362" w:hRule="atLeast"/>
          <w:jc w:val="center"/>
        </w:trPr>
        <w:tc>
          <w:tcPr>
            <w:tcW w:w="409" w:type="dxa"/>
            <w:vMerge w:val="continue"/>
            <w:tcBorders>
              <w:top w:val="single" w:color="auto" w:sz="4" w:space="0"/>
              <w:left w:val="single" w:color="auto" w:sz="4" w:space="0"/>
              <w:bottom w:val="single" w:color="auto" w:sz="4" w:space="0"/>
              <w:right w:val="single" w:color="auto" w:sz="4" w:space="0"/>
            </w:tcBorders>
          </w:tcPr>
          <w:p w14:paraId="64D9675E">
            <w:pPr>
              <w:widowControl/>
              <w:spacing w:line="240" w:lineRule="auto"/>
              <w:ind w:firstLine="0" w:firstLineChars="0"/>
              <w:jc w:val="left"/>
              <w:rPr>
                <w:rFonts w:cs="Times New Roman"/>
                <w:b/>
                <w:bCs/>
                <w:kern w:val="0"/>
                <w:sz w:val="21"/>
              </w:rPr>
            </w:pPr>
          </w:p>
        </w:tc>
        <w:tc>
          <w:tcPr>
            <w:tcW w:w="409" w:type="dxa"/>
            <w:vMerge w:val="continue"/>
            <w:tcBorders>
              <w:top w:val="single" w:color="auto" w:sz="4" w:space="0"/>
              <w:left w:val="single" w:color="auto" w:sz="4" w:space="0"/>
              <w:bottom w:val="single" w:color="auto" w:sz="4" w:space="0"/>
              <w:right w:val="single" w:color="auto" w:sz="4" w:space="0"/>
            </w:tcBorders>
            <w:vAlign w:val="center"/>
          </w:tcPr>
          <w:p w14:paraId="4AC9FA51">
            <w:pPr>
              <w:widowControl/>
              <w:spacing w:line="240" w:lineRule="auto"/>
              <w:ind w:firstLine="0" w:firstLineChars="0"/>
              <w:jc w:val="left"/>
              <w:rPr>
                <w:rFonts w:cs="Times New Roman"/>
                <w:b/>
                <w:bCs/>
                <w:kern w:val="0"/>
                <w:sz w:val="21"/>
              </w:rPr>
            </w:pPr>
          </w:p>
        </w:tc>
        <w:tc>
          <w:tcPr>
            <w:tcW w:w="1706" w:type="dxa"/>
            <w:vMerge w:val="continue"/>
            <w:tcBorders>
              <w:top w:val="single" w:color="auto" w:sz="4" w:space="0"/>
              <w:left w:val="single" w:color="auto" w:sz="4" w:space="0"/>
              <w:bottom w:val="single" w:color="auto" w:sz="4" w:space="0"/>
              <w:right w:val="single" w:color="auto" w:sz="4" w:space="0"/>
            </w:tcBorders>
            <w:vAlign w:val="center"/>
          </w:tcPr>
          <w:p w14:paraId="6D8F742F">
            <w:pPr>
              <w:widowControl/>
              <w:spacing w:line="240" w:lineRule="auto"/>
              <w:ind w:firstLine="0" w:firstLineChars="0"/>
              <w:jc w:val="left"/>
              <w:rPr>
                <w:rFonts w:cs="Times New Roman"/>
                <w:b/>
                <w:bCs/>
                <w:kern w:val="0"/>
                <w:sz w:val="21"/>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27047CA6">
            <w:pPr>
              <w:widowControl/>
              <w:spacing w:line="240" w:lineRule="auto"/>
              <w:ind w:firstLine="0" w:firstLineChars="0"/>
              <w:jc w:val="left"/>
              <w:rPr>
                <w:rFonts w:cs="Times New Roman"/>
                <w:b/>
                <w:bCs/>
                <w:kern w:val="0"/>
                <w:sz w:val="21"/>
              </w:rPr>
            </w:pPr>
          </w:p>
        </w:tc>
        <w:tc>
          <w:tcPr>
            <w:tcW w:w="1128" w:type="dxa"/>
            <w:tcBorders>
              <w:top w:val="single" w:color="auto" w:sz="4" w:space="0"/>
              <w:left w:val="nil"/>
              <w:bottom w:val="single" w:color="auto" w:sz="4" w:space="0"/>
              <w:right w:val="single" w:color="auto" w:sz="4" w:space="0"/>
            </w:tcBorders>
            <w:vAlign w:val="center"/>
          </w:tcPr>
          <w:p w14:paraId="40569905">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1 \* ROMAN </w:instrText>
            </w:r>
            <w:r>
              <w:rPr>
                <w:rFonts w:cs="Times New Roman"/>
                <w:b/>
                <w:bCs/>
                <w:kern w:val="0"/>
                <w:sz w:val="21"/>
              </w:rPr>
              <w:fldChar w:fldCharType="separate"/>
            </w:r>
            <w:r>
              <w:rPr>
                <w:rFonts w:cs="Times New Roman"/>
                <w:b/>
                <w:bCs/>
                <w:kern w:val="0"/>
                <w:sz w:val="21"/>
              </w:rPr>
              <w:t>I</w:t>
            </w:r>
            <w:r>
              <w:rPr>
                <w:rFonts w:cs="Times New Roman"/>
                <w:b/>
                <w:bCs/>
                <w:kern w:val="0"/>
                <w:sz w:val="21"/>
              </w:rPr>
              <w:fldChar w:fldCharType="end"/>
            </w:r>
            <w:r>
              <w:rPr>
                <w:rFonts w:cs="Times New Roman"/>
                <w:b/>
                <w:bCs/>
                <w:kern w:val="0"/>
                <w:sz w:val="21"/>
              </w:rPr>
              <w:t>级</w:t>
            </w:r>
          </w:p>
          <w:p w14:paraId="1AF7DB2F">
            <w:pPr>
              <w:widowControl/>
              <w:spacing w:line="240" w:lineRule="auto"/>
              <w:ind w:firstLine="0" w:firstLineChars="0"/>
              <w:jc w:val="center"/>
              <w:rPr>
                <w:rFonts w:cs="Times New Roman"/>
                <w:b/>
                <w:bCs/>
                <w:kern w:val="0"/>
                <w:sz w:val="21"/>
              </w:rPr>
            </w:pPr>
            <w:r>
              <w:rPr>
                <w:rFonts w:cs="Times New Roman"/>
                <w:b/>
                <w:bCs/>
                <w:kern w:val="0"/>
                <w:sz w:val="21"/>
              </w:rPr>
              <w:t>（4分）</w:t>
            </w:r>
          </w:p>
        </w:tc>
        <w:tc>
          <w:tcPr>
            <w:tcW w:w="1140" w:type="dxa"/>
            <w:tcBorders>
              <w:top w:val="nil"/>
              <w:left w:val="nil"/>
              <w:bottom w:val="single" w:color="auto" w:sz="4" w:space="0"/>
              <w:right w:val="single" w:color="auto" w:sz="4" w:space="0"/>
            </w:tcBorders>
            <w:vAlign w:val="center"/>
          </w:tcPr>
          <w:p w14:paraId="319B173A">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2 \* ROMAN </w:instrText>
            </w:r>
            <w:r>
              <w:rPr>
                <w:rFonts w:cs="Times New Roman"/>
                <w:b/>
                <w:bCs/>
                <w:kern w:val="0"/>
                <w:sz w:val="21"/>
              </w:rPr>
              <w:fldChar w:fldCharType="separate"/>
            </w:r>
            <w:r>
              <w:rPr>
                <w:rFonts w:cs="Times New Roman"/>
                <w:b/>
                <w:bCs/>
                <w:kern w:val="0"/>
                <w:sz w:val="21"/>
              </w:rPr>
              <w:t>II</w:t>
            </w:r>
            <w:r>
              <w:rPr>
                <w:rFonts w:cs="Times New Roman"/>
                <w:b/>
                <w:bCs/>
                <w:kern w:val="0"/>
                <w:sz w:val="21"/>
              </w:rPr>
              <w:fldChar w:fldCharType="end"/>
            </w:r>
            <w:r>
              <w:rPr>
                <w:rFonts w:cs="Times New Roman"/>
                <w:b/>
                <w:bCs/>
                <w:kern w:val="0"/>
                <w:sz w:val="21"/>
              </w:rPr>
              <w:t>级</w:t>
            </w:r>
          </w:p>
          <w:p w14:paraId="6D977C8F">
            <w:pPr>
              <w:widowControl/>
              <w:spacing w:line="240" w:lineRule="auto"/>
              <w:ind w:firstLine="0" w:firstLineChars="0"/>
              <w:jc w:val="center"/>
              <w:rPr>
                <w:rFonts w:cs="Times New Roman"/>
                <w:b/>
                <w:bCs/>
                <w:kern w:val="0"/>
                <w:sz w:val="21"/>
              </w:rPr>
            </w:pPr>
            <w:r>
              <w:rPr>
                <w:rFonts w:cs="Times New Roman"/>
                <w:b/>
                <w:bCs/>
                <w:kern w:val="0"/>
                <w:sz w:val="21"/>
              </w:rPr>
              <w:t>（3分）</w:t>
            </w:r>
          </w:p>
        </w:tc>
        <w:tc>
          <w:tcPr>
            <w:tcW w:w="1275" w:type="dxa"/>
            <w:tcBorders>
              <w:top w:val="nil"/>
              <w:left w:val="nil"/>
              <w:bottom w:val="single" w:color="auto" w:sz="4" w:space="0"/>
              <w:right w:val="single" w:color="auto" w:sz="4" w:space="0"/>
            </w:tcBorders>
            <w:vAlign w:val="center"/>
          </w:tcPr>
          <w:p w14:paraId="7E9ED7CD">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3 \* ROMAN </w:instrText>
            </w:r>
            <w:r>
              <w:rPr>
                <w:rFonts w:cs="Times New Roman"/>
                <w:b/>
                <w:bCs/>
                <w:kern w:val="0"/>
                <w:sz w:val="21"/>
              </w:rPr>
              <w:fldChar w:fldCharType="separate"/>
            </w:r>
            <w:r>
              <w:rPr>
                <w:rFonts w:cs="Times New Roman"/>
                <w:b/>
                <w:bCs/>
                <w:kern w:val="0"/>
                <w:sz w:val="21"/>
              </w:rPr>
              <w:t>III</w:t>
            </w:r>
            <w:r>
              <w:rPr>
                <w:rFonts w:cs="Times New Roman"/>
                <w:b/>
                <w:bCs/>
                <w:kern w:val="0"/>
                <w:sz w:val="21"/>
              </w:rPr>
              <w:fldChar w:fldCharType="end"/>
            </w:r>
            <w:r>
              <w:rPr>
                <w:rFonts w:cs="Times New Roman"/>
                <w:b/>
                <w:bCs/>
                <w:kern w:val="0"/>
                <w:sz w:val="21"/>
              </w:rPr>
              <w:t>级</w:t>
            </w:r>
          </w:p>
          <w:p w14:paraId="0ACA9B54">
            <w:pPr>
              <w:widowControl/>
              <w:spacing w:line="240" w:lineRule="auto"/>
              <w:ind w:firstLine="0" w:firstLineChars="0"/>
              <w:jc w:val="center"/>
              <w:rPr>
                <w:rFonts w:cs="Times New Roman"/>
                <w:b/>
                <w:bCs/>
                <w:kern w:val="0"/>
                <w:sz w:val="21"/>
              </w:rPr>
            </w:pPr>
            <w:r>
              <w:rPr>
                <w:rFonts w:cs="Times New Roman"/>
                <w:b/>
                <w:bCs/>
                <w:kern w:val="0"/>
                <w:sz w:val="21"/>
              </w:rPr>
              <w:t>（2分）</w:t>
            </w:r>
          </w:p>
        </w:tc>
        <w:tc>
          <w:tcPr>
            <w:tcW w:w="1129" w:type="dxa"/>
            <w:tcBorders>
              <w:top w:val="nil"/>
              <w:left w:val="nil"/>
              <w:bottom w:val="single" w:color="auto" w:sz="4" w:space="0"/>
              <w:right w:val="single" w:color="auto" w:sz="4" w:space="0"/>
            </w:tcBorders>
            <w:vAlign w:val="center"/>
          </w:tcPr>
          <w:p w14:paraId="3162203D">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4 \* ROMAN </w:instrText>
            </w:r>
            <w:r>
              <w:rPr>
                <w:rFonts w:cs="Times New Roman"/>
                <w:b/>
                <w:bCs/>
                <w:kern w:val="0"/>
                <w:sz w:val="21"/>
              </w:rPr>
              <w:fldChar w:fldCharType="separate"/>
            </w:r>
            <w:r>
              <w:rPr>
                <w:rFonts w:cs="Times New Roman"/>
                <w:b/>
                <w:bCs/>
                <w:kern w:val="0"/>
                <w:sz w:val="21"/>
              </w:rPr>
              <w:t>IV</w:t>
            </w:r>
            <w:r>
              <w:rPr>
                <w:rFonts w:cs="Times New Roman"/>
                <w:b/>
                <w:bCs/>
                <w:kern w:val="0"/>
                <w:sz w:val="21"/>
              </w:rPr>
              <w:fldChar w:fldCharType="end"/>
            </w:r>
            <w:r>
              <w:rPr>
                <w:rFonts w:cs="Times New Roman"/>
                <w:b/>
                <w:bCs/>
                <w:kern w:val="0"/>
                <w:sz w:val="21"/>
              </w:rPr>
              <w:t>级</w:t>
            </w:r>
          </w:p>
          <w:p w14:paraId="77BE2E9F">
            <w:pPr>
              <w:widowControl/>
              <w:spacing w:line="240" w:lineRule="auto"/>
              <w:ind w:firstLine="0" w:firstLineChars="0"/>
              <w:jc w:val="center"/>
              <w:rPr>
                <w:rFonts w:cs="Times New Roman"/>
                <w:b/>
                <w:bCs/>
                <w:kern w:val="0"/>
                <w:sz w:val="21"/>
              </w:rPr>
            </w:pPr>
            <w:r>
              <w:rPr>
                <w:rFonts w:cs="Times New Roman"/>
                <w:b/>
                <w:bCs/>
                <w:kern w:val="0"/>
                <w:sz w:val="21"/>
              </w:rPr>
              <w:t>（1分）</w:t>
            </w:r>
          </w:p>
        </w:tc>
        <w:tc>
          <w:tcPr>
            <w:tcW w:w="1247" w:type="dxa"/>
            <w:tcBorders>
              <w:top w:val="nil"/>
              <w:left w:val="nil"/>
              <w:bottom w:val="single" w:color="auto" w:sz="4" w:space="0"/>
              <w:right w:val="single" w:color="auto" w:sz="4" w:space="0"/>
            </w:tcBorders>
            <w:vAlign w:val="center"/>
          </w:tcPr>
          <w:p w14:paraId="34B1EC3C">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5 \* ROMAN </w:instrText>
            </w:r>
            <w:r>
              <w:rPr>
                <w:rFonts w:cs="Times New Roman"/>
                <w:b/>
                <w:bCs/>
                <w:kern w:val="0"/>
                <w:sz w:val="21"/>
              </w:rPr>
              <w:fldChar w:fldCharType="separate"/>
            </w:r>
            <w:r>
              <w:rPr>
                <w:rFonts w:cs="Times New Roman"/>
                <w:b/>
                <w:bCs/>
                <w:kern w:val="0"/>
                <w:sz w:val="21"/>
              </w:rPr>
              <w:t>V</w:t>
            </w:r>
            <w:r>
              <w:rPr>
                <w:rFonts w:cs="Times New Roman"/>
                <w:b/>
                <w:bCs/>
                <w:kern w:val="0"/>
                <w:sz w:val="21"/>
              </w:rPr>
              <w:fldChar w:fldCharType="end"/>
            </w:r>
            <w:r>
              <w:rPr>
                <w:rFonts w:cs="Times New Roman"/>
                <w:b/>
                <w:bCs/>
                <w:kern w:val="0"/>
                <w:sz w:val="21"/>
              </w:rPr>
              <w:t>级</w:t>
            </w:r>
          </w:p>
          <w:p w14:paraId="37EA52EB">
            <w:pPr>
              <w:widowControl/>
              <w:spacing w:line="240" w:lineRule="auto"/>
              <w:ind w:firstLine="0" w:firstLineChars="0"/>
              <w:jc w:val="center"/>
              <w:rPr>
                <w:rFonts w:cs="Times New Roman"/>
                <w:b/>
                <w:bCs/>
                <w:kern w:val="0"/>
                <w:sz w:val="21"/>
              </w:rPr>
            </w:pPr>
            <w:r>
              <w:rPr>
                <w:rFonts w:cs="Times New Roman"/>
                <w:b/>
                <w:bCs/>
                <w:kern w:val="0"/>
                <w:sz w:val="21"/>
              </w:rPr>
              <w:t>（0分）</w:t>
            </w:r>
          </w:p>
        </w:tc>
      </w:tr>
      <w:tr w14:paraId="6A18502A">
        <w:tblPrEx>
          <w:tblCellMar>
            <w:top w:w="0" w:type="dxa"/>
            <w:left w:w="108" w:type="dxa"/>
            <w:bottom w:w="0" w:type="dxa"/>
            <w:right w:w="108" w:type="dxa"/>
          </w:tblCellMar>
        </w:tblPrEx>
        <w:trPr>
          <w:trHeight w:val="589" w:hRule="atLeast"/>
          <w:jc w:val="center"/>
        </w:trPr>
        <w:tc>
          <w:tcPr>
            <w:tcW w:w="409" w:type="dxa"/>
            <w:vMerge w:val="restart"/>
            <w:tcBorders>
              <w:top w:val="single" w:color="auto" w:sz="4" w:space="0"/>
              <w:left w:val="single" w:color="auto" w:sz="4" w:space="0"/>
              <w:right w:val="single" w:color="auto" w:sz="4" w:space="0"/>
            </w:tcBorders>
            <w:vAlign w:val="center"/>
          </w:tcPr>
          <w:p w14:paraId="4469B41C">
            <w:pPr>
              <w:widowControl/>
              <w:spacing w:line="240" w:lineRule="auto"/>
              <w:ind w:firstLine="0" w:firstLineChars="0"/>
              <w:jc w:val="center"/>
              <w:rPr>
                <w:rFonts w:cs="Times New Roman"/>
                <w:b/>
                <w:bCs/>
                <w:kern w:val="0"/>
                <w:sz w:val="21"/>
              </w:rPr>
            </w:pPr>
            <w:r>
              <w:rPr>
                <w:rFonts w:cs="Times New Roman"/>
                <w:b/>
                <w:bCs/>
                <w:kern w:val="0"/>
                <w:sz w:val="21"/>
              </w:rPr>
              <w:t>全国通用指标</w:t>
            </w:r>
          </w:p>
        </w:tc>
        <w:tc>
          <w:tcPr>
            <w:tcW w:w="409" w:type="dxa"/>
            <w:vMerge w:val="restart"/>
            <w:tcBorders>
              <w:top w:val="single" w:color="auto" w:sz="4" w:space="0"/>
              <w:left w:val="single" w:color="auto" w:sz="4" w:space="0"/>
              <w:right w:val="single" w:color="auto" w:sz="4" w:space="0"/>
            </w:tcBorders>
            <w:vAlign w:val="center"/>
          </w:tcPr>
          <w:p w14:paraId="2769362F">
            <w:pPr>
              <w:widowControl/>
              <w:spacing w:line="240" w:lineRule="auto"/>
              <w:ind w:firstLine="0" w:firstLineChars="0"/>
              <w:jc w:val="left"/>
              <w:rPr>
                <w:rFonts w:cs="Times New Roman"/>
                <w:b/>
                <w:bCs/>
                <w:kern w:val="0"/>
                <w:sz w:val="21"/>
              </w:rPr>
            </w:pPr>
            <w:r>
              <w:rPr>
                <w:rFonts w:cs="Times New Roman"/>
                <w:b/>
                <w:bCs/>
                <w:kern w:val="0"/>
                <w:sz w:val="21"/>
              </w:rPr>
              <w:t>水监管</w:t>
            </w:r>
          </w:p>
        </w:tc>
        <w:tc>
          <w:tcPr>
            <w:tcW w:w="1706" w:type="dxa"/>
            <w:tcBorders>
              <w:top w:val="single" w:color="auto" w:sz="4" w:space="0"/>
              <w:left w:val="nil"/>
              <w:bottom w:val="single" w:color="auto" w:sz="4" w:space="0"/>
              <w:right w:val="single" w:color="auto" w:sz="4" w:space="0"/>
            </w:tcBorders>
            <w:vAlign w:val="center"/>
          </w:tcPr>
          <w:p w14:paraId="71FF43C6">
            <w:pPr>
              <w:widowControl/>
              <w:spacing w:line="240" w:lineRule="auto"/>
              <w:ind w:firstLine="0" w:firstLineChars="0"/>
              <w:jc w:val="left"/>
              <w:rPr>
                <w:rFonts w:cs="Times New Roman"/>
                <w:kern w:val="0"/>
                <w:sz w:val="21"/>
              </w:rPr>
            </w:pPr>
            <w:r>
              <w:rPr>
                <w:rFonts w:cs="Times New Roman"/>
                <w:kern w:val="0"/>
                <w:sz w:val="21"/>
              </w:rPr>
              <w:t>(</w:t>
            </w:r>
            <w:r>
              <w:rPr>
                <w:rFonts w:hint="eastAsia" w:cs="Times New Roman"/>
                <w:kern w:val="0"/>
                <w:sz w:val="21"/>
              </w:rPr>
              <w:t>20</w:t>
            </w:r>
            <w:r>
              <w:rPr>
                <w:rFonts w:cs="Times New Roman"/>
                <w:kern w:val="0"/>
                <w:sz w:val="21"/>
              </w:rPr>
              <w:t>)用水总量控制达标情况</w:t>
            </w:r>
          </w:p>
        </w:tc>
        <w:tc>
          <w:tcPr>
            <w:tcW w:w="993" w:type="dxa"/>
            <w:tcBorders>
              <w:top w:val="single" w:color="auto" w:sz="4" w:space="0"/>
              <w:left w:val="single" w:color="auto" w:sz="4" w:space="0"/>
              <w:bottom w:val="single" w:color="auto" w:sz="4" w:space="0"/>
              <w:right w:val="single" w:color="auto" w:sz="4" w:space="0"/>
            </w:tcBorders>
            <w:vAlign w:val="center"/>
          </w:tcPr>
          <w:p w14:paraId="412104E1">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2F998F2E">
            <w:pPr>
              <w:widowControl/>
              <w:spacing w:line="240" w:lineRule="auto"/>
              <w:ind w:firstLine="0" w:firstLineChars="0"/>
              <w:jc w:val="center"/>
              <w:rPr>
                <w:rFonts w:cs="Times New Roman"/>
                <w:kern w:val="0"/>
                <w:sz w:val="21"/>
              </w:rPr>
            </w:pPr>
            <w:r>
              <w:rPr>
                <w:rFonts w:cs="Times New Roman"/>
                <w:kern w:val="0"/>
                <w:sz w:val="21"/>
              </w:rPr>
              <w:t>达标</w:t>
            </w:r>
          </w:p>
        </w:tc>
        <w:tc>
          <w:tcPr>
            <w:tcW w:w="1140" w:type="dxa"/>
            <w:tcBorders>
              <w:top w:val="single" w:color="auto" w:sz="4" w:space="0"/>
              <w:left w:val="nil"/>
              <w:bottom w:val="single" w:color="auto" w:sz="4" w:space="0"/>
              <w:right w:val="single" w:color="auto" w:sz="4" w:space="0"/>
            </w:tcBorders>
            <w:vAlign w:val="center"/>
          </w:tcPr>
          <w:p w14:paraId="3B12D67A">
            <w:pPr>
              <w:widowControl/>
              <w:spacing w:line="240" w:lineRule="auto"/>
              <w:ind w:firstLine="0" w:firstLineChars="0"/>
              <w:jc w:val="center"/>
              <w:rPr>
                <w:rFonts w:cs="Times New Roman"/>
                <w:kern w:val="0"/>
                <w:sz w:val="21"/>
              </w:rPr>
            </w:pPr>
            <w:r>
              <w:rPr>
                <w:rFonts w:cs="Times New Roman"/>
                <w:kern w:val="0"/>
                <w:sz w:val="21"/>
              </w:rPr>
              <w:t>/</w:t>
            </w:r>
          </w:p>
        </w:tc>
        <w:tc>
          <w:tcPr>
            <w:tcW w:w="1275" w:type="dxa"/>
            <w:tcBorders>
              <w:top w:val="single" w:color="auto" w:sz="4" w:space="0"/>
              <w:left w:val="nil"/>
              <w:bottom w:val="single" w:color="auto" w:sz="4" w:space="0"/>
              <w:right w:val="single" w:color="auto" w:sz="4" w:space="0"/>
            </w:tcBorders>
            <w:vAlign w:val="center"/>
          </w:tcPr>
          <w:p w14:paraId="52EC5C99">
            <w:pPr>
              <w:widowControl/>
              <w:spacing w:line="240" w:lineRule="auto"/>
              <w:ind w:firstLine="0" w:firstLineChars="0"/>
              <w:jc w:val="center"/>
              <w:rPr>
                <w:rFonts w:cs="Times New Roman"/>
                <w:kern w:val="0"/>
                <w:sz w:val="21"/>
              </w:rPr>
            </w:pPr>
            <w:r>
              <w:rPr>
                <w:rFonts w:cs="Times New Roman"/>
                <w:kern w:val="0"/>
                <w:sz w:val="21"/>
              </w:rPr>
              <w:t>/</w:t>
            </w:r>
          </w:p>
        </w:tc>
        <w:tc>
          <w:tcPr>
            <w:tcW w:w="1129" w:type="dxa"/>
            <w:tcBorders>
              <w:top w:val="single" w:color="auto" w:sz="4" w:space="0"/>
              <w:left w:val="nil"/>
              <w:bottom w:val="single" w:color="auto" w:sz="4" w:space="0"/>
              <w:right w:val="single" w:color="auto" w:sz="4" w:space="0"/>
            </w:tcBorders>
            <w:vAlign w:val="center"/>
          </w:tcPr>
          <w:p w14:paraId="245E21C7">
            <w:pPr>
              <w:widowControl/>
              <w:spacing w:line="240" w:lineRule="auto"/>
              <w:ind w:firstLine="0" w:firstLineChars="0"/>
              <w:jc w:val="center"/>
              <w:rPr>
                <w:rFonts w:cs="Times New Roman"/>
                <w:kern w:val="0"/>
                <w:sz w:val="21"/>
              </w:rPr>
            </w:pPr>
            <w:r>
              <w:rPr>
                <w:rFonts w:cs="Times New Roman"/>
                <w:kern w:val="0"/>
                <w:sz w:val="21"/>
              </w:rPr>
              <w:t>/</w:t>
            </w:r>
          </w:p>
        </w:tc>
        <w:tc>
          <w:tcPr>
            <w:tcW w:w="1247" w:type="dxa"/>
            <w:tcBorders>
              <w:top w:val="single" w:color="auto" w:sz="4" w:space="0"/>
              <w:left w:val="nil"/>
              <w:bottom w:val="single" w:color="auto" w:sz="4" w:space="0"/>
              <w:right w:val="single" w:color="auto" w:sz="4" w:space="0"/>
            </w:tcBorders>
            <w:vAlign w:val="center"/>
          </w:tcPr>
          <w:p w14:paraId="5E0909D2">
            <w:pPr>
              <w:widowControl/>
              <w:spacing w:line="240" w:lineRule="auto"/>
              <w:ind w:firstLine="0" w:firstLineChars="0"/>
              <w:jc w:val="center"/>
              <w:rPr>
                <w:rFonts w:cs="Times New Roman"/>
                <w:kern w:val="0"/>
                <w:sz w:val="21"/>
              </w:rPr>
            </w:pPr>
            <w:r>
              <w:rPr>
                <w:rFonts w:cs="Times New Roman"/>
                <w:kern w:val="0"/>
                <w:sz w:val="21"/>
              </w:rPr>
              <w:t>不达标</w:t>
            </w:r>
          </w:p>
        </w:tc>
      </w:tr>
      <w:tr w14:paraId="5170DF70">
        <w:tblPrEx>
          <w:tblCellMar>
            <w:top w:w="0" w:type="dxa"/>
            <w:left w:w="108" w:type="dxa"/>
            <w:bottom w:w="0" w:type="dxa"/>
            <w:right w:w="108" w:type="dxa"/>
          </w:tblCellMar>
        </w:tblPrEx>
        <w:trPr>
          <w:trHeight w:val="538" w:hRule="atLeast"/>
          <w:jc w:val="center"/>
        </w:trPr>
        <w:tc>
          <w:tcPr>
            <w:tcW w:w="409" w:type="dxa"/>
            <w:vMerge w:val="continue"/>
            <w:tcBorders>
              <w:left w:val="single" w:color="auto" w:sz="4" w:space="0"/>
              <w:right w:val="single" w:color="auto" w:sz="4" w:space="0"/>
            </w:tcBorders>
          </w:tcPr>
          <w:p w14:paraId="711D06A3">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right w:val="single" w:color="auto" w:sz="4" w:space="0"/>
            </w:tcBorders>
            <w:vAlign w:val="center"/>
          </w:tcPr>
          <w:p w14:paraId="067ED237">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11900F22">
            <w:pPr>
              <w:widowControl/>
              <w:spacing w:line="240" w:lineRule="auto"/>
              <w:ind w:firstLine="0" w:firstLineChars="0"/>
              <w:jc w:val="left"/>
              <w:rPr>
                <w:rFonts w:cs="Times New Roman"/>
                <w:kern w:val="0"/>
                <w:sz w:val="21"/>
              </w:rPr>
            </w:pPr>
            <w:r>
              <w:rPr>
                <w:rFonts w:cs="Times New Roman"/>
                <w:kern w:val="0"/>
                <w:sz w:val="21"/>
              </w:rPr>
              <w:t>(</w:t>
            </w:r>
            <w:r>
              <w:rPr>
                <w:rFonts w:hint="eastAsia" w:cs="Times New Roman"/>
                <w:kern w:val="0"/>
                <w:sz w:val="21"/>
              </w:rPr>
              <w:t>21</w:t>
            </w:r>
            <w:r>
              <w:rPr>
                <w:rFonts w:cs="Times New Roman"/>
                <w:kern w:val="0"/>
                <w:sz w:val="21"/>
              </w:rPr>
              <w:t>)水资源监控能力指数</w:t>
            </w:r>
          </w:p>
        </w:tc>
        <w:tc>
          <w:tcPr>
            <w:tcW w:w="993" w:type="dxa"/>
            <w:tcBorders>
              <w:top w:val="single" w:color="auto" w:sz="4" w:space="0"/>
              <w:left w:val="single" w:color="auto" w:sz="4" w:space="0"/>
              <w:bottom w:val="single" w:color="auto" w:sz="4" w:space="0"/>
              <w:right w:val="single" w:color="auto" w:sz="4" w:space="0"/>
            </w:tcBorders>
            <w:vAlign w:val="center"/>
          </w:tcPr>
          <w:p w14:paraId="47B12B71">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5280761C">
            <w:pPr>
              <w:widowControl/>
              <w:spacing w:line="240" w:lineRule="auto"/>
              <w:ind w:firstLine="0" w:firstLineChars="0"/>
              <w:jc w:val="center"/>
              <w:rPr>
                <w:rFonts w:cs="Times New Roman"/>
                <w:kern w:val="0"/>
                <w:sz w:val="21"/>
              </w:rPr>
            </w:pPr>
            <w:r>
              <w:rPr>
                <w:rFonts w:cs="Times New Roman"/>
                <w:kern w:val="0"/>
                <w:sz w:val="21"/>
              </w:rPr>
              <w:t>100～90</w:t>
            </w:r>
          </w:p>
        </w:tc>
        <w:tc>
          <w:tcPr>
            <w:tcW w:w="1140" w:type="dxa"/>
            <w:tcBorders>
              <w:top w:val="single" w:color="auto" w:sz="4" w:space="0"/>
              <w:left w:val="nil"/>
              <w:bottom w:val="single" w:color="auto" w:sz="4" w:space="0"/>
              <w:right w:val="single" w:color="auto" w:sz="4" w:space="0"/>
            </w:tcBorders>
            <w:vAlign w:val="center"/>
          </w:tcPr>
          <w:p w14:paraId="4E6906B9">
            <w:pPr>
              <w:widowControl/>
              <w:spacing w:line="240" w:lineRule="auto"/>
              <w:ind w:firstLine="0" w:firstLineChars="0"/>
              <w:jc w:val="center"/>
              <w:rPr>
                <w:rFonts w:cs="Times New Roman"/>
                <w:kern w:val="0"/>
                <w:sz w:val="21"/>
              </w:rPr>
            </w:pPr>
            <w:r>
              <w:rPr>
                <w:rFonts w:cs="Times New Roman"/>
                <w:kern w:val="0"/>
                <w:sz w:val="21"/>
              </w:rPr>
              <w:t>90～75</w:t>
            </w:r>
          </w:p>
        </w:tc>
        <w:tc>
          <w:tcPr>
            <w:tcW w:w="1275" w:type="dxa"/>
            <w:tcBorders>
              <w:top w:val="single" w:color="auto" w:sz="4" w:space="0"/>
              <w:left w:val="nil"/>
              <w:bottom w:val="single" w:color="auto" w:sz="4" w:space="0"/>
              <w:right w:val="single" w:color="auto" w:sz="4" w:space="0"/>
            </w:tcBorders>
            <w:vAlign w:val="center"/>
          </w:tcPr>
          <w:p w14:paraId="7F30BC4C">
            <w:pPr>
              <w:widowControl/>
              <w:spacing w:line="240" w:lineRule="auto"/>
              <w:ind w:firstLine="0" w:firstLineChars="0"/>
              <w:jc w:val="center"/>
              <w:rPr>
                <w:rFonts w:cs="Times New Roman"/>
                <w:kern w:val="0"/>
                <w:sz w:val="21"/>
              </w:rPr>
            </w:pPr>
            <w:r>
              <w:rPr>
                <w:rFonts w:cs="Times New Roman"/>
                <w:kern w:val="0"/>
                <w:sz w:val="21"/>
              </w:rPr>
              <w:t>75～60</w:t>
            </w:r>
          </w:p>
        </w:tc>
        <w:tc>
          <w:tcPr>
            <w:tcW w:w="1129" w:type="dxa"/>
            <w:tcBorders>
              <w:top w:val="single" w:color="auto" w:sz="4" w:space="0"/>
              <w:left w:val="nil"/>
              <w:bottom w:val="single" w:color="auto" w:sz="4" w:space="0"/>
              <w:right w:val="single" w:color="auto" w:sz="4" w:space="0"/>
            </w:tcBorders>
            <w:vAlign w:val="center"/>
          </w:tcPr>
          <w:p w14:paraId="4AE47C68">
            <w:pPr>
              <w:widowControl/>
              <w:spacing w:line="240" w:lineRule="auto"/>
              <w:ind w:firstLine="0" w:firstLineChars="0"/>
              <w:jc w:val="center"/>
              <w:rPr>
                <w:rFonts w:cs="Times New Roman"/>
                <w:kern w:val="0"/>
                <w:sz w:val="21"/>
              </w:rPr>
            </w:pPr>
            <w:r>
              <w:rPr>
                <w:rFonts w:cs="Times New Roman"/>
                <w:kern w:val="0"/>
                <w:sz w:val="21"/>
              </w:rPr>
              <w:t>60～40</w:t>
            </w:r>
          </w:p>
        </w:tc>
        <w:tc>
          <w:tcPr>
            <w:tcW w:w="1247" w:type="dxa"/>
            <w:tcBorders>
              <w:top w:val="single" w:color="auto" w:sz="4" w:space="0"/>
              <w:left w:val="nil"/>
              <w:bottom w:val="single" w:color="auto" w:sz="4" w:space="0"/>
              <w:right w:val="single" w:color="auto" w:sz="4" w:space="0"/>
            </w:tcBorders>
            <w:vAlign w:val="center"/>
          </w:tcPr>
          <w:p w14:paraId="2942A33F">
            <w:pPr>
              <w:widowControl/>
              <w:spacing w:line="240" w:lineRule="auto"/>
              <w:ind w:firstLine="0" w:firstLineChars="0"/>
              <w:jc w:val="center"/>
              <w:rPr>
                <w:rFonts w:cs="Times New Roman"/>
                <w:kern w:val="0"/>
                <w:sz w:val="21"/>
              </w:rPr>
            </w:pPr>
            <w:r>
              <w:rPr>
                <w:rFonts w:cs="Times New Roman"/>
                <w:kern w:val="0"/>
                <w:sz w:val="21"/>
              </w:rPr>
              <w:t>40～0</w:t>
            </w:r>
          </w:p>
        </w:tc>
      </w:tr>
      <w:tr w14:paraId="1367E27A">
        <w:tblPrEx>
          <w:tblCellMar>
            <w:top w:w="0" w:type="dxa"/>
            <w:left w:w="108" w:type="dxa"/>
            <w:bottom w:w="0" w:type="dxa"/>
            <w:right w:w="108" w:type="dxa"/>
          </w:tblCellMar>
        </w:tblPrEx>
        <w:trPr>
          <w:trHeight w:val="623" w:hRule="atLeast"/>
          <w:jc w:val="center"/>
        </w:trPr>
        <w:tc>
          <w:tcPr>
            <w:tcW w:w="409" w:type="dxa"/>
            <w:vMerge w:val="continue"/>
            <w:tcBorders>
              <w:left w:val="single" w:color="auto" w:sz="4" w:space="0"/>
              <w:right w:val="single" w:color="auto" w:sz="4" w:space="0"/>
            </w:tcBorders>
          </w:tcPr>
          <w:p w14:paraId="291F7E54">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right w:val="single" w:color="auto" w:sz="4" w:space="0"/>
            </w:tcBorders>
            <w:vAlign w:val="center"/>
          </w:tcPr>
          <w:p w14:paraId="04CAADD8">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6A124752">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2</w:t>
            </w:r>
            <w:r>
              <w:rPr>
                <w:rFonts w:cs="Times New Roman"/>
                <w:kern w:val="0"/>
                <w:sz w:val="21"/>
              </w:rPr>
              <w:t>)水生态文明建设重视度</w:t>
            </w:r>
          </w:p>
        </w:tc>
        <w:tc>
          <w:tcPr>
            <w:tcW w:w="993" w:type="dxa"/>
            <w:tcBorders>
              <w:top w:val="single" w:color="auto" w:sz="4" w:space="0"/>
              <w:left w:val="single" w:color="auto" w:sz="4" w:space="0"/>
              <w:bottom w:val="single" w:color="auto" w:sz="4" w:space="0"/>
              <w:right w:val="single" w:color="auto" w:sz="4" w:space="0"/>
            </w:tcBorders>
            <w:vAlign w:val="center"/>
          </w:tcPr>
          <w:p w14:paraId="07FD9534">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242BC7D0">
            <w:pPr>
              <w:widowControl/>
              <w:spacing w:line="240" w:lineRule="auto"/>
              <w:ind w:firstLine="0" w:firstLineChars="0"/>
              <w:jc w:val="center"/>
              <w:rPr>
                <w:rFonts w:cs="Times New Roman"/>
                <w:kern w:val="0"/>
                <w:sz w:val="21"/>
              </w:rPr>
            </w:pPr>
            <w:r>
              <w:rPr>
                <w:rFonts w:cs="Times New Roman"/>
                <w:kern w:val="0"/>
                <w:sz w:val="21"/>
              </w:rPr>
              <w:t>≥10</w:t>
            </w:r>
          </w:p>
        </w:tc>
        <w:tc>
          <w:tcPr>
            <w:tcW w:w="1140" w:type="dxa"/>
            <w:tcBorders>
              <w:top w:val="single" w:color="auto" w:sz="4" w:space="0"/>
              <w:left w:val="nil"/>
              <w:bottom w:val="single" w:color="auto" w:sz="4" w:space="0"/>
              <w:right w:val="single" w:color="auto" w:sz="4" w:space="0"/>
            </w:tcBorders>
            <w:vAlign w:val="center"/>
          </w:tcPr>
          <w:p w14:paraId="544FA9A7">
            <w:pPr>
              <w:widowControl/>
              <w:spacing w:line="240" w:lineRule="auto"/>
              <w:ind w:firstLine="0" w:firstLineChars="0"/>
              <w:jc w:val="center"/>
              <w:rPr>
                <w:rFonts w:cs="Times New Roman"/>
                <w:kern w:val="0"/>
                <w:sz w:val="21"/>
              </w:rPr>
            </w:pPr>
            <w:r>
              <w:rPr>
                <w:rFonts w:cs="Times New Roman"/>
                <w:kern w:val="0"/>
                <w:sz w:val="21"/>
              </w:rPr>
              <w:t>10～8</w:t>
            </w:r>
          </w:p>
        </w:tc>
        <w:tc>
          <w:tcPr>
            <w:tcW w:w="1275" w:type="dxa"/>
            <w:tcBorders>
              <w:top w:val="single" w:color="auto" w:sz="4" w:space="0"/>
              <w:left w:val="nil"/>
              <w:bottom w:val="single" w:color="auto" w:sz="4" w:space="0"/>
              <w:right w:val="single" w:color="auto" w:sz="4" w:space="0"/>
            </w:tcBorders>
            <w:vAlign w:val="center"/>
          </w:tcPr>
          <w:p w14:paraId="77BFE8EC">
            <w:pPr>
              <w:widowControl/>
              <w:spacing w:line="240" w:lineRule="auto"/>
              <w:ind w:firstLine="0" w:firstLineChars="0"/>
              <w:jc w:val="center"/>
              <w:rPr>
                <w:rFonts w:cs="Times New Roman"/>
                <w:kern w:val="0"/>
                <w:sz w:val="21"/>
              </w:rPr>
            </w:pPr>
            <w:r>
              <w:rPr>
                <w:rFonts w:cs="Times New Roman"/>
                <w:kern w:val="0"/>
                <w:sz w:val="21"/>
              </w:rPr>
              <w:t>8～5</w:t>
            </w:r>
          </w:p>
        </w:tc>
        <w:tc>
          <w:tcPr>
            <w:tcW w:w="1129" w:type="dxa"/>
            <w:tcBorders>
              <w:top w:val="single" w:color="auto" w:sz="4" w:space="0"/>
              <w:left w:val="nil"/>
              <w:bottom w:val="single" w:color="auto" w:sz="4" w:space="0"/>
              <w:right w:val="single" w:color="auto" w:sz="4" w:space="0"/>
            </w:tcBorders>
            <w:vAlign w:val="center"/>
          </w:tcPr>
          <w:p w14:paraId="4361DAF0">
            <w:pPr>
              <w:widowControl/>
              <w:spacing w:line="240" w:lineRule="auto"/>
              <w:ind w:firstLine="0" w:firstLineChars="0"/>
              <w:jc w:val="center"/>
              <w:rPr>
                <w:rFonts w:cs="Times New Roman"/>
                <w:kern w:val="0"/>
                <w:sz w:val="21"/>
              </w:rPr>
            </w:pPr>
            <w:r>
              <w:rPr>
                <w:rFonts w:cs="Times New Roman"/>
                <w:kern w:val="0"/>
                <w:sz w:val="21"/>
              </w:rPr>
              <w:t>5～3</w:t>
            </w:r>
          </w:p>
        </w:tc>
        <w:tc>
          <w:tcPr>
            <w:tcW w:w="1247" w:type="dxa"/>
            <w:tcBorders>
              <w:top w:val="single" w:color="auto" w:sz="4" w:space="0"/>
              <w:left w:val="nil"/>
              <w:bottom w:val="single" w:color="auto" w:sz="4" w:space="0"/>
              <w:right w:val="single" w:color="auto" w:sz="4" w:space="0"/>
            </w:tcBorders>
            <w:vAlign w:val="center"/>
          </w:tcPr>
          <w:p w14:paraId="4B06C33F">
            <w:pPr>
              <w:widowControl/>
              <w:spacing w:line="240" w:lineRule="auto"/>
              <w:ind w:firstLine="0" w:firstLineChars="0"/>
              <w:jc w:val="center"/>
              <w:rPr>
                <w:rFonts w:cs="Times New Roman"/>
                <w:kern w:val="0"/>
                <w:sz w:val="21"/>
              </w:rPr>
            </w:pPr>
            <w:r>
              <w:rPr>
                <w:rFonts w:cs="Times New Roman"/>
                <w:kern w:val="0"/>
                <w:sz w:val="21"/>
              </w:rPr>
              <w:t>3～0</w:t>
            </w:r>
          </w:p>
        </w:tc>
      </w:tr>
      <w:tr w14:paraId="238D69C7">
        <w:tblPrEx>
          <w:tblCellMar>
            <w:top w:w="0" w:type="dxa"/>
            <w:left w:w="108" w:type="dxa"/>
            <w:bottom w:w="0" w:type="dxa"/>
            <w:right w:w="108" w:type="dxa"/>
          </w:tblCellMar>
        </w:tblPrEx>
        <w:trPr>
          <w:trHeight w:val="642" w:hRule="atLeast"/>
          <w:jc w:val="center"/>
        </w:trPr>
        <w:tc>
          <w:tcPr>
            <w:tcW w:w="409" w:type="dxa"/>
            <w:vMerge w:val="continue"/>
            <w:tcBorders>
              <w:left w:val="single" w:color="auto" w:sz="4" w:space="0"/>
              <w:right w:val="single" w:color="auto" w:sz="4" w:space="0"/>
            </w:tcBorders>
          </w:tcPr>
          <w:p w14:paraId="5ACF4A1C">
            <w:pPr>
              <w:widowControl/>
              <w:spacing w:line="240" w:lineRule="auto"/>
              <w:ind w:firstLine="0" w:firstLineChars="0"/>
              <w:jc w:val="left"/>
              <w:rPr>
                <w:rFonts w:cs="Times New Roman"/>
                <w:b/>
                <w:bCs/>
                <w:kern w:val="0"/>
                <w:sz w:val="21"/>
              </w:rPr>
            </w:pPr>
          </w:p>
        </w:tc>
        <w:tc>
          <w:tcPr>
            <w:tcW w:w="409" w:type="dxa"/>
            <w:vMerge w:val="restart"/>
            <w:tcBorders>
              <w:top w:val="single" w:color="auto" w:sz="4" w:space="0"/>
              <w:left w:val="single" w:color="auto" w:sz="4" w:space="0"/>
              <w:right w:val="single" w:color="auto" w:sz="4" w:space="0"/>
            </w:tcBorders>
            <w:vAlign w:val="center"/>
          </w:tcPr>
          <w:p w14:paraId="24102328">
            <w:pPr>
              <w:widowControl/>
              <w:spacing w:line="240" w:lineRule="auto"/>
              <w:ind w:firstLine="0" w:firstLineChars="0"/>
              <w:jc w:val="left"/>
              <w:rPr>
                <w:rFonts w:cs="Times New Roman"/>
                <w:b/>
                <w:bCs/>
                <w:kern w:val="0"/>
                <w:sz w:val="21"/>
              </w:rPr>
            </w:pPr>
            <w:r>
              <w:rPr>
                <w:rFonts w:cs="Times New Roman"/>
                <w:b/>
                <w:bCs/>
                <w:kern w:val="0"/>
                <w:sz w:val="21"/>
              </w:rPr>
              <w:t>水文化</w:t>
            </w:r>
          </w:p>
        </w:tc>
        <w:tc>
          <w:tcPr>
            <w:tcW w:w="1706" w:type="dxa"/>
            <w:tcBorders>
              <w:top w:val="single" w:color="auto" w:sz="4" w:space="0"/>
              <w:left w:val="nil"/>
              <w:bottom w:val="single" w:color="auto" w:sz="4" w:space="0"/>
              <w:right w:val="single" w:color="auto" w:sz="4" w:space="0"/>
            </w:tcBorders>
            <w:vAlign w:val="center"/>
          </w:tcPr>
          <w:p w14:paraId="1592370A">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3</w:t>
            </w:r>
            <w:r>
              <w:rPr>
                <w:rFonts w:cs="Times New Roman"/>
                <w:kern w:val="0"/>
                <w:sz w:val="21"/>
              </w:rPr>
              <w:t>)水文化传承载体数量</w:t>
            </w:r>
          </w:p>
        </w:tc>
        <w:tc>
          <w:tcPr>
            <w:tcW w:w="993" w:type="dxa"/>
            <w:tcBorders>
              <w:top w:val="single" w:color="auto" w:sz="4" w:space="0"/>
              <w:left w:val="single" w:color="auto" w:sz="4" w:space="0"/>
              <w:bottom w:val="single" w:color="auto" w:sz="4" w:space="0"/>
              <w:right w:val="single" w:color="auto" w:sz="4" w:space="0"/>
            </w:tcBorders>
            <w:vAlign w:val="center"/>
          </w:tcPr>
          <w:p w14:paraId="52CAC2D9">
            <w:pPr>
              <w:widowControl/>
              <w:spacing w:line="240" w:lineRule="auto"/>
              <w:ind w:firstLine="0" w:firstLineChars="0"/>
              <w:jc w:val="center"/>
              <w:rPr>
                <w:rFonts w:cs="Times New Roman"/>
                <w:kern w:val="0"/>
                <w:sz w:val="21"/>
              </w:rPr>
            </w:pPr>
            <w:r>
              <w:rPr>
                <w:rFonts w:cs="Times New Roman"/>
                <w:kern w:val="0"/>
                <w:sz w:val="21"/>
              </w:rPr>
              <w:t>个</w:t>
            </w:r>
          </w:p>
        </w:tc>
        <w:tc>
          <w:tcPr>
            <w:tcW w:w="1128" w:type="dxa"/>
            <w:tcBorders>
              <w:top w:val="single" w:color="auto" w:sz="4" w:space="0"/>
              <w:left w:val="single" w:color="auto" w:sz="4" w:space="0"/>
              <w:bottom w:val="single" w:color="auto" w:sz="4" w:space="0"/>
              <w:right w:val="single" w:color="auto" w:sz="4" w:space="0"/>
            </w:tcBorders>
            <w:vAlign w:val="center"/>
          </w:tcPr>
          <w:p w14:paraId="67926686">
            <w:pPr>
              <w:widowControl/>
              <w:spacing w:line="240" w:lineRule="auto"/>
              <w:ind w:firstLine="0" w:firstLineChars="0"/>
              <w:jc w:val="center"/>
              <w:rPr>
                <w:rFonts w:cs="Times New Roman"/>
                <w:kern w:val="0"/>
                <w:sz w:val="21"/>
              </w:rPr>
            </w:pPr>
            <w:r>
              <w:rPr>
                <w:rFonts w:cs="Times New Roman"/>
                <w:kern w:val="0"/>
                <w:sz w:val="21"/>
              </w:rPr>
              <w:t>≥8</w:t>
            </w:r>
          </w:p>
        </w:tc>
        <w:tc>
          <w:tcPr>
            <w:tcW w:w="1140" w:type="dxa"/>
            <w:tcBorders>
              <w:top w:val="single" w:color="auto" w:sz="4" w:space="0"/>
              <w:left w:val="nil"/>
              <w:bottom w:val="single" w:color="auto" w:sz="4" w:space="0"/>
              <w:right w:val="single" w:color="auto" w:sz="4" w:space="0"/>
            </w:tcBorders>
            <w:vAlign w:val="center"/>
          </w:tcPr>
          <w:p w14:paraId="471903A3">
            <w:pPr>
              <w:widowControl/>
              <w:spacing w:line="240" w:lineRule="auto"/>
              <w:ind w:firstLine="0" w:firstLineChars="0"/>
              <w:jc w:val="center"/>
              <w:rPr>
                <w:rFonts w:cs="Times New Roman"/>
                <w:kern w:val="0"/>
                <w:sz w:val="21"/>
              </w:rPr>
            </w:pPr>
            <w:r>
              <w:rPr>
                <w:rFonts w:cs="Times New Roman"/>
                <w:kern w:val="0"/>
                <w:sz w:val="21"/>
              </w:rPr>
              <w:t>7～6</w:t>
            </w:r>
          </w:p>
        </w:tc>
        <w:tc>
          <w:tcPr>
            <w:tcW w:w="1275" w:type="dxa"/>
            <w:tcBorders>
              <w:top w:val="single" w:color="auto" w:sz="4" w:space="0"/>
              <w:left w:val="nil"/>
              <w:bottom w:val="single" w:color="auto" w:sz="4" w:space="0"/>
              <w:right w:val="single" w:color="auto" w:sz="4" w:space="0"/>
            </w:tcBorders>
            <w:vAlign w:val="center"/>
          </w:tcPr>
          <w:p w14:paraId="6066DA5F">
            <w:pPr>
              <w:widowControl/>
              <w:spacing w:line="240" w:lineRule="auto"/>
              <w:ind w:firstLine="0" w:firstLineChars="0"/>
              <w:jc w:val="center"/>
              <w:rPr>
                <w:rFonts w:cs="Times New Roman"/>
                <w:kern w:val="0"/>
                <w:sz w:val="21"/>
              </w:rPr>
            </w:pPr>
            <w:r>
              <w:rPr>
                <w:rFonts w:cs="Times New Roman"/>
                <w:kern w:val="0"/>
                <w:sz w:val="21"/>
              </w:rPr>
              <w:t>5～3</w:t>
            </w:r>
          </w:p>
        </w:tc>
        <w:tc>
          <w:tcPr>
            <w:tcW w:w="1129" w:type="dxa"/>
            <w:tcBorders>
              <w:top w:val="single" w:color="auto" w:sz="4" w:space="0"/>
              <w:left w:val="nil"/>
              <w:bottom w:val="single" w:color="auto" w:sz="4" w:space="0"/>
              <w:right w:val="single" w:color="auto" w:sz="4" w:space="0"/>
            </w:tcBorders>
            <w:vAlign w:val="center"/>
          </w:tcPr>
          <w:p w14:paraId="3FB7A84E">
            <w:pPr>
              <w:widowControl/>
              <w:spacing w:line="240" w:lineRule="auto"/>
              <w:ind w:firstLine="0" w:firstLineChars="0"/>
              <w:jc w:val="center"/>
              <w:rPr>
                <w:rFonts w:cs="Times New Roman"/>
                <w:kern w:val="0"/>
                <w:sz w:val="21"/>
              </w:rPr>
            </w:pPr>
            <w:r>
              <w:rPr>
                <w:rFonts w:cs="Times New Roman"/>
                <w:kern w:val="0"/>
                <w:sz w:val="21"/>
              </w:rPr>
              <w:t>2～1</w:t>
            </w:r>
          </w:p>
        </w:tc>
        <w:tc>
          <w:tcPr>
            <w:tcW w:w="1247" w:type="dxa"/>
            <w:tcBorders>
              <w:top w:val="single" w:color="auto" w:sz="4" w:space="0"/>
              <w:left w:val="nil"/>
              <w:bottom w:val="single" w:color="auto" w:sz="4" w:space="0"/>
              <w:right w:val="single" w:color="auto" w:sz="4" w:space="0"/>
            </w:tcBorders>
            <w:vAlign w:val="center"/>
          </w:tcPr>
          <w:p w14:paraId="19196A18">
            <w:pPr>
              <w:widowControl/>
              <w:spacing w:line="240" w:lineRule="auto"/>
              <w:ind w:firstLine="0" w:firstLineChars="0"/>
              <w:jc w:val="center"/>
              <w:rPr>
                <w:rFonts w:cs="Times New Roman"/>
                <w:kern w:val="0"/>
                <w:sz w:val="21"/>
              </w:rPr>
            </w:pPr>
            <w:r>
              <w:rPr>
                <w:rFonts w:cs="Times New Roman"/>
                <w:kern w:val="0"/>
                <w:sz w:val="21"/>
              </w:rPr>
              <w:t>0</w:t>
            </w:r>
          </w:p>
        </w:tc>
      </w:tr>
      <w:tr w14:paraId="55A2A002">
        <w:tblPrEx>
          <w:tblCellMar>
            <w:top w:w="0" w:type="dxa"/>
            <w:left w:w="108" w:type="dxa"/>
            <w:bottom w:w="0" w:type="dxa"/>
            <w:right w:w="108" w:type="dxa"/>
          </w:tblCellMar>
        </w:tblPrEx>
        <w:trPr>
          <w:trHeight w:val="566" w:hRule="atLeast"/>
          <w:jc w:val="center"/>
        </w:trPr>
        <w:tc>
          <w:tcPr>
            <w:tcW w:w="409" w:type="dxa"/>
            <w:vMerge w:val="continue"/>
            <w:tcBorders>
              <w:left w:val="single" w:color="auto" w:sz="4" w:space="0"/>
              <w:right w:val="single" w:color="auto" w:sz="4" w:space="0"/>
            </w:tcBorders>
          </w:tcPr>
          <w:p w14:paraId="03F6BBE6">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right w:val="single" w:color="auto" w:sz="4" w:space="0"/>
            </w:tcBorders>
            <w:vAlign w:val="center"/>
          </w:tcPr>
          <w:p w14:paraId="6DDD2006">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7F9EBC70">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4</w:t>
            </w:r>
            <w:r>
              <w:rPr>
                <w:rFonts w:cs="Times New Roman"/>
                <w:kern w:val="0"/>
                <w:sz w:val="21"/>
              </w:rPr>
              <w:t>)水生态文明建设公众认知度</w:t>
            </w:r>
          </w:p>
        </w:tc>
        <w:tc>
          <w:tcPr>
            <w:tcW w:w="993" w:type="dxa"/>
            <w:tcBorders>
              <w:top w:val="single" w:color="auto" w:sz="4" w:space="0"/>
              <w:left w:val="single" w:color="auto" w:sz="4" w:space="0"/>
              <w:bottom w:val="single" w:color="auto" w:sz="4" w:space="0"/>
              <w:right w:val="single" w:color="auto" w:sz="4" w:space="0"/>
            </w:tcBorders>
            <w:vAlign w:val="center"/>
          </w:tcPr>
          <w:p w14:paraId="6FE33FAD">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4F9350FD">
            <w:pPr>
              <w:widowControl/>
              <w:spacing w:line="240" w:lineRule="auto"/>
              <w:ind w:firstLine="0" w:firstLineChars="0"/>
              <w:jc w:val="center"/>
              <w:rPr>
                <w:rFonts w:cs="Times New Roman"/>
                <w:kern w:val="0"/>
                <w:sz w:val="21"/>
              </w:rPr>
            </w:pPr>
            <w:r>
              <w:rPr>
                <w:rFonts w:cs="Times New Roman"/>
                <w:kern w:val="0"/>
                <w:sz w:val="21"/>
              </w:rPr>
              <w:t>≥20</w:t>
            </w:r>
          </w:p>
        </w:tc>
        <w:tc>
          <w:tcPr>
            <w:tcW w:w="1140" w:type="dxa"/>
            <w:tcBorders>
              <w:top w:val="single" w:color="auto" w:sz="4" w:space="0"/>
              <w:left w:val="nil"/>
              <w:bottom w:val="single" w:color="auto" w:sz="4" w:space="0"/>
              <w:right w:val="single" w:color="auto" w:sz="4" w:space="0"/>
            </w:tcBorders>
            <w:vAlign w:val="center"/>
          </w:tcPr>
          <w:p w14:paraId="34845435">
            <w:pPr>
              <w:widowControl/>
              <w:spacing w:line="240" w:lineRule="auto"/>
              <w:ind w:firstLine="0" w:firstLineChars="0"/>
              <w:jc w:val="center"/>
              <w:rPr>
                <w:rFonts w:cs="Times New Roman"/>
                <w:kern w:val="0"/>
                <w:sz w:val="21"/>
              </w:rPr>
            </w:pPr>
            <w:r>
              <w:rPr>
                <w:rFonts w:cs="Times New Roman"/>
                <w:kern w:val="0"/>
                <w:sz w:val="21"/>
              </w:rPr>
              <w:t>20～15</w:t>
            </w:r>
          </w:p>
        </w:tc>
        <w:tc>
          <w:tcPr>
            <w:tcW w:w="1275" w:type="dxa"/>
            <w:tcBorders>
              <w:top w:val="single" w:color="auto" w:sz="4" w:space="0"/>
              <w:left w:val="nil"/>
              <w:bottom w:val="single" w:color="auto" w:sz="4" w:space="0"/>
              <w:right w:val="single" w:color="auto" w:sz="4" w:space="0"/>
            </w:tcBorders>
            <w:vAlign w:val="center"/>
          </w:tcPr>
          <w:p w14:paraId="45BEEB15">
            <w:pPr>
              <w:widowControl/>
              <w:spacing w:line="240" w:lineRule="auto"/>
              <w:ind w:firstLine="0" w:firstLineChars="0"/>
              <w:jc w:val="center"/>
              <w:rPr>
                <w:rFonts w:cs="Times New Roman"/>
                <w:kern w:val="0"/>
                <w:sz w:val="21"/>
              </w:rPr>
            </w:pPr>
            <w:r>
              <w:rPr>
                <w:rFonts w:cs="Times New Roman"/>
                <w:kern w:val="0"/>
                <w:sz w:val="21"/>
              </w:rPr>
              <w:t>15～10</w:t>
            </w:r>
          </w:p>
        </w:tc>
        <w:tc>
          <w:tcPr>
            <w:tcW w:w="1129" w:type="dxa"/>
            <w:tcBorders>
              <w:top w:val="single" w:color="auto" w:sz="4" w:space="0"/>
              <w:left w:val="nil"/>
              <w:bottom w:val="single" w:color="auto" w:sz="4" w:space="0"/>
              <w:right w:val="single" w:color="auto" w:sz="4" w:space="0"/>
            </w:tcBorders>
            <w:vAlign w:val="center"/>
          </w:tcPr>
          <w:p w14:paraId="00BBF8C2">
            <w:pPr>
              <w:widowControl/>
              <w:spacing w:line="240" w:lineRule="auto"/>
              <w:ind w:firstLine="0" w:firstLineChars="0"/>
              <w:jc w:val="center"/>
              <w:rPr>
                <w:rFonts w:cs="Times New Roman"/>
                <w:kern w:val="0"/>
                <w:sz w:val="21"/>
              </w:rPr>
            </w:pPr>
            <w:r>
              <w:rPr>
                <w:rFonts w:cs="Times New Roman"/>
                <w:kern w:val="0"/>
                <w:sz w:val="21"/>
              </w:rPr>
              <w:t>10～5</w:t>
            </w:r>
          </w:p>
        </w:tc>
        <w:tc>
          <w:tcPr>
            <w:tcW w:w="1247" w:type="dxa"/>
            <w:tcBorders>
              <w:top w:val="single" w:color="auto" w:sz="4" w:space="0"/>
              <w:left w:val="nil"/>
              <w:bottom w:val="single" w:color="auto" w:sz="4" w:space="0"/>
              <w:right w:val="single" w:color="auto" w:sz="4" w:space="0"/>
            </w:tcBorders>
            <w:vAlign w:val="center"/>
          </w:tcPr>
          <w:p w14:paraId="3000BC18">
            <w:pPr>
              <w:widowControl/>
              <w:spacing w:line="240" w:lineRule="auto"/>
              <w:ind w:firstLine="0" w:firstLineChars="0"/>
              <w:jc w:val="center"/>
              <w:rPr>
                <w:rFonts w:cs="Times New Roman"/>
                <w:kern w:val="0"/>
                <w:sz w:val="21"/>
              </w:rPr>
            </w:pPr>
            <w:r>
              <w:rPr>
                <w:rFonts w:cs="Times New Roman"/>
                <w:kern w:val="0"/>
                <w:sz w:val="21"/>
              </w:rPr>
              <w:t>5～0</w:t>
            </w:r>
          </w:p>
        </w:tc>
      </w:tr>
      <w:tr w14:paraId="057BED62">
        <w:tblPrEx>
          <w:tblCellMar>
            <w:top w:w="0" w:type="dxa"/>
            <w:left w:w="108" w:type="dxa"/>
            <w:bottom w:w="0" w:type="dxa"/>
            <w:right w:w="108" w:type="dxa"/>
          </w:tblCellMar>
        </w:tblPrEx>
        <w:trPr>
          <w:trHeight w:val="546" w:hRule="atLeast"/>
          <w:jc w:val="center"/>
        </w:trPr>
        <w:tc>
          <w:tcPr>
            <w:tcW w:w="409" w:type="dxa"/>
            <w:vMerge w:val="continue"/>
            <w:tcBorders>
              <w:left w:val="single" w:color="auto" w:sz="4" w:space="0"/>
              <w:bottom w:val="single" w:color="auto" w:sz="4" w:space="0"/>
              <w:right w:val="single" w:color="auto" w:sz="4" w:space="0"/>
            </w:tcBorders>
          </w:tcPr>
          <w:p w14:paraId="64860120">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bottom w:val="single" w:color="auto" w:sz="4" w:space="0"/>
              <w:right w:val="single" w:color="auto" w:sz="4" w:space="0"/>
            </w:tcBorders>
            <w:vAlign w:val="center"/>
          </w:tcPr>
          <w:p w14:paraId="714DC573">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655003BE">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5</w:t>
            </w:r>
            <w:r>
              <w:rPr>
                <w:rFonts w:cs="Times New Roman"/>
                <w:kern w:val="0"/>
                <w:sz w:val="21"/>
              </w:rPr>
              <w:t>)水生态环境质量公众满意度</w:t>
            </w:r>
          </w:p>
        </w:tc>
        <w:tc>
          <w:tcPr>
            <w:tcW w:w="993" w:type="dxa"/>
            <w:tcBorders>
              <w:top w:val="single" w:color="auto" w:sz="4" w:space="0"/>
              <w:left w:val="single" w:color="auto" w:sz="4" w:space="0"/>
              <w:bottom w:val="single" w:color="auto" w:sz="4" w:space="0"/>
              <w:right w:val="single" w:color="auto" w:sz="4" w:space="0"/>
            </w:tcBorders>
            <w:vAlign w:val="center"/>
          </w:tcPr>
          <w:p w14:paraId="2DEC499B">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5F5900C1">
            <w:pPr>
              <w:widowControl/>
              <w:spacing w:line="240" w:lineRule="auto"/>
              <w:ind w:firstLine="0" w:firstLineChars="0"/>
              <w:jc w:val="center"/>
              <w:rPr>
                <w:rFonts w:cs="Times New Roman"/>
                <w:kern w:val="0"/>
                <w:sz w:val="21"/>
              </w:rPr>
            </w:pPr>
            <w:r>
              <w:rPr>
                <w:rFonts w:cs="Times New Roman"/>
                <w:kern w:val="0"/>
                <w:sz w:val="21"/>
              </w:rPr>
              <w:t>100～90</w:t>
            </w:r>
          </w:p>
        </w:tc>
        <w:tc>
          <w:tcPr>
            <w:tcW w:w="1140" w:type="dxa"/>
            <w:tcBorders>
              <w:top w:val="single" w:color="auto" w:sz="4" w:space="0"/>
              <w:left w:val="nil"/>
              <w:bottom w:val="single" w:color="auto" w:sz="4" w:space="0"/>
              <w:right w:val="single" w:color="auto" w:sz="4" w:space="0"/>
            </w:tcBorders>
            <w:vAlign w:val="center"/>
          </w:tcPr>
          <w:p w14:paraId="7E30FA49">
            <w:pPr>
              <w:widowControl/>
              <w:spacing w:line="240" w:lineRule="auto"/>
              <w:ind w:firstLine="0" w:firstLineChars="0"/>
              <w:jc w:val="center"/>
              <w:rPr>
                <w:rFonts w:cs="Times New Roman"/>
                <w:kern w:val="0"/>
                <w:sz w:val="21"/>
              </w:rPr>
            </w:pPr>
            <w:r>
              <w:rPr>
                <w:rFonts w:cs="Times New Roman"/>
                <w:kern w:val="0"/>
                <w:sz w:val="21"/>
              </w:rPr>
              <w:t>90～80</w:t>
            </w:r>
          </w:p>
        </w:tc>
        <w:tc>
          <w:tcPr>
            <w:tcW w:w="1275" w:type="dxa"/>
            <w:tcBorders>
              <w:top w:val="single" w:color="auto" w:sz="4" w:space="0"/>
              <w:left w:val="nil"/>
              <w:bottom w:val="single" w:color="auto" w:sz="4" w:space="0"/>
              <w:right w:val="single" w:color="auto" w:sz="4" w:space="0"/>
            </w:tcBorders>
            <w:vAlign w:val="center"/>
          </w:tcPr>
          <w:p w14:paraId="3B6E4CEB">
            <w:pPr>
              <w:widowControl/>
              <w:spacing w:line="240" w:lineRule="auto"/>
              <w:ind w:firstLine="0" w:firstLineChars="0"/>
              <w:jc w:val="center"/>
              <w:rPr>
                <w:rFonts w:cs="Times New Roman"/>
                <w:kern w:val="0"/>
                <w:sz w:val="21"/>
              </w:rPr>
            </w:pPr>
            <w:r>
              <w:rPr>
                <w:rFonts w:cs="Times New Roman"/>
                <w:kern w:val="0"/>
                <w:sz w:val="21"/>
              </w:rPr>
              <w:t>80～60</w:t>
            </w:r>
          </w:p>
        </w:tc>
        <w:tc>
          <w:tcPr>
            <w:tcW w:w="1129" w:type="dxa"/>
            <w:tcBorders>
              <w:top w:val="single" w:color="auto" w:sz="4" w:space="0"/>
              <w:left w:val="nil"/>
              <w:bottom w:val="single" w:color="auto" w:sz="4" w:space="0"/>
              <w:right w:val="single" w:color="auto" w:sz="4" w:space="0"/>
            </w:tcBorders>
            <w:vAlign w:val="center"/>
          </w:tcPr>
          <w:p w14:paraId="583CED45">
            <w:pPr>
              <w:widowControl/>
              <w:spacing w:line="240" w:lineRule="auto"/>
              <w:ind w:firstLine="0" w:firstLineChars="0"/>
              <w:jc w:val="center"/>
              <w:rPr>
                <w:rFonts w:cs="Times New Roman"/>
                <w:kern w:val="0"/>
                <w:sz w:val="21"/>
              </w:rPr>
            </w:pPr>
            <w:r>
              <w:rPr>
                <w:rFonts w:cs="Times New Roman"/>
                <w:kern w:val="0"/>
                <w:sz w:val="21"/>
              </w:rPr>
              <w:t>60～50</w:t>
            </w:r>
          </w:p>
        </w:tc>
        <w:tc>
          <w:tcPr>
            <w:tcW w:w="1247" w:type="dxa"/>
            <w:tcBorders>
              <w:top w:val="single" w:color="auto" w:sz="4" w:space="0"/>
              <w:left w:val="nil"/>
              <w:bottom w:val="single" w:color="auto" w:sz="4" w:space="0"/>
              <w:right w:val="single" w:color="auto" w:sz="4" w:space="0"/>
            </w:tcBorders>
            <w:vAlign w:val="center"/>
          </w:tcPr>
          <w:p w14:paraId="0B575007">
            <w:pPr>
              <w:widowControl/>
              <w:spacing w:line="240" w:lineRule="auto"/>
              <w:ind w:firstLine="0" w:firstLineChars="0"/>
              <w:jc w:val="center"/>
              <w:rPr>
                <w:rFonts w:cs="Times New Roman"/>
                <w:kern w:val="0"/>
                <w:sz w:val="21"/>
              </w:rPr>
            </w:pPr>
            <w:r>
              <w:rPr>
                <w:rFonts w:cs="Times New Roman"/>
                <w:kern w:val="0"/>
                <w:sz w:val="21"/>
              </w:rPr>
              <w:t>50～0</w:t>
            </w:r>
          </w:p>
        </w:tc>
      </w:tr>
      <w:tr w14:paraId="2CB41E55">
        <w:tblPrEx>
          <w:tblCellMar>
            <w:top w:w="0" w:type="dxa"/>
            <w:left w:w="108" w:type="dxa"/>
            <w:bottom w:w="0" w:type="dxa"/>
            <w:right w:w="108" w:type="dxa"/>
          </w:tblCellMar>
        </w:tblPrEx>
        <w:trPr>
          <w:trHeight w:val="568" w:hRule="atLeast"/>
          <w:jc w:val="center"/>
        </w:trPr>
        <w:tc>
          <w:tcPr>
            <w:tcW w:w="409" w:type="dxa"/>
            <w:vMerge w:val="continue"/>
            <w:tcBorders>
              <w:top w:val="single" w:color="auto" w:sz="4" w:space="0"/>
              <w:left w:val="single" w:color="auto" w:sz="4" w:space="0"/>
              <w:bottom w:val="single" w:color="auto" w:sz="4" w:space="0"/>
              <w:right w:val="single" w:color="auto" w:sz="4" w:space="0"/>
            </w:tcBorders>
            <w:vAlign w:val="center"/>
          </w:tcPr>
          <w:p w14:paraId="6B9A59BF">
            <w:pPr>
              <w:widowControl/>
              <w:spacing w:line="240" w:lineRule="auto"/>
              <w:ind w:firstLine="0" w:firstLineChars="0"/>
              <w:jc w:val="center"/>
              <w:rPr>
                <w:rFonts w:cs="Times New Roman"/>
                <w:b/>
                <w:bCs/>
                <w:kern w:val="0"/>
                <w:sz w:val="21"/>
              </w:rPr>
            </w:pPr>
          </w:p>
        </w:tc>
        <w:tc>
          <w:tcPr>
            <w:tcW w:w="409" w:type="dxa"/>
            <w:vMerge w:val="restart"/>
            <w:tcBorders>
              <w:top w:val="single" w:color="auto" w:sz="4" w:space="0"/>
              <w:left w:val="single" w:color="auto" w:sz="4" w:space="0"/>
              <w:right w:val="single" w:color="auto" w:sz="4" w:space="0"/>
            </w:tcBorders>
            <w:vAlign w:val="center"/>
          </w:tcPr>
          <w:p w14:paraId="0D83BB8A">
            <w:pPr>
              <w:widowControl/>
              <w:spacing w:line="240" w:lineRule="auto"/>
              <w:ind w:firstLine="0" w:firstLineChars="0"/>
              <w:jc w:val="center"/>
              <w:rPr>
                <w:rFonts w:cs="Times New Roman"/>
                <w:b/>
                <w:bCs/>
                <w:kern w:val="0"/>
                <w:sz w:val="21"/>
              </w:rPr>
            </w:pPr>
            <w:r>
              <w:rPr>
                <w:rFonts w:cs="Times New Roman"/>
                <w:b/>
                <w:bCs/>
                <w:kern w:val="0"/>
                <w:sz w:val="21"/>
              </w:rPr>
              <w:t>东南沿海地区</w:t>
            </w:r>
          </w:p>
        </w:tc>
        <w:tc>
          <w:tcPr>
            <w:tcW w:w="1706" w:type="dxa"/>
            <w:tcBorders>
              <w:top w:val="single" w:color="auto" w:sz="4" w:space="0"/>
              <w:left w:val="nil"/>
              <w:bottom w:val="single" w:color="auto" w:sz="4" w:space="0"/>
              <w:right w:val="single" w:color="auto" w:sz="4" w:space="0"/>
            </w:tcBorders>
            <w:vAlign w:val="center"/>
          </w:tcPr>
          <w:p w14:paraId="5F3BF47E">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6</w:t>
            </w:r>
            <w:r>
              <w:rPr>
                <w:rFonts w:cs="Times New Roman"/>
                <w:kern w:val="0"/>
                <w:sz w:val="21"/>
              </w:rPr>
              <w:t>)水功能区限制纳污控制率</w:t>
            </w:r>
          </w:p>
        </w:tc>
        <w:tc>
          <w:tcPr>
            <w:tcW w:w="993" w:type="dxa"/>
            <w:tcBorders>
              <w:top w:val="single" w:color="auto" w:sz="4" w:space="0"/>
              <w:left w:val="single" w:color="auto" w:sz="4" w:space="0"/>
              <w:bottom w:val="single" w:color="auto" w:sz="4" w:space="0"/>
              <w:right w:val="single" w:color="auto" w:sz="4" w:space="0"/>
            </w:tcBorders>
            <w:vAlign w:val="center"/>
          </w:tcPr>
          <w:p w14:paraId="5D642B74">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7E5B8B58">
            <w:pPr>
              <w:widowControl/>
              <w:spacing w:line="240" w:lineRule="auto"/>
              <w:ind w:firstLine="0" w:firstLineChars="0"/>
              <w:jc w:val="center"/>
              <w:rPr>
                <w:rFonts w:cs="Times New Roman"/>
                <w:kern w:val="0"/>
                <w:sz w:val="21"/>
              </w:rPr>
            </w:pPr>
            <w:r>
              <w:rPr>
                <w:rFonts w:cs="Times New Roman"/>
                <w:kern w:val="0"/>
                <w:sz w:val="21"/>
              </w:rPr>
              <w:t>100</w:t>
            </w:r>
          </w:p>
        </w:tc>
        <w:tc>
          <w:tcPr>
            <w:tcW w:w="1140" w:type="dxa"/>
            <w:tcBorders>
              <w:top w:val="single" w:color="auto" w:sz="4" w:space="0"/>
              <w:left w:val="nil"/>
              <w:bottom w:val="single" w:color="auto" w:sz="4" w:space="0"/>
              <w:right w:val="single" w:color="auto" w:sz="4" w:space="0"/>
            </w:tcBorders>
            <w:vAlign w:val="center"/>
          </w:tcPr>
          <w:p w14:paraId="4D3F6ECE">
            <w:pPr>
              <w:widowControl/>
              <w:spacing w:line="240" w:lineRule="auto"/>
              <w:ind w:firstLine="0" w:firstLineChars="0"/>
              <w:jc w:val="center"/>
              <w:rPr>
                <w:rFonts w:cs="Times New Roman"/>
                <w:kern w:val="0"/>
                <w:sz w:val="21"/>
              </w:rPr>
            </w:pPr>
            <w:r>
              <w:rPr>
                <w:rFonts w:cs="Times New Roman"/>
                <w:kern w:val="0"/>
                <w:sz w:val="21"/>
              </w:rPr>
              <w:t>100-80</w:t>
            </w:r>
          </w:p>
        </w:tc>
        <w:tc>
          <w:tcPr>
            <w:tcW w:w="1275" w:type="dxa"/>
            <w:tcBorders>
              <w:top w:val="single" w:color="auto" w:sz="4" w:space="0"/>
              <w:left w:val="nil"/>
              <w:bottom w:val="single" w:color="auto" w:sz="4" w:space="0"/>
              <w:right w:val="single" w:color="auto" w:sz="4" w:space="0"/>
            </w:tcBorders>
            <w:vAlign w:val="center"/>
          </w:tcPr>
          <w:p w14:paraId="579304FA">
            <w:pPr>
              <w:widowControl/>
              <w:spacing w:line="240" w:lineRule="auto"/>
              <w:ind w:firstLine="0" w:firstLineChars="0"/>
              <w:jc w:val="center"/>
              <w:rPr>
                <w:rFonts w:cs="Times New Roman"/>
                <w:kern w:val="0"/>
                <w:sz w:val="21"/>
              </w:rPr>
            </w:pPr>
            <w:r>
              <w:rPr>
                <w:rFonts w:cs="Times New Roman"/>
                <w:kern w:val="0"/>
                <w:sz w:val="21"/>
              </w:rPr>
              <w:t>80-60</w:t>
            </w:r>
          </w:p>
        </w:tc>
        <w:tc>
          <w:tcPr>
            <w:tcW w:w="1129" w:type="dxa"/>
            <w:tcBorders>
              <w:top w:val="single" w:color="auto" w:sz="4" w:space="0"/>
              <w:left w:val="nil"/>
              <w:bottom w:val="single" w:color="auto" w:sz="4" w:space="0"/>
              <w:right w:val="single" w:color="auto" w:sz="4" w:space="0"/>
            </w:tcBorders>
            <w:vAlign w:val="center"/>
          </w:tcPr>
          <w:p w14:paraId="2BCDFF40">
            <w:pPr>
              <w:widowControl/>
              <w:spacing w:line="240" w:lineRule="auto"/>
              <w:ind w:firstLine="0" w:firstLineChars="0"/>
              <w:jc w:val="center"/>
              <w:rPr>
                <w:rFonts w:cs="Times New Roman"/>
                <w:kern w:val="0"/>
                <w:sz w:val="21"/>
              </w:rPr>
            </w:pPr>
            <w:r>
              <w:rPr>
                <w:rFonts w:cs="Times New Roman"/>
                <w:kern w:val="0"/>
                <w:sz w:val="21"/>
              </w:rPr>
              <w:t>60-40</w:t>
            </w:r>
          </w:p>
        </w:tc>
        <w:tc>
          <w:tcPr>
            <w:tcW w:w="1247" w:type="dxa"/>
            <w:tcBorders>
              <w:top w:val="single" w:color="auto" w:sz="4" w:space="0"/>
              <w:left w:val="nil"/>
              <w:bottom w:val="single" w:color="auto" w:sz="4" w:space="0"/>
              <w:right w:val="single" w:color="auto" w:sz="4" w:space="0"/>
            </w:tcBorders>
            <w:vAlign w:val="center"/>
          </w:tcPr>
          <w:p w14:paraId="456092D5">
            <w:pPr>
              <w:widowControl/>
              <w:spacing w:line="240" w:lineRule="auto"/>
              <w:ind w:firstLine="0" w:firstLineChars="0"/>
              <w:jc w:val="center"/>
              <w:rPr>
                <w:rFonts w:cs="Times New Roman"/>
                <w:kern w:val="0"/>
                <w:sz w:val="21"/>
              </w:rPr>
            </w:pPr>
            <w:r>
              <w:rPr>
                <w:rFonts w:cs="Times New Roman"/>
                <w:kern w:val="0"/>
                <w:sz w:val="21"/>
              </w:rPr>
              <w:t>40-0</w:t>
            </w:r>
          </w:p>
        </w:tc>
      </w:tr>
      <w:tr w14:paraId="476DB855">
        <w:tblPrEx>
          <w:tblCellMar>
            <w:top w:w="0" w:type="dxa"/>
            <w:left w:w="108" w:type="dxa"/>
            <w:bottom w:w="0" w:type="dxa"/>
            <w:right w:w="108" w:type="dxa"/>
          </w:tblCellMar>
        </w:tblPrEx>
        <w:trPr>
          <w:trHeight w:val="454" w:hRule="atLeast"/>
          <w:jc w:val="center"/>
        </w:trPr>
        <w:tc>
          <w:tcPr>
            <w:tcW w:w="409" w:type="dxa"/>
            <w:vMerge w:val="continue"/>
            <w:tcBorders>
              <w:top w:val="single" w:color="auto" w:sz="4" w:space="0"/>
              <w:left w:val="single" w:color="auto" w:sz="4" w:space="0"/>
              <w:bottom w:val="single" w:color="auto" w:sz="4" w:space="0"/>
              <w:right w:val="single" w:color="auto" w:sz="4" w:space="0"/>
            </w:tcBorders>
            <w:vAlign w:val="center"/>
          </w:tcPr>
          <w:p w14:paraId="60DE1678">
            <w:pPr>
              <w:widowControl/>
              <w:spacing w:line="240" w:lineRule="auto"/>
              <w:ind w:firstLine="0" w:firstLineChars="0"/>
              <w:jc w:val="center"/>
              <w:rPr>
                <w:rFonts w:cs="Times New Roman"/>
                <w:b/>
                <w:bCs/>
                <w:kern w:val="0"/>
                <w:sz w:val="21"/>
              </w:rPr>
            </w:pPr>
          </w:p>
        </w:tc>
        <w:tc>
          <w:tcPr>
            <w:tcW w:w="409" w:type="dxa"/>
            <w:vMerge w:val="continue"/>
            <w:tcBorders>
              <w:left w:val="single" w:color="auto" w:sz="4" w:space="0"/>
              <w:bottom w:val="single" w:color="auto" w:sz="4" w:space="0"/>
              <w:right w:val="single" w:color="auto" w:sz="4" w:space="0"/>
            </w:tcBorders>
            <w:vAlign w:val="center"/>
          </w:tcPr>
          <w:p w14:paraId="0587F0AF">
            <w:pPr>
              <w:widowControl/>
              <w:spacing w:line="240" w:lineRule="auto"/>
              <w:ind w:firstLine="0" w:firstLineChars="0"/>
              <w:jc w:val="center"/>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0A992FB5">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7</w:t>
            </w:r>
            <w:r>
              <w:rPr>
                <w:rFonts w:cs="Times New Roman"/>
                <w:kern w:val="0"/>
                <w:sz w:val="21"/>
              </w:rPr>
              <w:t>)建成区透水面积率</w:t>
            </w:r>
          </w:p>
        </w:tc>
        <w:tc>
          <w:tcPr>
            <w:tcW w:w="993" w:type="dxa"/>
            <w:tcBorders>
              <w:top w:val="single" w:color="auto" w:sz="4" w:space="0"/>
              <w:left w:val="single" w:color="auto" w:sz="4" w:space="0"/>
              <w:bottom w:val="single" w:color="auto" w:sz="4" w:space="0"/>
              <w:right w:val="single" w:color="auto" w:sz="4" w:space="0"/>
            </w:tcBorders>
            <w:vAlign w:val="center"/>
          </w:tcPr>
          <w:p w14:paraId="0E987FE9">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6D12AF1B">
            <w:pPr>
              <w:widowControl/>
              <w:spacing w:line="240" w:lineRule="auto"/>
              <w:ind w:firstLine="0" w:firstLineChars="0"/>
              <w:jc w:val="center"/>
              <w:rPr>
                <w:rFonts w:cs="Times New Roman"/>
                <w:kern w:val="0"/>
                <w:sz w:val="21"/>
              </w:rPr>
            </w:pPr>
            <w:r>
              <w:rPr>
                <w:rFonts w:cs="Times New Roman"/>
                <w:kern w:val="0"/>
                <w:sz w:val="21"/>
              </w:rPr>
              <w:t>100～40</w:t>
            </w:r>
          </w:p>
        </w:tc>
        <w:tc>
          <w:tcPr>
            <w:tcW w:w="1140" w:type="dxa"/>
            <w:tcBorders>
              <w:top w:val="single" w:color="auto" w:sz="4" w:space="0"/>
              <w:left w:val="nil"/>
              <w:bottom w:val="single" w:color="auto" w:sz="4" w:space="0"/>
              <w:right w:val="single" w:color="auto" w:sz="4" w:space="0"/>
            </w:tcBorders>
            <w:vAlign w:val="center"/>
          </w:tcPr>
          <w:p w14:paraId="4368A124">
            <w:pPr>
              <w:widowControl/>
              <w:spacing w:line="240" w:lineRule="auto"/>
              <w:ind w:firstLine="0" w:firstLineChars="0"/>
              <w:jc w:val="center"/>
              <w:rPr>
                <w:rFonts w:cs="Times New Roman"/>
                <w:kern w:val="0"/>
                <w:sz w:val="21"/>
              </w:rPr>
            </w:pPr>
            <w:r>
              <w:rPr>
                <w:rFonts w:cs="Times New Roman"/>
                <w:kern w:val="0"/>
                <w:sz w:val="21"/>
              </w:rPr>
              <w:t>40～35</w:t>
            </w:r>
          </w:p>
        </w:tc>
        <w:tc>
          <w:tcPr>
            <w:tcW w:w="1275" w:type="dxa"/>
            <w:tcBorders>
              <w:top w:val="single" w:color="auto" w:sz="4" w:space="0"/>
              <w:left w:val="nil"/>
              <w:bottom w:val="single" w:color="auto" w:sz="4" w:space="0"/>
              <w:right w:val="single" w:color="auto" w:sz="4" w:space="0"/>
            </w:tcBorders>
            <w:vAlign w:val="center"/>
          </w:tcPr>
          <w:p w14:paraId="027CCCEE">
            <w:pPr>
              <w:widowControl/>
              <w:spacing w:line="240" w:lineRule="auto"/>
              <w:ind w:firstLine="0" w:firstLineChars="0"/>
              <w:jc w:val="center"/>
              <w:rPr>
                <w:rFonts w:cs="Times New Roman"/>
                <w:kern w:val="0"/>
                <w:sz w:val="21"/>
              </w:rPr>
            </w:pPr>
            <w:r>
              <w:rPr>
                <w:rFonts w:cs="Times New Roman"/>
                <w:kern w:val="0"/>
                <w:sz w:val="21"/>
              </w:rPr>
              <w:t>35～30</w:t>
            </w:r>
          </w:p>
        </w:tc>
        <w:tc>
          <w:tcPr>
            <w:tcW w:w="1129" w:type="dxa"/>
            <w:tcBorders>
              <w:top w:val="single" w:color="auto" w:sz="4" w:space="0"/>
              <w:left w:val="nil"/>
              <w:bottom w:val="single" w:color="auto" w:sz="4" w:space="0"/>
              <w:right w:val="single" w:color="auto" w:sz="4" w:space="0"/>
            </w:tcBorders>
            <w:vAlign w:val="center"/>
          </w:tcPr>
          <w:p w14:paraId="4FC33480">
            <w:pPr>
              <w:widowControl/>
              <w:spacing w:line="240" w:lineRule="auto"/>
              <w:ind w:firstLine="0" w:firstLineChars="0"/>
              <w:jc w:val="center"/>
              <w:rPr>
                <w:rFonts w:cs="Times New Roman"/>
                <w:kern w:val="0"/>
                <w:sz w:val="21"/>
              </w:rPr>
            </w:pPr>
            <w:r>
              <w:rPr>
                <w:rFonts w:cs="Times New Roman"/>
                <w:kern w:val="0"/>
                <w:sz w:val="21"/>
              </w:rPr>
              <w:t>30～25</w:t>
            </w:r>
          </w:p>
        </w:tc>
        <w:tc>
          <w:tcPr>
            <w:tcW w:w="1247" w:type="dxa"/>
            <w:tcBorders>
              <w:top w:val="single" w:color="auto" w:sz="4" w:space="0"/>
              <w:left w:val="nil"/>
              <w:bottom w:val="single" w:color="auto" w:sz="4" w:space="0"/>
              <w:right w:val="single" w:color="auto" w:sz="4" w:space="0"/>
            </w:tcBorders>
            <w:vAlign w:val="center"/>
          </w:tcPr>
          <w:p w14:paraId="21DAA69B">
            <w:pPr>
              <w:widowControl/>
              <w:spacing w:line="240" w:lineRule="auto"/>
              <w:ind w:firstLine="0" w:firstLineChars="0"/>
              <w:jc w:val="center"/>
              <w:rPr>
                <w:rFonts w:cs="Times New Roman"/>
                <w:kern w:val="0"/>
                <w:sz w:val="21"/>
              </w:rPr>
            </w:pPr>
            <w:r>
              <w:rPr>
                <w:rFonts w:cs="Times New Roman"/>
                <w:kern w:val="0"/>
                <w:sz w:val="21"/>
              </w:rPr>
              <w:t>25～0</w:t>
            </w:r>
          </w:p>
        </w:tc>
      </w:tr>
      <w:tr w14:paraId="797010A5">
        <w:tblPrEx>
          <w:tblCellMar>
            <w:top w:w="0" w:type="dxa"/>
            <w:left w:w="108" w:type="dxa"/>
            <w:bottom w:w="0" w:type="dxa"/>
            <w:right w:w="108" w:type="dxa"/>
          </w:tblCellMar>
        </w:tblPrEx>
        <w:trPr>
          <w:trHeight w:val="346" w:hRule="atLeast"/>
          <w:jc w:val="center"/>
        </w:trPr>
        <w:tc>
          <w:tcPr>
            <w:tcW w:w="9436" w:type="dxa"/>
            <w:gridSpan w:val="9"/>
            <w:tcBorders>
              <w:top w:val="single" w:color="auto" w:sz="4" w:space="0"/>
              <w:left w:val="single" w:color="auto" w:sz="4" w:space="0"/>
              <w:bottom w:val="single" w:color="auto" w:sz="4" w:space="0"/>
              <w:right w:val="single" w:color="auto" w:sz="4" w:space="0"/>
            </w:tcBorders>
          </w:tcPr>
          <w:p w14:paraId="3CAC441E">
            <w:pPr>
              <w:widowControl/>
              <w:spacing w:line="240" w:lineRule="auto"/>
              <w:ind w:left="240" w:leftChars="100" w:firstLine="0" w:firstLineChars="0"/>
              <w:jc w:val="left"/>
              <w:rPr>
                <w:rFonts w:cs="Times New Roman"/>
                <w:kern w:val="0"/>
                <w:sz w:val="21"/>
              </w:rPr>
            </w:pPr>
            <w:r>
              <w:rPr>
                <w:rFonts w:cs="Times New Roman"/>
                <w:kern w:val="0"/>
                <w:sz w:val="21"/>
              </w:rPr>
              <w:t>注1：相邻2级评分标准的分界值按分值较高的一级予以赋分。</w:t>
            </w:r>
          </w:p>
          <w:p w14:paraId="62FE2EAA">
            <w:pPr>
              <w:widowControl/>
              <w:spacing w:line="240" w:lineRule="auto"/>
              <w:ind w:left="765" w:leftChars="100" w:hanging="525" w:hangingChars="250"/>
              <w:jc w:val="left"/>
              <w:rPr>
                <w:rFonts w:cs="Times New Roman"/>
                <w:kern w:val="0"/>
                <w:sz w:val="21"/>
              </w:rPr>
            </w:pPr>
            <w:r>
              <w:rPr>
                <w:rFonts w:cs="Times New Roman"/>
                <w:kern w:val="0"/>
                <w:sz w:val="21"/>
              </w:rPr>
              <w:t>注2：水质优良度指标的评分同时考虑区域黑臭水体情况，若存在黑臭水体，至少扣减1分；黑臭水体比例达到5%以上，扣减2分；达到10%以上，扣减3分；依次类推，扣完为止。</w:t>
            </w:r>
          </w:p>
        </w:tc>
      </w:tr>
    </w:tbl>
    <w:p w14:paraId="16E83BA6">
      <w:pPr>
        <w:spacing w:line="240" w:lineRule="auto"/>
        <w:ind w:firstLine="360"/>
        <w:rPr>
          <w:rFonts w:eastAsia="黑体"/>
          <w:sz w:val="32"/>
          <w:szCs w:val="32"/>
        </w:rPr>
      </w:pPr>
      <w:r>
        <w:rPr>
          <w:rFonts w:hint="eastAsia"/>
          <w:sz w:val="18"/>
          <w:szCs w:val="18"/>
        </w:rPr>
        <w:t>注：指标体系评价计分参考《水生态文明城市建设评价导则》（SL/Z738-2016）</w:t>
      </w:r>
    </w:p>
    <w:p w14:paraId="12CBE994">
      <w:pPr>
        <w:ind w:firstLine="0" w:firstLineChars="0"/>
        <w:rPr>
          <w:rFonts w:cs="Times New Roman"/>
          <w:b/>
          <w:szCs w:val="28"/>
        </w:rPr>
      </w:pPr>
    </w:p>
    <w:p w14:paraId="47AE22EC">
      <w:pPr>
        <w:ind w:firstLine="0" w:firstLineChars="0"/>
        <w:rPr>
          <w:rFonts w:cs="Times New Roman"/>
          <w:b/>
          <w:szCs w:val="28"/>
        </w:rPr>
      </w:pPr>
    </w:p>
    <w:p w14:paraId="0D3A4D9D">
      <w:pPr>
        <w:ind w:firstLine="0" w:firstLineChars="0"/>
        <w:rPr>
          <w:rFonts w:cs="Times New Roman"/>
          <w:b/>
          <w:szCs w:val="28"/>
        </w:rPr>
      </w:pPr>
    </w:p>
    <w:p w14:paraId="1F51854B">
      <w:pPr>
        <w:ind w:firstLine="0" w:firstLineChars="0"/>
        <w:rPr>
          <w:rFonts w:cs="Times New Roman"/>
          <w:b/>
          <w:szCs w:val="28"/>
        </w:rPr>
      </w:pPr>
    </w:p>
    <w:p w14:paraId="3B58E415">
      <w:pPr>
        <w:ind w:firstLine="0" w:firstLineChars="0"/>
        <w:rPr>
          <w:rFonts w:cs="Times New Roman"/>
          <w:b/>
          <w:szCs w:val="28"/>
        </w:rPr>
      </w:pPr>
    </w:p>
    <w:p w14:paraId="27058870">
      <w:pPr>
        <w:ind w:firstLine="0" w:firstLineChars="0"/>
        <w:rPr>
          <w:rFonts w:cs="Times New Roman"/>
          <w:szCs w:val="28"/>
        </w:rPr>
      </w:pPr>
    </w:p>
    <w:p w14:paraId="21CD59ED">
      <w:pPr>
        <w:ind w:firstLine="0" w:firstLineChars="0"/>
        <w:rPr>
          <w:rFonts w:cs="Times New Roman"/>
          <w:szCs w:val="28"/>
        </w:rPr>
      </w:pPr>
    </w:p>
    <w:p w14:paraId="364256B6">
      <w:pPr>
        <w:widowControl/>
        <w:spacing w:line="240" w:lineRule="auto"/>
        <w:ind w:firstLine="0" w:firstLineChars="0"/>
        <w:jc w:val="left"/>
        <w:rPr>
          <w:rFonts w:eastAsia="黑体"/>
          <w:bCs/>
          <w:sz w:val="32"/>
          <w:szCs w:val="32"/>
        </w:rPr>
      </w:pPr>
      <w:r>
        <w:br w:type="page"/>
      </w:r>
    </w:p>
    <w:p w14:paraId="5CD463BC">
      <w:pPr>
        <w:pStyle w:val="2"/>
        <w:spacing w:before="0" w:after="0"/>
      </w:pPr>
      <w:bookmarkStart w:id="1052" w:name="_Toc16675143"/>
      <w:r>
        <w:rPr>
          <w:rFonts w:hint="eastAsia"/>
        </w:rPr>
        <w:t xml:space="preserve">附录1 </w:t>
      </w:r>
      <w:bookmarkEnd w:id="1027"/>
      <w:bookmarkEnd w:id="1028"/>
      <w:r>
        <w:rPr>
          <w:rFonts w:hint="eastAsia"/>
        </w:rPr>
        <w:t>水生态文明城市建设全国通用指标公式</w:t>
      </w:r>
      <w:bookmarkEnd w:id="1052"/>
    </w:p>
    <w:p w14:paraId="0FBDEEED">
      <w:pPr>
        <w:spacing w:line="240" w:lineRule="auto"/>
        <w:ind w:firstLine="482"/>
        <w:rPr>
          <w:rFonts w:eastAsia="黑体" w:cs="Times New Roman"/>
          <w:b/>
          <w:bCs/>
        </w:rPr>
      </w:pPr>
    </w:p>
    <w:p w14:paraId="146E1C74">
      <w:pPr>
        <w:ind w:firstLine="0" w:firstLineChars="0"/>
        <w:rPr>
          <w:rFonts w:eastAsia="黑体" w:cs="黑体"/>
          <w:b/>
          <w:bCs/>
        </w:rPr>
      </w:pPr>
      <w:r>
        <w:rPr>
          <w:rFonts w:eastAsia="黑体" w:cs="Times New Roman"/>
          <w:b/>
          <w:bCs/>
        </w:rPr>
        <w:t>1.1</w:t>
      </w:r>
      <w:r>
        <w:rPr>
          <w:rFonts w:hint="eastAsia" w:eastAsia="黑体" w:cs="黑体"/>
          <w:b/>
          <w:bCs/>
        </w:rPr>
        <w:t>水安全评价</w:t>
      </w:r>
    </w:p>
    <w:p w14:paraId="6AC3AD47">
      <w:pPr>
        <w:ind w:firstLine="0" w:firstLineChars="0"/>
      </w:pPr>
      <w:r>
        <w:rPr>
          <w:rFonts w:eastAsia="黑体" w:cs="Times New Roman"/>
          <w:b/>
          <w:bCs/>
          <w:kern w:val="44"/>
        </w:rPr>
        <w:t>1.1.1</w:t>
      </w:r>
      <w:r>
        <w:rPr>
          <w:rFonts w:hint="eastAsia" w:eastAsia="黑体"/>
          <w:b/>
          <w:bCs/>
          <w:kern w:val="44"/>
        </w:rPr>
        <w:t xml:space="preserve"> </w:t>
      </w:r>
      <w:r>
        <w:rPr>
          <w:rFonts w:hint="eastAsia"/>
        </w:rPr>
        <w:t>水安全评价主要评估区域防洪排涝与饮水安全保障程度，包括防洪排涝达标率、降雨滞蓄率、集中式饮用水水源地安全保障达标率、自来水普及率</w:t>
      </w:r>
      <w:r>
        <w:t>4</w:t>
      </w:r>
      <w:r>
        <w:rPr>
          <w:rFonts w:hint="eastAsia"/>
        </w:rPr>
        <w:t>项通用指标。其中集中式饮用水水源地指实际供水人口大于1000人的水源地。</w:t>
      </w:r>
    </w:p>
    <w:p w14:paraId="6C6421BF">
      <w:pPr>
        <w:ind w:firstLine="0" w:firstLineChars="0"/>
      </w:pPr>
      <w:r>
        <w:rPr>
          <w:rFonts w:eastAsia="黑体" w:cs="Times New Roman"/>
          <w:b/>
          <w:bCs/>
          <w:kern w:val="44"/>
        </w:rPr>
        <w:t>1.1.2</w:t>
      </w:r>
      <w:r>
        <w:rPr>
          <w:rFonts w:hint="eastAsia" w:eastAsia="宋体" w:cs="宋体"/>
          <w:b/>
          <w:bCs/>
          <w:kern w:val="44"/>
        </w:rPr>
        <w:t xml:space="preserve"> </w:t>
      </w:r>
      <w:r>
        <w:rPr>
          <w:rFonts w:hint="eastAsia"/>
        </w:rPr>
        <w:t>防洪排涝达标率由防洪堤达标率、排涝达标率</w:t>
      </w:r>
      <w:r>
        <w:t>2</w:t>
      </w:r>
      <w:r>
        <w:rPr>
          <w:rFonts w:hint="eastAsia"/>
        </w:rPr>
        <w:t>项子指标分别评价赋分后，取其平均值作为该项指标评分。2项子指标含义及计算方法如下：</w:t>
      </w:r>
    </w:p>
    <w:p w14:paraId="5F956F11">
      <w:pPr>
        <w:ind w:firstLine="480"/>
        <w:rPr>
          <w:rFonts w:eastAsia="宋体" w:cs="Times New Roman"/>
          <w:szCs w:val="24"/>
        </w:rPr>
      </w:pPr>
      <w:r>
        <w:rPr>
          <w:rFonts w:eastAsia="宋体" w:cs="Times New Roman"/>
          <w:szCs w:val="24"/>
        </w:rPr>
        <w:t>1</w:t>
      </w:r>
      <w:r>
        <w:rPr>
          <w:rFonts w:hint="eastAsia" w:ascii="宋体" w:hAnsi="宋体" w:eastAsia="宋体" w:cs="Times New Roman"/>
          <w:szCs w:val="24"/>
        </w:rPr>
        <w:t>、防洪堤达标率指防洪堤防达到相关规划要求防洪标准的长度与现有及规划堤防总长度的比值，按公式（</w:t>
      </w:r>
      <w:r>
        <w:rPr>
          <w:rFonts w:eastAsia="宋体" w:cs="Times New Roman"/>
          <w:szCs w:val="24"/>
        </w:rPr>
        <w:t>1</w:t>
      </w:r>
      <w:r>
        <w:rPr>
          <w:rFonts w:hint="eastAsia" w:ascii="宋体" w:hAnsi="宋体" w:eastAsia="宋体" w:cs="Times New Roman"/>
          <w:szCs w:val="24"/>
        </w:rPr>
        <w:t>）计算：</w:t>
      </w:r>
    </w:p>
    <w:p w14:paraId="5827CF0D">
      <w:pPr>
        <w:ind w:firstLine="0" w:firstLineChars="0"/>
        <w:jc w:val="left"/>
        <w:rPr>
          <w:rFonts w:eastAsia="宋体" w:cs="Times New Roman"/>
          <w:sz w:val="18"/>
          <w:szCs w:val="18"/>
        </w:rPr>
      </w:pPr>
      <w:r>
        <w:rPr>
          <w:rFonts w:hint="eastAsia" w:eastAsia="宋体" w:cs="Times New Roman"/>
          <w:szCs w:val="24"/>
        </w:rPr>
        <w:t xml:space="preserve">                      </w:t>
      </w:r>
      <w:r>
        <w:rPr>
          <w:rFonts w:eastAsia="宋体" w:cs="Times New Roman"/>
          <w:szCs w:val="24"/>
        </w:rPr>
        <w:drawing>
          <wp:inline distT="0" distB="0" distL="0" distR="0">
            <wp:extent cx="1533525" cy="628650"/>
            <wp:effectExtent l="0" t="0" r="0" b="0"/>
            <wp:docPr id="10" name="图片 10" descr="C:\Users\FANGQU~1\AppData\Local\Temp\ksohtml\wps187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FANGQU~1\AppData\Local\Temp\ksohtml\wps1876.tmp.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533525" cy="628650"/>
                    </a:xfrm>
                    <a:prstGeom prst="rect">
                      <a:avLst/>
                    </a:prstGeom>
                    <a:noFill/>
                    <a:ln>
                      <a:noFill/>
                    </a:ln>
                  </pic:spPr>
                </pic:pic>
              </a:graphicData>
            </a:graphic>
          </wp:inline>
        </w:drawing>
      </w:r>
      <w:r>
        <w:rPr>
          <w:rFonts w:hint="eastAsia" w:ascii="宋体" w:hAnsi="宋体" w:eastAsia="宋体" w:cs="Times New Roman"/>
          <w:sz w:val="15"/>
          <w:szCs w:val="15"/>
        </w:rPr>
        <w:t xml:space="preserve"> </w:t>
      </w:r>
      <w:r>
        <w:rPr>
          <w:rFonts w:hint="eastAsia" w:eastAsia="宋体" w:cs="Times New Roman"/>
          <w:szCs w:val="24"/>
        </w:rPr>
        <w:t xml:space="preserve">                   </w:t>
      </w:r>
      <w:r>
        <w:rPr>
          <w:rFonts w:hint="eastAsia" w:ascii="宋体" w:hAnsi="宋体" w:eastAsia="宋体" w:cs="Times New Roman"/>
          <w:szCs w:val="24"/>
        </w:rPr>
        <w:t>（1）</w:t>
      </w:r>
      <w:r>
        <w:rPr>
          <w:rFonts w:hint="eastAsia" w:eastAsia="宋体" w:cs="Times New Roman"/>
          <w:szCs w:val="24"/>
        </w:rPr>
        <w:t xml:space="preserve">  </w:t>
      </w:r>
      <w:r>
        <w:rPr>
          <w:rFonts w:hint="eastAsia" w:ascii="宋体" w:hAnsi="宋体" w:eastAsia="宋体" w:cs="Times New Roman"/>
          <w:szCs w:val="24"/>
        </w:rPr>
        <w:t>式中，</w:t>
      </w:r>
      <w:r>
        <w:rPr>
          <w:rFonts w:eastAsia="宋体" w:cs="Times New Roman"/>
          <w:szCs w:val="24"/>
        </w:rPr>
        <w:t>R</w:t>
      </w:r>
      <w:r>
        <w:rPr>
          <w:rFonts w:hint="eastAsia" w:ascii="宋体" w:hAnsi="宋体" w:eastAsia="宋体" w:cs="Times New Roman"/>
          <w:szCs w:val="24"/>
          <w:vertAlign w:val="subscript"/>
        </w:rPr>
        <w:t>堤</w:t>
      </w:r>
      <w:r>
        <w:rPr>
          <w:rFonts w:eastAsia="宋体" w:cs="Times New Roman"/>
          <w:szCs w:val="24"/>
        </w:rPr>
        <w:t xml:space="preserve"> </w:t>
      </w:r>
      <w:r>
        <w:rPr>
          <w:rFonts w:hint="eastAsia" w:ascii="宋体" w:hAnsi="宋体" w:eastAsia="宋体" w:cs="Times New Roman"/>
          <w:szCs w:val="24"/>
        </w:rPr>
        <w:t>为防洪堤达标率；</w:t>
      </w:r>
      <w:r>
        <w:rPr>
          <w:rFonts w:eastAsia="宋体" w:cs="Times New Roman"/>
          <w:szCs w:val="24"/>
        </w:rPr>
        <w:t>L</w:t>
      </w:r>
      <w:r>
        <w:rPr>
          <w:rFonts w:hint="eastAsia" w:ascii="宋体" w:hAnsi="宋体" w:eastAsia="宋体" w:cs="Times New Roman"/>
          <w:szCs w:val="24"/>
          <w:vertAlign w:val="subscript"/>
        </w:rPr>
        <w:t>堤标</w:t>
      </w:r>
      <w:r>
        <w:rPr>
          <w:rFonts w:eastAsia="宋体" w:cs="Times New Roman"/>
          <w:szCs w:val="24"/>
        </w:rPr>
        <w:t xml:space="preserve"> </w:t>
      </w:r>
      <w:r>
        <w:rPr>
          <w:rFonts w:hint="eastAsia" w:ascii="宋体" w:hAnsi="宋体" w:eastAsia="宋体" w:cs="Times New Roman"/>
          <w:szCs w:val="24"/>
        </w:rPr>
        <w:t>为达标堤防长度；</w:t>
      </w:r>
      <w:r>
        <w:rPr>
          <w:rFonts w:eastAsia="宋体" w:cs="Times New Roman"/>
          <w:szCs w:val="24"/>
        </w:rPr>
        <w:t>L</w:t>
      </w:r>
      <w:r>
        <w:rPr>
          <w:rFonts w:hint="eastAsia" w:ascii="宋体" w:hAnsi="宋体" w:eastAsia="宋体" w:cs="Times New Roman"/>
          <w:szCs w:val="24"/>
          <w:vertAlign w:val="subscript"/>
        </w:rPr>
        <w:t>堤总</w:t>
      </w:r>
      <w:r>
        <w:rPr>
          <w:rFonts w:eastAsia="宋体" w:cs="Times New Roman"/>
          <w:szCs w:val="24"/>
        </w:rPr>
        <w:t xml:space="preserve"> </w:t>
      </w:r>
      <w:r>
        <w:rPr>
          <w:rFonts w:hint="eastAsia" w:ascii="宋体" w:hAnsi="宋体" w:eastAsia="宋体" w:cs="Times New Roman"/>
          <w:szCs w:val="24"/>
        </w:rPr>
        <w:t>为现有及规划堤防总长度。</w:t>
      </w:r>
      <w:r>
        <w:rPr>
          <w:rFonts w:hint="eastAsia" w:ascii="宋体" w:hAnsi="宋体" w:eastAsia="宋体" w:cs="Times New Roman"/>
          <w:sz w:val="18"/>
          <w:szCs w:val="18"/>
        </w:rPr>
        <w:t>（注：无相关规划对防洪达标标准进行规定时参照</w:t>
      </w:r>
      <w:r>
        <w:rPr>
          <w:rFonts w:hint="eastAsia" w:eastAsia="宋体" w:cs="Times New Roman"/>
          <w:sz w:val="18"/>
          <w:szCs w:val="18"/>
        </w:rPr>
        <w:t>GB50201</w:t>
      </w:r>
      <w:r>
        <w:rPr>
          <w:rFonts w:hint="eastAsia" w:ascii="宋体" w:hAnsi="宋体" w:eastAsia="宋体" w:cs="Times New Roman"/>
          <w:sz w:val="18"/>
          <w:szCs w:val="18"/>
        </w:rPr>
        <w:t>确定）。</w:t>
      </w:r>
    </w:p>
    <w:p w14:paraId="251CC415">
      <w:pPr>
        <w:ind w:firstLine="484" w:firstLineChars="202"/>
        <w:rPr>
          <w:rFonts w:eastAsia="宋体" w:cs="Times New Roman"/>
          <w:szCs w:val="24"/>
        </w:rPr>
      </w:pPr>
      <w:r>
        <w:rPr>
          <w:rFonts w:eastAsia="宋体" w:cs="Times New Roman"/>
          <w:szCs w:val="24"/>
        </w:rPr>
        <w:t>2</w:t>
      </w:r>
      <w:r>
        <w:rPr>
          <w:rFonts w:hint="eastAsia" w:ascii="宋体" w:hAnsi="宋体" w:eastAsia="宋体" w:cs="Times New Roman"/>
          <w:szCs w:val="24"/>
        </w:rPr>
        <w:t>、排涝达标率指相关规划明确排涝任务与目标的区域中排涝达标面积与区域总面积的比值，按公式（</w:t>
      </w:r>
      <w:r>
        <w:rPr>
          <w:rFonts w:eastAsia="宋体" w:cs="Times New Roman"/>
          <w:szCs w:val="24"/>
        </w:rPr>
        <w:t>2</w:t>
      </w:r>
      <w:r>
        <w:rPr>
          <w:rFonts w:hint="eastAsia" w:ascii="宋体" w:hAnsi="宋体" w:eastAsia="宋体" w:cs="Times New Roman"/>
          <w:szCs w:val="24"/>
        </w:rPr>
        <w:t>）计算：</w:t>
      </w:r>
    </w:p>
    <w:p w14:paraId="1F5E3DBF">
      <w:pPr>
        <w:wordWrap w:val="0"/>
        <w:ind w:firstLine="0" w:firstLineChars="0"/>
        <w:jc w:val="right"/>
        <w:rPr>
          <w:rFonts w:eastAsia="宋体" w:cs="Times New Roman"/>
          <w:sz w:val="15"/>
          <w:szCs w:val="15"/>
        </w:rPr>
      </w:pPr>
      <w:r>
        <w:rPr>
          <w:rFonts w:eastAsia="宋体" w:cs="Times New Roman"/>
          <w:szCs w:val="24"/>
        </w:rPr>
        <w:drawing>
          <wp:inline distT="0" distB="0" distL="0" distR="0">
            <wp:extent cx="1533525" cy="590550"/>
            <wp:effectExtent l="0" t="0" r="9525" b="0"/>
            <wp:docPr id="11" name="图片 11" descr="C:\Users\FANGQU~1\AppData\Local\Temp\ksohtml\wps188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FANGQU~1\AppData\Local\Temp\ksohtml\wps1886.tmp.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533525" cy="590550"/>
                    </a:xfrm>
                    <a:prstGeom prst="rect">
                      <a:avLst/>
                    </a:prstGeom>
                    <a:noFill/>
                    <a:ln>
                      <a:noFill/>
                    </a:ln>
                  </pic:spPr>
                </pic:pic>
              </a:graphicData>
            </a:graphic>
          </wp:inline>
        </w:drawing>
      </w:r>
      <w:r>
        <w:rPr>
          <w:rFonts w:hint="eastAsia" w:eastAsia="宋体" w:cs="Times New Roman"/>
          <w:szCs w:val="24"/>
        </w:rPr>
        <w:t xml:space="preserve">                   </w:t>
      </w:r>
      <w:r>
        <w:rPr>
          <w:rFonts w:hint="eastAsia" w:ascii="宋体" w:hAnsi="宋体" w:eastAsia="宋体" w:cs="Times New Roman"/>
          <w:szCs w:val="24"/>
        </w:rPr>
        <w:t xml:space="preserve"> （2）</w:t>
      </w:r>
    </w:p>
    <w:p w14:paraId="12451E4C">
      <w:pPr>
        <w:ind w:firstLine="720" w:firstLineChars="300"/>
        <w:rPr>
          <w:sz w:val="18"/>
          <w:szCs w:val="18"/>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涝</w:t>
      </w:r>
      <w:r>
        <w:rPr>
          <w:rFonts w:hint="eastAsia" w:eastAsia="宋体" w:cs="Times New Roman"/>
          <w:szCs w:val="24"/>
          <w:vertAlign w:val="subscript"/>
        </w:rPr>
        <w:t xml:space="preserve"> </w:t>
      </w:r>
      <w:r>
        <w:rPr>
          <w:rFonts w:hint="eastAsia" w:ascii="宋体" w:hAnsi="宋体" w:eastAsia="宋体" w:cs="Times New Roman"/>
          <w:szCs w:val="24"/>
        </w:rPr>
        <w:t>为排涝达标率；</w:t>
      </w:r>
      <w:r>
        <w:rPr>
          <w:rFonts w:hint="eastAsia" w:eastAsia="宋体" w:cs="Times New Roman"/>
          <w:szCs w:val="24"/>
        </w:rPr>
        <w:t>M</w:t>
      </w:r>
      <w:r>
        <w:rPr>
          <w:rFonts w:hint="eastAsia" w:ascii="宋体" w:hAnsi="宋体" w:eastAsia="宋体" w:cs="Times New Roman"/>
          <w:szCs w:val="24"/>
          <w:vertAlign w:val="subscript"/>
        </w:rPr>
        <w:t>涝标</w:t>
      </w:r>
      <w:r>
        <w:rPr>
          <w:rFonts w:hint="eastAsia" w:ascii="宋体" w:hAnsi="宋体" w:eastAsia="宋体" w:cs="Times New Roman"/>
          <w:szCs w:val="24"/>
        </w:rPr>
        <w:t>为排涝达标面积；</w:t>
      </w:r>
      <w:r>
        <w:rPr>
          <w:rFonts w:hint="eastAsia" w:eastAsia="宋体" w:cs="Times New Roman"/>
          <w:szCs w:val="24"/>
        </w:rPr>
        <w:t>M</w:t>
      </w:r>
      <w:r>
        <w:rPr>
          <w:rFonts w:hint="eastAsia" w:ascii="宋体" w:hAnsi="宋体" w:eastAsia="宋体" w:cs="Times New Roman"/>
          <w:szCs w:val="24"/>
          <w:vertAlign w:val="subscript"/>
        </w:rPr>
        <w:t>涝总</w:t>
      </w:r>
      <w:r>
        <w:rPr>
          <w:rFonts w:hint="eastAsia" w:ascii="宋体" w:hAnsi="宋体" w:eastAsia="宋体" w:cs="Times New Roman"/>
          <w:szCs w:val="24"/>
        </w:rPr>
        <w:t>为明确排涝任务与目标的区域总面积。</w:t>
      </w:r>
      <w:r>
        <w:rPr>
          <w:rFonts w:hint="eastAsia" w:ascii="宋体" w:hAnsi="宋体" w:eastAsia="宋体" w:cs="Times New Roman"/>
          <w:sz w:val="18"/>
          <w:szCs w:val="18"/>
        </w:rPr>
        <w:t>（注：无相关规划对排涝达标标准进行规定时参照</w:t>
      </w:r>
      <w:r>
        <w:rPr>
          <w:rFonts w:hint="eastAsia" w:eastAsia="宋体" w:cs="Times New Roman"/>
          <w:sz w:val="18"/>
          <w:szCs w:val="18"/>
        </w:rPr>
        <w:t>GB 50014</w:t>
      </w:r>
      <w:r>
        <w:rPr>
          <w:rFonts w:hint="eastAsia" w:ascii="宋体" w:hAnsi="宋体" w:eastAsia="宋体" w:cs="Times New Roman"/>
          <w:sz w:val="18"/>
          <w:szCs w:val="18"/>
        </w:rPr>
        <w:t>、</w:t>
      </w:r>
      <w:r>
        <w:rPr>
          <w:rFonts w:hint="eastAsia" w:eastAsia="宋体" w:cs="Times New Roman"/>
          <w:sz w:val="18"/>
          <w:szCs w:val="18"/>
        </w:rPr>
        <w:t>GB/T50805</w:t>
      </w:r>
      <w:r>
        <w:rPr>
          <w:rFonts w:hint="eastAsia" w:ascii="宋体" w:hAnsi="宋体" w:eastAsia="宋体" w:cs="Times New Roman"/>
          <w:sz w:val="18"/>
          <w:szCs w:val="18"/>
        </w:rPr>
        <w:t>确定）。</w:t>
      </w:r>
    </w:p>
    <w:p w14:paraId="2803941D">
      <w:pPr>
        <w:ind w:firstLine="0" w:firstLineChars="0"/>
        <w:rPr>
          <w:rFonts w:cs="Times New Roman"/>
          <w:color w:val="FF0000"/>
          <w:szCs w:val="28"/>
        </w:rPr>
      </w:pPr>
      <w:r>
        <w:rPr>
          <w:rFonts w:eastAsia="宋体" w:cs="Times New Roman"/>
          <w:b/>
          <w:bCs/>
          <w:kern w:val="44"/>
        </w:rPr>
        <w:t>1.1.3</w:t>
      </w:r>
      <w:r>
        <w:rPr>
          <w:rFonts w:hint="eastAsia"/>
        </w:rPr>
        <w:t>降雨滞蓄率指中心城区江河湖塘等能够有效滞蓄雨洪的调蓄容积与多年平</w:t>
      </w:r>
    </w:p>
    <w:p w14:paraId="0886F5F9">
      <w:pPr>
        <w:ind w:firstLine="0" w:firstLineChars="0"/>
        <w:rPr>
          <w:rFonts w:cs="Times New Roman"/>
          <w:color w:val="FF0000"/>
          <w:szCs w:val="28"/>
        </w:rPr>
      </w:pPr>
      <w:r>
        <w:rPr>
          <w:rFonts w:hint="eastAsia"/>
        </w:rPr>
        <w:t>均降水总量的比值，按式公（</w:t>
      </w:r>
      <w:r>
        <w:t>3</w:t>
      </w:r>
      <w:r>
        <w:rPr>
          <w:rFonts w:hint="eastAsia"/>
        </w:rPr>
        <w:t>）计算：</w:t>
      </w:r>
    </w:p>
    <w:p w14:paraId="527E2F84">
      <w:pPr>
        <w:ind w:firstLine="0" w:firstLineChars="0"/>
        <w:jc w:val="right"/>
      </w:pPr>
      <w:r>
        <w:rPr>
          <w:position w:val="-32"/>
        </w:rPr>
        <w:object>
          <v:shape id="_x0000_i1025" o:spt="75" type="#_x0000_t75" style="height:48pt;width:121.2pt;" o:ole="t" filled="f" o:preferrelative="t" stroked="f" coordsize="21600,21600">
            <v:path/>
            <v:fill on="f" focussize="0,0"/>
            <v:stroke on="f" joinstyle="miter"/>
            <v:imagedata r:id="rId44" o:title=""/>
            <o:lock v:ext="edit" aspectratio="t"/>
            <w10:wrap type="none"/>
            <w10:anchorlock/>
          </v:shape>
          <o:OLEObject Type="Embed" ProgID="Equation.DSMT4" ShapeID="_x0000_i1025" DrawAspect="Content" ObjectID="_1468075725" r:id="rId43">
            <o:LockedField>false</o:LockedField>
          </o:OLEObject>
        </w:object>
      </w:r>
      <w:r>
        <w:rPr>
          <w:rFonts w:hint="eastAsia"/>
          <w:szCs w:val="28"/>
        </w:rPr>
        <w:t xml:space="preserve">                    </w:t>
      </w:r>
      <w:r>
        <w:rPr>
          <w:rFonts w:hint="eastAsia"/>
        </w:rPr>
        <w:t>（</w:t>
      </w:r>
      <w:r>
        <w:t>3</w:t>
      </w:r>
      <w:r>
        <w:rPr>
          <w:rFonts w:hint="eastAsia"/>
        </w:rPr>
        <w:t>）</w:t>
      </w:r>
    </w:p>
    <w:p w14:paraId="27FB8E4F">
      <w:pPr>
        <w:ind w:firstLine="480" w:firstLineChars="0"/>
        <w:rPr>
          <w:rFonts w:eastAsia="宋体" w:cs="Times New Roman"/>
          <w:szCs w:val="24"/>
        </w:rPr>
      </w:pPr>
      <w:r>
        <w:rPr>
          <w:rFonts w:hint="eastAsia" w:ascii="宋体" w:hAnsi="宋体"/>
        </w:rPr>
        <w:t>式中，</w:t>
      </w:r>
      <w:r>
        <w:rPr>
          <w:rFonts w:hint="eastAsia"/>
        </w:rPr>
        <w:t>R</w:t>
      </w:r>
      <w:r>
        <w:rPr>
          <w:rFonts w:hint="eastAsia" w:ascii="宋体" w:hAnsi="宋体"/>
          <w:vertAlign w:val="subscript"/>
        </w:rPr>
        <w:t>蓄</w:t>
      </w:r>
      <w:r>
        <w:rPr>
          <w:rFonts w:hint="eastAsia" w:ascii="宋体" w:hAnsi="宋体"/>
        </w:rPr>
        <w:t>为雨蓄滞率；</w:t>
      </w:r>
      <w:r>
        <w:rPr>
          <w:rFonts w:hint="eastAsia"/>
        </w:rPr>
        <w:t>W</w:t>
      </w:r>
      <w:r>
        <w:rPr>
          <w:rFonts w:hint="eastAsia" w:ascii="宋体" w:hAnsi="宋体"/>
          <w:vertAlign w:val="subscript"/>
        </w:rPr>
        <w:t>蓄</w:t>
      </w:r>
      <w:r>
        <w:rPr>
          <w:rFonts w:hint="eastAsia" w:ascii="宋体" w:hAnsi="宋体"/>
        </w:rPr>
        <w:t>为中心城区雨洪蓄滞容积；</w:t>
      </w:r>
      <w:r>
        <w:rPr>
          <w:rFonts w:hint="eastAsia"/>
        </w:rPr>
        <w:t>W</w:t>
      </w:r>
      <w:r>
        <w:rPr>
          <w:rFonts w:hint="eastAsia" w:ascii="宋体" w:hAnsi="宋体"/>
          <w:vertAlign w:val="subscript"/>
        </w:rPr>
        <w:t>降水</w:t>
      </w:r>
      <w:r>
        <w:rPr>
          <w:rFonts w:hint="eastAsia" w:ascii="宋体" w:hAnsi="宋体"/>
        </w:rPr>
        <w:t>为中心城区多年平均降水总量。</w:t>
      </w:r>
    </w:p>
    <w:p w14:paraId="3E0C10EE">
      <w:pPr>
        <w:ind w:firstLine="480" w:firstLineChars="0"/>
        <w:rPr>
          <w:szCs w:val="28"/>
        </w:rPr>
      </w:pPr>
    </w:p>
    <w:p w14:paraId="2230CA08">
      <w:pPr>
        <w:ind w:firstLine="480" w:firstLineChars="0"/>
        <w:rPr>
          <w:szCs w:val="28"/>
        </w:rPr>
      </w:pPr>
      <w:r>
        <w:rPr>
          <w:rFonts w:hint="eastAsia"/>
          <w:szCs w:val="28"/>
        </w:rPr>
        <w:t>W</w:t>
      </w:r>
      <w:r>
        <w:rPr>
          <w:rFonts w:hint="eastAsia"/>
          <w:szCs w:val="28"/>
          <w:vertAlign w:val="subscript"/>
        </w:rPr>
        <w:t xml:space="preserve">降水 </w:t>
      </w:r>
      <w:r>
        <w:rPr>
          <w:rFonts w:hint="eastAsia"/>
        </w:rPr>
        <w:t>——中心城区多年平均降水总量。</w:t>
      </w:r>
    </w:p>
    <w:p w14:paraId="3C8F7B69">
      <w:pPr>
        <w:ind w:firstLine="0" w:firstLineChars="0"/>
        <w:rPr>
          <w:szCs w:val="28"/>
        </w:rPr>
      </w:pPr>
      <w:r>
        <w:rPr>
          <w:rFonts w:hint="eastAsia" w:eastAsia="宋体" w:cs="宋体"/>
          <w:b/>
          <w:bCs/>
          <w:kern w:val="44"/>
        </w:rPr>
        <w:t>1.1.4</w:t>
      </w:r>
      <w:r>
        <w:rPr>
          <w:rFonts w:hint="eastAsia"/>
        </w:rPr>
        <w:t>集中式饮用水水源地安全保障达标率指区域内集中式饮用水水源地安全保障达标个数占总个数比例，按公式（</w:t>
      </w:r>
      <w:r>
        <w:t>4</w:t>
      </w:r>
      <w:r>
        <w:rPr>
          <w:rFonts w:hint="eastAsia"/>
        </w:rPr>
        <w:t>）计算：</w:t>
      </w:r>
    </w:p>
    <w:p w14:paraId="7EFE73B3">
      <w:pPr>
        <w:wordWrap w:val="0"/>
        <w:ind w:firstLine="0" w:firstLineChars="0"/>
        <w:jc w:val="right"/>
      </w:pPr>
      <w:r>
        <w:rPr>
          <w:position w:val="-32"/>
        </w:rPr>
        <w:object>
          <v:shape id="_x0000_i1026" o:spt="75" type="#_x0000_t75" style="height:48pt;width:117pt;" o:ole="t" filled="f" o:preferrelative="t" stroked="f" coordsize="21600,21600">
            <v:path/>
            <v:fill on="f" focussize="0,0"/>
            <v:stroke on="f" joinstyle="miter"/>
            <v:imagedata r:id="rId46" o:title=""/>
            <o:lock v:ext="edit" aspectratio="t"/>
            <w10:wrap type="none"/>
            <w10:anchorlock/>
          </v:shape>
          <o:OLEObject Type="Embed" ProgID="Equation.DSMT4" ShapeID="_x0000_i1026" DrawAspect="Content" ObjectID="_1468075726" r:id="rId45">
            <o:LockedField>false</o:LockedField>
          </o:OLEObject>
        </w:object>
      </w:r>
      <w:r>
        <w:rPr>
          <w:rFonts w:hint="eastAsia"/>
        </w:rPr>
        <w:t xml:space="preserve">                   </w:t>
      </w:r>
      <w:r>
        <w:rPr>
          <w:rFonts w:hint="eastAsia"/>
          <w:szCs w:val="28"/>
        </w:rPr>
        <w:t xml:space="preserve">   </w:t>
      </w:r>
      <w:r>
        <w:rPr>
          <w:rFonts w:hint="eastAsia"/>
        </w:rPr>
        <w:t xml:space="preserve"> （</w:t>
      </w:r>
      <w:r>
        <w:t>4</w:t>
      </w:r>
      <w:r>
        <w:rPr>
          <w:rFonts w:hint="eastAsia"/>
        </w:rPr>
        <w:t>）</w:t>
      </w:r>
    </w:p>
    <w:p w14:paraId="4AB90470">
      <w:pPr>
        <w:ind w:firstLine="480" w:firstLineChars="0"/>
        <w:rPr>
          <w:rFonts w:eastAsia="宋体" w:cs="Times New Roman"/>
          <w:szCs w:val="24"/>
        </w:rPr>
      </w:pPr>
      <w:r>
        <w:rPr>
          <w:rFonts w:hint="eastAsia" w:ascii="宋体" w:hAnsi="宋体"/>
        </w:rPr>
        <w:t>式中，</w:t>
      </w:r>
      <w:r>
        <w:rPr>
          <w:rFonts w:hint="eastAsia"/>
        </w:rPr>
        <w:t>R</w:t>
      </w:r>
      <w:r>
        <w:rPr>
          <w:rFonts w:hint="eastAsia" w:ascii="宋体" w:hAnsi="宋体"/>
          <w:vertAlign w:val="subscript"/>
        </w:rPr>
        <w:t>饮</w:t>
      </w:r>
      <w:r>
        <w:rPr>
          <w:rFonts w:hint="eastAsia" w:ascii="宋体" w:hAnsi="宋体"/>
        </w:rPr>
        <w:t>为集中式饮用水水源地安全保障达标率；</w:t>
      </w:r>
      <w:r>
        <w:rPr>
          <w:rFonts w:hint="eastAsia"/>
        </w:rPr>
        <w:t>T</w:t>
      </w:r>
      <w:r>
        <w:rPr>
          <w:rFonts w:hint="eastAsia" w:ascii="宋体" w:hAnsi="宋体"/>
          <w:vertAlign w:val="subscript"/>
        </w:rPr>
        <w:t>饮标</w:t>
      </w:r>
      <w:r>
        <w:rPr>
          <w:rFonts w:hint="eastAsia" w:ascii="宋体" w:hAnsi="宋体"/>
        </w:rPr>
        <w:t>为达标饮用水水源地个数；</w:t>
      </w:r>
      <w:r>
        <w:rPr>
          <w:rFonts w:hint="eastAsia"/>
        </w:rPr>
        <w:t>T</w:t>
      </w:r>
      <w:r>
        <w:rPr>
          <w:rFonts w:hint="eastAsia" w:ascii="宋体" w:hAnsi="宋体"/>
          <w:vertAlign w:val="subscript"/>
        </w:rPr>
        <w:t>饮总</w:t>
      </w:r>
      <w:r>
        <w:rPr>
          <w:rFonts w:hint="eastAsia" w:ascii="宋体" w:hAnsi="宋体"/>
        </w:rPr>
        <w:t>为集中式饮用水水源地总数。</w:t>
      </w:r>
      <w:r>
        <w:rPr>
          <w:rFonts w:hint="eastAsia" w:ascii="宋体" w:hAnsi="宋体"/>
          <w:sz w:val="18"/>
          <w:szCs w:val="18"/>
        </w:rPr>
        <w:t>（注：集中式饮用水水源地安全保障达标要求参照《全国重要饮用水水源地安全保障评估指南》。未列入全国重要饮用水水源地名录的可仅考察其中的水量和水质目标要求）。</w:t>
      </w:r>
    </w:p>
    <w:p w14:paraId="70BCBEF4">
      <w:pPr>
        <w:ind w:firstLine="0" w:firstLineChars="0"/>
        <w:rPr>
          <w:b/>
          <w:szCs w:val="28"/>
        </w:rPr>
      </w:pPr>
      <w:r>
        <w:rPr>
          <w:rFonts w:eastAsia="宋体" w:cs="Times New Roman"/>
          <w:b/>
          <w:bCs/>
          <w:kern w:val="44"/>
        </w:rPr>
        <w:t>1.1.5</w:t>
      </w:r>
      <w:r>
        <w:rPr>
          <w:rFonts w:eastAsia="黑体" w:cs="Times New Roman"/>
          <w:b/>
          <w:bCs/>
          <w:kern w:val="44"/>
        </w:rPr>
        <w:t xml:space="preserve"> </w:t>
      </w:r>
      <w:r>
        <w:rPr>
          <w:rFonts w:hint="eastAsia"/>
        </w:rPr>
        <w:t>自来水普及率指接受公共管网集中供水的人口占常住人口的比例，按式（</w:t>
      </w:r>
      <w:r>
        <w:t>5</w:t>
      </w:r>
      <w:r>
        <w:rPr>
          <w:rFonts w:hint="eastAsia"/>
        </w:rPr>
        <w:t>）计算。</w:t>
      </w:r>
    </w:p>
    <w:p w14:paraId="38C0F63A">
      <w:pPr>
        <w:wordWrap w:val="0"/>
        <w:ind w:firstLine="0" w:firstLineChars="0"/>
        <w:jc w:val="right"/>
        <w:rPr>
          <w:szCs w:val="28"/>
        </w:rPr>
      </w:pPr>
      <w:r>
        <w:rPr>
          <w:position w:val="-32"/>
        </w:rPr>
        <w:object>
          <v:shape id="_x0000_i1027" o:spt="75" type="#_x0000_t75" style="height:46.8pt;width:110.4pt;" o:ole="t" filled="f" o:preferrelative="t" stroked="f" coordsize="21600,21600">
            <v:path/>
            <v:fill on="f" focussize="0,0"/>
            <v:stroke on="f" joinstyle="miter"/>
            <v:imagedata r:id="rId48" o:title=""/>
            <o:lock v:ext="edit" aspectratio="t"/>
            <w10:wrap type="none"/>
            <w10:anchorlock/>
          </v:shape>
          <o:OLEObject Type="Embed" ProgID="Equation.DSMT4" ShapeID="_x0000_i1027" DrawAspect="Content" ObjectID="_1468075727" r:id="rId47">
            <o:LockedField>false</o:LockedField>
          </o:OLEObject>
        </w:object>
      </w:r>
      <w:r>
        <w:rPr>
          <w:rFonts w:hint="eastAsia"/>
        </w:rPr>
        <w:t xml:space="preserve">            </w:t>
      </w:r>
      <w:r>
        <w:rPr>
          <w:rFonts w:hint="eastAsia"/>
          <w:szCs w:val="28"/>
        </w:rPr>
        <w:t xml:space="preserve">           </w:t>
      </w:r>
      <w:r>
        <w:rPr>
          <w:rFonts w:hint="eastAsia"/>
        </w:rPr>
        <w:t>（</w:t>
      </w:r>
      <w:r>
        <w:t>5</w:t>
      </w:r>
      <w:r>
        <w:rPr>
          <w:rFonts w:hint="eastAsia"/>
        </w:rPr>
        <w:t>）</w:t>
      </w:r>
    </w:p>
    <w:p w14:paraId="00DD62C5">
      <w:pPr>
        <w:ind w:firstLine="0" w:firstLineChars="0"/>
        <w:rPr>
          <w:szCs w:val="28"/>
        </w:rPr>
      </w:pPr>
      <w:r>
        <w:rPr>
          <w:rFonts w:hint="eastAsia" w:ascii="宋体" w:hAnsi="宋体"/>
        </w:rPr>
        <w:t>式中，</w:t>
      </w:r>
      <w:r>
        <w:rPr>
          <w:rFonts w:hint="eastAsia"/>
        </w:rPr>
        <w:t>R</w:t>
      </w:r>
      <w:r>
        <w:rPr>
          <w:rFonts w:hint="eastAsia" w:ascii="宋体" w:hAnsi="宋体"/>
          <w:vertAlign w:val="subscript"/>
        </w:rPr>
        <w:t>自</w:t>
      </w:r>
      <w:r>
        <w:rPr>
          <w:rFonts w:hint="eastAsia" w:ascii="宋体" w:hAnsi="宋体"/>
        </w:rPr>
        <w:t>为自来水普及率；</w:t>
      </w:r>
      <w:r>
        <w:rPr>
          <w:rFonts w:hint="eastAsia"/>
        </w:rPr>
        <w:t>P</w:t>
      </w:r>
      <w:r>
        <w:rPr>
          <w:rFonts w:hint="eastAsia" w:ascii="宋体" w:hAnsi="宋体"/>
          <w:vertAlign w:val="subscript"/>
        </w:rPr>
        <w:t>集供</w:t>
      </w:r>
      <w:r>
        <w:rPr>
          <w:rFonts w:hint="eastAsia" w:ascii="宋体" w:hAnsi="宋体"/>
        </w:rPr>
        <w:t>为接受公共管网集中供水人口；</w:t>
      </w:r>
      <w:r>
        <w:rPr>
          <w:rFonts w:hint="eastAsia"/>
        </w:rPr>
        <w:t>P</w:t>
      </w:r>
      <w:r>
        <w:rPr>
          <w:rFonts w:hint="eastAsia" w:ascii="宋体" w:hAnsi="宋体"/>
          <w:vertAlign w:val="subscript"/>
        </w:rPr>
        <w:t>常</w:t>
      </w:r>
      <w:r>
        <w:rPr>
          <w:rFonts w:hint="eastAsia" w:ascii="宋体" w:hAnsi="宋体"/>
        </w:rPr>
        <w:t>为常住人口。</w:t>
      </w:r>
    </w:p>
    <w:p w14:paraId="5C6B332C">
      <w:pPr>
        <w:ind w:firstLine="0" w:firstLineChars="0"/>
        <w:rPr>
          <w:rFonts w:eastAsia="黑体" w:cs="黑体"/>
          <w:b/>
          <w:bCs/>
        </w:rPr>
      </w:pPr>
      <w:bookmarkStart w:id="1053" w:name="_Toc398274593"/>
      <w:bookmarkStart w:id="1054" w:name="_Toc411458964"/>
      <w:bookmarkStart w:id="1055" w:name="_Toc434850729"/>
      <w:bookmarkStart w:id="1056" w:name="_Toc339305187"/>
      <w:r>
        <w:rPr>
          <w:rFonts w:hint="eastAsia" w:eastAsia="黑体" w:cs="Times New Roman"/>
          <w:b/>
          <w:bCs/>
        </w:rPr>
        <w:t>1</w:t>
      </w:r>
      <w:r>
        <w:rPr>
          <w:rFonts w:eastAsia="黑体" w:cs="Times New Roman"/>
          <w:b/>
          <w:bCs/>
        </w:rPr>
        <w:t>.2</w:t>
      </w:r>
      <w:r>
        <w:rPr>
          <w:rFonts w:hint="eastAsia" w:eastAsia="黑体" w:cs="黑体"/>
          <w:b/>
          <w:bCs/>
        </w:rPr>
        <w:t>水生态评价</w:t>
      </w:r>
      <w:bookmarkEnd w:id="1053"/>
      <w:bookmarkEnd w:id="1054"/>
      <w:bookmarkEnd w:id="1055"/>
      <w:bookmarkEnd w:id="1056"/>
    </w:p>
    <w:p w14:paraId="0AD432F5">
      <w:pPr>
        <w:ind w:firstLine="0" w:firstLineChars="0"/>
      </w:pPr>
      <w:r>
        <w:rPr>
          <w:rFonts w:hint="eastAsia" w:eastAsia="黑体" w:cs="Times New Roman"/>
          <w:b/>
          <w:bCs/>
          <w:kern w:val="44"/>
        </w:rPr>
        <w:t>1</w:t>
      </w:r>
      <w:r>
        <w:rPr>
          <w:rFonts w:eastAsia="黑体" w:cs="Times New Roman"/>
          <w:b/>
          <w:bCs/>
          <w:kern w:val="44"/>
        </w:rPr>
        <w:t>.2.1</w:t>
      </w:r>
      <w:r>
        <w:rPr>
          <w:rFonts w:hint="eastAsia"/>
        </w:rPr>
        <w:t>水生态评价主要评估区域水生态系统健康程度，包括河流生态基流满足率、河流纵向连通性指数、河湖生态护岸比例、水域面积率、水生生物损失指数、水</w:t>
      </w:r>
    </w:p>
    <w:p w14:paraId="26C504C4">
      <w:pPr>
        <w:ind w:firstLine="0" w:firstLineChars="0"/>
      </w:pPr>
      <w:r>
        <w:rPr>
          <w:rFonts w:hint="eastAsia"/>
        </w:rPr>
        <w:t>土流失治理程度</w:t>
      </w:r>
      <w:r>
        <w:t>6</w:t>
      </w:r>
      <w:r>
        <w:rPr>
          <w:rFonts w:hint="eastAsia"/>
        </w:rPr>
        <w:t>项通用指标。</w:t>
      </w:r>
    </w:p>
    <w:p w14:paraId="02E8A5C1">
      <w:pPr>
        <w:ind w:firstLine="0" w:firstLineChars="0"/>
      </w:pPr>
      <w:r>
        <w:rPr>
          <w:rFonts w:hint="eastAsia" w:eastAsia="黑体" w:cs="Times New Roman"/>
          <w:b/>
          <w:bCs/>
          <w:kern w:val="44"/>
        </w:rPr>
        <w:t>1</w:t>
      </w:r>
      <w:r>
        <w:rPr>
          <w:rFonts w:eastAsia="黑体" w:cs="Times New Roman"/>
          <w:b/>
          <w:bCs/>
          <w:kern w:val="44"/>
        </w:rPr>
        <w:t>.2.2</w:t>
      </w:r>
      <w:r>
        <w:rPr>
          <w:rFonts w:hint="eastAsia"/>
        </w:rPr>
        <w:t>河流生态基流满足程度指区域主要河流典型断面生态基流满足率的平均值，按公式（</w:t>
      </w:r>
      <w:r>
        <w:t>6</w:t>
      </w:r>
      <w:r>
        <w:rPr>
          <w:rFonts w:hint="eastAsia"/>
        </w:rPr>
        <w:t>）、公式（</w:t>
      </w:r>
      <w:r>
        <w:t>7</w:t>
      </w:r>
      <w:r>
        <w:rPr>
          <w:rFonts w:hint="eastAsia"/>
        </w:rPr>
        <w:t>）计算。具体要求如下：</w:t>
      </w:r>
    </w:p>
    <w:p w14:paraId="692DFFFD">
      <w:pPr>
        <w:ind w:firstLine="480"/>
        <w:rPr>
          <w:rFonts w:eastAsia="宋体" w:cs="Times New Roman"/>
          <w:szCs w:val="24"/>
        </w:rPr>
      </w:pPr>
      <w:r>
        <w:rPr>
          <w:rFonts w:eastAsia="宋体" w:cs="Times New Roman"/>
          <w:szCs w:val="24"/>
        </w:rPr>
        <w:t>1</w:t>
      </w:r>
      <w:r>
        <w:rPr>
          <w:rFonts w:hint="eastAsia" w:ascii="宋体" w:hAnsi="宋体" w:eastAsia="宋体" w:cs="Times New Roman"/>
          <w:szCs w:val="24"/>
        </w:rPr>
        <w:t>、各地区应根据自身条件，选择在辖区范围内的流域面积大于</w:t>
      </w:r>
      <w:r>
        <w:rPr>
          <w:rFonts w:eastAsia="宋体" w:cs="Times New Roman"/>
          <w:szCs w:val="24"/>
        </w:rPr>
        <w:t>100km</w:t>
      </w:r>
      <w:r>
        <w:rPr>
          <w:rFonts w:eastAsia="宋体" w:cs="Times New Roman"/>
          <w:szCs w:val="24"/>
          <w:vertAlign w:val="superscript"/>
        </w:rPr>
        <w:t>2</w:t>
      </w:r>
      <w:r>
        <w:rPr>
          <w:rFonts w:hint="eastAsia" w:ascii="宋体" w:hAnsi="宋体" w:eastAsia="宋体" w:cs="Times New Roman"/>
          <w:szCs w:val="24"/>
        </w:rPr>
        <w:t>的河流作为评价对象；</w:t>
      </w:r>
    </w:p>
    <w:p w14:paraId="33E8D440">
      <w:pPr>
        <w:ind w:firstLine="480"/>
        <w:rPr>
          <w:rFonts w:eastAsia="宋体" w:cs="Times New Roman"/>
          <w:szCs w:val="24"/>
        </w:rPr>
      </w:pPr>
      <w:r>
        <w:rPr>
          <w:rFonts w:eastAsia="宋体" w:cs="Times New Roman"/>
          <w:szCs w:val="24"/>
        </w:rPr>
        <w:t>2</w:t>
      </w:r>
      <w:r>
        <w:rPr>
          <w:rFonts w:hint="eastAsia" w:ascii="宋体" w:hAnsi="宋体" w:eastAsia="宋体" w:cs="Times New Roman"/>
          <w:szCs w:val="24"/>
        </w:rPr>
        <w:t>、当在辖区范围内的流域面积大于</w:t>
      </w:r>
      <w:r>
        <w:rPr>
          <w:rFonts w:eastAsia="宋体" w:cs="Times New Roman"/>
          <w:szCs w:val="24"/>
        </w:rPr>
        <w:t>100km</w:t>
      </w:r>
      <w:r>
        <w:rPr>
          <w:rFonts w:eastAsia="宋体" w:cs="Times New Roman"/>
          <w:szCs w:val="24"/>
          <w:vertAlign w:val="superscript"/>
        </w:rPr>
        <w:t>2</w:t>
      </w:r>
      <w:r>
        <w:rPr>
          <w:rFonts w:hint="eastAsia" w:ascii="宋体" w:hAnsi="宋体" w:eastAsia="宋体" w:cs="Times New Roman"/>
          <w:szCs w:val="24"/>
        </w:rPr>
        <w:t>的河流总数超过</w:t>
      </w:r>
      <w:r>
        <w:rPr>
          <w:rFonts w:hint="eastAsia" w:eastAsia="宋体" w:cs="Times New Roman"/>
          <w:szCs w:val="24"/>
        </w:rPr>
        <w:t>10</w:t>
      </w:r>
      <w:r>
        <w:rPr>
          <w:rFonts w:hint="eastAsia" w:ascii="宋体" w:hAnsi="宋体" w:eastAsia="宋体" w:cs="Times New Roman"/>
          <w:szCs w:val="24"/>
        </w:rPr>
        <w:t>条时，可只选取辖区范围内流域面积最大的</w:t>
      </w:r>
      <w:r>
        <w:rPr>
          <w:rFonts w:hint="eastAsia" w:eastAsia="宋体" w:cs="Times New Roman"/>
          <w:szCs w:val="24"/>
        </w:rPr>
        <w:t>10</w:t>
      </w:r>
      <w:r>
        <w:rPr>
          <w:rFonts w:hint="eastAsia" w:ascii="宋体" w:hAnsi="宋体" w:eastAsia="宋体" w:cs="Times New Roman"/>
          <w:szCs w:val="24"/>
        </w:rPr>
        <w:t>条河流，或是其他具有重要意义的河流参与评价。</w:t>
      </w:r>
    </w:p>
    <w:p w14:paraId="37D6DB01">
      <w:pPr>
        <w:ind w:firstLine="480"/>
        <w:rPr>
          <w:rFonts w:eastAsia="宋体" w:cs="Times New Roman"/>
          <w:szCs w:val="24"/>
        </w:rPr>
      </w:pPr>
      <w:r>
        <w:rPr>
          <w:rFonts w:eastAsia="宋体" w:cs="Times New Roman"/>
          <w:szCs w:val="24"/>
        </w:rPr>
        <w:t>3</w:t>
      </w:r>
      <w:r>
        <w:rPr>
          <w:rFonts w:hint="eastAsia" w:ascii="宋体" w:hAnsi="宋体" w:eastAsia="宋体" w:cs="Times New Roman"/>
          <w:szCs w:val="24"/>
        </w:rPr>
        <w:t>、各代表性河流生态流量标准以流域或区域水资源保护规划确定的值为准。</w:t>
      </w:r>
    </w:p>
    <w:p w14:paraId="7BEF63B5">
      <w:pPr>
        <w:wordWrap w:val="0"/>
        <w:ind w:firstLine="0" w:firstLineChars="0"/>
        <w:jc w:val="right"/>
        <w:rPr>
          <w:rFonts w:ascii="宋体" w:hAnsi="宋体" w:eastAsia="宋体" w:cs="Times New Roman"/>
          <w:szCs w:val="24"/>
        </w:rPr>
      </w:pPr>
      <w:r>
        <w:rPr>
          <w:rFonts w:eastAsia="宋体" w:cs="Times New Roman"/>
          <w:szCs w:val="24"/>
        </w:rPr>
        <w:drawing>
          <wp:inline distT="0" distB="0" distL="0" distR="0">
            <wp:extent cx="1628775" cy="752475"/>
            <wp:effectExtent l="0" t="0" r="9525" b="9525"/>
            <wp:docPr id="14" name="图片 14" descr="C:\Users\FANGQU~1\AppData\Local\Temp\ksohtml\wps971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FANGQU~1\AppData\Local\Temp\ksohtml\wps9719.tm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1628775" cy="752475"/>
                    </a:xfrm>
                    <a:prstGeom prst="rect">
                      <a:avLst/>
                    </a:prstGeom>
                    <a:noFill/>
                    <a:ln>
                      <a:noFill/>
                    </a:ln>
                  </pic:spPr>
                </pic:pic>
              </a:graphicData>
            </a:graphic>
          </wp:inline>
        </w:drawing>
      </w:r>
      <w:r>
        <w:rPr>
          <w:rFonts w:hint="eastAsia" w:eastAsia="仿宋" w:cs="Times New Roman"/>
          <w:szCs w:val="24"/>
        </w:rPr>
        <w:t xml:space="preserve">                     </w:t>
      </w:r>
      <w:r>
        <w:rPr>
          <w:rFonts w:hint="eastAsia" w:ascii="宋体" w:hAnsi="宋体" w:eastAsia="宋体" w:cs="Times New Roman"/>
          <w:szCs w:val="24"/>
        </w:rPr>
        <w:t xml:space="preserve"> （6）</w:t>
      </w:r>
    </w:p>
    <w:p w14:paraId="12F32625">
      <w:pPr>
        <w:wordWrap w:val="0"/>
        <w:ind w:firstLine="0" w:firstLineChars="0"/>
        <w:jc w:val="right"/>
        <w:rPr>
          <w:rFonts w:eastAsia="宋体" w:cs="Times New Roman"/>
          <w:sz w:val="15"/>
          <w:szCs w:val="15"/>
        </w:rPr>
      </w:pPr>
      <w:r>
        <w:rPr>
          <w:rFonts w:eastAsia="宋体" w:cs="Times New Roman"/>
          <w:szCs w:val="24"/>
        </w:rPr>
        <w:drawing>
          <wp:inline distT="0" distB="0" distL="0" distR="0">
            <wp:extent cx="1466850" cy="581025"/>
            <wp:effectExtent l="0" t="0" r="0" b="9525"/>
            <wp:docPr id="8" name="图片 8" descr="C:\Users\FANGQU~1\AppData\Local\Temp\ksohtml\wps971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FANGQU~1\AppData\Local\Temp\ksohtml\wps971A.tmp.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466850" cy="581025"/>
                    </a:xfrm>
                    <a:prstGeom prst="rect">
                      <a:avLst/>
                    </a:prstGeom>
                    <a:noFill/>
                    <a:ln>
                      <a:noFill/>
                    </a:ln>
                  </pic:spPr>
                </pic:pic>
              </a:graphicData>
            </a:graphic>
          </wp:inline>
        </w:drawing>
      </w:r>
      <w:r>
        <w:rPr>
          <w:rFonts w:hint="eastAsia" w:eastAsia="宋体" w:cs="Times New Roman"/>
          <w:szCs w:val="24"/>
        </w:rPr>
        <w:t xml:space="preserve">                       </w:t>
      </w:r>
      <w:r>
        <w:rPr>
          <w:rFonts w:eastAsia="宋体" w:cs="Times New Roman"/>
          <w:sz w:val="15"/>
          <w:szCs w:val="15"/>
        </w:rPr>
        <w:t xml:space="preserve"> </w:t>
      </w:r>
      <w:r>
        <w:rPr>
          <w:rFonts w:hint="eastAsia" w:ascii="宋体" w:hAnsi="宋体" w:eastAsia="宋体" w:cs="Times New Roman"/>
          <w:szCs w:val="24"/>
        </w:rPr>
        <w:t>（7）</w:t>
      </w:r>
    </w:p>
    <w:p w14:paraId="01B8CECD">
      <w:pPr>
        <w:ind w:firstLine="0" w:firstLineChars="0"/>
        <w:jc w:val="right"/>
        <w:rPr>
          <w:rFonts w:eastAsia="宋体" w:cs="Times New Roman"/>
          <w:sz w:val="15"/>
          <w:szCs w:val="15"/>
        </w:rPr>
      </w:pPr>
      <w:r>
        <w:rPr>
          <w:rFonts w:eastAsia="宋体" w:cs="Times New Roman"/>
          <w:sz w:val="15"/>
          <w:szCs w:val="15"/>
        </w:rPr>
        <w:t xml:space="preserve"> </w:t>
      </w:r>
    </w:p>
    <w:p w14:paraId="14CC873E">
      <w:pPr>
        <w:ind w:firstLine="0" w:firstLineChars="0"/>
        <w:jc w:val="left"/>
        <w:rPr>
          <w:sz w:val="18"/>
          <w:szCs w:val="18"/>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基流</w:t>
      </w:r>
      <w:r>
        <w:rPr>
          <w:rFonts w:hint="eastAsia" w:ascii="宋体" w:hAnsi="宋体" w:eastAsia="宋体" w:cs="Times New Roman"/>
          <w:szCs w:val="24"/>
        </w:rPr>
        <w:t>为河流生态基流满足程度；</w:t>
      </w:r>
      <w:r>
        <w:rPr>
          <w:rFonts w:hint="eastAsia" w:eastAsia="宋体" w:cs="Times New Roman"/>
          <w:szCs w:val="24"/>
        </w:rPr>
        <w:t>K</w:t>
      </w:r>
      <w:r>
        <w:rPr>
          <w:rFonts w:hint="eastAsia" w:ascii="宋体" w:hAnsi="宋体" w:eastAsia="宋体" w:cs="Times New Roman"/>
          <w:szCs w:val="24"/>
          <w:vertAlign w:val="subscript"/>
        </w:rPr>
        <w:t>基</w:t>
      </w:r>
      <w:r>
        <w:rPr>
          <w:rFonts w:hint="eastAsia" w:eastAsia="宋体" w:cs="Times New Roman"/>
          <w:szCs w:val="24"/>
          <w:vertAlign w:val="subscript"/>
        </w:rPr>
        <w:t>i</w:t>
      </w:r>
      <w:r>
        <w:rPr>
          <w:rFonts w:hint="eastAsia" w:ascii="宋体" w:hAnsi="宋体" w:eastAsia="宋体" w:cs="Times New Roman"/>
          <w:szCs w:val="24"/>
        </w:rPr>
        <w:t>为第</w:t>
      </w:r>
      <w:r>
        <w:rPr>
          <w:rFonts w:eastAsia="宋体" w:cs="Times New Roman"/>
          <w:szCs w:val="24"/>
        </w:rPr>
        <w:t>i</w:t>
      </w:r>
      <w:r>
        <w:rPr>
          <w:rFonts w:hint="eastAsia" w:ascii="宋体" w:hAnsi="宋体" w:eastAsia="宋体" w:cs="Times New Roman"/>
          <w:szCs w:val="24"/>
        </w:rPr>
        <w:t>条河流生态基流满足率；</w:t>
      </w:r>
      <w:r>
        <w:rPr>
          <w:rFonts w:hint="eastAsia" w:eastAsia="宋体" w:cs="Times New Roman"/>
          <w:szCs w:val="24"/>
        </w:rPr>
        <w:t>N</w:t>
      </w:r>
      <w:r>
        <w:rPr>
          <w:rFonts w:hint="eastAsia" w:ascii="宋体" w:hAnsi="宋体" w:eastAsia="宋体" w:cs="Times New Roman"/>
          <w:szCs w:val="24"/>
          <w:vertAlign w:val="subscript"/>
        </w:rPr>
        <w:t>河</w:t>
      </w:r>
      <w:r>
        <w:rPr>
          <w:rFonts w:hint="eastAsia" w:ascii="宋体" w:hAnsi="宋体" w:eastAsia="宋体" w:cs="Times New Roman"/>
          <w:szCs w:val="24"/>
        </w:rPr>
        <w:t>为评价河流总数；</w:t>
      </w:r>
      <w:r>
        <w:rPr>
          <w:rFonts w:hint="eastAsia" w:eastAsia="宋体" w:cs="Times New Roman"/>
          <w:szCs w:val="24"/>
        </w:rPr>
        <w:t>R</w:t>
      </w:r>
      <w:r>
        <w:rPr>
          <w:rFonts w:hint="eastAsia" w:ascii="宋体" w:hAnsi="宋体" w:eastAsia="宋体" w:cs="Times New Roman"/>
          <w:szCs w:val="24"/>
          <w:vertAlign w:val="subscript"/>
        </w:rPr>
        <w:t>基</w:t>
      </w:r>
      <w:r>
        <w:rPr>
          <w:rFonts w:hint="eastAsia" w:ascii="宋体" w:hAnsi="宋体" w:eastAsia="宋体" w:cs="Times New Roman"/>
          <w:szCs w:val="24"/>
        </w:rPr>
        <w:t>为生态基流满足率；</w:t>
      </w:r>
      <w:r>
        <w:rPr>
          <w:rFonts w:hint="eastAsia" w:eastAsia="宋体" w:cs="Times New Roman"/>
          <w:szCs w:val="24"/>
        </w:rPr>
        <w:t>D</w:t>
      </w:r>
      <w:r>
        <w:rPr>
          <w:rFonts w:hint="eastAsia" w:ascii="宋体" w:hAnsi="宋体" w:eastAsia="宋体" w:cs="Times New Roman"/>
          <w:szCs w:val="24"/>
          <w:vertAlign w:val="subscript"/>
        </w:rPr>
        <w:t>基</w:t>
      </w:r>
      <w:r>
        <w:rPr>
          <w:rFonts w:hint="eastAsia" w:ascii="宋体" w:hAnsi="宋体" w:eastAsia="宋体" w:cs="Times New Roman"/>
          <w:szCs w:val="24"/>
        </w:rPr>
        <w:t>为评价年日均流量满足生态基流要求的天数；</w:t>
      </w:r>
      <w:r>
        <w:rPr>
          <w:rFonts w:hint="eastAsia" w:eastAsia="宋体" w:cs="Times New Roman"/>
          <w:szCs w:val="24"/>
        </w:rPr>
        <w:t>D</w:t>
      </w:r>
      <w:r>
        <w:rPr>
          <w:rFonts w:hint="eastAsia" w:ascii="宋体" w:hAnsi="宋体" w:eastAsia="宋体" w:cs="Times New Roman"/>
          <w:szCs w:val="24"/>
          <w:vertAlign w:val="subscript"/>
        </w:rPr>
        <w:t>评总</w:t>
      </w:r>
      <w:r>
        <w:rPr>
          <w:rFonts w:hint="eastAsia" w:ascii="宋体" w:hAnsi="宋体" w:eastAsia="宋体" w:cs="Times New Roman"/>
          <w:szCs w:val="24"/>
        </w:rPr>
        <w:t>为评价年总天数。</w:t>
      </w:r>
      <w:r>
        <w:rPr>
          <w:rFonts w:hint="eastAsia" w:ascii="宋体" w:hAnsi="宋体" w:eastAsia="宋体" w:cs="Times New Roman"/>
          <w:sz w:val="18"/>
          <w:szCs w:val="18"/>
        </w:rPr>
        <w:t>（注：代表性河流生态流量标准水资源保护规划未加以明确的河流参照SL/Z 712确定）。</w:t>
      </w:r>
    </w:p>
    <w:p w14:paraId="06BABB26">
      <w:pPr>
        <w:ind w:firstLine="0" w:firstLineChars="0"/>
        <w:jc w:val="left"/>
      </w:pPr>
      <w:r>
        <w:rPr>
          <w:rFonts w:hint="eastAsia" w:eastAsia="黑体" w:cs="Times New Roman"/>
          <w:b/>
          <w:bCs/>
          <w:kern w:val="44"/>
        </w:rPr>
        <w:t>1</w:t>
      </w:r>
      <w:r>
        <w:rPr>
          <w:rFonts w:eastAsia="黑体" w:cs="Times New Roman"/>
          <w:b/>
          <w:bCs/>
          <w:kern w:val="44"/>
        </w:rPr>
        <w:t xml:space="preserve">.2.3 </w:t>
      </w:r>
      <w:r>
        <w:rPr>
          <w:rFonts w:hint="eastAsia"/>
        </w:rPr>
        <w:t>河流纵向连通性指数指区内河流每</w:t>
      </w:r>
      <w:r>
        <w:t>100km</w:t>
      </w:r>
      <w:r>
        <w:rPr>
          <w:rFonts w:hint="eastAsia"/>
        </w:rPr>
        <w:t>河长中阻隔河流连通的人工建筑物数量，按公式（</w:t>
      </w:r>
      <w:r>
        <w:t>8</w:t>
      </w:r>
      <w:r>
        <w:rPr>
          <w:rFonts w:hint="eastAsia"/>
        </w:rPr>
        <w:t>）计算：</w:t>
      </w:r>
    </w:p>
    <w:p w14:paraId="4741FD3A">
      <w:pPr>
        <w:wordWrap w:val="0"/>
        <w:ind w:firstLine="0" w:firstLineChars="0"/>
        <w:jc w:val="right"/>
        <w:rPr>
          <w:sz w:val="15"/>
          <w:szCs w:val="15"/>
        </w:rPr>
      </w:pPr>
      <w:r>
        <w:rPr>
          <w:position w:val="-32"/>
        </w:rPr>
        <w:object>
          <v:shape id="_x0000_i1028" o:spt="75" type="#_x0000_t75" style="height:50.4pt;width:136.8pt;" o:ole="t" filled="f" o:preferrelative="t" stroked="f" coordsize="21600,21600">
            <v:path/>
            <v:fill on="f" focussize="0,0"/>
            <v:stroke on="f" joinstyle="miter"/>
            <v:imagedata r:id="rId52" o:title=""/>
            <o:lock v:ext="edit" aspectratio="t"/>
            <w10:wrap type="none"/>
            <w10:anchorlock/>
          </v:shape>
          <o:OLEObject Type="Embed" ProgID="Equation.DSMT4" ShapeID="_x0000_i1028" DrawAspect="Content" ObjectID="_1468075728" r:id="rId51">
            <o:LockedField>false</o:LockedField>
          </o:OLEObject>
        </w:object>
      </w:r>
      <w:r>
        <w:rPr>
          <w:rFonts w:hint="eastAsia"/>
        </w:rPr>
        <w:t xml:space="preserve">             </w:t>
      </w:r>
      <w:r>
        <w:rPr>
          <w:rFonts w:hint="eastAsia"/>
          <w:szCs w:val="28"/>
        </w:rPr>
        <w:t xml:space="preserve">         </w:t>
      </w:r>
      <w:r>
        <w:rPr>
          <w:rFonts w:hint="eastAsia"/>
        </w:rPr>
        <w:t>（</w:t>
      </w:r>
      <w:r>
        <w:t>8</w:t>
      </w:r>
      <w:r>
        <w:rPr>
          <w:rFonts w:hint="eastAsia"/>
        </w:rPr>
        <w:t>）</w:t>
      </w:r>
    </w:p>
    <w:p w14:paraId="70720E2B">
      <w:pPr>
        <w:ind w:firstLine="480"/>
        <w:rPr>
          <w:rFonts w:eastAsia="宋体" w:cs="Times New Roman"/>
          <w:sz w:val="18"/>
          <w:szCs w:val="18"/>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连通</w:t>
      </w:r>
      <w:r>
        <w:rPr>
          <w:rFonts w:hint="eastAsia" w:ascii="宋体" w:hAnsi="宋体" w:eastAsia="宋体" w:cs="Times New Roman"/>
          <w:szCs w:val="24"/>
        </w:rPr>
        <w:t>为河流纵向连通性指数；</w:t>
      </w:r>
      <w:r>
        <w:rPr>
          <w:rFonts w:hint="eastAsia" w:eastAsia="宋体" w:cs="Times New Roman"/>
          <w:szCs w:val="24"/>
        </w:rPr>
        <w:t>T</w:t>
      </w:r>
      <w:r>
        <w:rPr>
          <w:rFonts w:hint="eastAsia" w:ascii="宋体" w:hAnsi="宋体" w:eastAsia="宋体" w:cs="Times New Roman"/>
          <w:szCs w:val="24"/>
          <w:vertAlign w:val="subscript"/>
        </w:rPr>
        <w:t>阻物</w:t>
      </w:r>
      <w:r>
        <w:rPr>
          <w:rFonts w:hint="eastAsia" w:ascii="宋体" w:hAnsi="宋体" w:eastAsia="宋体" w:cs="Times New Roman"/>
          <w:szCs w:val="24"/>
        </w:rPr>
        <w:t>为阻隔河流连通的人工建筑物数量；</w:t>
      </w:r>
      <w:r>
        <w:rPr>
          <w:rFonts w:hint="eastAsia" w:eastAsia="宋体" w:cs="Times New Roman"/>
          <w:szCs w:val="24"/>
        </w:rPr>
        <w:t>L</w:t>
      </w:r>
      <w:r>
        <w:rPr>
          <w:rFonts w:hint="eastAsia" w:ascii="宋体" w:hAnsi="宋体" w:eastAsia="宋体" w:cs="Times New Roman"/>
          <w:szCs w:val="24"/>
          <w:vertAlign w:val="subscript"/>
        </w:rPr>
        <w:t>河总</w:t>
      </w:r>
      <w:r>
        <w:rPr>
          <w:rFonts w:hint="eastAsia" w:ascii="宋体" w:hAnsi="宋体" w:eastAsia="宋体" w:cs="Times New Roman"/>
          <w:szCs w:val="24"/>
        </w:rPr>
        <w:t>为评价河流总长度。</w:t>
      </w:r>
      <w:r>
        <w:rPr>
          <w:rFonts w:hint="eastAsia" w:ascii="宋体" w:hAnsi="宋体" w:eastAsia="宋体" w:cs="Times New Roman"/>
          <w:sz w:val="18"/>
          <w:szCs w:val="18"/>
        </w:rPr>
        <w:t>（注1：阻隔河流连通的人工建筑物不包括已有过鱼设施且发挥作用的闸坝、不影响鱼类通过的小型跌水工程和溢流坝）；（注2：参加评价的河流为流域面积100km</w:t>
      </w:r>
      <w:r>
        <w:rPr>
          <w:rFonts w:hint="eastAsia" w:ascii="宋体" w:hAnsi="宋体" w:eastAsia="宋体" w:cs="Times New Roman"/>
          <w:sz w:val="18"/>
          <w:szCs w:val="18"/>
          <w:vertAlign w:val="superscript"/>
        </w:rPr>
        <w:t>2</w:t>
      </w:r>
      <w:r>
        <w:rPr>
          <w:rFonts w:hint="eastAsia" w:ascii="宋体" w:hAnsi="宋体" w:eastAsia="宋体" w:cs="Times New Roman"/>
          <w:sz w:val="18"/>
          <w:szCs w:val="18"/>
        </w:rPr>
        <w:t>以上的河流）。</w:t>
      </w:r>
    </w:p>
    <w:p w14:paraId="1F3C0EDC">
      <w:pPr>
        <w:ind w:left="1018" w:leftChars="202" w:hanging="534" w:hangingChars="297"/>
        <w:jc w:val="left"/>
        <w:rPr>
          <w:sz w:val="18"/>
          <w:szCs w:val="18"/>
        </w:rPr>
      </w:pPr>
    </w:p>
    <w:p w14:paraId="7710F8A4">
      <w:pPr>
        <w:ind w:firstLine="0" w:firstLineChars="0"/>
        <w:jc w:val="left"/>
        <w:rPr>
          <w:szCs w:val="28"/>
        </w:rPr>
      </w:pPr>
      <w:r>
        <w:rPr>
          <w:rFonts w:hint="eastAsia" w:eastAsia="黑体" w:cs="Times New Roman"/>
          <w:b/>
          <w:bCs/>
          <w:kern w:val="44"/>
        </w:rPr>
        <w:t>1</w:t>
      </w:r>
      <w:r>
        <w:rPr>
          <w:rFonts w:eastAsia="黑体" w:cs="Times New Roman"/>
          <w:b/>
          <w:bCs/>
          <w:kern w:val="44"/>
        </w:rPr>
        <w:t>.2.4</w:t>
      </w:r>
      <w:r>
        <w:rPr>
          <w:rFonts w:hint="eastAsia" w:eastAsia="黑体"/>
          <w:b/>
          <w:bCs/>
          <w:kern w:val="44"/>
        </w:rPr>
        <w:t xml:space="preserve"> </w:t>
      </w:r>
      <w:r>
        <w:rPr>
          <w:rFonts w:hint="eastAsia"/>
        </w:rPr>
        <w:t>河湖生态护岸比例指全部人工建设护岸中生态护岸长度所占比例，按公式（</w:t>
      </w:r>
      <w:r>
        <w:t>9</w:t>
      </w:r>
      <w:r>
        <w:rPr>
          <w:rFonts w:hint="eastAsia"/>
        </w:rPr>
        <w:t>）计算：</w:t>
      </w:r>
    </w:p>
    <w:p w14:paraId="1A6BEE68">
      <w:pPr>
        <w:wordWrap w:val="0"/>
        <w:ind w:firstLine="0" w:firstLineChars="0"/>
        <w:jc w:val="right"/>
        <w:rPr>
          <w:sz w:val="15"/>
          <w:szCs w:val="15"/>
        </w:rPr>
      </w:pPr>
      <w:r>
        <w:rPr>
          <w:position w:val="-32"/>
        </w:rPr>
        <w:object>
          <v:shape id="_x0000_i1029" o:spt="75" type="#_x0000_t75" style="height:45pt;width:116.4pt;" o:ole="t" filled="f" o:preferrelative="t" stroked="f" coordsize="21600,21600">
            <v:path/>
            <v:fill on="f" focussize="0,0"/>
            <v:stroke on="f" joinstyle="miter"/>
            <v:imagedata r:id="rId54" o:title=""/>
            <o:lock v:ext="edit" aspectratio="t"/>
            <w10:wrap type="none"/>
            <w10:anchorlock/>
          </v:shape>
          <o:OLEObject Type="Embed" ProgID="Equation.DSMT4" ShapeID="_x0000_i1029" DrawAspect="Content" ObjectID="_1468075729" r:id="rId53">
            <o:LockedField>false</o:LockedField>
          </o:OLEObject>
        </w:object>
      </w:r>
      <w:r>
        <w:rPr>
          <w:rFonts w:hint="eastAsia"/>
        </w:rPr>
        <w:t xml:space="preserve">     </w:t>
      </w:r>
      <w:r>
        <w:rPr>
          <w:rFonts w:hint="eastAsia"/>
          <w:szCs w:val="28"/>
        </w:rPr>
        <w:t xml:space="preserve">                </w:t>
      </w:r>
      <w:r>
        <w:rPr>
          <w:rFonts w:hint="eastAsia"/>
        </w:rPr>
        <w:t>（9）</w:t>
      </w:r>
    </w:p>
    <w:p w14:paraId="680941BF">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生岸</w:t>
      </w:r>
      <w:r>
        <w:rPr>
          <w:rFonts w:hint="eastAsia" w:ascii="宋体" w:hAnsi="宋体" w:eastAsia="宋体" w:cs="Times New Roman"/>
          <w:szCs w:val="24"/>
        </w:rPr>
        <w:t>为河湖生态护岸比例；</w:t>
      </w:r>
      <w:r>
        <w:rPr>
          <w:rFonts w:hint="eastAsia" w:eastAsia="宋体" w:cs="Times New Roman"/>
          <w:szCs w:val="24"/>
        </w:rPr>
        <w:t>L</w:t>
      </w:r>
      <w:r>
        <w:rPr>
          <w:rFonts w:hint="eastAsia" w:ascii="宋体" w:hAnsi="宋体" w:eastAsia="宋体" w:cs="Times New Roman"/>
          <w:szCs w:val="24"/>
          <w:vertAlign w:val="subscript"/>
        </w:rPr>
        <w:t>生岸</w:t>
      </w:r>
      <w:r>
        <w:rPr>
          <w:rFonts w:hint="eastAsia" w:ascii="宋体" w:hAnsi="宋体" w:eastAsia="宋体" w:cs="Times New Roman"/>
          <w:szCs w:val="24"/>
        </w:rPr>
        <w:t>为已建生态护岸长度；</w:t>
      </w:r>
      <w:r>
        <w:rPr>
          <w:rFonts w:hint="eastAsia" w:eastAsia="宋体" w:cs="Times New Roman"/>
          <w:szCs w:val="24"/>
        </w:rPr>
        <w:t>L</w:t>
      </w:r>
      <w:r>
        <w:rPr>
          <w:rFonts w:hint="eastAsia" w:ascii="宋体" w:hAnsi="宋体" w:eastAsia="宋体" w:cs="Times New Roman"/>
          <w:szCs w:val="24"/>
          <w:vertAlign w:val="subscript"/>
        </w:rPr>
        <w:t>岸总</w:t>
      </w:r>
      <w:r>
        <w:rPr>
          <w:rFonts w:hint="eastAsia" w:ascii="宋体" w:hAnsi="宋体" w:eastAsia="宋体" w:cs="Times New Roman"/>
          <w:szCs w:val="24"/>
        </w:rPr>
        <w:t>为人工建设护岸总长度。</w:t>
      </w:r>
    </w:p>
    <w:p w14:paraId="28A74557">
      <w:pPr>
        <w:ind w:firstLine="0" w:firstLineChars="0"/>
        <w:jc w:val="left"/>
      </w:pPr>
      <w:r>
        <w:rPr>
          <w:rFonts w:hint="eastAsia" w:eastAsia="黑体" w:cs="Times New Roman"/>
          <w:b/>
          <w:bCs/>
          <w:kern w:val="44"/>
        </w:rPr>
        <w:t>1</w:t>
      </w:r>
      <w:r>
        <w:rPr>
          <w:rFonts w:eastAsia="黑体" w:cs="Times New Roman"/>
          <w:b/>
          <w:bCs/>
          <w:kern w:val="44"/>
        </w:rPr>
        <w:t>.2.5</w:t>
      </w:r>
      <w:r>
        <w:rPr>
          <w:rFonts w:hint="eastAsia" w:eastAsia="黑体"/>
          <w:b/>
          <w:bCs/>
          <w:kern w:val="44"/>
        </w:rPr>
        <w:t xml:space="preserve"> </w:t>
      </w:r>
      <w:r>
        <w:rPr>
          <w:rFonts w:hint="eastAsia"/>
        </w:rPr>
        <w:t>水域面积率指河湖、水库、湿地、塘洼等水体护堤之内或者最高水位线以下的面积占区域总面积比例，按公式（</w:t>
      </w:r>
      <w:r>
        <w:t>10</w:t>
      </w:r>
      <w:r>
        <w:rPr>
          <w:rFonts w:hint="eastAsia"/>
        </w:rPr>
        <w:t>）计算。根据计算获得的指标值，按南方和北方分别赋分，其中南方指附录</w:t>
      </w:r>
      <w:r>
        <w:t>B</w:t>
      </w:r>
      <w:r>
        <w:rPr>
          <w:rFonts w:hint="eastAsia"/>
        </w:rPr>
        <w:t>中长江中下游地区、东南沿海地区、西南地区</w:t>
      </w:r>
      <w:r>
        <w:t>3</w:t>
      </w:r>
      <w:r>
        <w:rPr>
          <w:rFonts w:hint="eastAsia"/>
        </w:rPr>
        <w:t>个区域；北方指附录</w:t>
      </w:r>
      <w:r>
        <w:t>B</w:t>
      </w:r>
      <w:r>
        <w:rPr>
          <w:rFonts w:hint="eastAsia"/>
        </w:rPr>
        <w:t>中东北地区、黄淮海地区、西北地区</w:t>
      </w:r>
      <w:r>
        <w:t>3</w:t>
      </w:r>
      <w:r>
        <w:rPr>
          <w:rFonts w:hint="eastAsia"/>
        </w:rPr>
        <w:t>个区域。</w:t>
      </w:r>
    </w:p>
    <w:p w14:paraId="1577988E">
      <w:pPr>
        <w:wordWrap w:val="0"/>
        <w:ind w:firstLine="0" w:firstLineChars="0"/>
        <w:jc w:val="right"/>
        <w:rPr>
          <w:szCs w:val="28"/>
        </w:rPr>
      </w:pPr>
      <w:r>
        <w:rPr>
          <w:position w:val="-30"/>
        </w:rPr>
        <w:object>
          <v:shape id="_x0000_i1030" o:spt="75" type="#_x0000_t75" style="height:42.6pt;width:122.4pt;" o:ole="t" filled="f" o:preferrelative="t" stroked="f" coordsize="21600,21600">
            <v:path/>
            <v:fill on="f" focussize="0,0"/>
            <v:stroke on="f" joinstyle="miter"/>
            <v:imagedata r:id="rId56" o:title=""/>
            <o:lock v:ext="edit" aspectratio="t"/>
            <w10:wrap type="none"/>
            <w10:anchorlock/>
          </v:shape>
          <o:OLEObject Type="Embed" ProgID="Equation.DSMT4" ShapeID="_x0000_i1030" DrawAspect="Content" ObjectID="_1468075730" r:id="rId55">
            <o:LockedField>false</o:LockedField>
          </o:OLEObject>
        </w:object>
      </w:r>
      <w:r>
        <w:rPr>
          <w:rFonts w:hint="eastAsia"/>
        </w:rPr>
        <w:t xml:space="preserve">                </w:t>
      </w:r>
      <w:r>
        <w:rPr>
          <w:rFonts w:hint="eastAsia"/>
          <w:szCs w:val="28"/>
        </w:rPr>
        <w:t xml:space="preserve">     </w:t>
      </w:r>
      <w:r>
        <w:rPr>
          <w:rFonts w:hint="eastAsia"/>
        </w:rPr>
        <w:t>（10）</w:t>
      </w:r>
    </w:p>
    <w:p w14:paraId="4D4F85B6">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水域</w:t>
      </w:r>
      <w:r>
        <w:rPr>
          <w:rFonts w:hint="eastAsia" w:ascii="宋体" w:hAnsi="宋体" w:eastAsia="宋体" w:cs="Times New Roman"/>
          <w:szCs w:val="24"/>
        </w:rPr>
        <w:t>为水域面积率；</w:t>
      </w:r>
      <w:r>
        <w:rPr>
          <w:rFonts w:hint="eastAsia" w:eastAsia="宋体" w:cs="Times New Roman"/>
          <w:szCs w:val="24"/>
        </w:rPr>
        <w:t>M</w:t>
      </w:r>
      <w:r>
        <w:rPr>
          <w:rFonts w:hint="eastAsia" w:ascii="宋体" w:hAnsi="宋体" w:eastAsia="宋体" w:cs="Times New Roman"/>
          <w:szCs w:val="24"/>
          <w:vertAlign w:val="subscript"/>
        </w:rPr>
        <w:t>水域</w:t>
      </w:r>
      <w:r>
        <w:rPr>
          <w:rFonts w:hint="eastAsia" w:ascii="宋体" w:hAnsi="宋体" w:eastAsia="宋体" w:cs="Times New Roman"/>
          <w:szCs w:val="24"/>
        </w:rPr>
        <w:t>为各种水体护堤之内或者最高水位线以下的面积；</w:t>
      </w:r>
      <w:r>
        <w:rPr>
          <w:rFonts w:hint="eastAsia" w:eastAsia="宋体" w:cs="Times New Roman"/>
          <w:szCs w:val="24"/>
        </w:rPr>
        <w:t>M</w:t>
      </w:r>
      <w:r>
        <w:rPr>
          <w:rFonts w:hint="eastAsia" w:ascii="宋体" w:hAnsi="宋体" w:eastAsia="宋体" w:cs="Times New Roman"/>
          <w:szCs w:val="24"/>
          <w:vertAlign w:val="subscript"/>
        </w:rPr>
        <w:t>总</w:t>
      </w:r>
      <w:r>
        <w:rPr>
          <w:rFonts w:hint="eastAsia" w:ascii="宋体" w:hAnsi="宋体" w:eastAsia="宋体" w:cs="Times New Roman"/>
          <w:szCs w:val="24"/>
        </w:rPr>
        <w:t>为区域总面积。</w:t>
      </w:r>
    </w:p>
    <w:p w14:paraId="309B9AEB">
      <w:pPr>
        <w:ind w:firstLine="0" w:firstLineChars="0"/>
        <w:jc w:val="left"/>
      </w:pPr>
      <w:r>
        <w:rPr>
          <w:rFonts w:hint="eastAsia" w:eastAsia="黑体" w:cs="Times New Roman"/>
          <w:b/>
          <w:bCs/>
          <w:kern w:val="44"/>
        </w:rPr>
        <w:t>1</w:t>
      </w:r>
      <w:r>
        <w:rPr>
          <w:rFonts w:eastAsia="黑体" w:cs="Times New Roman"/>
          <w:b/>
          <w:bCs/>
          <w:kern w:val="44"/>
        </w:rPr>
        <w:t>.2.6</w:t>
      </w:r>
      <w:r>
        <w:rPr>
          <w:rFonts w:cs="Times New Roman"/>
          <w:szCs w:val="28"/>
        </w:rPr>
        <w:t xml:space="preserve"> </w:t>
      </w:r>
      <w:r>
        <w:rPr>
          <w:rFonts w:hint="eastAsia"/>
        </w:rPr>
        <w:t>水生生物完整性指数指各类水生生物种类数量与近天然基准年种类数量比值的算术平均值，按公式（</w:t>
      </w:r>
      <w:r>
        <w:t>11</w:t>
      </w:r>
      <w:r>
        <w:rPr>
          <w:rFonts w:hint="eastAsia"/>
        </w:rPr>
        <w:t>）计算：</w:t>
      </w:r>
      <w:r>
        <w:t xml:space="preserve"> </w:t>
      </w:r>
    </w:p>
    <w:p w14:paraId="17E8D476">
      <w:pPr>
        <w:ind w:firstLine="480"/>
        <w:rPr>
          <w:rFonts w:cs="Times New Roman"/>
          <w:color w:val="FF0000"/>
          <w:szCs w:val="28"/>
        </w:rPr>
      </w:pPr>
      <w:r>
        <w:rPr>
          <w:position w:val="-24"/>
        </w:rPr>
        <w:object>
          <v:shape id="_x0000_i1031" o:spt="75" type="#_x0000_t75" style="height:49.8pt;width:300pt;" o:ole="t" filled="f" o:preferrelative="t" stroked="f" coordsize="21600,21600">
            <v:path/>
            <v:fill on="f" focussize="0,0"/>
            <v:stroke on="f" joinstyle="miter"/>
            <v:imagedata r:id="rId58" o:title=""/>
            <o:lock v:ext="edit" aspectratio="t"/>
            <w10:wrap type="none"/>
            <w10:anchorlock/>
          </v:shape>
          <o:OLEObject Type="Embed" ProgID="Equation.DSMT4" ShapeID="_x0000_i1031" DrawAspect="Content" ObjectID="_1468075731" r:id="rId57">
            <o:LockedField>false</o:LockedField>
          </o:OLEObject>
        </w:object>
      </w:r>
      <w:r>
        <w:rPr>
          <w:rFonts w:hint="eastAsia"/>
        </w:rPr>
        <w:t xml:space="preserve">        （</w:t>
      </w:r>
      <w:r>
        <w:t>11</w:t>
      </w:r>
      <w:r>
        <w:rPr>
          <w:rFonts w:hint="eastAsia"/>
        </w:rPr>
        <w:t>）</w:t>
      </w:r>
    </w:p>
    <w:p w14:paraId="70D71E55">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I</w:t>
      </w:r>
      <w:r>
        <w:rPr>
          <w:rFonts w:hint="eastAsia" w:ascii="宋体" w:hAnsi="宋体" w:eastAsia="宋体" w:cs="Times New Roman"/>
          <w:szCs w:val="24"/>
          <w:vertAlign w:val="subscript"/>
        </w:rPr>
        <w:t>生物完整性</w:t>
      </w:r>
      <w:r>
        <w:rPr>
          <w:rFonts w:hint="eastAsia" w:ascii="宋体" w:hAnsi="宋体" w:eastAsia="宋体" w:cs="Times New Roman"/>
          <w:szCs w:val="24"/>
        </w:rPr>
        <w:t>为水生生物完整性指数；</w:t>
      </w:r>
      <w:r>
        <w:rPr>
          <w:rFonts w:hint="eastAsia" w:eastAsia="宋体" w:cs="Times New Roman"/>
          <w:szCs w:val="24"/>
        </w:rPr>
        <w:t>TY</w:t>
      </w:r>
      <w:r>
        <w:rPr>
          <w:rFonts w:hint="eastAsia" w:ascii="宋体" w:hAnsi="宋体" w:eastAsia="宋体" w:cs="Times New Roman"/>
          <w:szCs w:val="24"/>
          <w:vertAlign w:val="subscript"/>
        </w:rPr>
        <w:t>浮游</w:t>
      </w:r>
      <w:r>
        <w:rPr>
          <w:rFonts w:hint="eastAsia" w:ascii="宋体" w:hAnsi="宋体" w:eastAsia="宋体" w:cs="Times New Roman"/>
          <w:szCs w:val="24"/>
        </w:rPr>
        <w:t>为浮游生物种类数；</w:t>
      </w:r>
      <w:r>
        <w:rPr>
          <w:rFonts w:hint="eastAsia" w:eastAsia="宋体" w:cs="Times New Roman"/>
          <w:szCs w:val="24"/>
        </w:rPr>
        <w:t>TY</w:t>
      </w:r>
      <w:r>
        <w:rPr>
          <w:rFonts w:hint="eastAsia" w:ascii="宋体" w:hAnsi="宋体" w:eastAsia="宋体" w:cs="Times New Roman"/>
          <w:szCs w:val="24"/>
          <w:vertAlign w:val="subscript"/>
        </w:rPr>
        <w:t>底栖</w:t>
      </w:r>
      <w:r>
        <w:rPr>
          <w:rFonts w:hint="eastAsia" w:ascii="宋体" w:hAnsi="宋体" w:eastAsia="宋体" w:cs="Times New Roman"/>
          <w:szCs w:val="24"/>
        </w:rPr>
        <w:t>为底栖动物种类数；</w:t>
      </w:r>
      <w:r>
        <w:rPr>
          <w:rFonts w:hint="eastAsia" w:eastAsia="宋体" w:cs="Times New Roman"/>
          <w:szCs w:val="24"/>
        </w:rPr>
        <w:t>TY</w:t>
      </w:r>
      <w:r>
        <w:rPr>
          <w:rFonts w:hint="eastAsia" w:ascii="宋体" w:hAnsi="宋体" w:eastAsia="宋体" w:cs="Times New Roman"/>
          <w:szCs w:val="24"/>
          <w:vertAlign w:val="subscript"/>
        </w:rPr>
        <w:t>鱼类</w:t>
      </w:r>
      <w:r>
        <w:rPr>
          <w:rFonts w:hint="eastAsia" w:ascii="宋体" w:hAnsi="宋体" w:eastAsia="宋体" w:cs="Times New Roman"/>
          <w:szCs w:val="24"/>
        </w:rPr>
        <w:t>为鱼类种类数；</w:t>
      </w:r>
      <w:r>
        <w:rPr>
          <w:rFonts w:hint="eastAsia" w:eastAsia="宋体" w:cs="Times New Roman"/>
          <w:szCs w:val="24"/>
        </w:rPr>
        <w:t>TY</w:t>
      </w:r>
      <w:r>
        <w:rPr>
          <w:rFonts w:hint="eastAsia" w:ascii="宋体" w:hAnsi="宋体" w:eastAsia="宋体" w:cs="Times New Roman"/>
          <w:szCs w:val="24"/>
          <w:vertAlign w:val="subscript"/>
        </w:rPr>
        <w:t>植物</w:t>
      </w:r>
      <w:r>
        <w:rPr>
          <w:rFonts w:hint="eastAsia" w:ascii="宋体" w:hAnsi="宋体" w:eastAsia="宋体" w:cs="Times New Roman"/>
          <w:szCs w:val="24"/>
        </w:rPr>
        <w:t>为高等水生植物种类数；</w:t>
      </w:r>
      <w:r>
        <w:rPr>
          <w:rFonts w:hint="eastAsia" w:eastAsia="宋体" w:cs="Times New Roman"/>
          <w:szCs w:val="24"/>
        </w:rPr>
        <w:t>TY</w:t>
      </w:r>
      <w:r>
        <w:rPr>
          <w:rFonts w:hint="eastAsia" w:ascii="宋体" w:hAnsi="宋体" w:eastAsia="宋体" w:cs="Times New Roman"/>
          <w:szCs w:val="24"/>
          <w:vertAlign w:val="subscript"/>
        </w:rPr>
        <w:t>两栖</w:t>
      </w:r>
      <w:r>
        <w:rPr>
          <w:rFonts w:hint="eastAsia" w:ascii="宋体" w:hAnsi="宋体" w:eastAsia="宋体" w:cs="Times New Roman"/>
          <w:szCs w:val="24"/>
        </w:rPr>
        <w:t>为两栖动物种类数；</w:t>
      </w:r>
      <w:r>
        <w:rPr>
          <w:rFonts w:hint="eastAsia" w:eastAsia="宋体" w:cs="Times New Roman"/>
          <w:szCs w:val="24"/>
        </w:rPr>
        <w:t>JTY</w:t>
      </w:r>
      <w:r>
        <w:rPr>
          <w:rFonts w:hint="eastAsia" w:ascii="宋体" w:hAnsi="宋体" w:eastAsia="宋体" w:cs="Times New Roman"/>
          <w:szCs w:val="24"/>
          <w:vertAlign w:val="subscript"/>
        </w:rPr>
        <w:t>浮游</w:t>
      </w:r>
      <w:r>
        <w:rPr>
          <w:rFonts w:hint="eastAsia" w:ascii="宋体" w:hAnsi="宋体" w:eastAsia="宋体" w:cs="Times New Roman"/>
          <w:szCs w:val="24"/>
        </w:rPr>
        <w:t>为基准年浮游生物种类数；</w:t>
      </w:r>
      <w:r>
        <w:rPr>
          <w:rFonts w:hint="eastAsia" w:eastAsia="宋体" w:cs="Times New Roman"/>
          <w:szCs w:val="24"/>
        </w:rPr>
        <w:t>JTY</w:t>
      </w:r>
      <w:r>
        <w:rPr>
          <w:rFonts w:hint="eastAsia" w:ascii="宋体" w:hAnsi="宋体" w:eastAsia="宋体" w:cs="Times New Roman"/>
          <w:szCs w:val="24"/>
          <w:vertAlign w:val="subscript"/>
        </w:rPr>
        <w:t>底栖</w:t>
      </w:r>
      <w:r>
        <w:rPr>
          <w:rFonts w:hint="eastAsia" w:ascii="宋体" w:hAnsi="宋体" w:eastAsia="宋体" w:cs="Times New Roman"/>
          <w:szCs w:val="24"/>
        </w:rPr>
        <w:t>为基准年底栖动物种类数；</w:t>
      </w:r>
      <w:r>
        <w:rPr>
          <w:rFonts w:hint="eastAsia" w:eastAsia="宋体" w:cs="Times New Roman"/>
          <w:szCs w:val="24"/>
        </w:rPr>
        <w:t>JTY</w:t>
      </w:r>
      <w:r>
        <w:rPr>
          <w:rFonts w:hint="eastAsia" w:ascii="宋体" w:hAnsi="宋体" w:eastAsia="宋体" w:cs="Times New Roman"/>
          <w:szCs w:val="24"/>
          <w:vertAlign w:val="subscript"/>
        </w:rPr>
        <w:t>鱼类</w:t>
      </w:r>
      <w:r>
        <w:rPr>
          <w:rFonts w:hint="eastAsia" w:ascii="宋体" w:hAnsi="宋体" w:eastAsia="宋体" w:cs="Times New Roman"/>
          <w:szCs w:val="24"/>
        </w:rPr>
        <w:t>为基准年鱼类种类数；</w:t>
      </w:r>
      <w:r>
        <w:rPr>
          <w:rFonts w:hint="eastAsia" w:eastAsia="宋体" w:cs="Times New Roman"/>
          <w:szCs w:val="24"/>
        </w:rPr>
        <w:t>JTY</w:t>
      </w:r>
      <w:r>
        <w:rPr>
          <w:rFonts w:hint="eastAsia" w:ascii="宋体" w:hAnsi="宋体" w:eastAsia="宋体" w:cs="Times New Roman"/>
          <w:szCs w:val="24"/>
          <w:vertAlign w:val="subscript"/>
        </w:rPr>
        <w:t>植物</w:t>
      </w:r>
      <w:r>
        <w:rPr>
          <w:rFonts w:hint="eastAsia" w:ascii="宋体" w:hAnsi="宋体" w:eastAsia="宋体" w:cs="Times New Roman"/>
          <w:szCs w:val="24"/>
        </w:rPr>
        <w:t>为基准年高等水生植物种类数。</w:t>
      </w:r>
      <w:r>
        <w:rPr>
          <w:rFonts w:hint="eastAsia" w:eastAsia="宋体" w:cs="Times New Roman"/>
          <w:szCs w:val="24"/>
        </w:rPr>
        <w:t>JTY</w:t>
      </w:r>
      <w:r>
        <w:rPr>
          <w:rFonts w:hint="eastAsia" w:ascii="宋体" w:hAnsi="宋体" w:eastAsia="宋体" w:cs="Times New Roman"/>
          <w:szCs w:val="24"/>
          <w:vertAlign w:val="subscript"/>
        </w:rPr>
        <w:t>两栖</w:t>
      </w:r>
      <w:r>
        <w:rPr>
          <w:rFonts w:hint="eastAsia" w:ascii="宋体" w:hAnsi="宋体" w:eastAsia="宋体" w:cs="Times New Roman"/>
          <w:szCs w:val="24"/>
        </w:rPr>
        <w:t>为基准年两栖动物种类数。</w:t>
      </w:r>
      <w:r>
        <w:rPr>
          <w:rFonts w:hint="eastAsia" w:ascii="宋体" w:hAnsi="宋体" w:eastAsia="宋体" w:cs="Times New Roman"/>
          <w:sz w:val="18"/>
          <w:szCs w:val="18"/>
        </w:rPr>
        <w:t>（注1：现状种类数量统计不包括外来物种）；（注2：近天然基准年水生生物种类数以前期调查资料、文献记载、专家咨询等为依据确定，参考年代宜不晚于20世纪80年代）。</w:t>
      </w:r>
    </w:p>
    <w:p w14:paraId="14DE7796">
      <w:pPr>
        <w:ind w:firstLine="0" w:firstLineChars="0"/>
        <w:jc w:val="left"/>
        <w:rPr>
          <w:szCs w:val="28"/>
        </w:rPr>
      </w:pPr>
      <w:r>
        <w:rPr>
          <w:rFonts w:hint="eastAsia" w:eastAsia="黑体" w:cs="Times New Roman"/>
          <w:b/>
          <w:bCs/>
          <w:kern w:val="44"/>
        </w:rPr>
        <w:t>1</w:t>
      </w:r>
      <w:r>
        <w:rPr>
          <w:rFonts w:eastAsia="黑体" w:cs="Times New Roman"/>
          <w:b/>
          <w:bCs/>
          <w:kern w:val="44"/>
        </w:rPr>
        <w:t>.2.7</w:t>
      </w:r>
      <w:r>
        <w:rPr>
          <w:rFonts w:hint="eastAsia" w:eastAsia="黑体"/>
          <w:b/>
          <w:bCs/>
          <w:kern w:val="44"/>
        </w:rPr>
        <w:t xml:space="preserve"> </w:t>
      </w:r>
      <w:r>
        <w:rPr>
          <w:rFonts w:hint="eastAsia"/>
        </w:rPr>
        <w:t>水土流失治理程度指水土流失治理面积占区域水土流失总面积的比例，按公式（</w:t>
      </w:r>
      <w:r>
        <w:t>12</w:t>
      </w:r>
      <w:r>
        <w:rPr>
          <w:rFonts w:hint="eastAsia"/>
        </w:rPr>
        <w:t>）计算：</w:t>
      </w:r>
    </w:p>
    <w:p w14:paraId="47069B90">
      <w:pPr>
        <w:wordWrap w:val="0"/>
        <w:ind w:firstLine="0" w:firstLineChars="0"/>
        <w:jc w:val="right"/>
        <w:rPr>
          <w:szCs w:val="28"/>
        </w:rPr>
      </w:pPr>
      <w:r>
        <w:rPr>
          <w:position w:val="-30"/>
        </w:rPr>
        <w:object>
          <v:shape id="_x0000_i1032" o:spt="75" type="#_x0000_t75" style="height:36pt;width:93.6pt;" o:ole="t" filled="f" o:preferrelative="t" stroked="f" coordsize="21600,21600">
            <v:path/>
            <v:fill on="f" focussize="0,0"/>
            <v:stroke on="f" joinstyle="miter"/>
            <v:imagedata r:id="rId60" o:title=""/>
            <o:lock v:ext="edit" aspectratio="t"/>
            <w10:wrap type="none"/>
            <w10:anchorlock/>
          </v:shape>
          <o:OLEObject Type="Embed" ProgID="Equation.DSMT4" ShapeID="_x0000_i1032" DrawAspect="Content" ObjectID="_1468075732" r:id="rId59">
            <o:LockedField>false</o:LockedField>
          </o:OLEObject>
        </w:object>
      </w:r>
      <w:r>
        <w:rPr>
          <w:rFonts w:hint="eastAsia"/>
        </w:rPr>
        <w:t xml:space="preserve">      </w:t>
      </w:r>
      <w:r>
        <w:rPr>
          <w:rFonts w:hint="eastAsia"/>
          <w:szCs w:val="28"/>
        </w:rPr>
        <w:t xml:space="preserve">             </w:t>
      </w:r>
      <w:r>
        <w:rPr>
          <w:rFonts w:hint="eastAsia"/>
        </w:rPr>
        <w:t>（12）</w:t>
      </w:r>
    </w:p>
    <w:p w14:paraId="6D818F5F">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RS</w:t>
      </w:r>
      <w:r>
        <w:rPr>
          <w:rFonts w:hint="eastAsia" w:ascii="宋体" w:hAnsi="宋体" w:eastAsia="宋体" w:cs="Times New Roman"/>
          <w:szCs w:val="24"/>
          <w:vertAlign w:val="subscript"/>
        </w:rPr>
        <w:t>治</w:t>
      </w:r>
      <w:r>
        <w:rPr>
          <w:rFonts w:hint="eastAsia" w:ascii="宋体" w:hAnsi="宋体" w:eastAsia="宋体" w:cs="Times New Roman"/>
          <w:szCs w:val="24"/>
        </w:rPr>
        <w:t>为水土流失治理程度；</w:t>
      </w:r>
      <w:r>
        <w:rPr>
          <w:rFonts w:hint="eastAsia" w:eastAsia="宋体" w:cs="Times New Roman"/>
          <w:szCs w:val="24"/>
        </w:rPr>
        <w:t>MS</w:t>
      </w:r>
      <w:r>
        <w:rPr>
          <w:rFonts w:hint="eastAsia" w:ascii="宋体" w:hAnsi="宋体" w:eastAsia="宋体" w:cs="Times New Roman"/>
          <w:szCs w:val="24"/>
          <w:vertAlign w:val="subscript"/>
        </w:rPr>
        <w:t>治</w:t>
      </w:r>
      <w:r>
        <w:rPr>
          <w:rFonts w:hint="eastAsia" w:ascii="宋体" w:hAnsi="宋体" w:eastAsia="宋体" w:cs="Times New Roman"/>
          <w:szCs w:val="24"/>
        </w:rPr>
        <w:t>为水土流失治理面积；</w:t>
      </w:r>
      <w:r>
        <w:rPr>
          <w:rFonts w:hint="eastAsia" w:eastAsia="宋体" w:cs="Times New Roman"/>
          <w:szCs w:val="24"/>
        </w:rPr>
        <w:t>MS</w:t>
      </w:r>
      <w:r>
        <w:rPr>
          <w:rFonts w:hint="eastAsia" w:ascii="宋体" w:hAnsi="宋体" w:eastAsia="宋体" w:cs="Times New Roman"/>
          <w:szCs w:val="24"/>
          <w:vertAlign w:val="subscript"/>
        </w:rPr>
        <w:t>总</w:t>
      </w:r>
      <w:r>
        <w:rPr>
          <w:rFonts w:hint="eastAsia" w:ascii="宋体" w:hAnsi="宋体" w:eastAsia="宋体" w:cs="Times New Roman"/>
          <w:szCs w:val="24"/>
        </w:rPr>
        <w:t>为区域水土流失总面积。</w:t>
      </w:r>
    </w:p>
    <w:p w14:paraId="706E0DEC">
      <w:pPr>
        <w:ind w:firstLine="0" w:firstLineChars="0"/>
        <w:rPr>
          <w:rFonts w:eastAsia="黑体" w:cs="黑体"/>
          <w:b/>
          <w:bCs/>
        </w:rPr>
      </w:pPr>
      <w:bookmarkStart w:id="1057" w:name="_Toc339305189"/>
      <w:bookmarkStart w:id="1058" w:name="_Toc411458965"/>
      <w:bookmarkStart w:id="1059" w:name="_Toc434850730"/>
      <w:bookmarkStart w:id="1060" w:name="_Toc398274594"/>
      <w:r>
        <w:rPr>
          <w:rFonts w:eastAsia="黑体" w:cs="Times New Roman"/>
          <w:b/>
          <w:bCs/>
        </w:rPr>
        <w:t>1.3</w:t>
      </w:r>
      <w:r>
        <w:rPr>
          <w:rFonts w:hint="eastAsia" w:eastAsia="黑体" w:cs="黑体"/>
          <w:b/>
          <w:bCs/>
        </w:rPr>
        <w:t>水环境评价</w:t>
      </w:r>
      <w:bookmarkEnd w:id="1057"/>
      <w:bookmarkEnd w:id="1058"/>
      <w:bookmarkEnd w:id="1059"/>
      <w:bookmarkEnd w:id="1060"/>
    </w:p>
    <w:p w14:paraId="0798926F">
      <w:pPr>
        <w:ind w:firstLine="0" w:firstLineChars="0"/>
        <w:rPr>
          <w:szCs w:val="28"/>
        </w:rPr>
      </w:pPr>
      <w:r>
        <w:rPr>
          <w:rFonts w:eastAsia="黑体" w:cs="Times New Roman"/>
          <w:b/>
          <w:bCs/>
          <w:kern w:val="44"/>
        </w:rPr>
        <w:t xml:space="preserve">1.3.1 </w:t>
      </w:r>
      <w:r>
        <w:rPr>
          <w:rFonts w:hint="eastAsia"/>
        </w:rPr>
        <w:t>水环境评价主要评估区域水环境质量和水污染防治水平，包括水功能区水质达标率、水质</w:t>
      </w:r>
      <w:r>
        <w:t>优良度</w:t>
      </w:r>
      <w:r>
        <w:rPr>
          <w:rFonts w:hint="eastAsia"/>
        </w:rPr>
        <w:t>、废污水达标处理率</w:t>
      </w:r>
      <w:r>
        <w:t>3</w:t>
      </w:r>
      <w:r>
        <w:rPr>
          <w:rFonts w:hint="eastAsia"/>
        </w:rPr>
        <w:t>项通用指标。</w:t>
      </w:r>
    </w:p>
    <w:p w14:paraId="45E5FCF9">
      <w:pPr>
        <w:ind w:firstLine="0" w:firstLineChars="0"/>
        <w:rPr>
          <w:szCs w:val="28"/>
        </w:rPr>
      </w:pPr>
      <w:r>
        <w:rPr>
          <w:rFonts w:eastAsia="黑体" w:cs="Times New Roman"/>
          <w:b/>
          <w:bCs/>
          <w:kern w:val="44"/>
        </w:rPr>
        <w:t>1.3.2</w:t>
      </w:r>
      <w:r>
        <w:rPr>
          <w:rFonts w:hint="eastAsia" w:eastAsia="黑体"/>
          <w:b/>
          <w:bCs/>
          <w:kern w:val="44"/>
        </w:rPr>
        <w:t xml:space="preserve"> </w:t>
      </w:r>
      <w:r>
        <w:rPr>
          <w:rFonts w:hint="eastAsia"/>
        </w:rPr>
        <w:t>水功能区水质达标率指水质达标水功能区数量比例，按公式（</w:t>
      </w:r>
      <w:r>
        <w:t>13</w:t>
      </w:r>
      <w:r>
        <w:rPr>
          <w:rFonts w:hint="eastAsia"/>
        </w:rPr>
        <w:t>）计算。水功能区水质达标率按全指标评价。</w:t>
      </w:r>
    </w:p>
    <w:p w14:paraId="1C0EFBCF">
      <w:pPr>
        <w:wordWrap w:val="0"/>
        <w:ind w:firstLine="0" w:firstLineChars="0"/>
        <w:jc w:val="right"/>
        <w:rPr>
          <w:szCs w:val="28"/>
        </w:rPr>
      </w:pPr>
      <w:r>
        <w:rPr>
          <w:position w:val="-30"/>
        </w:rPr>
        <w:object>
          <v:shape id="_x0000_i1033" o:spt="75" type="#_x0000_t75" style="height:39pt;width:90pt;" o:ole="t" filled="f" o:preferrelative="t" stroked="f" coordsize="21600,21600">
            <v:path/>
            <v:fill on="f" focussize="0,0"/>
            <v:stroke on="f" joinstyle="miter"/>
            <v:imagedata r:id="rId62" o:title=""/>
            <o:lock v:ext="edit" aspectratio="t"/>
            <w10:wrap type="none"/>
            <w10:anchorlock/>
          </v:shape>
          <o:OLEObject Type="Embed" ProgID="Equation.DSMT4" ShapeID="_x0000_i1033" DrawAspect="Content" ObjectID="_1468075733" r:id="rId61">
            <o:LockedField>false</o:LockedField>
          </o:OLEObject>
        </w:object>
      </w:r>
      <w:r>
        <w:rPr>
          <w:rFonts w:hint="eastAsia"/>
        </w:rPr>
        <w:t xml:space="preserve">                   </w:t>
      </w:r>
      <w:r>
        <w:rPr>
          <w:rFonts w:hint="eastAsia"/>
          <w:szCs w:val="28"/>
        </w:rPr>
        <w:t xml:space="preserve">    </w:t>
      </w:r>
      <w:r>
        <w:rPr>
          <w:rFonts w:hint="eastAsia"/>
        </w:rPr>
        <w:t>（13）</w:t>
      </w:r>
    </w:p>
    <w:p w14:paraId="4C5B229B">
      <w:pPr>
        <w:ind w:firstLine="484" w:firstLineChars="202"/>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功</w:t>
      </w:r>
      <w:r>
        <w:rPr>
          <w:rFonts w:hint="eastAsia" w:ascii="宋体" w:hAnsi="宋体" w:eastAsia="宋体" w:cs="Times New Roman"/>
          <w:szCs w:val="24"/>
        </w:rPr>
        <w:t>为水功能区水质达标率；</w:t>
      </w:r>
      <w:r>
        <w:rPr>
          <w:rFonts w:hint="eastAsia" w:eastAsia="宋体" w:cs="Times New Roman"/>
          <w:szCs w:val="24"/>
        </w:rPr>
        <w:t>G</w:t>
      </w:r>
      <w:r>
        <w:rPr>
          <w:rFonts w:hint="eastAsia" w:ascii="宋体" w:hAnsi="宋体" w:eastAsia="宋体" w:cs="Times New Roman"/>
          <w:szCs w:val="24"/>
          <w:vertAlign w:val="subscript"/>
        </w:rPr>
        <w:t>标</w:t>
      </w:r>
      <w:r>
        <w:rPr>
          <w:rFonts w:hint="eastAsia" w:ascii="宋体" w:hAnsi="宋体" w:eastAsia="宋体" w:cs="Times New Roman"/>
          <w:szCs w:val="24"/>
        </w:rPr>
        <w:t>为水质达标水功能区数量；</w:t>
      </w:r>
      <w:r>
        <w:rPr>
          <w:rFonts w:hint="eastAsia" w:eastAsia="宋体" w:cs="Times New Roman"/>
          <w:szCs w:val="24"/>
        </w:rPr>
        <w:t>G</w:t>
      </w:r>
      <w:r>
        <w:rPr>
          <w:rFonts w:hint="eastAsia" w:ascii="宋体" w:hAnsi="宋体" w:eastAsia="宋体" w:cs="Times New Roman"/>
          <w:szCs w:val="24"/>
          <w:vertAlign w:val="subscript"/>
        </w:rPr>
        <w:t>总</w:t>
      </w:r>
      <w:r>
        <w:rPr>
          <w:rFonts w:hint="eastAsia" w:ascii="宋体" w:hAnsi="宋体" w:eastAsia="宋体" w:cs="Times New Roman"/>
          <w:szCs w:val="24"/>
        </w:rPr>
        <w:t>为水功能区总数。</w:t>
      </w:r>
      <w:r>
        <w:rPr>
          <w:rFonts w:hint="eastAsia" w:ascii="宋体" w:hAnsi="宋体" w:eastAsia="宋体" w:cs="Times New Roman"/>
          <w:sz w:val="18"/>
          <w:szCs w:val="18"/>
        </w:rPr>
        <w:t>（注：参与评价的水功能区为国家或省级人民政府批复的水功能区）。</w:t>
      </w:r>
    </w:p>
    <w:p w14:paraId="4F5CBD7F">
      <w:pPr>
        <w:ind w:left="1018" w:leftChars="202" w:hanging="534" w:hangingChars="297"/>
        <w:jc w:val="left"/>
        <w:rPr>
          <w:sz w:val="18"/>
          <w:szCs w:val="18"/>
        </w:rPr>
      </w:pPr>
      <w:r>
        <w:rPr>
          <w:rFonts w:hint="eastAsia"/>
          <w:sz w:val="18"/>
          <w:szCs w:val="18"/>
        </w:rPr>
        <w:t>注：参与评价的水功能区为国家或省级人民政府批复的水功能区。</w:t>
      </w:r>
    </w:p>
    <w:p w14:paraId="270E3815">
      <w:pPr>
        <w:ind w:firstLine="0" w:firstLineChars="0"/>
        <w:rPr>
          <w:szCs w:val="28"/>
        </w:rPr>
      </w:pPr>
      <w:r>
        <w:rPr>
          <w:rFonts w:eastAsia="黑体" w:cs="Times New Roman"/>
          <w:b/>
          <w:bCs/>
          <w:kern w:val="44"/>
        </w:rPr>
        <w:t xml:space="preserve">1.3.3 </w:t>
      </w:r>
      <w:r>
        <w:rPr>
          <w:rFonts w:hint="eastAsia"/>
        </w:rPr>
        <w:t>水质</w:t>
      </w:r>
      <w:r>
        <w:t>优良度指</w:t>
      </w:r>
      <w:r>
        <w:rPr>
          <w:rFonts w:hint="eastAsia"/>
        </w:rPr>
        <w:t>达到或优于</w:t>
      </w:r>
      <w:r>
        <w:t>GB 3838</w:t>
      </w:r>
      <w:r>
        <w:rPr>
          <w:rFonts w:hint="eastAsia"/>
        </w:rPr>
        <w:t>的</w:t>
      </w:r>
      <w:r>
        <w:t>III</w:t>
      </w:r>
      <w:r>
        <w:rPr>
          <w:rFonts w:hint="eastAsia"/>
        </w:rPr>
        <w:t>类水质标准的河流长度占评价总河长的比例，按公式（</w:t>
      </w:r>
      <w:r>
        <w:t>14</w:t>
      </w:r>
      <w:r>
        <w:rPr>
          <w:rFonts w:hint="eastAsia"/>
        </w:rPr>
        <w:t>）计算：</w:t>
      </w:r>
    </w:p>
    <w:p w14:paraId="7F8A57EB">
      <w:pPr>
        <w:wordWrap w:val="0"/>
        <w:ind w:firstLine="0" w:firstLineChars="0"/>
        <w:jc w:val="right"/>
        <w:rPr>
          <w:szCs w:val="28"/>
        </w:rPr>
      </w:pPr>
      <w:r>
        <w:rPr>
          <w:position w:val="-32"/>
        </w:rPr>
        <w:object>
          <v:shape id="_x0000_i1034" o:spt="75" type="#_x0000_t75" style="height:42.6pt;width:98.4pt;" o:ole="t" filled="f" o:preferrelative="t" stroked="f" coordsize="21600,21600">
            <v:path/>
            <v:fill on="f" focussize="0,0"/>
            <v:stroke on="f" joinstyle="miter"/>
            <v:imagedata r:id="rId64" o:title=""/>
            <o:lock v:ext="edit" aspectratio="t"/>
            <w10:wrap type="none"/>
            <w10:anchorlock/>
          </v:shape>
          <o:OLEObject Type="Embed" ProgID="Equation.DSMT4" ShapeID="_x0000_i1034" DrawAspect="Content" ObjectID="_1468075734" r:id="rId63">
            <o:LockedField>false</o:LockedField>
          </o:OLEObject>
        </w:object>
      </w:r>
      <w:r>
        <w:rPr>
          <w:rFonts w:hint="eastAsia"/>
          <w:szCs w:val="28"/>
        </w:rPr>
        <w:t xml:space="preserve">                </w:t>
      </w:r>
      <w:r>
        <w:rPr>
          <w:rFonts w:hint="eastAsia"/>
        </w:rPr>
        <w:t>（14）</w:t>
      </w:r>
    </w:p>
    <w:p w14:paraId="45429B15">
      <w:pPr>
        <w:ind w:firstLine="484" w:firstLineChars="202"/>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I</w:t>
      </w:r>
      <w:r>
        <w:rPr>
          <w:rFonts w:hint="eastAsia" w:ascii="宋体" w:hAnsi="宋体" w:eastAsia="宋体" w:cs="Times New Roman"/>
          <w:szCs w:val="24"/>
        </w:rPr>
        <w:t>为水质优良度；</w:t>
      </w:r>
      <w:r>
        <w:rPr>
          <w:rFonts w:hint="eastAsia" w:eastAsia="宋体" w:cs="Times New Roman"/>
          <w:szCs w:val="24"/>
        </w:rPr>
        <w:t>L</w:t>
      </w:r>
      <w:r>
        <w:rPr>
          <w:rFonts w:hint="eastAsia" w:eastAsia="宋体" w:cs="Times New Roman"/>
          <w:szCs w:val="24"/>
          <w:vertAlign w:val="subscript"/>
        </w:rPr>
        <w:t>I-III</w:t>
      </w:r>
      <w:r>
        <w:rPr>
          <w:rFonts w:hint="eastAsia" w:ascii="宋体" w:hAnsi="宋体" w:eastAsia="宋体" w:cs="Times New Roman"/>
          <w:szCs w:val="24"/>
          <w:vertAlign w:val="subscript"/>
        </w:rPr>
        <w:t>类</w:t>
      </w:r>
      <w:r>
        <w:rPr>
          <w:rFonts w:hint="eastAsia" w:ascii="宋体" w:hAnsi="宋体" w:eastAsia="宋体" w:cs="Times New Roman"/>
          <w:szCs w:val="24"/>
        </w:rPr>
        <w:t>为</w:t>
      </w:r>
      <w:r>
        <w:rPr>
          <w:rFonts w:eastAsia="宋体" w:cs="Times New Roman"/>
          <w:szCs w:val="24"/>
        </w:rPr>
        <w:t>I-III</w:t>
      </w:r>
      <w:r>
        <w:rPr>
          <w:rFonts w:hint="eastAsia" w:ascii="宋体" w:hAnsi="宋体" w:eastAsia="宋体" w:cs="Times New Roman"/>
          <w:szCs w:val="24"/>
        </w:rPr>
        <w:t>类水质河流长度；</w:t>
      </w:r>
      <w:r>
        <w:rPr>
          <w:rFonts w:hint="eastAsia" w:eastAsia="宋体" w:cs="Times New Roman"/>
          <w:szCs w:val="24"/>
        </w:rPr>
        <w:t>L</w:t>
      </w:r>
      <w:r>
        <w:rPr>
          <w:rFonts w:hint="eastAsia" w:ascii="宋体" w:hAnsi="宋体" w:eastAsia="宋体" w:cs="Times New Roman"/>
          <w:szCs w:val="24"/>
          <w:vertAlign w:val="subscript"/>
        </w:rPr>
        <w:t>评总</w:t>
      </w:r>
      <w:r>
        <w:rPr>
          <w:rFonts w:hint="eastAsia" w:ascii="宋体" w:hAnsi="宋体" w:eastAsia="宋体" w:cs="Times New Roman"/>
          <w:szCs w:val="24"/>
        </w:rPr>
        <w:t>为评价河流总长度。</w:t>
      </w:r>
    </w:p>
    <w:p w14:paraId="244730EC">
      <w:pPr>
        <w:ind w:firstLine="426" w:firstLineChars="0"/>
        <w:rPr>
          <w:rFonts w:eastAsia="宋体" w:cs="Times New Roman"/>
          <w:szCs w:val="24"/>
        </w:rPr>
      </w:pPr>
      <w:r>
        <w:rPr>
          <w:rFonts w:hint="eastAsia" w:ascii="宋体" w:hAnsi="宋体" w:eastAsia="宋体" w:cs="Times New Roman"/>
          <w:szCs w:val="24"/>
        </w:rPr>
        <w:t>水质</w:t>
      </w:r>
      <w:r>
        <w:rPr>
          <w:rFonts w:ascii="宋体" w:hAnsi="宋体" w:eastAsia="宋体" w:cs="Times New Roman"/>
          <w:szCs w:val="24"/>
        </w:rPr>
        <w:t>优良度指标的评分同时考虑</w:t>
      </w:r>
      <w:r>
        <w:rPr>
          <w:rFonts w:hint="eastAsia" w:ascii="宋体" w:hAnsi="宋体" w:eastAsia="宋体" w:cs="Times New Roman"/>
          <w:szCs w:val="24"/>
        </w:rPr>
        <w:t>城市建成区</w:t>
      </w:r>
      <w:r>
        <w:rPr>
          <w:rFonts w:ascii="宋体" w:hAnsi="宋体" w:eastAsia="宋体" w:cs="Times New Roman"/>
          <w:szCs w:val="24"/>
        </w:rPr>
        <w:t>黑臭水体情况</w:t>
      </w:r>
      <w:r>
        <w:rPr>
          <w:rFonts w:hint="eastAsia" w:ascii="宋体" w:hAnsi="宋体" w:eastAsia="宋体" w:cs="Times New Roman"/>
          <w:szCs w:val="24"/>
        </w:rPr>
        <w:t>，若城市建成区存在黑臭水体，至少扣减</w:t>
      </w:r>
      <w:r>
        <w:rPr>
          <w:rFonts w:hint="eastAsia" w:eastAsia="宋体" w:cs="Times New Roman"/>
          <w:szCs w:val="24"/>
        </w:rPr>
        <w:t>1</w:t>
      </w:r>
      <w:r>
        <w:rPr>
          <w:rFonts w:hint="eastAsia" w:ascii="宋体" w:hAnsi="宋体" w:eastAsia="宋体" w:cs="Times New Roman"/>
          <w:szCs w:val="24"/>
        </w:rPr>
        <w:t>分；建成区黑臭水体比例达到</w:t>
      </w:r>
      <w:r>
        <w:rPr>
          <w:rFonts w:hint="eastAsia" w:eastAsia="宋体" w:cs="Times New Roman"/>
          <w:szCs w:val="24"/>
        </w:rPr>
        <w:t>5%</w:t>
      </w:r>
      <w:r>
        <w:rPr>
          <w:rFonts w:hint="eastAsia" w:ascii="宋体" w:hAnsi="宋体" w:eastAsia="宋体" w:cs="Times New Roman"/>
          <w:szCs w:val="24"/>
        </w:rPr>
        <w:t>以上，扣减</w:t>
      </w:r>
      <w:r>
        <w:rPr>
          <w:rFonts w:hint="eastAsia" w:eastAsia="宋体" w:cs="Times New Roman"/>
          <w:szCs w:val="24"/>
        </w:rPr>
        <w:t>2</w:t>
      </w:r>
      <w:r>
        <w:rPr>
          <w:rFonts w:hint="eastAsia" w:ascii="宋体" w:hAnsi="宋体" w:eastAsia="宋体" w:cs="Times New Roman"/>
          <w:szCs w:val="24"/>
        </w:rPr>
        <w:t>分；达到</w:t>
      </w:r>
      <w:r>
        <w:rPr>
          <w:rFonts w:hint="eastAsia" w:eastAsia="宋体" w:cs="Times New Roman"/>
          <w:szCs w:val="24"/>
        </w:rPr>
        <w:t>10%</w:t>
      </w:r>
      <w:r>
        <w:rPr>
          <w:rFonts w:hint="eastAsia" w:ascii="宋体" w:hAnsi="宋体" w:eastAsia="宋体" w:cs="Times New Roman"/>
          <w:szCs w:val="24"/>
        </w:rPr>
        <w:t>以上，扣减</w:t>
      </w:r>
      <w:r>
        <w:rPr>
          <w:rFonts w:hint="eastAsia" w:eastAsia="宋体" w:cs="Times New Roman"/>
          <w:szCs w:val="24"/>
        </w:rPr>
        <w:t>3</w:t>
      </w:r>
      <w:r>
        <w:rPr>
          <w:rFonts w:hint="eastAsia" w:ascii="宋体" w:hAnsi="宋体" w:eastAsia="宋体" w:cs="Times New Roman"/>
          <w:szCs w:val="24"/>
        </w:rPr>
        <w:t>分；依次类推，扣完为止。</w:t>
      </w:r>
      <w:r>
        <w:rPr>
          <w:rFonts w:hint="eastAsia" w:ascii="宋体" w:hAnsi="宋体" w:eastAsia="宋体" w:cs="Times New Roman"/>
          <w:sz w:val="18"/>
          <w:szCs w:val="18"/>
        </w:rPr>
        <w:t>（注：黑臭水体的评价标准参照《城市黑臭水体整治工作指南》）。</w:t>
      </w:r>
    </w:p>
    <w:p w14:paraId="0F39A352">
      <w:pPr>
        <w:ind w:firstLine="0" w:firstLineChars="0"/>
      </w:pPr>
      <w:r>
        <w:rPr>
          <w:rFonts w:eastAsia="黑体" w:cs="Times New Roman"/>
          <w:b/>
          <w:bCs/>
          <w:kern w:val="44"/>
        </w:rPr>
        <w:t>1.3.4</w:t>
      </w:r>
      <w:r>
        <w:rPr>
          <w:rFonts w:hint="eastAsia" w:eastAsia="黑体" w:cs="Times New Roman"/>
          <w:b/>
          <w:bCs/>
          <w:kern w:val="44"/>
        </w:rPr>
        <w:t xml:space="preserve"> </w:t>
      </w:r>
      <w:r>
        <w:rPr>
          <w:rFonts w:hint="eastAsia"/>
        </w:rPr>
        <w:t>废污水达标处理率指城镇居民生活污水和工业废水达标处理量与废污水排放总量的比值，按公式（</w:t>
      </w:r>
      <w:r>
        <w:t>15</w:t>
      </w:r>
      <w:r>
        <w:rPr>
          <w:rFonts w:hint="eastAsia"/>
        </w:rPr>
        <w:t>）计算：</w:t>
      </w:r>
    </w:p>
    <w:p w14:paraId="12C6B719">
      <w:pPr>
        <w:wordWrap w:val="0"/>
        <w:ind w:firstLine="0" w:firstLineChars="0"/>
        <w:jc w:val="right"/>
        <w:rPr>
          <w:szCs w:val="28"/>
        </w:rPr>
      </w:pPr>
      <w:r>
        <w:rPr>
          <w:position w:val="-32"/>
        </w:rPr>
        <w:object>
          <v:shape id="_x0000_i1035" o:spt="75" type="#_x0000_t75" style="height:39pt;width:99pt;" o:ole="t" filled="f" o:preferrelative="t" stroked="f" coordsize="21600,21600">
            <v:path/>
            <v:fill on="f" focussize="0,0"/>
            <v:stroke on="f" joinstyle="miter"/>
            <v:imagedata r:id="rId66" o:title=""/>
            <o:lock v:ext="edit" aspectratio="t"/>
            <w10:wrap type="none"/>
            <w10:anchorlock/>
          </v:shape>
          <o:OLEObject Type="Embed" ProgID="Equation.DSMT4" ShapeID="_x0000_i1035" DrawAspect="Content" ObjectID="_1468075735" r:id="rId65">
            <o:LockedField>false</o:LockedField>
          </o:OLEObject>
        </w:object>
      </w:r>
      <w:r>
        <w:rPr>
          <w:rFonts w:hint="eastAsia"/>
        </w:rPr>
        <w:t xml:space="preserve">              </w:t>
      </w:r>
      <w:r>
        <w:rPr>
          <w:rFonts w:hint="eastAsia"/>
          <w:szCs w:val="28"/>
        </w:rPr>
        <w:t xml:space="preserve">       </w:t>
      </w:r>
      <w:r>
        <w:rPr>
          <w:rFonts w:hint="eastAsia"/>
        </w:rPr>
        <w:t>（15）</w:t>
      </w:r>
    </w:p>
    <w:p w14:paraId="39CAEE56">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污</w:t>
      </w:r>
      <w:r>
        <w:rPr>
          <w:rFonts w:hint="eastAsia" w:ascii="宋体" w:hAnsi="宋体" w:eastAsia="宋体" w:cs="Times New Roman"/>
          <w:szCs w:val="24"/>
        </w:rPr>
        <w:t>为废污水达标处理率；</w:t>
      </w:r>
      <w:r>
        <w:rPr>
          <w:rFonts w:hint="eastAsia" w:eastAsia="宋体" w:cs="Times New Roman"/>
          <w:szCs w:val="24"/>
        </w:rPr>
        <w:t>W</w:t>
      </w:r>
      <w:r>
        <w:rPr>
          <w:rFonts w:hint="eastAsia" w:ascii="宋体" w:hAnsi="宋体" w:eastAsia="宋体" w:cs="Times New Roman"/>
          <w:szCs w:val="24"/>
          <w:vertAlign w:val="subscript"/>
        </w:rPr>
        <w:t>污标</w:t>
      </w:r>
      <w:r>
        <w:rPr>
          <w:rFonts w:hint="eastAsia" w:ascii="宋体" w:hAnsi="宋体" w:eastAsia="宋体" w:cs="Times New Roman"/>
          <w:szCs w:val="24"/>
        </w:rPr>
        <w:t>为城镇居民生活污水和工业废水达标处理量；</w:t>
      </w:r>
      <w:r>
        <w:rPr>
          <w:rFonts w:hint="eastAsia" w:eastAsia="宋体" w:cs="Times New Roman"/>
          <w:szCs w:val="24"/>
        </w:rPr>
        <w:t>W</w:t>
      </w:r>
      <w:r>
        <w:rPr>
          <w:rFonts w:hint="eastAsia" w:ascii="宋体" w:hAnsi="宋体" w:eastAsia="宋体" w:cs="Times New Roman"/>
          <w:szCs w:val="24"/>
          <w:vertAlign w:val="subscript"/>
        </w:rPr>
        <w:t>污总</w:t>
      </w:r>
      <w:r>
        <w:rPr>
          <w:rFonts w:hint="eastAsia" w:ascii="宋体" w:hAnsi="宋体" w:eastAsia="宋体" w:cs="Times New Roman"/>
          <w:szCs w:val="24"/>
        </w:rPr>
        <w:t>为废污水排放总量。</w:t>
      </w:r>
    </w:p>
    <w:p w14:paraId="48BEED59">
      <w:pPr>
        <w:ind w:firstLine="0" w:firstLineChars="0"/>
        <w:rPr>
          <w:rFonts w:cs="Times New Roman"/>
          <w:color w:val="FF0000"/>
          <w:szCs w:val="28"/>
        </w:rPr>
      </w:pPr>
      <w:r>
        <w:t xml:space="preserve">    </w:t>
      </w:r>
      <w:r>
        <w:rPr>
          <w:rFonts w:hint="eastAsia"/>
        </w:rPr>
        <w:t>废污水达标处理率指标的“</w:t>
      </w:r>
      <w:r>
        <w:fldChar w:fldCharType="begin"/>
      </w:r>
      <w:r>
        <w:instrText xml:space="preserve"> = 1 \* ROMAN </w:instrText>
      </w:r>
      <w:r>
        <w:fldChar w:fldCharType="separate"/>
      </w:r>
      <w:r>
        <w:t>I</w:t>
      </w:r>
      <w:r>
        <w:fldChar w:fldCharType="end"/>
      </w:r>
      <w:r>
        <w:rPr>
          <w:rFonts w:hint="eastAsia"/>
        </w:rPr>
        <w:t>”级评分标准除应满足95%以上的指标值要求以外，还需同时满足区域内所有城镇集中式污水处理厂排放标准达到或优于GB18918的一级A排放标准，否则按“</w:t>
      </w:r>
      <w:r>
        <w:fldChar w:fldCharType="begin"/>
      </w:r>
      <w:r>
        <w:instrText xml:space="preserve"> = 2 \* ROMAN </w:instrText>
      </w:r>
      <w:r>
        <w:fldChar w:fldCharType="separate"/>
      </w:r>
      <w:r>
        <w:t>II</w:t>
      </w:r>
      <w:r>
        <w:fldChar w:fldCharType="end"/>
      </w:r>
      <w:r>
        <w:rPr>
          <w:rFonts w:hint="eastAsia"/>
        </w:rPr>
        <w:t>”级进行评价。</w:t>
      </w:r>
    </w:p>
    <w:p w14:paraId="0DB6C175">
      <w:pPr>
        <w:ind w:firstLine="0" w:firstLineChars="0"/>
        <w:rPr>
          <w:rFonts w:eastAsia="黑体" w:cs="黑体"/>
          <w:b/>
          <w:bCs/>
        </w:rPr>
      </w:pPr>
      <w:r>
        <w:rPr>
          <w:rFonts w:eastAsia="黑体" w:cs="Times New Roman"/>
          <w:b/>
          <w:bCs/>
        </w:rPr>
        <w:t>1.4</w:t>
      </w:r>
      <w:r>
        <w:rPr>
          <w:rFonts w:hint="eastAsia" w:eastAsia="黑体" w:cs="黑体"/>
          <w:b/>
          <w:bCs/>
        </w:rPr>
        <w:t>水节约评价</w:t>
      </w:r>
    </w:p>
    <w:p w14:paraId="1C0063F3">
      <w:pPr>
        <w:ind w:firstLine="0" w:firstLineChars="0"/>
        <w:rPr>
          <w:color w:val="FF0000"/>
          <w:szCs w:val="28"/>
        </w:rPr>
      </w:pPr>
      <w:r>
        <w:rPr>
          <w:rFonts w:eastAsia="黑体" w:cs="Times New Roman"/>
          <w:b/>
          <w:bCs/>
          <w:kern w:val="44"/>
        </w:rPr>
        <w:t>1.4.1</w:t>
      </w:r>
      <w:r>
        <w:rPr>
          <w:rFonts w:hint="eastAsia"/>
        </w:rPr>
        <w:t>水节约评价主要评估工业、农业、生活用水和公共供水的水资源节约程度及效率水平，包括万元工业增加值用水量相对值、农田灌溉水有效利用系数、生活节水器具普及率、公共供水管网漏损率</w:t>
      </w:r>
      <w:r>
        <w:t>4</w:t>
      </w:r>
      <w:r>
        <w:rPr>
          <w:rFonts w:hint="eastAsia"/>
        </w:rPr>
        <w:t>项通用指标。</w:t>
      </w:r>
    </w:p>
    <w:p w14:paraId="0CD4E14B">
      <w:pPr>
        <w:ind w:firstLine="0" w:firstLineChars="0"/>
        <w:rPr>
          <w:szCs w:val="28"/>
        </w:rPr>
      </w:pPr>
      <w:r>
        <w:rPr>
          <w:rFonts w:eastAsia="黑体" w:cs="Times New Roman"/>
          <w:b/>
          <w:bCs/>
          <w:kern w:val="44"/>
        </w:rPr>
        <w:t>1.4.2</w:t>
      </w:r>
      <w:r>
        <w:rPr>
          <w:rFonts w:hint="eastAsia"/>
        </w:rPr>
        <w:t>万元工业增加值用水量相对值指区域万元工业增加值用水量（采用当年价计算）与当年全国万元工业增加值用水量的比值，按公式（</w:t>
      </w:r>
      <w:r>
        <w:t>16</w:t>
      </w:r>
      <w:r>
        <w:rPr>
          <w:rFonts w:hint="eastAsia"/>
        </w:rPr>
        <w:t>）计算：</w:t>
      </w:r>
      <w:r>
        <w:t xml:space="preserve"> </w:t>
      </w:r>
    </w:p>
    <w:p w14:paraId="3B3568FC">
      <w:pPr>
        <w:wordWrap w:val="0"/>
        <w:ind w:firstLine="0" w:firstLineChars="0"/>
        <w:jc w:val="right"/>
        <w:rPr>
          <w:szCs w:val="28"/>
        </w:rPr>
      </w:pPr>
      <w:r>
        <w:rPr>
          <w:position w:val="-32"/>
        </w:rPr>
        <w:object>
          <v:shape id="_x0000_i1036" o:spt="75" type="#_x0000_t75" style="height:39pt;width:117pt;" o:ole="t" filled="f" o:preferrelative="t" stroked="f" coordsize="21600,21600">
            <v:path/>
            <v:fill on="f" focussize="0,0"/>
            <v:stroke on="f" joinstyle="miter"/>
            <v:imagedata r:id="rId68" o:title=""/>
            <o:lock v:ext="edit" aspectratio="t"/>
            <w10:wrap type="none"/>
            <w10:anchorlock/>
          </v:shape>
          <o:OLEObject Type="Embed" ProgID="Equation.DSMT4" ShapeID="_x0000_i1036" DrawAspect="Content" ObjectID="_1468075736" r:id="rId67">
            <o:LockedField>false</o:LockedField>
          </o:OLEObject>
        </w:object>
      </w:r>
      <w:r>
        <w:rPr>
          <w:rFonts w:hint="eastAsia"/>
        </w:rPr>
        <w:t xml:space="preserve">                    （16）</w:t>
      </w:r>
      <w:r>
        <w:rPr>
          <w:rFonts w:hint="eastAsia" w:eastAsia="仿宋"/>
          <w:position w:val="-26"/>
        </w:rPr>
        <w:t xml:space="preserve"> </w:t>
      </w:r>
    </w:p>
    <w:p w14:paraId="5B0302DF">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W</w:t>
      </w:r>
      <w:r>
        <w:rPr>
          <w:rFonts w:hint="eastAsia" w:ascii="宋体" w:hAnsi="宋体" w:eastAsia="宋体" w:cs="Times New Roman"/>
          <w:szCs w:val="24"/>
          <w:vertAlign w:val="subscript"/>
        </w:rPr>
        <w:t>工相对</w:t>
      </w:r>
      <w:r>
        <w:rPr>
          <w:rFonts w:hint="eastAsia" w:ascii="宋体" w:hAnsi="宋体" w:eastAsia="宋体" w:cs="Times New Roman"/>
          <w:szCs w:val="24"/>
        </w:rPr>
        <w:t>万元工业增加值用水量相对值；</w:t>
      </w:r>
      <w:r>
        <w:rPr>
          <w:rFonts w:hint="eastAsia" w:eastAsia="宋体" w:cs="Times New Roman"/>
          <w:szCs w:val="24"/>
        </w:rPr>
        <w:t>W</w:t>
      </w:r>
      <w:r>
        <w:rPr>
          <w:rFonts w:hint="eastAsia" w:ascii="宋体" w:hAnsi="宋体" w:eastAsia="宋体" w:cs="Times New Roman"/>
          <w:szCs w:val="24"/>
          <w:vertAlign w:val="subscript"/>
        </w:rPr>
        <w:t>工</w:t>
      </w:r>
      <w:r>
        <w:rPr>
          <w:rFonts w:hint="eastAsia" w:ascii="宋体" w:hAnsi="宋体" w:eastAsia="宋体" w:cs="Times New Roman"/>
          <w:szCs w:val="24"/>
        </w:rPr>
        <w:t>万元工业增加值用水量；</w:t>
      </w:r>
      <w:r>
        <w:rPr>
          <w:rFonts w:hint="eastAsia" w:eastAsia="宋体" w:cs="Times New Roman"/>
          <w:szCs w:val="24"/>
        </w:rPr>
        <w:t>W</w:t>
      </w:r>
      <w:r>
        <w:rPr>
          <w:rFonts w:hint="eastAsia" w:ascii="宋体" w:hAnsi="宋体" w:eastAsia="宋体" w:cs="Times New Roman"/>
          <w:szCs w:val="24"/>
          <w:vertAlign w:val="subscript"/>
        </w:rPr>
        <w:t>工平均</w:t>
      </w:r>
      <w:r>
        <w:rPr>
          <w:rFonts w:hint="eastAsia" w:ascii="宋体" w:hAnsi="宋体" w:eastAsia="宋体" w:cs="Times New Roman"/>
          <w:szCs w:val="24"/>
        </w:rPr>
        <w:t>当年全国万元工业增加值用水量。</w:t>
      </w:r>
    </w:p>
    <w:p w14:paraId="48C8FED8">
      <w:pPr>
        <w:ind w:firstLine="0" w:firstLineChars="0"/>
      </w:pPr>
      <w:r>
        <w:rPr>
          <w:rFonts w:eastAsia="黑体" w:cs="Times New Roman"/>
          <w:b/>
          <w:bCs/>
          <w:kern w:val="44"/>
        </w:rPr>
        <w:t>1.4.3</w:t>
      </w:r>
      <w:r>
        <w:rPr>
          <w:rFonts w:hint="eastAsia"/>
        </w:rPr>
        <w:t>农田灌溉水有效利用系数指田间实际净灌溉用水总量与毛灌溉用水总量的比值，按公式（17）计算。</w:t>
      </w:r>
    </w:p>
    <w:p w14:paraId="72E09AA2">
      <w:pPr>
        <w:wordWrap w:val="0"/>
        <w:ind w:firstLine="0" w:firstLineChars="0"/>
        <w:jc w:val="right"/>
        <w:rPr>
          <w:szCs w:val="28"/>
        </w:rPr>
      </w:pPr>
      <w:r>
        <w:rPr>
          <w:position w:val="-32"/>
        </w:rPr>
        <w:object>
          <v:shape id="_x0000_i1037" o:spt="75" type="#_x0000_t75" style="height:45pt;width:102pt;" o:ole="t" filled="f" o:preferrelative="t" stroked="f" coordsize="21600,21600">
            <v:path/>
            <v:fill on="f" focussize="0,0"/>
            <v:stroke on="f" joinstyle="miter"/>
            <v:imagedata r:id="rId70" o:title=""/>
            <o:lock v:ext="edit" aspectratio="t"/>
            <w10:wrap type="none"/>
            <w10:anchorlock/>
          </v:shape>
          <o:OLEObject Type="Embed" ProgID="Equation.DSMT4" ShapeID="_x0000_i1037" DrawAspect="Content" ObjectID="_1468075737" r:id="rId69">
            <o:LockedField>false</o:LockedField>
          </o:OLEObject>
        </w:object>
      </w:r>
      <w:r>
        <w:rPr>
          <w:rFonts w:hint="eastAsia"/>
        </w:rPr>
        <w:t xml:space="preserve">                    （17）</w:t>
      </w:r>
      <w:r>
        <w:rPr>
          <w:rFonts w:hint="eastAsia" w:eastAsia="仿宋"/>
          <w:position w:val="-26"/>
        </w:rPr>
        <w:t xml:space="preserve"> </w:t>
      </w:r>
    </w:p>
    <w:p w14:paraId="5B52546C">
      <w:pPr>
        <w:ind w:firstLine="480" w:firstLineChars="0"/>
        <w:rPr>
          <w:rFonts w:eastAsia="宋体" w:cs="Times New Roman"/>
          <w:szCs w:val="24"/>
        </w:rPr>
      </w:pPr>
      <w:r>
        <w:rPr>
          <w:rFonts w:hint="eastAsia" w:ascii="宋体" w:hAnsi="宋体" w:eastAsia="宋体" w:cs="Times New Roman"/>
          <w:szCs w:val="24"/>
        </w:rPr>
        <w:t>式中，</w:t>
      </w:r>
      <w:r>
        <w:rPr>
          <w:rFonts w:eastAsia="宋体" w:cs="Times New Roman"/>
          <w:szCs w:val="24"/>
        </w:rPr>
        <w:drawing>
          <wp:inline distT="0" distB="0" distL="0" distR="0">
            <wp:extent cx="152400" cy="161925"/>
            <wp:effectExtent l="0" t="0" r="0" b="9525"/>
            <wp:docPr id="15" name="图片 15" descr="C:\Users\FANGQU~1\AppData\Local\Temp\ksohtml\wpsE45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FANGQU~1\AppData\Local\Temp\ksohtml\wpsE452.tmp.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52400" cy="161925"/>
                    </a:xfrm>
                    <a:prstGeom prst="rect">
                      <a:avLst/>
                    </a:prstGeom>
                    <a:noFill/>
                    <a:ln>
                      <a:noFill/>
                    </a:ln>
                  </pic:spPr>
                </pic:pic>
              </a:graphicData>
            </a:graphic>
          </wp:inline>
        </w:drawing>
      </w:r>
      <w:r>
        <w:rPr>
          <w:rFonts w:hint="eastAsia" w:ascii="宋体" w:hAnsi="宋体" w:eastAsia="宋体" w:cs="Times New Roman"/>
          <w:szCs w:val="24"/>
        </w:rPr>
        <w:t>为农田灌溉水有效利用系数；</w:t>
      </w:r>
      <w:r>
        <w:rPr>
          <w:rFonts w:hint="eastAsia" w:eastAsia="宋体" w:cs="Times New Roman"/>
          <w:szCs w:val="24"/>
        </w:rPr>
        <w:t>W</w:t>
      </w:r>
      <w:r>
        <w:rPr>
          <w:rFonts w:hint="eastAsia" w:ascii="宋体" w:hAnsi="宋体" w:eastAsia="宋体" w:cs="Times New Roman"/>
          <w:szCs w:val="24"/>
          <w:vertAlign w:val="subscript"/>
        </w:rPr>
        <w:t>实灌</w:t>
      </w:r>
      <w:r>
        <w:rPr>
          <w:rFonts w:hint="eastAsia" w:ascii="宋体" w:hAnsi="宋体" w:eastAsia="宋体" w:cs="Times New Roman"/>
          <w:szCs w:val="24"/>
        </w:rPr>
        <w:t>为田间实际净灌溉用水总量；</w:t>
      </w:r>
      <w:r>
        <w:rPr>
          <w:rFonts w:hint="eastAsia" w:eastAsia="宋体" w:cs="Times New Roman"/>
          <w:szCs w:val="24"/>
        </w:rPr>
        <w:t>W</w:t>
      </w:r>
      <w:r>
        <w:rPr>
          <w:rFonts w:hint="eastAsia" w:ascii="宋体" w:hAnsi="宋体" w:eastAsia="宋体" w:cs="Times New Roman"/>
          <w:szCs w:val="24"/>
          <w:vertAlign w:val="subscript"/>
        </w:rPr>
        <w:t>毛灌</w:t>
      </w:r>
      <w:r>
        <w:rPr>
          <w:rFonts w:hint="eastAsia" w:ascii="宋体" w:hAnsi="宋体" w:eastAsia="宋体" w:cs="Times New Roman"/>
          <w:szCs w:val="24"/>
        </w:rPr>
        <w:t>为毛灌溉用水总量。</w:t>
      </w:r>
      <w:r>
        <w:rPr>
          <w:rFonts w:hint="eastAsia" w:ascii="宋体" w:hAnsi="宋体" w:eastAsia="宋体" w:cs="Times New Roman"/>
          <w:sz w:val="18"/>
          <w:szCs w:val="18"/>
        </w:rPr>
        <w:t>（注：农田灌溉水有效利用系数的具体计算方法参照《全国农田灌溉水有效利用系数测算分析技术指导细则》）。</w:t>
      </w:r>
    </w:p>
    <w:p w14:paraId="585E767E">
      <w:pPr>
        <w:ind w:firstLine="0" w:firstLineChars="0"/>
        <w:rPr>
          <w:rFonts w:cs="Times New Roman"/>
          <w:color w:val="FF0000"/>
          <w:szCs w:val="28"/>
        </w:rPr>
      </w:pPr>
      <w:r>
        <w:rPr>
          <w:rFonts w:eastAsia="黑体" w:cs="Times New Roman"/>
          <w:b/>
          <w:bCs/>
          <w:kern w:val="44"/>
        </w:rPr>
        <w:t xml:space="preserve">1.4.4 </w:t>
      </w:r>
      <w:r>
        <w:rPr>
          <w:rFonts w:hint="eastAsia"/>
        </w:rPr>
        <w:t>生活节水器具普及率指公共设施和居民生活使用节水器具的数量比例，按公式（</w:t>
      </w:r>
      <w:r>
        <w:t>1</w:t>
      </w:r>
      <w:r>
        <w:rPr>
          <w:rFonts w:hint="eastAsia"/>
        </w:rPr>
        <w:t>8）计算：</w:t>
      </w:r>
    </w:p>
    <w:p w14:paraId="6588CF79">
      <w:pPr>
        <w:wordWrap w:val="0"/>
        <w:ind w:firstLine="0" w:firstLineChars="0"/>
        <w:jc w:val="right"/>
        <w:rPr>
          <w:szCs w:val="28"/>
        </w:rPr>
      </w:pPr>
      <w:r>
        <w:rPr>
          <w:position w:val="-30"/>
        </w:rPr>
        <w:object>
          <v:shape id="_x0000_i1038" o:spt="75" type="#_x0000_t75" style="height:39pt;width:92.45pt;" o:ole="t" filled="f" o:preferrelative="t" stroked="f" coordsize="21600,21600">
            <v:path/>
            <v:fill on="f" focussize="0,0"/>
            <v:stroke on="f" joinstyle="miter"/>
            <v:imagedata r:id="rId73" o:title=""/>
            <o:lock v:ext="edit" aspectratio="t"/>
            <w10:wrap type="none"/>
            <w10:anchorlock/>
          </v:shape>
          <o:OLEObject Type="Embed" ProgID="Equation.DSMT4" ShapeID="_x0000_i1038" DrawAspect="Content" ObjectID="_1468075738" r:id="rId72">
            <o:LockedField>false</o:LockedField>
          </o:OLEObject>
        </w:object>
      </w:r>
      <w:r>
        <w:rPr>
          <w:rFonts w:hint="eastAsia"/>
        </w:rPr>
        <w:t xml:space="preserve">                      </w:t>
      </w:r>
      <w:r>
        <w:rPr>
          <w:rFonts w:hint="eastAsia"/>
          <w:szCs w:val="28"/>
        </w:rPr>
        <w:t xml:space="preserve">   </w:t>
      </w:r>
      <w:r>
        <w:rPr>
          <w:rFonts w:hint="eastAsia"/>
        </w:rPr>
        <w:t>（18）</w:t>
      </w:r>
    </w:p>
    <w:p w14:paraId="7D5A700A">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具</w:t>
      </w:r>
      <w:r>
        <w:rPr>
          <w:rFonts w:hint="eastAsia" w:ascii="宋体" w:hAnsi="宋体" w:eastAsia="宋体" w:cs="Times New Roman"/>
          <w:szCs w:val="24"/>
        </w:rPr>
        <w:t>为生活节水器具普及率；</w:t>
      </w:r>
      <w:r>
        <w:rPr>
          <w:rFonts w:hint="eastAsia" w:eastAsia="宋体" w:cs="Times New Roman"/>
          <w:szCs w:val="24"/>
        </w:rPr>
        <w:t>J</w:t>
      </w:r>
      <w:r>
        <w:rPr>
          <w:rFonts w:hint="eastAsia" w:ascii="宋体" w:hAnsi="宋体" w:eastAsia="宋体" w:cs="Times New Roman"/>
          <w:szCs w:val="24"/>
          <w:vertAlign w:val="subscript"/>
        </w:rPr>
        <w:t>节</w:t>
      </w:r>
      <w:r>
        <w:rPr>
          <w:rFonts w:hint="eastAsia" w:ascii="宋体" w:hAnsi="宋体" w:eastAsia="宋体" w:cs="Times New Roman"/>
          <w:szCs w:val="24"/>
        </w:rPr>
        <w:t>为公共设施和居民生活节水器具使用数量；</w:t>
      </w:r>
      <w:r>
        <w:rPr>
          <w:rFonts w:hint="eastAsia" w:eastAsia="宋体" w:cs="Times New Roman"/>
          <w:szCs w:val="24"/>
        </w:rPr>
        <w:t>J</w:t>
      </w:r>
      <w:r>
        <w:rPr>
          <w:rFonts w:hint="eastAsia" w:ascii="宋体" w:hAnsi="宋体" w:eastAsia="宋体" w:cs="Times New Roman"/>
          <w:szCs w:val="24"/>
          <w:vertAlign w:val="subscript"/>
        </w:rPr>
        <w:t>总</w:t>
      </w:r>
      <w:r>
        <w:rPr>
          <w:rFonts w:hint="eastAsia" w:eastAsia="宋体" w:cs="Times New Roman"/>
          <w:szCs w:val="24"/>
          <w:vertAlign w:val="subscript"/>
        </w:rPr>
        <w:t xml:space="preserve">  </w:t>
      </w:r>
      <w:r>
        <w:rPr>
          <w:rFonts w:hint="eastAsia" w:ascii="宋体" w:hAnsi="宋体" w:eastAsia="宋体" w:cs="Times New Roman"/>
          <w:szCs w:val="24"/>
        </w:rPr>
        <w:t>为公共设施和居民生活用水器具数量。</w:t>
      </w:r>
      <w:r>
        <w:rPr>
          <w:rFonts w:hint="eastAsia" w:ascii="宋体" w:hAnsi="宋体" w:eastAsia="宋体" w:cs="Times New Roman"/>
          <w:sz w:val="18"/>
          <w:szCs w:val="18"/>
        </w:rPr>
        <w:t>（注：节水器具包括节水型水龙头、便器、洗衣机、淋浴器等）。</w:t>
      </w:r>
    </w:p>
    <w:p w14:paraId="61024C33">
      <w:pPr>
        <w:ind w:firstLine="0" w:firstLineChars="0"/>
        <w:rPr>
          <w:szCs w:val="28"/>
        </w:rPr>
      </w:pPr>
      <w:r>
        <w:rPr>
          <w:rFonts w:eastAsia="黑体" w:cs="Times New Roman"/>
          <w:b/>
          <w:bCs/>
          <w:kern w:val="44"/>
        </w:rPr>
        <w:t xml:space="preserve">1.4.5 </w:t>
      </w:r>
      <w:r>
        <w:rPr>
          <w:rFonts w:hint="eastAsia"/>
        </w:rPr>
        <w:t>公共供水管网漏损率指公共供水企业产水总量与收费水量之差占产水总量比例，按公式（</w:t>
      </w:r>
      <w:r>
        <w:t>1</w:t>
      </w:r>
      <w:r>
        <w:rPr>
          <w:rFonts w:hint="eastAsia"/>
        </w:rPr>
        <w:t>9）计算：</w:t>
      </w:r>
    </w:p>
    <w:p w14:paraId="3209B95B">
      <w:pPr>
        <w:wordWrap w:val="0"/>
        <w:ind w:firstLine="0" w:firstLineChars="0"/>
        <w:jc w:val="right"/>
      </w:pPr>
      <w:r>
        <w:rPr>
          <w:position w:val="-32"/>
        </w:rPr>
        <w:object>
          <v:shape id="_x0000_i1039" o:spt="75" type="#_x0000_t75" style="height:39pt;width:92.4pt;" o:ole="t" filled="f" o:preferrelative="t" stroked="f" coordsize="21600,21600">
            <v:path/>
            <v:fill on="f" focussize="0,0"/>
            <v:stroke on="f" joinstyle="miter"/>
            <v:imagedata r:id="rId75" o:title=""/>
            <o:lock v:ext="edit" aspectratio="t"/>
            <w10:wrap type="none"/>
            <w10:anchorlock/>
          </v:shape>
          <o:OLEObject Type="Embed" ProgID="Equation.DSMT4" ShapeID="_x0000_i1039" DrawAspect="Content" ObjectID="_1468075739" r:id="rId74">
            <o:LockedField>false</o:LockedField>
          </o:OLEObject>
        </w:object>
      </w:r>
      <w:r>
        <w:rPr>
          <w:rFonts w:hint="eastAsia"/>
        </w:rPr>
        <w:t xml:space="preserve">                        （19） </w:t>
      </w:r>
    </w:p>
    <w:p w14:paraId="25CCD218">
      <w:pPr>
        <w:ind w:firstLine="480" w:firstLineChars="0"/>
        <w:jc w:val="left"/>
        <w:rPr>
          <w:rFonts w:ascii="宋体" w:hAnsi="宋体"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管</w:t>
      </w:r>
      <w:r>
        <w:rPr>
          <w:rFonts w:hint="eastAsia" w:ascii="宋体" w:hAnsi="宋体" w:eastAsia="宋体" w:cs="Times New Roman"/>
          <w:szCs w:val="24"/>
        </w:rPr>
        <w:t>为公共供水管网漏损率；</w:t>
      </w:r>
      <w:r>
        <w:rPr>
          <w:rFonts w:hint="eastAsia" w:eastAsia="宋体" w:cs="Times New Roman"/>
          <w:szCs w:val="24"/>
        </w:rPr>
        <w:t>W</w:t>
      </w:r>
      <w:r>
        <w:rPr>
          <w:rFonts w:hint="eastAsia" w:ascii="宋体" w:hAnsi="宋体" w:eastAsia="宋体" w:cs="Times New Roman"/>
          <w:szCs w:val="24"/>
          <w:vertAlign w:val="subscript"/>
        </w:rPr>
        <w:t>供</w:t>
      </w:r>
      <w:r>
        <w:rPr>
          <w:rFonts w:hint="eastAsia" w:ascii="宋体" w:hAnsi="宋体" w:eastAsia="宋体" w:cs="Times New Roman"/>
          <w:szCs w:val="24"/>
        </w:rPr>
        <w:t>为公共供水企业产水总量；</w:t>
      </w:r>
      <w:r>
        <w:rPr>
          <w:rFonts w:hint="eastAsia" w:eastAsia="宋体" w:cs="Times New Roman"/>
          <w:szCs w:val="24"/>
        </w:rPr>
        <w:t>W</w:t>
      </w:r>
      <w:r>
        <w:rPr>
          <w:rFonts w:hint="eastAsia" w:ascii="宋体" w:hAnsi="宋体" w:eastAsia="宋体" w:cs="Times New Roman"/>
          <w:szCs w:val="24"/>
          <w:vertAlign w:val="subscript"/>
        </w:rPr>
        <w:t>收</w:t>
      </w:r>
      <w:r>
        <w:rPr>
          <w:rFonts w:hint="eastAsia" w:ascii="宋体" w:hAnsi="宋体" w:eastAsia="宋体" w:cs="Times New Roman"/>
          <w:szCs w:val="24"/>
        </w:rPr>
        <w:t>为收费水量。</w:t>
      </w:r>
    </w:p>
    <w:p w14:paraId="39F0836D">
      <w:pPr>
        <w:ind w:firstLine="0" w:firstLineChars="0"/>
        <w:rPr>
          <w:rFonts w:eastAsia="黑体" w:cs="黑体"/>
          <w:b/>
          <w:bCs/>
        </w:rPr>
      </w:pPr>
      <w:bookmarkStart w:id="1061" w:name="_Toc434850732"/>
      <w:bookmarkStart w:id="1062" w:name="_Toc398274596"/>
      <w:bookmarkStart w:id="1063" w:name="_Toc411458967"/>
      <w:r>
        <w:rPr>
          <w:rFonts w:eastAsia="黑体" w:cs="Times New Roman"/>
          <w:b/>
          <w:bCs/>
        </w:rPr>
        <w:t>1.5</w:t>
      </w:r>
      <w:r>
        <w:rPr>
          <w:rFonts w:hint="eastAsia" w:eastAsia="黑体" w:cs="黑体"/>
          <w:b/>
          <w:bCs/>
        </w:rPr>
        <w:t>水监管评价</w:t>
      </w:r>
      <w:bookmarkEnd w:id="1061"/>
      <w:bookmarkEnd w:id="1062"/>
      <w:bookmarkEnd w:id="1063"/>
    </w:p>
    <w:p w14:paraId="7F246FF0">
      <w:pPr>
        <w:ind w:firstLine="0" w:firstLineChars="0"/>
      </w:pPr>
      <w:r>
        <w:rPr>
          <w:rFonts w:eastAsia="黑体" w:cs="Times New Roman"/>
          <w:b/>
          <w:bCs/>
          <w:kern w:val="44"/>
        </w:rPr>
        <w:t>1.5.1</w:t>
      </w:r>
      <w:r>
        <w:rPr>
          <w:rFonts w:hint="eastAsia"/>
        </w:rPr>
        <w:t>水监管评价主要评估水资源监控管理能力建设及重要管理制度的落实情况，包括用水总量控制达标情况、水资源监控管理能力指数、水生态文明建设重视度</w:t>
      </w:r>
      <w:r>
        <w:t>3</w:t>
      </w:r>
      <w:r>
        <w:rPr>
          <w:rFonts w:hint="eastAsia"/>
        </w:rPr>
        <w:t>项通用指标。</w:t>
      </w:r>
    </w:p>
    <w:p w14:paraId="19A1B727">
      <w:pPr>
        <w:ind w:firstLine="0" w:firstLineChars="0"/>
      </w:pPr>
      <w:r>
        <w:rPr>
          <w:rFonts w:eastAsia="黑体" w:cs="Times New Roman"/>
          <w:b/>
          <w:bCs/>
          <w:kern w:val="44"/>
        </w:rPr>
        <w:t>1.5.2</w:t>
      </w:r>
      <w:r>
        <w:rPr>
          <w:rFonts w:hint="eastAsia" w:eastAsia="黑体"/>
          <w:b/>
          <w:bCs/>
          <w:kern w:val="44"/>
        </w:rPr>
        <w:t xml:space="preserve"> </w:t>
      </w:r>
      <w:r>
        <w:rPr>
          <w:rFonts w:hint="eastAsia"/>
        </w:rPr>
        <w:t>用水总量控制达标情况指是否实现了上级政府下达的年度用水总量控制目标，以上级政府考核结果为依据，若实现年度目标，则此项指标评价为“优”，得满分；否则评价为“劣”，不得分。</w:t>
      </w:r>
    </w:p>
    <w:p w14:paraId="372BAEFA">
      <w:pPr>
        <w:ind w:firstLine="0" w:firstLineChars="0"/>
      </w:pPr>
      <w:r>
        <w:rPr>
          <w:rFonts w:eastAsia="黑体" w:cs="Times New Roman"/>
          <w:b/>
          <w:bCs/>
          <w:kern w:val="44"/>
        </w:rPr>
        <w:t xml:space="preserve">1.5.3 </w:t>
      </w:r>
      <w:r>
        <w:rPr>
          <w:rFonts w:hint="eastAsia"/>
        </w:rPr>
        <w:t>水资源监控能力指数由取用水计量率、水功能区水质监测率、入河排污口监测率</w:t>
      </w:r>
      <w:r>
        <w:t>3</w:t>
      </w:r>
      <w:r>
        <w:rPr>
          <w:rFonts w:hint="eastAsia"/>
        </w:rPr>
        <w:t>项子指标分别评分后，取其平均值作为该项指标评分。3项子指标含义及计算如下：</w:t>
      </w:r>
    </w:p>
    <w:p w14:paraId="52979CC3">
      <w:pPr>
        <w:ind w:firstLine="0" w:firstLineChars="0"/>
        <w:rPr>
          <w:rFonts w:eastAsia="宋体" w:cs="Times New Roman"/>
          <w:color w:val="FF0000"/>
          <w:szCs w:val="24"/>
        </w:rPr>
      </w:pPr>
      <w:r>
        <w:rPr>
          <w:rFonts w:hint="eastAsia"/>
          <w:szCs w:val="28"/>
        </w:rPr>
        <w:t xml:space="preserve">   </w:t>
      </w:r>
      <w:r>
        <w:rPr>
          <w:rFonts w:eastAsia="宋体" w:cs="Times New Roman"/>
          <w:szCs w:val="24"/>
        </w:rPr>
        <w:t>1</w:t>
      </w:r>
      <w:r>
        <w:rPr>
          <w:rFonts w:hint="eastAsia" w:ascii="宋体" w:hAnsi="宋体" w:eastAsia="宋体" w:cs="Times New Roman"/>
          <w:szCs w:val="24"/>
        </w:rPr>
        <w:t>、取用水计量率指根据实测数据统计的用水量占区域用水总量的比例，按公式（</w:t>
      </w:r>
      <w:r>
        <w:rPr>
          <w:rFonts w:hint="eastAsia" w:eastAsia="宋体" w:cs="Times New Roman"/>
          <w:szCs w:val="24"/>
        </w:rPr>
        <w:t>20</w:t>
      </w:r>
      <w:r>
        <w:rPr>
          <w:rFonts w:hint="eastAsia" w:ascii="宋体" w:hAnsi="宋体" w:eastAsia="宋体" w:cs="Times New Roman"/>
          <w:szCs w:val="24"/>
        </w:rPr>
        <w:t>）计算：</w:t>
      </w:r>
    </w:p>
    <w:p w14:paraId="453D8A12">
      <w:pPr>
        <w:wordWrap w:val="0"/>
        <w:ind w:firstLine="480"/>
        <w:jc w:val="right"/>
        <w:rPr>
          <w:rFonts w:eastAsia="宋体" w:cs="Times New Roman"/>
          <w:szCs w:val="24"/>
        </w:rPr>
      </w:pPr>
      <w:r>
        <w:rPr>
          <w:rFonts w:eastAsia="宋体" w:cs="Times New Roman"/>
          <w:szCs w:val="24"/>
        </w:rPr>
        <w:drawing>
          <wp:inline distT="0" distB="0" distL="0" distR="0">
            <wp:extent cx="1219200" cy="495300"/>
            <wp:effectExtent l="0" t="0" r="0" b="0"/>
            <wp:docPr id="17" name="图片 17" descr="C:\Users\FANGQU~1\AppData\Local\Temp\ksohtml\wpsA9E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FANGQU~1\AppData\Local\Temp\ksohtml\wpsA9E5.tmp.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219200" cy="495300"/>
                    </a:xfrm>
                    <a:prstGeom prst="rect">
                      <a:avLst/>
                    </a:prstGeom>
                    <a:noFill/>
                    <a:ln>
                      <a:noFill/>
                    </a:ln>
                  </pic:spPr>
                </pic:pic>
              </a:graphicData>
            </a:graphic>
          </wp:inline>
        </w:drawing>
      </w:r>
      <w:r>
        <w:rPr>
          <w:rFonts w:hint="eastAsia" w:eastAsia="宋体" w:cs="Times New Roman"/>
          <w:szCs w:val="24"/>
        </w:rPr>
        <w:t xml:space="preserve">                       </w:t>
      </w:r>
      <w:r>
        <w:rPr>
          <w:rFonts w:hint="eastAsia" w:ascii="宋体" w:hAnsi="宋体" w:eastAsia="宋体" w:cs="Times New Roman"/>
          <w:szCs w:val="24"/>
        </w:rPr>
        <w:t xml:space="preserve"> （20）</w:t>
      </w:r>
    </w:p>
    <w:p w14:paraId="7DF6FEF7">
      <w:pPr>
        <w:ind w:firstLine="480"/>
        <w:jc w:val="left"/>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计量</w:t>
      </w:r>
      <w:r>
        <w:rPr>
          <w:rFonts w:hint="eastAsia" w:ascii="宋体" w:hAnsi="宋体" w:eastAsia="宋体" w:cs="Times New Roman"/>
          <w:szCs w:val="24"/>
        </w:rPr>
        <w:t>为取用水计量率；</w:t>
      </w:r>
      <w:r>
        <w:rPr>
          <w:rFonts w:hint="eastAsia" w:eastAsia="宋体" w:cs="Times New Roman"/>
          <w:szCs w:val="24"/>
        </w:rPr>
        <w:t>Y</w:t>
      </w:r>
      <w:r>
        <w:rPr>
          <w:rFonts w:hint="eastAsia" w:ascii="宋体" w:hAnsi="宋体" w:eastAsia="宋体" w:cs="Times New Roman"/>
          <w:szCs w:val="24"/>
          <w:vertAlign w:val="subscript"/>
        </w:rPr>
        <w:t>实</w:t>
      </w:r>
      <w:r>
        <w:rPr>
          <w:rFonts w:hint="eastAsia" w:ascii="宋体" w:hAnsi="宋体" w:eastAsia="宋体" w:cs="Times New Roman"/>
          <w:szCs w:val="24"/>
        </w:rPr>
        <w:t>为根据实测数据统计的用水量；</w:t>
      </w:r>
      <w:r>
        <w:rPr>
          <w:rFonts w:hint="eastAsia" w:eastAsia="宋体" w:cs="Times New Roman"/>
          <w:szCs w:val="24"/>
        </w:rPr>
        <w:t>Y</w:t>
      </w:r>
      <w:r>
        <w:rPr>
          <w:rFonts w:hint="eastAsia" w:ascii="宋体" w:hAnsi="宋体" w:eastAsia="宋体" w:cs="Times New Roman"/>
          <w:szCs w:val="24"/>
          <w:vertAlign w:val="subscript"/>
        </w:rPr>
        <w:t>总</w:t>
      </w:r>
      <w:r>
        <w:rPr>
          <w:rFonts w:hint="eastAsia" w:ascii="宋体" w:hAnsi="宋体" w:eastAsia="宋体" w:cs="Times New Roman"/>
          <w:szCs w:val="24"/>
        </w:rPr>
        <w:t>为区域用水总量。</w:t>
      </w:r>
    </w:p>
    <w:p w14:paraId="6DAA184D">
      <w:pPr>
        <w:ind w:firstLine="0" w:firstLineChars="0"/>
        <w:rPr>
          <w:rFonts w:eastAsia="宋体" w:cs="Times New Roman"/>
          <w:szCs w:val="24"/>
        </w:rPr>
      </w:pPr>
      <w:r>
        <w:rPr>
          <w:rFonts w:hint="eastAsia" w:eastAsia="宋体" w:cs="Times New Roman"/>
          <w:szCs w:val="24"/>
        </w:rPr>
        <w:t xml:space="preserve">   </w:t>
      </w:r>
      <w:r>
        <w:rPr>
          <w:rFonts w:eastAsia="宋体" w:cs="Times New Roman"/>
          <w:szCs w:val="24"/>
        </w:rPr>
        <w:t xml:space="preserve"> 2</w:t>
      </w:r>
      <w:r>
        <w:rPr>
          <w:rFonts w:hint="eastAsia" w:ascii="宋体" w:hAnsi="宋体" w:eastAsia="宋体" w:cs="Times New Roman"/>
          <w:szCs w:val="24"/>
        </w:rPr>
        <w:t>、水功能区水质监测率指国家或省级人民政府批复的水功能区中，按水质监测规范要求定期开展水质监测评价的水功能区数量比例，按公式（</w:t>
      </w:r>
      <w:r>
        <w:rPr>
          <w:rFonts w:eastAsia="宋体" w:cs="Times New Roman"/>
          <w:szCs w:val="24"/>
        </w:rPr>
        <w:t>2</w:t>
      </w:r>
      <w:r>
        <w:rPr>
          <w:rFonts w:hint="eastAsia" w:eastAsia="宋体" w:cs="Times New Roman"/>
          <w:szCs w:val="24"/>
        </w:rPr>
        <w:t>1</w:t>
      </w:r>
      <w:r>
        <w:rPr>
          <w:rFonts w:hint="eastAsia" w:ascii="宋体" w:hAnsi="宋体" w:eastAsia="宋体" w:cs="Times New Roman"/>
          <w:szCs w:val="24"/>
        </w:rPr>
        <w:t>）计算：</w:t>
      </w:r>
    </w:p>
    <w:p w14:paraId="617505D0">
      <w:pPr>
        <w:wordWrap w:val="0"/>
        <w:ind w:firstLine="480"/>
        <w:jc w:val="right"/>
        <w:rPr>
          <w:rFonts w:ascii="宋体" w:hAnsi="宋体" w:eastAsia="宋体" w:cs="Times New Roman"/>
          <w:szCs w:val="24"/>
        </w:rPr>
      </w:pPr>
      <w:r>
        <w:rPr>
          <w:rFonts w:eastAsia="宋体" w:cs="Times New Roman"/>
          <w:szCs w:val="24"/>
        </w:rPr>
        <w:drawing>
          <wp:inline distT="0" distB="0" distL="0" distR="0">
            <wp:extent cx="1295400" cy="514350"/>
            <wp:effectExtent l="0" t="0" r="0" b="0"/>
            <wp:docPr id="12" name="图片 12" descr="C:\Users\FANGQU~1\AppData\Local\Temp\ksohtml\wpsA9F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FANGQU~1\AppData\Local\Temp\ksohtml\wpsA9F6.tmp.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295400" cy="514350"/>
                    </a:xfrm>
                    <a:prstGeom prst="rect">
                      <a:avLst/>
                    </a:prstGeom>
                    <a:noFill/>
                    <a:ln>
                      <a:noFill/>
                    </a:ln>
                  </pic:spPr>
                </pic:pic>
              </a:graphicData>
            </a:graphic>
          </wp:inline>
        </w:drawing>
      </w:r>
      <w:r>
        <w:rPr>
          <w:rFonts w:hint="eastAsia" w:eastAsia="宋体" w:cs="Times New Roman"/>
          <w:szCs w:val="24"/>
        </w:rPr>
        <w:t xml:space="preserve">                        </w:t>
      </w:r>
      <w:r>
        <w:rPr>
          <w:rFonts w:hint="eastAsia" w:ascii="宋体" w:hAnsi="宋体" w:eastAsia="宋体" w:cs="Times New Roman"/>
          <w:szCs w:val="24"/>
        </w:rPr>
        <w:t>（21）</w:t>
      </w:r>
    </w:p>
    <w:p w14:paraId="24588FE3">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水监</w:t>
      </w:r>
      <w:r>
        <w:rPr>
          <w:rFonts w:hint="eastAsia" w:ascii="宋体" w:hAnsi="宋体" w:eastAsia="宋体" w:cs="Times New Roman"/>
          <w:szCs w:val="24"/>
        </w:rPr>
        <w:t>为水功能区水质监测率；</w:t>
      </w:r>
      <w:r>
        <w:rPr>
          <w:rFonts w:hint="eastAsia" w:eastAsia="宋体" w:cs="Times New Roman"/>
          <w:szCs w:val="24"/>
        </w:rPr>
        <w:t>G</w:t>
      </w:r>
      <w:r>
        <w:rPr>
          <w:rFonts w:hint="eastAsia" w:ascii="宋体" w:hAnsi="宋体" w:eastAsia="宋体" w:cs="Times New Roman"/>
          <w:szCs w:val="24"/>
          <w:vertAlign w:val="subscript"/>
        </w:rPr>
        <w:t>监</w:t>
      </w:r>
      <w:r>
        <w:rPr>
          <w:rFonts w:hint="eastAsia" w:ascii="宋体" w:hAnsi="宋体" w:eastAsia="宋体" w:cs="Times New Roman"/>
          <w:szCs w:val="24"/>
        </w:rPr>
        <w:t>为开展水质监测评价的水功能区数量；</w:t>
      </w:r>
      <w:r>
        <w:rPr>
          <w:rFonts w:hint="eastAsia" w:eastAsia="宋体" w:cs="Times New Roman"/>
          <w:szCs w:val="24"/>
        </w:rPr>
        <w:t>G</w:t>
      </w:r>
      <w:r>
        <w:rPr>
          <w:rFonts w:hint="eastAsia" w:ascii="宋体" w:hAnsi="宋体" w:eastAsia="宋体" w:cs="Times New Roman"/>
          <w:szCs w:val="24"/>
          <w:vertAlign w:val="subscript"/>
        </w:rPr>
        <w:t>总</w:t>
      </w:r>
      <w:r>
        <w:rPr>
          <w:rFonts w:hint="eastAsia" w:ascii="宋体" w:hAnsi="宋体" w:eastAsia="宋体" w:cs="Times New Roman"/>
          <w:szCs w:val="24"/>
        </w:rPr>
        <w:t>为国家或省级人民政府批复的水功能区总数。</w:t>
      </w:r>
    </w:p>
    <w:p w14:paraId="2DE392BF">
      <w:pPr>
        <w:ind w:firstLine="480"/>
        <w:rPr>
          <w:rFonts w:eastAsia="宋体" w:cs="Times New Roman"/>
          <w:szCs w:val="24"/>
        </w:rPr>
      </w:pPr>
      <w:r>
        <w:rPr>
          <w:rFonts w:hint="eastAsia" w:eastAsia="宋体" w:cs="Times New Roman"/>
          <w:szCs w:val="24"/>
        </w:rPr>
        <w:t>3</w:t>
      </w:r>
      <w:r>
        <w:rPr>
          <w:rFonts w:hint="eastAsia" w:ascii="宋体" w:hAnsi="宋体" w:eastAsia="宋体" w:cs="Times New Roman"/>
          <w:szCs w:val="24"/>
        </w:rPr>
        <w:t>、入河排污口监测率指按照监测规范要求开展在线、定期或监督性监测的入河排污口数量比例，按公式（</w:t>
      </w:r>
      <w:r>
        <w:rPr>
          <w:rFonts w:eastAsia="宋体" w:cs="Times New Roman"/>
          <w:szCs w:val="24"/>
        </w:rPr>
        <w:t>2</w:t>
      </w:r>
      <w:r>
        <w:rPr>
          <w:rFonts w:hint="eastAsia" w:eastAsia="宋体" w:cs="Times New Roman"/>
          <w:szCs w:val="24"/>
        </w:rPr>
        <w:t>2</w:t>
      </w:r>
      <w:r>
        <w:rPr>
          <w:rFonts w:hint="eastAsia" w:ascii="宋体" w:hAnsi="宋体" w:eastAsia="宋体" w:cs="Times New Roman"/>
          <w:szCs w:val="24"/>
        </w:rPr>
        <w:t>）计算：</w:t>
      </w:r>
      <w:r>
        <w:rPr>
          <w:rFonts w:hint="eastAsia" w:eastAsia="宋体" w:cs="Times New Roman"/>
          <w:szCs w:val="24"/>
        </w:rPr>
        <w:t xml:space="preserve"> </w:t>
      </w:r>
    </w:p>
    <w:p w14:paraId="0C9492B1">
      <w:pPr>
        <w:wordWrap w:val="0"/>
        <w:ind w:firstLine="0" w:firstLineChars="0"/>
        <w:jc w:val="right"/>
        <w:rPr>
          <w:rFonts w:eastAsia="仿宋" w:cs="Times New Roman"/>
          <w:position w:val="-26"/>
          <w:szCs w:val="24"/>
        </w:rPr>
      </w:pPr>
      <w:r>
        <w:rPr>
          <w:rFonts w:eastAsia="宋体" w:cs="Times New Roman"/>
          <w:szCs w:val="24"/>
        </w:rPr>
        <w:drawing>
          <wp:inline distT="0" distB="0" distL="0" distR="0">
            <wp:extent cx="1247775" cy="514350"/>
            <wp:effectExtent l="0" t="0" r="9525" b="0"/>
            <wp:docPr id="13" name="图片 13" descr="C:\Users\FANGQU~1\AppData\Local\Temp\ksohtml\wps653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FANGQU~1\AppData\Local\Temp\ksohtml\wps6538.tmp.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47775" cy="514350"/>
                    </a:xfrm>
                    <a:prstGeom prst="rect">
                      <a:avLst/>
                    </a:prstGeom>
                    <a:noFill/>
                    <a:ln>
                      <a:noFill/>
                    </a:ln>
                  </pic:spPr>
                </pic:pic>
              </a:graphicData>
            </a:graphic>
          </wp:inline>
        </w:drawing>
      </w:r>
      <w:r>
        <w:rPr>
          <w:rFonts w:hint="eastAsia" w:eastAsia="仿宋" w:cs="Times New Roman"/>
          <w:szCs w:val="24"/>
        </w:rPr>
        <w:t xml:space="preserve">                      </w:t>
      </w:r>
      <w:r>
        <w:rPr>
          <w:rFonts w:eastAsia="宋体" w:cs="Times New Roman"/>
          <w:szCs w:val="24"/>
        </w:rPr>
        <w:t xml:space="preserve">  </w:t>
      </w:r>
      <w:r>
        <w:rPr>
          <w:rFonts w:hint="eastAsia" w:ascii="宋体" w:hAnsi="宋体" w:eastAsia="宋体" w:cs="Times New Roman"/>
          <w:szCs w:val="24"/>
        </w:rPr>
        <w:t>（22）</w:t>
      </w:r>
    </w:p>
    <w:p w14:paraId="157BEFDE">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污监</w:t>
      </w:r>
      <w:r>
        <w:rPr>
          <w:rFonts w:hint="eastAsia" w:ascii="宋体" w:hAnsi="宋体" w:eastAsia="宋体" w:cs="Times New Roman"/>
          <w:szCs w:val="24"/>
        </w:rPr>
        <w:t>为入河排污口监测率；</w:t>
      </w:r>
      <w:r>
        <w:rPr>
          <w:rFonts w:hint="eastAsia" w:eastAsia="宋体" w:cs="Times New Roman"/>
          <w:szCs w:val="24"/>
        </w:rPr>
        <w:t>T</w:t>
      </w:r>
      <w:r>
        <w:rPr>
          <w:rFonts w:hint="eastAsia" w:ascii="宋体" w:hAnsi="宋体" w:eastAsia="宋体" w:cs="Times New Roman"/>
          <w:szCs w:val="24"/>
          <w:vertAlign w:val="subscript"/>
        </w:rPr>
        <w:t>监</w:t>
      </w:r>
      <w:r>
        <w:rPr>
          <w:rFonts w:hint="eastAsia" w:ascii="宋体" w:hAnsi="宋体" w:eastAsia="宋体" w:cs="Times New Roman"/>
          <w:szCs w:val="24"/>
        </w:rPr>
        <w:t>为开展在线、定期或监督性监测的入河排污口数量；</w:t>
      </w:r>
      <w:r>
        <w:rPr>
          <w:rFonts w:hint="eastAsia" w:eastAsia="宋体" w:cs="Times New Roman"/>
          <w:szCs w:val="24"/>
        </w:rPr>
        <w:t>T</w:t>
      </w:r>
      <w:r>
        <w:rPr>
          <w:rFonts w:hint="eastAsia" w:ascii="宋体" w:hAnsi="宋体" w:eastAsia="宋体" w:cs="Times New Roman"/>
          <w:szCs w:val="24"/>
          <w:vertAlign w:val="subscript"/>
        </w:rPr>
        <w:t>总</w:t>
      </w:r>
      <w:r>
        <w:rPr>
          <w:rFonts w:hint="eastAsia" w:ascii="宋体" w:hAnsi="宋体" w:eastAsia="宋体" w:cs="Times New Roman"/>
          <w:szCs w:val="24"/>
        </w:rPr>
        <w:t>为入河排污口总数。</w:t>
      </w:r>
    </w:p>
    <w:p w14:paraId="2225B05B">
      <w:pPr>
        <w:ind w:firstLine="0" w:firstLineChars="0"/>
        <w:rPr>
          <w:rFonts w:cs="Times New Roman"/>
          <w:color w:val="FF0000"/>
          <w:szCs w:val="28"/>
        </w:rPr>
      </w:pPr>
      <w:r>
        <w:rPr>
          <w:rFonts w:eastAsia="黑体" w:cs="Times New Roman"/>
          <w:b/>
          <w:bCs/>
          <w:kern w:val="44"/>
        </w:rPr>
        <w:t>1.5.4</w:t>
      </w:r>
      <w:r>
        <w:rPr>
          <w:rFonts w:hint="eastAsia"/>
        </w:rPr>
        <w:t>水生态文明建设重视度代表政府部门对水生态文明建设的重视程度，综合本区域对下一级人民政府政绩考核中水生态文明建设相关工作所占的分值比例和下一级人民政府的平均得分率，按公式（</w:t>
      </w:r>
      <w:r>
        <w:t>2</w:t>
      </w:r>
      <w:r>
        <w:rPr>
          <w:rFonts w:hint="eastAsia"/>
        </w:rPr>
        <w:t>3）计算：</w:t>
      </w:r>
    </w:p>
    <w:p w14:paraId="6A394E9B">
      <w:pPr>
        <w:wordWrap w:val="0"/>
        <w:ind w:firstLine="0" w:firstLineChars="0"/>
        <w:jc w:val="right"/>
        <w:rPr>
          <w:szCs w:val="28"/>
        </w:rPr>
      </w:pPr>
      <w:r>
        <w:rPr>
          <w:rFonts w:hint="eastAsia"/>
          <w:position w:val="-30"/>
        </w:rPr>
        <w:t xml:space="preserve">           </w:t>
      </w:r>
      <w:r>
        <w:rPr>
          <w:position w:val="-30"/>
        </w:rPr>
        <w:object>
          <v:shape id="_x0000_i1040" o:spt="75" type="#_x0000_t75" style="height:54pt;width:120pt;" o:ole="t" filled="f" o:preferrelative="t" stroked="f" coordsize="21600,21600">
            <v:path/>
            <v:fill on="f" focussize="0,0"/>
            <v:stroke on="f" joinstyle="miter"/>
            <v:imagedata r:id="rId80" o:title=""/>
            <o:lock v:ext="edit" aspectratio="t"/>
            <w10:wrap type="none"/>
            <w10:anchorlock/>
          </v:shape>
          <o:OLEObject Type="Embed" ProgID="Equation.DSMT4" ShapeID="_x0000_i1040" DrawAspect="Content" ObjectID="_1468075740" r:id="rId79">
            <o:LockedField>false</o:LockedField>
          </o:OLEObject>
        </w:object>
      </w:r>
      <w:r>
        <w:rPr>
          <w:rFonts w:hint="eastAsia"/>
        </w:rPr>
        <w:t xml:space="preserve">                         （</w:t>
      </w:r>
      <w:r>
        <w:t>2</w:t>
      </w:r>
      <w:r>
        <w:rPr>
          <w:rFonts w:hint="eastAsia"/>
        </w:rPr>
        <w:t>3）</w:t>
      </w:r>
    </w:p>
    <w:p w14:paraId="7EE01FE6">
      <w:pPr>
        <w:ind w:firstLine="480"/>
      </w:pPr>
      <w:r>
        <w:rPr>
          <w:rFonts w:hint="eastAsia" w:ascii="宋体" w:hAnsi="宋体" w:eastAsia="宋体" w:cs="Times New Roman"/>
          <w:szCs w:val="24"/>
        </w:rPr>
        <w:t>式中，</w:t>
      </w:r>
      <w:r>
        <w:rPr>
          <w:rFonts w:hint="eastAsia" w:eastAsia="宋体" w:cs="Times New Roman"/>
          <w:szCs w:val="24"/>
        </w:rPr>
        <w:t>A</w:t>
      </w:r>
      <w:r>
        <w:rPr>
          <w:rFonts w:hint="eastAsia" w:ascii="宋体" w:hAnsi="宋体" w:eastAsia="宋体" w:cs="Times New Roman"/>
          <w:szCs w:val="24"/>
          <w:vertAlign w:val="subscript"/>
        </w:rPr>
        <w:t>水</w:t>
      </w:r>
      <w:r>
        <w:rPr>
          <w:rFonts w:hint="eastAsia" w:eastAsia="宋体" w:cs="Times New Roman"/>
          <w:szCs w:val="24"/>
        </w:rPr>
        <w:t>为水生态文明建设重视度；S</w:t>
      </w:r>
      <w:r>
        <w:rPr>
          <w:rFonts w:hint="eastAsia" w:ascii="宋体" w:hAnsi="宋体" w:eastAsia="宋体" w:cs="Times New Roman"/>
          <w:szCs w:val="24"/>
          <w:vertAlign w:val="subscript"/>
        </w:rPr>
        <w:t>水</w:t>
      </w:r>
      <w:r>
        <w:rPr>
          <w:rFonts w:hint="eastAsia" w:eastAsia="宋体" w:cs="Times New Roman"/>
          <w:szCs w:val="24"/>
          <w:vertAlign w:val="subscript"/>
        </w:rPr>
        <w:t>i</w:t>
      </w:r>
      <w:r>
        <w:rPr>
          <w:rFonts w:hint="eastAsia" w:eastAsia="宋体" w:cs="Times New Roman"/>
          <w:szCs w:val="24"/>
        </w:rPr>
        <w:t>为第i</w:t>
      </w:r>
      <w:r>
        <w:rPr>
          <w:rFonts w:hint="eastAsia" w:ascii="宋体" w:hAnsi="宋体" w:eastAsia="宋体" w:cs="Times New Roman"/>
          <w:szCs w:val="24"/>
        </w:rPr>
        <w:t>个下一级人民政府政绩考核中水生态文明建设相关工作得分；</w:t>
      </w:r>
      <w:r>
        <w:rPr>
          <w:rFonts w:hint="eastAsia" w:eastAsia="宋体" w:cs="Times New Roman"/>
          <w:szCs w:val="24"/>
        </w:rPr>
        <w:t>n</w:t>
      </w:r>
      <w:r>
        <w:rPr>
          <w:rFonts w:hint="eastAsia" w:ascii="宋体" w:hAnsi="宋体" w:eastAsia="宋体" w:cs="Times New Roman"/>
          <w:szCs w:val="24"/>
        </w:rPr>
        <w:t>为参与政绩考核的下一级人民政府总数；</w:t>
      </w:r>
      <w:r>
        <w:rPr>
          <w:rFonts w:hint="eastAsia" w:eastAsia="宋体" w:cs="Times New Roman"/>
          <w:szCs w:val="24"/>
        </w:rPr>
        <w:t>S</w:t>
      </w:r>
      <w:r>
        <w:rPr>
          <w:rFonts w:hint="eastAsia" w:ascii="宋体" w:hAnsi="宋体" w:eastAsia="宋体" w:cs="Times New Roman"/>
          <w:szCs w:val="24"/>
          <w:vertAlign w:val="subscript"/>
        </w:rPr>
        <w:t>总</w:t>
      </w:r>
      <w:r>
        <w:rPr>
          <w:rFonts w:hint="eastAsia" w:eastAsia="宋体" w:cs="Times New Roman"/>
          <w:szCs w:val="24"/>
        </w:rPr>
        <w:t>为对下一级人民政府政绩考核的满分值。</w:t>
      </w:r>
    </w:p>
    <w:p w14:paraId="0568079F">
      <w:pPr>
        <w:ind w:firstLine="0" w:firstLineChars="0"/>
        <w:rPr>
          <w:rFonts w:eastAsia="黑体" w:cs="黑体"/>
          <w:b/>
          <w:bCs/>
        </w:rPr>
      </w:pPr>
      <w:bookmarkStart w:id="1064" w:name="_Toc434850733"/>
      <w:bookmarkStart w:id="1065" w:name="_Toc398274597"/>
      <w:bookmarkStart w:id="1066" w:name="_Toc411458968"/>
      <w:r>
        <w:rPr>
          <w:rFonts w:eastAsia="黑体" w:cs="Times New Roman"/>
          <w:b/>
          <w:bCs/>
        </w:rPr>
        <w:t>1.6</w:t>
      </w:r>
      <w:r>
        <w:rPr>
          <w:rFonts w:hint="eastAsia" w:eastAsia="黑体" w:cs="黑体"/>
          <w:b/>
          <w:bCs/>
        </w:rPr>
        <w:t>水文化评价</w:t>
      </w:r>
      <w:bookmarkEnd w:id="1064"/>
      <w:bookmarkEnd w:id="1065"/>
      <w:bookmarkEnd w:id="1066"/>
    </w:p>
    <w:p w14:paraId="7504DC10">
      <w:pPr>
        <w:ind w:firstLine="0" w:firstLineChars="0"/>
        <w:rPr>
          <w:szCs w:val="28"/>
        </w:rPr>
      </w:pPr>
      <w:r>
        <w:rPr>
          <w:rFonts w:eastAsia="黑体" w:cs="Times New Roman"/>
          <w:b/>
          <w:bCs/>
          <w:kern w:val="44"/>
        </w:rPr>
        <w:t>1.6.1</w:t>
      </w:r>
      <w:r>
        <w:rPr>
          <w:rFonts w:hint="eastAsia"/>
        </w:rPr>
        <w:t>水文化评价主要评估水文化传承及水生态文明意识普及情况，包括水文化传承载体数量、水生态文明建设公众参与度、水生态环境质量公众满意度</w:t>
      </w:r>
      <w:r>
        <w:t>3</w:t>
      </w:r>
      <w:r>
        <w:rPr>
          <w:rFonts w:hint="eastAsia"/>
        </w:rPr>
        <w:t>项通用指标。</w:t>
      </w:r>
    </w:p>
    <w:p w14:paraId="191C81F3">
      <w:pPr>
        <w:ind w:firstLine="0" w:firstLineChars="0"/>
      </w:pPr>
      <w:r>
        <w:rPr>
          <w:rFonts w:eastAsia="黑体" w:cs="Times New Roman"/>
          <w:b/>
          <w:bCs/>
          <w:kern w:val="44"/>
        </w:rPr>
        <w:t>1.6.2</w:t>
      </w:r>
      <w:r>
        <w:rPr>
          <w:rFonts w:hint="eastAsia"/>
        </w:rPr>
        <w:t>水文化传承载体数量指具有文化传承功能的历史水利遗址、水利风景区、涉水自然保护区、重要湿地、节水和水土保持教育基地、水博物馆、水土保持科技示范园区等物质载体数量，以及以水体、水利或水资源节约保护为主要内容的文化节、文化遗产等非物质载体数量之和。</w:t>
      </w:r>
    </w:p>
    <w:p w14:paraId="6427B1EC">
      <w:pPr>
        <w:ind w:firstLine="0" w:firstLineChars="0"/>
        <w:rPr>
          <w:szCs w:val="28"/>
        </w:rPr>
      </w:pPr>
      <w:r>
        <w:rPr>
          <w:rFonts w:eastAsia="黑体" w:cs="Times New Roman"/>
          <w:b/>
          <w:bCs/>
          <w:kern w:val="44"/>
        </w:rPr>
        <w:t>1.6.3</w:t>
      </w:r>
      <w:r>
        <w:rPr>
          <w:rFonts w:hint="eastAsia" w:eastAsia="黑体"/>
          <w:b/>
          <w:bCs/>
          <w:kern w:val="44"/>
        </w:rPr>
        <w:t xml:space="preserve"> </w:t>
      </w:r>
      <w:r>
        <w:rPr>
          <w:rFonts w:hint="eastAsia"/>
        </w:rPr>
        <w:t>水生态文明建设公众认知度指水生态文明宣传教育活动直接参与人次与水文化传承载体参观人次之和与区域常住人口的比例，按公式（</w:t>
      </w:r>
      <w:r>
        <w:t>2</w:t>
      </w:r>
      <w:r>
        <w:rPr>
          <w:rFonts w:hint="eastAsia"/>
        </w:rPr>
        <w:t>4）计算：</w:t>
      </w:r>
    </w:p>
    <w:p w14:paraId="30F04088">
      <w:pPr>
        <w:ind w:right="840" w:firstLine="3600" w:firstLineChars="1500"/>
        <w:rPr>
          <w:szCs w:val="28"/>
        </w:rPr>
      </w:pPr>
      <w:r>
        <w:rPr>
          <w:position w:val="-32"/>
        </w:rPr>
        <w:object>
          <v:shape id="_x0000_i1041" o:spt="75" type="#_x0000_t75" style="height:41.4pt;width:90pt;" o:ole="t" filled="f" o:preferrelative="t" stroked="f" coordsize="21600,21600">
            <v:path/>
            <v:fill on="f" focussize="0,0"/>
            <v:stroke on="f" joinstyle="miter"/>
            <v:imagedata r:id="rId82" o:title=""/>
            <o:lock v:ext="edit" aspectratio="t"/>
            <w10:wrap type="none"/>
            <w10:anchorlock/>
          </v:shape>
          <o:OLEObject Type="Embed" ProgID="Equation.DSMT4" ShapeID="_x0000_i1041" DrawAspect="Content" ObjectID="_1468075741" r:id="rId81">
            <o:LockedField>false</o:LockedField>
          </o:OLEObject>
        </w:object>
      </w:r>
      <w:r>
        <w:rPr>
          <w:rFonts w:hint="eastAsia"/>
        </w:rPr>
        <w:t xml:space="preserve">            （</w:t>
      </w:r>
      <w:r>
        <w:t>2</w:t>
      </w:r>
      <w:r>
        <w:rPr>
          <w:rFonts w:hint="eastAsia"/>
        </w:rPr>
        <w:t>4）</w:t>
      </w:r>
    </w:p>
    <w:p w14:paraId="11B74B0C">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知</w:t>
      </w:r>
      <w:r>
        <w:rPr>
          <w:rFonts w:hint="eastAsia" w:ascii="宋体" w:hAnsi="宋体" w:eastAsia="宋体" w:cs="Times New Roman"/>
          <w:szCs w:val="24"/>
        </w:rPr>
        <w:t>为水生态文明建设公众认知度；</w:t>
      </w:r>
      <w:r>
        <w:rPr>
          <w:rFonts w:hint="eastAsia" w:eastAsia="宋体" w:cs="Times New Roman"/>
          <w:szCs w:val="24"/>
        </w:rPr>
        <w:t>P</w:t>
      </w:r>
      <w:r>
        <w:rPr>
          <w:rFonts w:hint="eastAsia" w:ascii="宋体" w:hAnsi="宋体" w:eastAsia="宋体" w:cs="Times New Roman"/>
          <w:szCs w:val="24"/>
          <w:vertAlign w:val="subscript"/>
        </w:rPr>
        <w:t>知</w:t>
      </w:r>
      <w:r>
        <w:rPr>
          <w:rFonts w:hint="eastAsia" w:ascii="宋体" w:hAnsi="宋体" w:eastAsia="宋体" w:cs="Times New Roman"/>
          <w:szCs w:val="24"/>
        </w:rPr>
        <w:t>为宣传教育活动直接参与人次以及水文化传承载体参观人次；</w:t>
      </w:r>
      <w:r>
        <w:rPr>
          <w:rFonts w:hint="eastAsia" w:eastAsia="宋体" w:cs="Times New Roman"/>
          <w:szCs w:val="24"/>
        </w:rPr>
        <w:t>P</w:t>
      </w:r>
      <w:r>
        <w:rPr>
          <w:rFonts w:hint="eastAsia" w:ascii="宋体" w:hAnsi="宋体" w:eastAsia="宋体" w:cs="Times New Roman"/>
          <w:szCs w:val="24"/>
          <w:vertAlign w:val="subscript"/>
        </w:rPr>
        <w:t>常</w:t>
      </w:r>
      <w:r>
        <w:rPr>
          <w:rFonts w:hint="eastAsia" w:ascii="宋体" w:hAnsi="宋体" w:eastAsia="宋体" w:cs="Times New Roman"/>
          <w:szCs w:val="24"/>
        </w:rPr>
        <w:t>为常住人口。</w:t>
      </w:r>
    </w:p>
    <w:p w14:paraId="35233CCB">
      <w:pPr>
        <w:ind w:firstLine="0" w:firstLineChars="0"/>
        <w:rPr>
          <w:rFonts w:cs="Times New Roman"/>
          <w:color w:val="FF0000"/>
          <w:szCs w:val="28"/>
        </w:rPr>
      </w:pPr>
      <w:r>
        <w:rPr>
          <w:rFonts w:eastAsia="黑体" w:cs="Times New Roman"/>
          <w:b/>
          <w:bCs/>
          <w:kern w:val="44"/>
        </w:rPr>
        <w:t>1.6.4</w:t>
      </w:r>
      <w:r>
        <w:rPr>
          <w:rFonts w:hint="eastAsia"/>
        </w:rPr>
        <w:t>水生态环境质量公众满意度指对水生态环境质量状况感到满意的受访者比例，通过专业统计部门抽样调查获取。</w:t>
      </w:r>
    </w:p>
    <w:p w14:paraId="14F83559">
      <w:pPr>
        <w:ind w:firstLine="0" w:firstLineChars="0"/>
        <w:rPr>
          <w:rFonts w:eastAsia="黑体" w:cs="黑体"/>
          <w:b/>
          <w:bCs/>
        </w:rPr>
      </w:pPr>
      <w:bookmarkStart w:id="1067" w:name="_Toc398274603"/>
      <w:bookmarkStart w:id="1068" w:name="_Toc434850738"/>
      <w:bookmarkStart w:id="1069" w:name="_Toc411458973"/>
      <w:r>
        <w:rPr>
          <w:rFonts w:hint="eastAsia" w:eastAsia="黑体" w:cs="Times New Roman"/>
          <w:b/>
          <w:bCs/>
        </w:rPr>
        <w:t>1.7</w:t>
      </w:r>
      <w:r>
        <w:rPr>
          <w:rFonts w:hint="eastAsia" w:eastAsia="黑体" w:cs="黑体"/>
          <w:b/>
          <w:bCs/>
        </w:rPr>
        <w:t>东南沿海地区</w:t>
      </w:r>
      <w:bookmarkEnd w:id="1067"/>
      <w:bookmarkEnd w:id="1068"/>
      <w:bookmarkEnd w:id="1069"/>
    </w:p>
    <w:p w14:paraId="1F6F937C">
      <w:pPr>
        <w:ind w:firstLine="0" w:firstLineChars="0"/>
        <w:rPr>
          <w:szCs w:val="28"/>
        </w:rPr>
      </w:pPr>
      <w:r>
        <w:rPr>
          <w:rFonts w:hint="eastAsia" w:eastAsia="黑体" w:cs="Times New Roman"/>
          <w:b/>
          <w:bCs/>
          <w:kern w:val="44"/>
        </w:rPr>
        <w:t>1.7.1</w:t>
      </w:r>
      <w:r>
        <w:rPr>
          <w:rFonts w:hint="eastAsia"/>
        </w:rPr>
        <w:t>东南沿海地区特色指标主要评估入河污染控制与城镇低影响开发情况，包括</w:t>
      </w:r>
      <w:r>
        <w:t>水功能区限制纳污控制率</w:t>
      </w:r>
      <w:r>
        <w:rPr>
          <w:rFonts w:hint="eastAsia"/>
        </w:rPr>
        <w:t>、建成区透水面积率</w:t>
      </w:r>
      <w:r>
        <w:t>2</w:t>
      </w:r>
      <w:r>
        <w:rPr>
          <w:rFonts w:hint="eastAsia"/>
        </w:rPr>
        <w:t>项指标。</w:t>
      </w:r>
    </w:p>
    <w:p w14:paraId="2C9EFB9E">
      <w:pPr>
        <w:ind w:firstLine="0" w:firstLineChars="0"/>
      </w:pPr>
      <w:r>
        <w:rPr>
          <w:rFonts w:eastAsia="黑体" w:cs="Times New Roman"/>
          <w:b/>
          <w:bCs/>
          <w:kern w:val="44"/>
        </w:rPr>
        <w:t>1.7.2</w:t>
      </w:r>
      <w:r>
        <w:t>水功能区限制纳污控制率</w:t>
      </w:r>
      <w:r>
        <w:rPr>
          <w:rFonts w:hint="eastAsia"/>
        </w:rPr>
        <w:t>指入河排污量在其纳污能力范围之内的水功能区个数占区域水功能区总数的比例，按公式（</w:t>
      </w:r>
      <w:r>
        <w:t>3</w:t>
      </w:r>
      <w:r>
        <w:rPr>
          <w:rFonts w:hint="eastAsia"/>
        </w:rPr>
        <w:t>1）计算：</w:t>
      </w:r>
    </w:p>
    <w:p w14:paraId="730CE7CD">
      <w:pPr>
        <w:wordWrap w:val="0"/>
        <w:ind w:firstLine="0" w:firstLineChars="0"/>
        <w:jc w:val="right"/>
        <w:rPr>
          <w:szCs w:val="28"/>
        </w:rPr>
      </w:pPr>
      <w:r>
        <w:rPr>
          <w:position w:val="-30"/>
        </w:rPr>
        <w:object>
          <v:shape id="_x0000_i1042" o:spt="75" type="#_x0000_t75" style="height:39pt;width:84pt;" o:ole="t" filled="f" o:preferrelative="t" stroked="f" coordsize="21600,21600">
            <v:path/>
            <v:fill on="f" focussize="0,0"/>
            <v:stroke on="f" joinstyle="miter"/>
            <v:imagedata r:id="rId84" o:title=""/>
            <o:lock v:ext="edit" aspectratio="t"/>
            <w10:wrap type="none"/>
            <w10:anchorlock/>
          </v:shape>
          <o:OLEObject Type="Embed" ProgID="Equation.DSMT4" ShapeID="_x0000_i1042" DrawAspect="Content" ObjectID="_1468075742" r:id="rId83">
            <o:LockedField>false</o:LockedField>
          </o:OLEObject>
        </w:object>
      </w:r>
      <w:r>
        <w:rPr>
          <w:rFonts w:hint="eastAsia"/>
        </w:rPr>
        <w:t xml:space="preserve">                  </w:t>
      </w:r>
      <w:r>
        <w:rPr>
          <w:rFonts w:hint="eastAsia"/>
          <w:szCs w:val="28"/>
        </w:rPr>
        <w:t xml:space="preserve">    </w:t>
      </w:r>
      <w:r>
        <w:t xml:space="preserve"> </w:t>
      </w:r>
      <w:r>
        <w:rPr>
          <w:rFonts w:hint="eastAsia"/>
        </w:rPr>
        <w:t>（</w:t>
      </w:r>
      <w:r>
        <w:t>3</w:t>
      </w:r>
      <w:r>
        <w:rPr>
          <w:rFonts w:hint="eastAsia"/>
        </w:rPr>
        <w:t>1）</w:t>
      </w:r>
    </w:p>
    <w:p w14:paraId="5E99F62B">
      <w:pPr>
        <w:ind w:firstLine="480" w:firstLineChars="0"/>
        <w:rPr>
          <w:rFonts w:eastAsia="宋体" w:cs="Times New Roman"/>
          <w:szCs w:val="24"/>
        </w:rPr>
      </w:pPr>
      <w:r>
        <w:rPr>
          <w:rFonts w:hint="eastAsia" w:ascii="宋体" w:hAnsi="宋体" w:eastAsia="宋体" w:cs="Times New Roman"/>
          <w:szCs w:val="24"/>
        </w:rPr>
        <w:t>式中，</w:t>
      </w:r>
      <w:r>
        <w:rPr>
          <w:rFonts w:eastAsia="宋体" w:cs="Times New Roman"/>
          <w:szCs w:val="24"/>
        </w:rPr>
        <w:drawing>
          <wp:inline distT="0" distB="0" distL="0" distR="0">
            <wp:extent cx="133350" cy="161925"/>
            <wp:effectExtent l="0" t="0" r="0" b="9525"/>
            <wp:docPr id="18" name="图片 18" descr="C:\Users\FANGQU~1\AppData\Local\Temp\ksohtml\wps764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FANGQU~1\AppData\Local\Temp\ksohtml\wps764B.tmp.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33350" cy="161925"/>
                    </a:xfrm>
                    <a:prstGeom prst="rect">
                      <a:avLst/>
                    </a:prstGeom>
                    <a:noFill/>
                    <a:ln>
                      <a:noFill/>
                    </a:ln>
                  </pic:spPr>
                </pic:pic>
              </a:graphicData>
            </a:graphic>
          </wp:inline>
        </w:drawing>
      </w:r>
      <w:r>
        <w:rPr>
          <w:rFonts w:hint="eastAsia" w:ascii="宋体" w:hAnsi="宋体" w:eastAsia="宋体" w:cs="Times New Roman"/>
          <w:szCs w:val="24"/>
        </w:rPr>
        <w:t>为</w:t>
      </w:r>
      <w:r>
        <w:rPr>
          <w:rFonts w:ascii="宋体" w:hAnsi="宋体" w:eastAsia="宋体" w:cs="Times New Roman"/>
          <w:szCs w:val="24"/>
        </w:rPr>
        <w:t>水功能区限制纳污控制率</w:t>
      </w:r>
      <w:r>
        <w:rPr>
          <w:rFonts w:hint="eastAsia" w:ascii="宋体" w:hAnsi="宋体" w:eastAsia="宋体" w:cs="Times New Roman"/>
          <w:szCs w:val="24"/>
        </w:rPr>
        <w:t>；</w:t>
      </w:r>
      <w:r>
        <w:rPr>
          <w:rFonts w:hint="eastAsia" w:eastAsia="宋体" w:cs="Times New Roman"/>
          <w:szCs w:val="24"/>
        </w:rPr>
        <w:t>G</w:t>
      </w:r>
      <w:r>
        <w:rPr>
          <w:rFonts w:hint="eastAsia" w:ascii="宋体" w:hAnsi="宋体" w:eastAsia="宋体" w:cs="Times New Roman"/>
          <w:szCs w:val="24"/>
          <w:vertAlign w:val="subscript"/>
        </w:rPr>
        <w:t>限</w:t>
      </w:r>
      <w:r>
        <w:rPr>
          <w:rFonts w:hint="eastAsia" w:eastAsia="宋体" w:cs="Times New Roman"/>
          <w:szCs w:val="24"/>
          <w:vertAlign w:val="subscript"/>
        </w:rPr>
        <w:t xml:space="preserve"> </w:t>
      </w:r>
      <w:r>
        <w:rPr>
          <w:rFonts w:hint="eastAsia" w:ascii="宋体" w:hAnsi="宋体" w:eastAsia="宋体" w:cs="Times New Roman"/>
          <w:szCs w:val="24"/>
        </w:rPr>
        <w:t>为入河排污量在其纳污能力范围之内的水功能区个数；</w:t>
      </w:r>
      <w:r>
        <w:rPr>
          <w:rFonts w:hint="eastAsia" w:eastAsia="宋体" w:cs="Times New Roman"/>
          <w:szCs w:val="24"/>
        </w:rPr>
        <w:t>G</w:t>
      </w:r>
      <w:r>
        <w:rPr>
          <w:rFonts w:hint="eastAsia" w:ascii="宋体" w:hAnsi="宋体" w:eastAsia="宋体" w:cs="Times New Roman"/>
          <w:szCs w:val="24"/>
          <w:vertAlign w:val="subscript"/>
        </w:rPr>
        <w:t>总</w:t>
      </w:r>
      <w:r>
        <w:rPr>
          <w:rFonts w:hint="eastAsia" w:ascii="宋体" w:hAnsi="宋体" w:eastAsia="宋体" w:cs="Times New Roman"/>
          <w:szCs w:val="24"/>
        </w:rPr>
        <w:t>为水功能区总数。</w:t>
      </w:r>
      <w:r>
        <w:rPr>
          <w:rFonts w:hint="eastAsia" w:ascii="宋体" w:hAnsi="宋体" w:eastAsia="宋体" w:cs="Times New Roman"/>
          <w:sz w:val="18"/>
          <w:szCs w:val="18"/>
        </w:rPr>
        <w:t>（注1：参与评价的水功能区为国家或省级人民政府批复的水功能区）；（注2：入河污染负荷考虑COD和氨氮两项指标，主要针对点源污染，暂不考虑面源污染负荷）。</w:t>
      </w:r>
    </w:p>
    <w:p w14:paraId="1D3A9106">
      <w:pPr>
        <w:ind w:firstLine="0" w:firstLineChars="0"/>
      </w:pPr>
      <w:r>
        <w:rPr>
          <w:rFonts w:eastAsia="黑体" w:cs="Times New Roman"/>
          <w:b/>
          <w:bCs/>
          <w:kern w:val="44"/>
        </w:rPr>
        <w:t>1.7.3</w:t>
      </w:r>
      <w:r>
        <w:rPr>
          <w:rFonts w:hint="eastAsia" w:eastAsia="黑体"/>
          <w:b/>
          <w:bCs/>
          <w:kern w:val="44"/>
        </w:rPr>
        <w:t xml:space="preserve"> </w:t>
      </w:r>
      <w:r>
        <w:rPr>
          <w:rFonts w:hint="eastAsia"/>
        </w:rPr>
        <w:t>建成区透水面积率指城市建成区绿地、水面和人工增强透水面积占总面积的比值，按公式（</w:t>
      </w:r>
      <w:r>
        <w:t>3</w:t>
      </w:r>
      <w:r>
        <w:rPr>
          <w:rFonts w:hint="eastAsia"/>
        </w:rPr>
        <w:t>2）计算：</w:t>
      </w:r>
    </w:p>
    <w:p w14:paraId="04CA718C">
      <w:pPr>
        <w:wordWrap w:val="0"/>
        <w:ind w:firstLine="0" w:firstLineChars="0"/>
        <w:jc w:val="right"/>
      </w:pPr>
      <w:r>
        <w:rPr>
          <w:position w:val="-32"/>
        </w:rPr>
        <w:object>
          <v:shape id="_x0000_i1043" o:spt="75" type="#_x0000_t75" style="height:41.4pt;width:189.05pt;" o:ole="t" filled="f" o:preferrelative="t" stroked="f" coordsize="21600,21600">
            <v:path/>
            <v:fill on="f" focussize="0,0"/>
            <v:stroke on="f" joinstyle="miter"/>
            <v:imagedata r:id="rId87" o:title=""/>
            <o:lock v:ext="edit" aspectratio="t"/>
            <w10:wrap type="none"/>
            <w10:anchorlock/>
          </v:shape>
          <o:OLEObject Type="Embed" ProgID="Equation.DSMT4" ShapeID="_x0000_i1043" DrawAspect="Content" ObjectID="_1468075743" r:id="rId86">
            <o:LockedField>false</o:LockedField>
          </o:OLEObject>
        </w:object>
      </w:r>
      <w:r>
        <w:rPr>
          <w:rFonts w:hint="eastAsia"/>
        </w:rPr>
        <w:t xml:space="preserve">        </w:t>
      </w:r>
      <w:r>
        <w:rPr>
          <w:rFonts w:hint="eastAsia"/>
          <w:szCs w:val="28"/>
        </w:rPr>
        <w:t xml:space="preserve">      </w:t>
      </w:r>
      <w:r>
        <w:rPr>
          <w:rFonts w:hint="eastAsia"/>
        </w:rPr>
        <w:t>（</w:t>
      </w:r>
      <w:r>
        <w:t>3</w:t>
      </w:r>
      <w:r>
        <w:rPr>
          <w:rFonts w:hint="eastAsia"/>
        </w:rPr>
        <w:t>2）</w:t>
      </w:r>
    </w:p>
    <w:p w14:paraId="711281B5">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透水</w:t>
      </w:r>
      <w:r>
        <w:rPr>
          <w:rFonts w:hint="eastAsia" w:ascii="宋体" w:hAnsi="宋体" w:eastAsia="宋体" w:cs="Times New Roman"/>
          <w:szCs w:val="24"/>
        </w:rPr>
        <w:t>为建成区透水面积率；</w:t>
      </w:r>
      <w:r>
        <w:rPr>
          <w:rFonts w:hint="eastAsia" w:eastAsia="宋体" w:cs="Times New Roman"/>
          <w:szCs w:val="24"/>
        </w:rPr>
        <w:t>M</w:t>
      </w:r>
      <w:r>
        <w:rPr>
          <w:rFonts w:hint="eastAsia" w:ascii="宋体" w:hAnsi="宋体" w:eastAsia="宋体" w:cs="Times New Roman"/>
          <w:szCs w:val="24"/>
          <w:vertAlign w:val="subscript"/>
        </w:rPr>
        <w:t>绿地</w:t>
      </w:r>
      <w:r>
        <w:rPr>
          <w:rFonts w:hint="eastAsia" w:ascii="宋体" w:hAnsi="宋体" w:eastAsia="宋体" w:cs="Times New Roman"/>
          <w:szCs w:val="24"/>
        </w:rPr>
        <w:t>为建成区绿地面积；</w:t>
      </w:r>
      <w:r>
        <w:rPr>
          <w:rFonts w:hint="eastAsia" w:eastAsia="宋体" w:cs="Times New Roman"/>
          <w:szCs w:val="24"/>
        </w:rPr>
        <w:t>M</w:t>
      </w:r>
      <w:r>
        <w:rPr>
          <w:rFonts w:hint="eastAsia" w:ascii="宋体" w:hAnsi="宋体" w:eastAsia="宋体" w:cs="Times New Roman"/>
          <w:szCs w:val="24"/>
          <w:vertAlign w:val="subscript"/>
        </w:rPr>
        <w:t>水面</w:t>
      </w:r>
      <w:r>
        <w:rPr>
          <w:rFonts w:hint="eastAsia" w:ascii="宋体" w:hAnsi="宋体" w:eastAsia="宋体" w:cs="Times New Roman"/>
          <w:szCs w:val="24"/>
        </w:rPr>
        <w:t>为水面面积；</w:t>
      </w:r>
      <w:r>
        <w:rPr>
          <w:rFonts w:hint="eastAsia" w:eastAsia="宋体" w:cs="Times New Roman"/>
          <w:szCs w:val="24"/>
        </w:rPr>
        <w:t>M</w:t>
      </w:r>
      <w:r>
        <w:rPr>
          <w:rFonts w:hint="eastAsia" w:ascii="宋体" w:hAnsi="宋体" w:eastAsia="宋体" w:cs="Times New Roman"/>
          <w:szCs w:val="24"/>
          <w:vertAlign w:val="subscript"/>
        </w:rPr>
        <w:t>人透</w:t>
      </w:r>
      <w:r>
        <w:rPr>
          <w:rFonts w:hint="eastAsia" w:ascii="宋体" w:hAnsi="宋体" w:eastAsia="宋体" w:cs="Times New Roman"/>
          <w:szCs w:val="24"/>
        </w:rPr>
        <w:t>为人工增强透水面积；</w:t>
      </w:r>
      <w:r>
        <w:rPr>
          <w:rFonts w:hint="eastAsia" w:eastAsia="宋体" w:cs="Times New Roman"/>
          <w:szCs w:val="24"/>
        </w:rPr>
        <w:t>M</w:t>
      </w:r>
      <w:r>
        <w:rPr>
          <w:rFonts w:hint="eastAsia" w:ascii="宋体" w:hAnsi="宋体" w:eastAsia="宋体" w:cs="Times New Roman"/>
          <w:szCs w:val="24"/>
          <w:vertAlign w:val="subscript"/>
        </w:rPr>
        <w:t>建总</w:t>
      </w:r>
      <w:r>
        <w:rPr>
          <w:rFonts w:hint="eastAsia" w:ascii="宋体" w:hAnsi="宋体" w:eastAsia="宋体" w:cs="Times New Roman"/>
          <w:szCs w:val="24"/>
        </w:rPr>
        <w:t>为建成区总面积。</w:t>
      </w:r>
    </w:p>
    <w:p w14:paraId="0F2E4076">
      <w:pPr>
        <w:spacing w:before="163" w:beforeLines="50"/>
        <w:ind w:firstLine="0" w:firstLineChars="0"/>
        <w:rPr>
          <w:rFonts w:eastAsia="黑体" w:cs="黑体"/>
          <w:szCs w:val="24"/>
        </w:rPr>
        <w:sectPr>
          <w:pgSz w:w="11906" w:h="16838"/>
          <w:pgMar w:top="1440" w:right="1797" w:bottom="1440" w:left="1797" w:header="851" w:footer="992" w:gutter="0"/>
          <w:cols w:space="425" w:num="1"/>
          <w:docGrid w:type="linesAndChars" w:linePitch="326" w:charSpace="0"/>
        </w:sectPr>
      </w:pPr>
      <w:r>
        <w:rPr>
          <w:rFonts w:hint="eastAsia" w:eastAsia="黑体" w:cs="黑体"/>
          <w:szCs w:val="24"/>
        </w:rPr>
        <w:t>注：指标体系公式参考《水生态文明城市建设评价导则》（SL/Z738-2016）</w:t>
      </w:r>
    </w:p>
    <w:p w14:paraId="691666E1">
      <w:pPr>
        <w:pStyle w:val="2"/>
        <w:spacing w:before="0"/>
      </w:pPr>
      <w:bookmarkStart w:id="1070" w:name="_Toc501530365"/>
      <w:bookmarkStart w:id="1071" w:name="_Toc16675144"/>
      <w:r>
        <w:t>附件</w:t>
      </w:r>
      <w:r>
        <w:rPr>
          <w:rFonts w:hint="eastAsia"/>
        </w:rPr>
        <w:t>1</w:t>
      </w:r>
      <w:r>
        <w:t xml:space="preserve"> </w:t>
      </w:r>
      <w:r>
        <w:rPr>
          <w:rFonts w:hint="eastAsia"/>
        </w:rPr>
        <w:t>西区</w:t>
      </w:r>
      <w:r>
        <w:t>各部门意见</w:t>
      </w:r>
      <w:bookmarkEnd w:id="1070"/>
      <w:r>
        <w:rPr>
          <w:rFonts w:hint="eastAsia"/>
        </w:rPr>
        <w:t>和专家评审意见</w:t>
      </w:r>
      <w:bookmarkEnd w:id="1071"/>
    </w:p>
    <w:p w14:paraId="7958B6EA">
      <w:pPr>
        <w:ind w:firstLine="0" w:firstLineChars="0"/>
        <w:rPr>
          <w:rFonts w:eastAsia="宋体" w:cs="Times New Roman"/>
          <w:b/>
        </w:rPr>
      </w:pPr>
      <w:r>
        <w:rPr>
          <w:rFonts w:eastAsia="宋体" w:cs="Times New Roman"/>
          <w:b/>
        </w:rPr>
        <w:t>（1）</w:t>
      </w:r>
      <w:r>
        <w:rPr>
          <w:rFonts w:hint="eastAsia" w:eastAsia="宋体" w:cs="Times New Roman"/>
          <w:b/>
        </w:rPr>
        <w:t>西区生态环境分局意见</w:t>
      </w:r>
    </w:p>
    <w:p w14:paraId="6E186A26">
      <w:pPr>
        <w:ind w:firstLine="0" w:firstLineChars="0"/>
        <w:jc w:val="center"/>
      </w:pPr>
      <w:r>
        <w:drawing>
          <wp:inline distT="0" distB="0" distL="114300" distR="114300">
            <wp:extent cx="3883025" cy="7713980"/>
            <wp:effectExtent l="9525" t="9525" r="12700" b="10795"/>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88"/>
                    <a:stretch>
                      <a:fillRect/>
                    </a:stretch>
                  </pic:blipFill>
                  <pic:spPr>
                    <a:xfrm>
                      <a:off x="0" y="0"/>
                      <a:ext cx="3883025" cy="7713980"/>
                    </a:xfrm>
                    <a:prstGeom prst="rect">
                      <a:avLst/>
                    </a:prstGeom>
                    <a:noFill/>
                    <a:ln>
                      <a:solidFill>
                        <a:schemeClr val="tx1"/>
                      </a:solidFill>
                    </a:ln>
                  </pic:spPr>
                </pic:pic>
              </a:graphicData>
            </a:graphic>
          </wp:inline>
        </w:drawing>
      </w:r>
    </w:p>
    <w:p w14:paraId="265DD30E">
      <w:pPr>
        <w:ind w:firstLine="0" w:firstLineChars="0"/>
        <w:rPr>
          <w:rFonts w:eastAsia="宋体" w:cs="Times New Roman"/>
          <w:b/>
        </w:rPr>
      </w:pPr>
      <w:r>
        <w:rPr>
          <w:rFonts w:eastAsia="宋体" w:cs="Times New Roman"/>
          <w:b/>
        </w:rPr>
        <w:t>（2）</w:t>
      </w:r>
      <w:r>
        <w:rPr>
          <w:rFonts w:hint="eastAsia" w:eastAsia="宋体" w:cs="Times New Roman"/>
          <w:b/>
        </w:rPr>
        <w:t>西区住建局</w:t>
      </w:r>
      <w:r>
        <w:rPr>
          <w:rFonts w:eastAsia="宋体" w:cs="Times New Roman"/>
          <w:b/>
        </w:rPr>
        <w:t>意见</w:t>
      </w:r>
    </w:p>
    <w:p w14:paraId="23D02608">
      <w:pPr>
        <w:ind w:firstLine="0" w:firstLineChars="0"/>
      </w:pPr>
      <w:r>
        <w:drawing>
          <wp:inline distT="0" distB="0" distL="114300" distR="114300">
            <wp:extent cx="5273040" cy="7190105"/>
            <wp:effectExtent l="9525" t="9525" r="13335" b="20320"/>
            <wp:docPr id="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pic:cNvPicPr>
                      <a:picLocks noChangeAspect="1"/>
                    </pic:cNvPicPr>
                  </pic:nvPicPr>
                  <pic:blipFill>
                    <a:blip r:embed="rId89"/>
                    <a:stretch>
                      <a:fillRect/>
                    </a:stretch>
                  </pic:blipFill>
                  <pic:spPr>
                    <a:xfrm>
                      <a:off x="0" y="0"/>
                      <a:ext cx="5273040" cy="7190105"/>
                    </a:xfrm>
                    <a:prstGeom prst="rect">
                      <a:avLst/>
                    </a:prstGeom>
                    <a:noFill/>
                    <a:ln>
                      <a:solidFill>
                        <a:schemeClr val="tx1"/>
                      </a:solidFill>
                    </a:ln>
                  </pic:spPr>
                </pic:pic>
              </a:graphicData>
            </a:graphic>
          </wp:inline>
        </w:drawing>
      </w:r>
    </w:p>
    <w:p w14:paraId="2C547E2D">
      <w:pPr>
        <w:ind w:firstLine="0" w:firstLineChars="0"/>
      </w:pPr>
    </w:p>
    <w:p w14:paraId="0190DE91">
      <w:pPr>
        <w:ind w:firstLine="0" w:firstLineChars="0"/>
      </w:pPr>
    </w:p>
    <w:p w14:paraId="3525DD0D">
      <w:pPr>
        <w:ind w:firstLine="0" w:firstLineChars="0"/>
      </w:pPr>
    </w:p>
    <w:p w14:paraId="67032C74">
      <w:pPr>
        <w:ind w:firstLine="0" w:firstLineChars="0"/>
      </w:pPr>
    </w:p>
    <w:p w14:paraId="7B4DFEFB">
      <w:pPr>
        <w:ind w:firstLine="0" w:firstLineChars="0"/>
        <w:rPr>
          <w:rFonts w:eastAsia="宋体" w:cs="Times New Roman"/>
          <w:b/>
        </w:rPr>
      </w:pPr>
      <w:r>
        <w:rPr>
          <w:rFonts w:eastAsia="宋体" w:cs="Times New Roman"/>
          <w:b/>
        </w:rPr>
        <w:t>（3）</w:t>
      </w:r>
      <w:r>
        <w:rPr>
          <w:rFonts w:hint="eastAsia" w:eastAsia="宋体" w:cs="Times New Roman"/>
          <w:b/>
        </w:rPr>
        <w:t>西区经信局</w:t>
      </w:r>
      <w:r>
        <w:rPr>
          <w:rFonts w:eastAsia="宋体" w:cs="Times New Roman"/>
          <w:b/>
        </w:rPr>
        <w:t>意见</w:t>
      </w:r>
    </w:p>
    <w:p w14:paraId="5B7A34BC">
      <w:pPr>
        <w:ind w:firstLine="0" w:firstLineChars="0"/>
        <w:jc w:val="center"/>
      </w:pPr>
      <w:r>
        <w:rPr>
          <w:rFonts w:hint="eastAsia"/>
        </w:rPr>
        <w:t xml:space="preserve">       </w:t>
      </w:r>
      <w:r>
        <w:drawing>
          <wp:inline distT="0" distB="0" distL="114300" distR="114300">
            <wp:extent cx="4378325" cy="3608070"/>
            <wp:effectExtent l="9525" t="9525" r="12700" b="20955"/>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90"/>
                    <a:stretch>
                      <a:fillRect/>
                    </a:stretch>
                  </pic:blipFill>
                  <pic:spPr>
                    <a:xfrm>
                      <a:off x="0" y="0"/>
                      <a:ext cx="4378325" cy="3608070"/>
                    </a:xfrm>
                    <a:prstGeom prst="rect">
                      <a:avLst/>
                    </a:prstGeom>
                    <a:noFill/>
                    <a:ln>
                      <a:solidFill>
                        <a:schemeClr val="tx1"/>
                      </a:solidFill>
                    </a:ln>
                  </pic:spPr>
                </pic:pic>
              </a:graphicData>
            </a:graphic>
          </wp:inline>
        </w:drawing>
      </w:r>
    </w:p>
    <w:p w14:paraId="46D841A5">
      <w:pPr>
        <w:ind w:firstLine="0" w:firstLineChars="0"/>
        <w:rPr>
          <w:b/>
          <w:bCs/>
        </w:rPr>
      </w:pPr>
      <w:r>
        <w:rPr>
          <w:rFonts w:hint="eastAsia"/>
          <w:b/>
          <w:bCs/>
        </w:rPr>
        <w:t>（4）西区党政办意见</w:t>
      </w:r>
    </w:p>
    <w:p w14:paraId="27C7EC07">
      <w:pPr>
        <w:ind w:firstLine="0" w:firstLineChars="0"/>
        <w:jc w:val="right"/>
        <w:rPr>
          <w:b/>
          <w:bCs/>
        </w:rPr>
      </w:pPr>
      <w:r>
        <w:drawing>
          <wp:inline distT="0" distB="0" distL="114300" distR="114300">
            <wp:extent cx="4481195" cy="4099560"/>
            <wp:effectExtent l="9525" t="9525" r="24130" b="24765"/>
            <wp:docPr id="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
                    <pic:cNvPicPr>
                      <a:picLocks noChangeAspect="1"/>
                    </pic:cNvPicPr>
                  </pic:nvPicPr>
                  <pic:blipFill>
                    <a:blip r:embed="rId91"/>
                    <a:stretch>
                      <a:fillRect/>
                    </a:stretch>
                  </pic:blipFill>
                  <pic:spPr>
                    <a:xfrm>
                      <a:off x="0" y="0"/>
                      <a:ext cx="4481195" cy="4099560"/>
                    </a:xfrm>
                    <a:prstGeom prst="rect">
                      <a:avLst/>
                    </a:prstGeom>
                    <a:noFill/>
                    <a:ln>
                      <a:solidFill>
                        <a:schemeClr val="tx1"/>
                      </a:solidFill>
                    </a:ln>
                  </pic:spPr>
                </pic:pic>
              </a:graphicData>
            </a:graphic>
          </wp:inline>
        </w:drawing>
      </w:r>
    </w:p>
    <w:p w14:paraId="71618A6A">
      <w:pPr>
        <w:ind w:firstLine="0" w:firstLineChars="0"/>
        <w:rPr>
          <w:b/>
          <w:bCs/>
        </w:rPr>
      </w:pPr>
    </w:p>
    <w:p w14:paraId="7493255E">
      <w:pPr>
        <w:numPr>
          <w:ilvl w:val="0"/>
          <w:numId w:val="3"/>
        </w:numPr>
        <w:ind w:firstLine="0" w:firstLineChars="0"/>
        <w:rPr>
          <w:b/>
          <w:bCs/>
        </w:rPr>
      </w:pPr>
      <w:r>
        <w:rPr>
          <w:rFonts w:hint="eastAsia"/>
          <w:b/>
          <w:bCs/>
        </w:rPr>
        <w:t>综治维稳办意见</w:t>
      </w:r>
    </w:p>
    <w:p w14:paraId="6B123BE8">
      <w:pPr>
        <w:ind w:firstLine="0" w:firstLineChars="0"/>
        <w:jc w:val="center"/>
        <w:rPr>
          <w:b/>
          <w:bCs/>
        </w:rPr>
      </w:pPr>
      <w:r>
        <w:drawing>
          <wp:inline distT="0" distB="0" distL="114300" distR="114300">
            <wp:extent cx="5053330" cy="3735705"/>
            <wp:effectExtent l="9525" t="9525" r="23495" b="26670"/>
            <wp:docPr id="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6"/>
                    <pic:cNvPicPr>
                      <a:picLocks noChangeAspect="1"/>
                    </pic:cNvPicPr>
                  </pic:nvPicPr>
                  <pic:blipFill>
                    <a:blip r:embed="rId92"/>
                    <a:stretch>
                      <a:fillRect/>
                    </a:stretch>
                  </pic:blipFill>
                  <pic:spPr>
                    <a:xfrm>
                      <a:off x="0" y="0"/>
                      <a:ext cx="5053330" cy="3735705"/>
                    </a:xfrm>
                    <a:prstGeom prst="rect">
                      <a:avLst/>
                    </a:prstGeom>
                    <a:noFill/>
                    <a:ln>
                      <a:solidFill>
                        <a:schemeClr val="tx1"/>
                      </a:solidFill>
                    </a:ln>
                  </pic:spPr>
                </pic:pic>
              </a:graphicData>
            </a:graphic>
          </wp:inline>
        </w:drawing>
      </w:r>
    </w:p>
    <w:p w14:paraId="6089C2DB">
      <w:pPr>
        <w:numPr>
          <w:ilvl w:val="0"/>
          <w:numId w:val="3"/>
        </w:numPr>
        <w:ind w:firstLine="0" w:firstLineChars="0"/>
        <w:rPr>
          <w:b/>
          <w:bCs/>
        </w:rPr>
      </w:pPr>
      <w:r>
        <w:rPr>
          <w:rFonts w:hint="eastAsia"/>
          <w:b/>
          <w:bCs/>
        </w:rPr>
        <w:t>组织人事办意见</w:t>
      </w:r>
    </w:p>
    <w:p w14:paraId="6B196574">
      <w:pPr>
        <w:ind w:firstLine="0" w:firstLineChars="0"/>
        <w:jc w:val="center"/>
        <w:rPr>
          <w:b/>
          <w:bCs/>
        </w:rPr>
      </w:pPr>
      <w:r>
        <w:rPr>
          <w:rFonts w:hint="eastAsia"/>
        </w:rPr>
        <w:t xml:space="preserve"> </w:t>
      </w:r>
      <w:r>
        <w:drawing>
          <wp:inline distT="0" distB="0" distL="114300" distR="114300">
            <wp:extent cx="5039995" cy="4013200"/>
            <wp:effectExtent l="9525" t="9525" r="17780" b="15875"/>
            <wp:docPr id="4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7"/>
                    <pic:cNvPicPr>
                      <a:picLocks noChangeAspect="1"/>
                    </pic:cNvPicPr>
                  </pic:nvPicPr>
                  <pic:blipFill>
                    <a:blip r:embed="rId93"/>
                    <a:stretch>
                      <a:fillRect/>
                    </a:stretch>
                  </pic:blipFill>
                  <pic:spPr>
                    <a:xfrm>
                      <a:off x="0" y="0"/>
                      <a:ext cx="5039995" cy="4013200"/>
                    </a:xfrm>
                    <a:prstGeom prst="rect">
                      <a:avLst/>
                    </a:prstGeom>
                    <a:noFill/>
                    <a:ln>
                      <a:solidFill>
                        <a:schemeClr val="tx1"/>
                      </a:solidFill>
                    </a:ln>
                  </pic:spPr>
                </pic:pic>
              </a:graphicData>
            </a:graphic>
          </wp:inline>
        </w:drawing>
      </w:r>
    </w:p>
    <w:p w14:paraId="1B0E9612">
      <w:pPr>
        <w:numPr>
          <w:ilvl w:val="0"/>
          <w:numId w:val="3"/>
        </w:numPr>
        <w:ind w:firstLine="0" w:firstLineChars="0"/>
        <w:rPr>
          <w:b/>
          <w:bCs/>
        </w:rPr>
      </w:pPr>
      <w:r>
        <w:rPr>
          <w:rFonts w:hint="eastAsia"/>
          <w:b/>
          <w:bCs/>
        </w:rPr>
        <w:t>农社局意见</w:t>
      </w:r>
    </w:p>
    <w:p w14:paraId="331EDBA2">
      <w:pPr>
        <w:ind w:firstLine="0" w:firstLineChars="0"/>
        <w:jc w:val="center"/>
        <w:rPr>
          <w:b/>
          <w:bCs/>
        </w:rPr>
      </w:pPr>
      <w:r>
        <w:drawing>
          <wp:inline distT="0" distB="0" distL="114300" distR="114300">
            <wp:extent cx="5283200" cy="3605530"/>
            <wp:effectExtent l="9525" t="9525" r="22225" b="23495"/>
            <wp:docPr id="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
                    <pic:cNvPicPr>
                      <a:picLocks noChangeAspect="1"/>
                    </pic:cNvPicPr>
                  </pic:nvPicPr>
                  <pic:blipFill>
                    <a:blip r:embed="rId94"/>
                    <a:stretch>
                      <a:fillRect/>
                    </a:stretch>
                  </pic:blipFill>
                  <pic:spPr>
                    <a:xfrm>
                      <a:off x="0" y="0"/>
                      <a:ext cx="5283200" cy="3605530"/>
                    </a:xfrm>
                    <a:prstGeom prst="rect">
                      <a:avLst/>
                    </a:prstGeom>
                    <a:noFill/>
                    <a:ln>
                      <a:solidFill>
                        <a:schemeClr val="tx1"/>
                      </a:solidFill>
                    </a:ln>
                  </pic:spPr>
                </pic:pic>
              </a:graphicData>
            </a:graphic>
          </wp:inline>
        </w:drawing>
      </w:r>
    </w:p>
    <w:p w14:paraId="16BE9C9D">
      <w:pPr>
        <w:numPr>
          <w:ilvl w:val="0"/>
          <w:numId w:val="3"/>
        </w:numPr>
        <w:ind w:firstLine="0" w:firstLineChars="0"/>
        <w:rPr>
          <w:b/>
          <w:bCs/>
        </w:rPr>
      </w:pPr>
      <w:r>
        <w:rPr>
          <w:rFonts w:hint="eastAsia"/>
          <w:b/>
          <w:bCs/>
        </w:rPr>
        <w:t>综合行政执法局意见</w:t>
      </w:r>
    </w:p>
    <w:p w14:paraId="556503A8">
      <w:pPr>
        <w:ind w:firstLine="0" w:firstLineChars="0"/>
      </w:pPr>
      <w:r>
        <w:drawing>
          <wp:inline distT="0" distB="0" distL="114300" distR="114300">
            <wp:extent cx="5277485" cy="3382645"/>
            <wp:effectExtent l="9525" t="9525" r="27940" b="17780"/>
            <wp:docPr id="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9"/>
                    <pic:cNvPicPr>
                      <a:picLocks noChangeAspect="1"/>
                    </pic:cNvPicPr>
                  </pic:nvPicPr>
                  <pic:blipFill>
                    <a:blip r:embed="rId95"/>
                    <a:stretch>
                      <a:fillRect/>
                    </a:stretch>
                  </pic:blipFill>
                  <pic:spPr>
                    <a:xfrm>
                      <a:off x="0" y="0"/>
                      <a:ext cx="5277485" cy="3382645"/>
                    </a:xfrm>
                    <a:prstGeom prst="rect">
                      <a:avLst/>
                    </a:prstGeom>
                    <a:noFill/>
                    <a:ln>
                      <a:solidFill>
                        <a:schemeClr val="tx1"/>
                      </a:solidFill>
                    </a:ln>
                  </pic:spPr>
                </pic:pic>
              </a:graphicData>
            </a:graphic>
          </wp:inline>
        </w:drawing>
      </w:r>
    </w:p>
    <w:p w14:paraId="11A0B301">
      <w:pPr>
        <w:ind w:firstLine="0" w:firstLineChars="0"/>
      </w:pPr>
    </w:p>
    <w:p w14:paraId="75AF7C07">
      <w:pPr>
        <w:ind w:firstLine="0" w:firstLineChars="0"/>
      </w:pPr>
    </w:p>
    <w:p w14:paraId="314BC3BF">
      <w:pPr>
        <w:ind w:firstLine="0" w:firstLineChars="0"/>
      </w:pPr>
    </w:p>
    <w:p w14:paraId="2055F2BC">
      <w:pPr>
        <w:numPr>
          <w:ilvl w:val="0"/>
          <w:numId w:val="3"/>
        </w:numPr>
        <w:ind w:firstLine="0" w:firstLineChars="0"/>
        <w:rPr>
          <w:b/>
          <w:bCs/>
        </w:rPr>
      </w:pPr>
      <w:r>
        <w:rPr>
          <w:rFonts w:hint="eastAsia"/>
          <w:b/>
          <w:bCs/>
        </w:rPr>
        <w:t>人社分局意见</w:t>
      </w:r>
    </w:p>
    <w:p w14:paraId="18229CA0">
      <w:pPr>
        <w:ind w:firstLine="0" w:firstLineChars="0"/>
        <w:jc w:val="center"/>
        <w:rPr>
          <w:b/>
          <w:bCs/>
        </w:rPr>
      </w:pPr>
      <w:r>
        <w:rPr>
          <w:rFonts w:hint="eastAsia"/>
          <w:b/>
          <w:bCs/>
        </w:rPr>
        <w:drawing>
          <wp:inline distT="0" distB="0" distL="114300" distR="114300">
            <wp:extent cx="3930015" cy="4093210"/>
            <wp:effectExtent l="9525" t="9525" r="22860" b="12065"/>
            <wp:docPr id="46" name="图片 46" descr="人社-关于《+中山市西区水生态文明建设规划（2019-2030年）（初稿）》征求意见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人社-关于《+中山市西区水生态文明建设规划（2019-2030年）（初稿）》征求意见的回复"/>
                    <pic:cNvPicPr>
                      <a:picLocks noChangeAspect="1"/>
                    </pic:cNvPicPr>
                  </pic:nvPicPr>
                  <pic:blipFill>
                    <a:blip r:embed="rId96"/>
                    <a:srcRect t="6513" b="17754"/>
                    <a:stretch>
                      <a:fillRect/>
                    </a:stretch>
                  </pic:blipFill>
                  <pic:spPr>
                    <a:xfrm>
                      <a:off x="0" y="0"/>
                      <a:ext cx="3930015" cy="4093210"/>
                    </a:xfrm>
                    <a:prstGeom prst="rect">
                      <a:avLst/>
                    </a:prstGeom>
                    <a:ln>
                      <a:solidFill>
                        <a:schemeClr val="tx1"/>
                      </a:solidFill>
                    </a:ln>
                  </pic:spPr>
                </pic:pic>
              </a:graphicData>
            </a:graphic>
          </wp:inline>
        </w:drawing>
      </w:r>
    </w:p>
    <w:p w14:paraId="7E4A84A7">
      <w:pPr>
        <w:numPr>
          <w:ilvl w:val="0"/>
          <w:numId w:val="3"/>
        </w:numPr>
        <w:ind w:firstLine="0" w:firstLineChars="0"/>
        <w:rPr>
          <w:b/>
          <w:bCs/>
        </w:rPr>
      </w:pPr>
      <w:r>
        <w:rPr>
          <w:rFonts w:hint="eastAsia"/>
          <w:b/>
          <w:bCs/>
        </w:rPr>
        <w:t>社会事务局意见</w:t>
      </w:r>
    </w:p>
    <w:p w14:paraId="180C2CE5">
      <w:pPr>
        <w:ind w:firstLine="0" w:firstLineChars="0"/>
        <w:jc w:val="center"/>
        <w:rPr>
          <w:b/>
          <w:bCs/>
        </w:rPr>
      </w:pPr>
      <w:r>
        <w:drawing>
          <wp:inline distT="0" distB="0" distL="114300" distR="114300">
            <wp:extent cx="3941445" cy="3862705"/>
            <wp:effectExtent l="9525" t="9525" r="11430" b="13970"/>
            <wp:docPr id="4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0"/>
                    <pic:cNvPicPr>
                      <a:picLocks noChangeAspect="1"/>
                    </pic:cNvPicPr>
                  </pic:nvPicPr>
                  <pic:blipFill>
                    <a:blip r:embed="rId97"/>
                    <a:stretch>
                      <a:fillRect/>
                    </a:stretch>
                  </pic:blipFill>
                  <pic:spPr>
                    <a:xfrm>
                      <a:off x="0" y="0"/>
                      <a:ext cx="3941445" cy="3862705"/>
                    </a:xfrm>
                    <a:prstGeom prst="rect">
                      <a:avLst/>
                    </a:prstGeom>
                    <a:noFill/>
                    <a:ln>
                      <a:solidFill>
                        <a:schemeClr val="tx1"/>
                      </a:solidFill>
                    </a:ln>
                  </pic:spPr>
                </pic:pic>
              </a:graphicData>
            </a:graphic>
          </wp:inline>
        </w:drawing>
      </w:r>
    </w:p>
    <w:p w14:paraId="7ED05EAD">
      <w:pPr>
        <w:numPr>
          <w:ilvl w:val="0"/>
          <w:numId w:val="3"/>
        </w:numPr>
        <w:ind w:firstLine="0" w:firstLineChars="0"/>
        <w:rPr>
          <w:b/>
          <w:bCs/>
        </w:rPr>
      </w:pPr>
      <w:r>
        <w:rPr>
          <w:rFonts w:hint="eastAsia"/>
          <w:b/>
          <w:bCs/>
        </w:rPr>
        <w:t>卫计局意见</w:t>
      </w:r>
    </w:p>
    <w:p w14:paraId="715467E0">
      <w:pPr>
        <w:ind w:firstLine="0" w:firstLineChars="0"/>
        <w:jc w:val="center"/>
        <w:rPr>
          <w:b/>
          <w:bCs/>
        </w:rPr>
      </w:pPr>
      <w:r>
        <w:drawing>
          <wp:inline distT="0" distB="0" distL="114300" distR="114300">
            <wp:extent cx="4108450" cy="4117975"/>
            <wp:effectExtent l="9525" t="9525" r="15875" b="25400"/>
            <wp:docPr id="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1"/>
                    <pic:cNvPicPr>
                      <a:picLocks noChangeAspect="1"/>
                    </pic:cNvPicPr>
                  </pic:nvPicPr>
                  <pic:blipFill>
                    <a:blip r:embed="rId98"/>
                    <a:stretch>
                      <a:fillRect/>
                    </a:stretch>
                  </pic:blipFill>
                  <pic:spPr>
                    <a:xfrm>
                      <a:off x="0" y="0"/>
                      <a:ext cx="4108450" cy="4117975"/>
                    </a:xfrm>
                    <a:prstGeom prst="rect">
                      <a:avLst/>
                    </a:prstGeom>
                    <a:noFill/>
                    <a:ln>
                      <a:solidFill>
                        <a:schemeClr val="tx1"/>
                      </a:solidFill>
                    </a:ln>
                  </pic:spPr>
                </pic:pic>
              </a:graphicData>
            </a:graphic>
          </wp:inline>
        </w:drawing>
      </w:r>
    </w:p>
    <w:p w14:paraId="39558E5A">
      <w:pPr>
        <w:numPr>
          <w:ilvl w:val="0"/>
          <w:numId w:val="3"/>
        </w:numPr>
        <w:ind w:firstLine="0" w:firstLineChars="0"/>
        <w:rPr>
          <w:b/>
          <w:bCs/>
        </w:rPr>
      </w:pPr>
      <w:r>
        <w:rPr>
          <w:rFonts w:hint="eastAsia"/>
          <w:b/>
          <w:bCs/>
        </w:rPr>
        <w:t>文体教育局意见</w:t>
      </w:r>
    </w:p>
    <w:p w14:paraId="5321DFF7">
      <w:pPr>
        <w:ind w:firstLine="0" w:firstLineChars="0"/>
        <w:jc w:val="center"/>
        <w:rPr>
          <w:b/>
          <w:bCs/>
        </w:rPr>
      </w:pPr>
      <w:r>
        <w:drawing>
          <wp:inline distT="0" distB="0" distL="114300" distR="114300">
            <wp:extent cx="4291965" cy="3663315"/>
            <wp:effectExtent l="9525" t="9525" r="22860" b="22860"/>
            <wp:docPr id="4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2"/>
                    <pic:cNvPicPr>
                      <a:picLocks noChangeAspect="1"/>
                    </pic:cNvPicPr>
                  </pic:nvPicPr>
                  <pic:blipFill>
                    <a:blip r:embed="rId99"/>
                    <a:stretch>
                      <a:fillRect/>
                    </a:stretch>
                  </pic:blipFill>
                  <pic:spPr>
                    <a:xfrm>
                      <a:off x="0" y="0"/>
                      <a:ext cx="4291965" cy="3663315"/>
                    </a:xfrm>
                    <a:prstGeom prst="rect">
                      <a:avLst/>
                    </a:prstGeom>
                    <a:noFill/>
                    <a:ln>
                      <a:solidFill>
                        <a:schemeClr val="tx1"/>
                      </a:solidFill>
                    </a:ln>
                  </pic:spPr>
                </pic:pic>
              </a:graphicData>
            </a:graphic>
          </wp:inline>
        </w:drawing>
      </w:r>
    </w:p>
    <w:p w14:paraId="6B36313C">
      <w:pPr>
        <w:numPr>
          <w:ilvl w:val="0"/>
          <w:numId w:val="3"/>
        </w:numPr>
        <w:ind w:firstLine="0" w:firstLineChars="0"/>
        <w:rPr>
          <w:b/>
          <w:bCs/>
        </w:rPr>
      </w:pPr>
      <w:r>
        <w:rPr>
          <w:rFonts w:hint="eastAsia"/>
          <w:b/>
          <w:bCs/>
        </w:rPr>
        <w:t>发改局意见</w:t>
      </w:r>
    </w:p>
    <w:p w14:paraId="6A4EBAF7">
      <w:pPr>
        <w:ind w:firstLine="0" w:firstLineChars="0"/>
        <w:jc w:val="center"/>
        <w:rPr>
          <w:b/>
          <w:bCs/>
        </w:rPr>
      </w:pPr>
      <w:r>
        <w:drawing>
          <wp:inline distT="0" distB="0" distL="114300" distR="114300">
            <wp:extent cx="4488180" cy="4032250"/>
            <wp:effectExtent l="9525" t="9525" r="17145" b="15875"/>
            <wp:docPr id="5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3"/>
                    <pic:cNvPicPr>
                      <a:picLocks noChangeAspect="1"/>
                    </pic:cNvPicPr>
                  </pic:nvPicPr>
                  <pic:blipFill>
                    <a:blip r:embed="rId100"/>
                    <a:stretch>
                      <a:fillRect/>
                    </a:stretch>
                  </pic:blipFill>
                  <pic:spPr>
                    <a:xfrm>
                      <a:off x="0" y="0"/>
                      <a:ext cx="4488180" cy="4032250"/>
                    </a:xfrm>
                    <a:prstGeom prst="rect">
                      <a:avLst/>
                    </a:prstGeom>
                    <a:noFill/>
                    <a:ln>
                      <a:solidFill>
                        <a:schemeClr val="tx1"/>
                      </a:solidFill>
                    </a:ln>
                  </pic:spPr>
                </pic:pic>
              </a:graphicData>
            </a:graphic>
          </wp:inline>
        </w:drawing>
      </w:r>
    </w:p>
    <w:p w14:paraId="31B1B962">
      <w:pPr>
        <w:numPr>
          <w:ilvl w:val="0"/>
          <w:numId w:val="3"/>
        </w:numPr>
        <w:ind w:firstLine="0" w:firstLineChars="0"/>
        <w:rPr>
          <w:b/>
          <w:bCs/>
        </w:rPr>
      </w:pPr>
      <w:r>
        <w:rPr>
          <w:rFonts w:hint="eastAsia"/>
          <w:b/>
          <w:bCs/>
        </w:rPr>
        <w:t>市场监管分局意见</w:t>
      </w:r>
    </w:p>
    <w:p w14:paraId="10B357C6">
      <w:pPr>
        <w:ind w:firstLine="0" w:firstLineChars="0"/>
        <w:jc w:val="center"/>
        <w:rPr>
          <w:b/>
          <w:bCs/>
        </w:rPr>
      </w:pPr>
      <w:r>
        <w:drawing>
          <wp:inline distT="0" distB="0" distL="114300" distR="114300">
            <wp:extent cx="4550410" cy="3856355"/>
            <wp:effectExtent l="9525" t="9525" r="12065" b="20320"/>
            <wp:docPr id="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4"/>
                    <pic:cNvPicPr>
                      <a:picLocks noChangeAspect="1"/>
                    </pic:cNvPicPr>
                  </pic:nvPicPr>
                  <pic:blipFill>
                    <a:blip r:embed="rId101"/>
                    <a:stretch>
                      <a:fillRect/>
                    </a:stretch>
                  </pic:blipFill>
                  <pic:spPr>
                    <a:xfrm>
                      <a:off x="0" y="0"/>
                      <a:ext cx="4550410" cy="3856355"/>
                    </a:xfrm>
                    <a:prstGeom prst="rect">
                      <a:avLst/>
                    </a:prstGeom>
                    <a:noFill/>
                    <a:ln>
                      <a:solidFill>
                        <a:schemeClr val="tx1"/>
                      </a:solidFill>
                    </a:ln>
                  </pic:spPr>
                </pic:pic>
              </a:graphicData>
            </a:graphic>
          </wp:inline>
        </w:drawing>
      </w:r>
    </w:p>
    <w:p w14:paraId="703FD023">
      <w:pPr>
        <w:numPr>
          <w:ilvl w:val="0"/>
          <w:numId w:val="3"/>
        </w:numPr>
        <w:ind w:firstLine="0" w:firstLineChars="0"/>
        <w:rPr>
          <w:b/>
          <w:bCs/>
        </w:rPr>
      </w:pPr>
      <w:r>
        <w:rPr>
          <w:rFonts w:hint="eastAsia"/>
          <w:b/>
          <w:bCs/>
        </w:rPr>
        <w:t>政务办意见</w:t>
      </w:r>
    </w:p>
    <w:p w14:paraId="1B567158">
      <w:pPr>
        <w:ind w:firstLine="0" w:firstLineChars="0"/>
        <w:jc w:val="center"/>
        <w:rPr>
          <w:b/>
          <w:bCs/>
        </w:rPr>
      </w:pPr>
      <w:r>
        <w:rPr>
          <w:rFonts w:hint="eastAsia"/>
          <w:b/>
          <w:bCs/>
        </w:rPr>
        <w:drawing>
          <wp:inline distT="0" distB="0" distL="114300" distR="114300">
            <wp:extent cx="5279390" cy="4072255"/>
            <wp:effectExtent l="9525" t="9525" r="26035" b="13970"/>
            <wp:docPr id="53" name="图片 53" descr="政务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政务办"/>
                    <pic:cNvPicPr>
                      <a:picLocks noChangeAspect="1"/>
                    </pic:cNvPicPr>
                  </pic:nvPicPr>
                  <pic:blipFill>
                    <a:blip r:embed="rId102"/>
                    <a:srcRect b="42155"/>
                    <a:stretch>
                      <a:fillRect/>
                    </a:stretch>
                  </pic:blipFill>
                  <pic:spPr>
                    <a:xfrm>
                      <a:off x="0" y="0"/>
                      <a:ext cx="5279390" cy="4072255"/>
                    </a:xfrm>
                    <a:prstGeom prst="rect">
                      <a:avLst/>
                    </a:prstGeom>
                    <a:ln>
                      <a:solidFill>
                        <a:schemeClr val="tx1"/>
                      </a:solidFill>
                    </a:ln>
                  </pic:spPr>
                </pic:pic>
              </a:graphicData>
            </a:graphic>
          </wp:inline>
        </w:drawing>
      </w:r>
    </w:p>
    <w:p w14:paraId="734D19E8">
      <w:pPr>
        <w:numPr>
          <w:ilvl w:val="0"/>
          <w:numId w:val="3"/>
        </w:numPr>
        <w:ind w:firstLine="0" w:firstLineChars="0"/>
        <w:rPr>
          <w:b/>
          <w:bCs/>
        </w:rPr>
      </w:pPr>
      <w:r>
        <w:rPr>
          <w:rFonts w:hint="eastAsia"/>
          <w:b/>
          <w:bCs/>
        </w:rPr>
        <w:t>审计办意见</w:t>
      </w:r>
    </w:p>
    <w:p w14:paraId="72F8A6EC">
      <w:pPr>
        <w:ind w:firstLine="0" w:firstLineChars="0"/>
        <w:jc w:val="center"/>
      </w:pPr>
      <w:r>
        <w:drawing>
          <wp:inline distT="0" distB="0" distL="114300" distR="114300">
            <wp:extent cx="5295900" cy="3592195"/>
            <wp:effectExtent l="9525" t="9525" r="9525" b="17780"/>
            <wp:docPr id="5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5"/>
                    <pic:cNvPicPr>
                      <a:picLocks noChangeAspect="1"/>
                    </pic:cNvPicPr>
                  </pic:nvPicPr>
                  <pic:blipFill>
                    <a:blip r:embed="rId103"/>
                    <a:stretch>
                      <a:fillRect/>
                    </a:stretch>
                  </pic:blipFill>
                  <pic:spPr>
                    <a:xfrm>
                      <a:off x="0" y="0"/>
                      <a:ext cx="5295900" cy="3592195"/>
                    </a:xfrm>
                    <a:prstGeom prst="rect">
                      <a:avLst/>
                    </a:prstGeom>
                    <a:noFill/>
                    <a:ln>
                      <a:solidFill>
                        <a:schemeClr val="tx1"/>
                      </a:solidFill>
                    </a:ln>
                  </pic:spPr>
                </pic:pic>
              </a:graphicData>
            </a:graphic>
          </wp:inline>
        </w:drawing>
      </w:r>
    </w:p>
    <w:p w14:paraId="332C8083">
      <w:pPr>
        <w:ind w:firstLine="0" w:firstLineChars="0"/>
        <w:jc w:val="center"/>
      </w:pPr>
    </w:p>
    <w:p w14:paraId="14C2CFB1">
      <w:pPr>
        <w:numPr>
          <w:ilvl w:val="0"/>
          <w:numId w:val="3"/>
        </w:numPr>
        <w:ind w:firstLine="0" w:firstLineChars="0"/>
        <w:rPr>
          <w:b/>
          <w:bCs/>
        </w:rPr>
      </w:pPr>
      <w:r>
        <w:rPr>
          <w:rFonts w:hint="eastAsia"/>
          <w:b/>
          <w:bCs/>
        </w:rPr>
        <w:t>经济发展总公司意见</w:t>
      </w:r>
    </w:p>
    <w:p w14:paraId="7120852C">
      <w:pPr>
        <w:ind w:firstLine="0" w:firstLineChars="0"/>
        <w:rPr>
          <w:b/>
          <w:bCs/>
        </w:rPr>
      </w:pPr>
      <w:r>
        <w:rPr>
          <w:rFonts w:hint="eastAsia"/>
          <w:b/>
          <w:bCs/>
        </w:rPr>
        <w:drawing>
          <wp:inline distT="0" distB="0" distL="114300" distR="114300">
            <wp:extent cx="5325110" cy="3290570"/>
            <wp:effectExtent l="9525" t="9525" r="18415" b="14605"/>
            <wp:docPr id="55" name="图片 55" descr="总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总公司"/>
                    <pic:cNvPicPr>
                      <a:picLocks noChangeAspect="1"/>
                    </pic:cNvPicPr>
                  </pic:nvPicPr>
                  <pic:blipFill>
                    <a:blip r:embed="rId104"/>
                    <a:srcRect t="10514" b="43140"/>
                    <a:stretch>
                      <a:fillRect/>
                    </a:stretch>
                  </pic:blipFill>
                  <pic:spPr>
                    <a:xfrm>
                      <a:off x="0" y="0"/>
                      <a:ext cx="5325110" cy="3290570"/>
                    </a:xfrm>
                    <a:prstGeom prst="rect">
                      <a:avLst/>
                    </a:prstGeom>
                    <a:ln>
                      <a:solidFill>
                        <a:schemeClr val="tx1"/>
                      </a:solidFill>
                    </a:ln>
                  </pic:spPr>
                </pic:pic>
              </a:graphicData>
            </a:graphic>
          </wp:inline>
        </w:drawing>
      </w:r>
    </w:p>
    <w:p w14:paraId="7C164304">
      <w:pPr>
        <w:numPr>
          <w:ilvl w:val="0"/>
          <w:numId w:val="3"/>
        </w:numPr>
        <w:ind w:firstLine="0" w:firstLineChars="0"/>
        <w:rPr>
          <w:b/>
          <w:bCs/>
        </w:rPr>
      </w:pPr>
      <w:r>
        <w:rPr>
          <w:rFonts w:hint="eastAsia"/>
          <w:b/>
          <w:bCs/>
        </w:rPr>
        <w:t>财政分局意见</w:t>
      </w:r>
    </w:p>
    <w:p w14:paraId="7FD4AFD4">
      <w:pPr>
        <w:ind w:firstLine="0" w:firstLineChars="0"/>
        <w:jc w:val="center"/>
        <w:rPr>
          <w:b/>
          <w:bCs/>
        </w:rPr>
      </w:pPr>
      <w:r>
        <w:drawing>
          <wp:inline distT="0" distB="0" distL="114300" distR="114300">
            <wp:extent cx="5370195" cy="4343400"/>
            <wp:effectExtent l="9525" t="9525" r="11430" b="9525"/>
            <wp:docPr id="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6"/>
                    <pic:cNvPicPr>
                      <a:picLocks noChangeAspect="1"/>
                    </pic:cNvPicPr>
                  </pic:nvPicPr>
                  <pic:blipFill>
                    <a:blip r:embed="rId105"/>
                    <a:stretch>
                      <a:fillRect/>
                    </a:stretch>
                  </pic:blipFill>
                  <pic:spPr>
                    <a:xfrm>
                      <a:off x="0" y="0"/>
                      <a:ext cx="5370195" cy="4343400"/>
                    </a:xfrm>
                    <a:prstGeom prst="rect">
                      <a:avLst/>
                    </a:prstGeom>
                    <a:noFill/>
                    <a:ln>
                      <a:solidFill>
                        <a:schemeClr val="tx1"/>
                      </a:solidFill>
                    </a:ln>
                  </pic:spPr>
                </pic:pic>
              </a:graphicData>
            </a:graphic>
          </wp:inline>
        </w:drawing>
      </w:r>
    </w:p>
    <w:p w14:paraId="1DC39BB1">
      <w:pPr>
        <w:numPr>
          <w:ilvl w:val="0"/>
          <w:numId w:val="3"/>
        </w:numPr>
        <w:ind w:firstLine="0" w:firstLineChars="0"/>
        <w:rPr>
          <w:b/>
          <w:bCs/>
        </w:rPr>
      </w:pPr>
      <w:r>
        <w:rPr>
          <w:rFonts w:hint="eastAsia"/>
          <w:b/>
          <w:bCs/>
        </w:rPr>
        <w:t>统侨办意见</w:t>
      </w:r>
    </w:p>
    <w:p w14:paraId="4448E060">
      <w:pPr>
        <w:ind w:firstLine="0" w:firstLineChars="0"/>
        <w:jc w:val="center"/>
        <w:rPr>
          <w:b/>
          <w:bCs/>
        </w:rPr>
      </w:pPr>
      <w:r>
        <w:drawing>
          <wp:inline distT="0" distB="0" distL="114300" distR="114300">
            <wp:extent cx="4962525" cy="4285615"/>
            <wp:effectExtent l="9525" t="9525" r="19050" b="10160"/>
            <wp:docPr id="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7"/>
                    <pic:cNvPicPr>
                      <a:picLocks noChangeAspect="1"/>
                    </pic:cNvPicPr>
                  </pic:nvPicPr>
                  <pic:blipFill>
                    <a:blip r:embed="rId106"/>
                    <a:stretch>
                      <a:fillRect/>
                    </a:stretch>
                  </pic:blipFill>
                  <pic:spPr>
                    <a:xfrm>
                      <a:off x="0" y="0"/>
                      <a:ext cx="4962525" cy="4285615"/>
                    </a:xfrm>
                    <a:prstGeom prst="rect">
                      <a:avLst/>
                    </a:prstGeom>
                    <a:noFill/>
                    <a:ln>
                      <a:solidFill>
                        <a:schemeClr val="tx1"/>
                      </a:solidFill>
                    </a:ln>
                  </pic:spPr>
                </pic:pic>
              </a:graphicData>
            </a:graphic>
          </wp:inline>
        </w:drawing>
      </w:r>
    </w:p>
    <w:p w14:paraId="0E15C62D">
      <w:pPr>
        <w:numPr>
          <w:ilvl w:val="0"/>
          <w:numId w:val="3"/>
        </w:numPr>
        <w:ind w:firstLine="0" w:firstLineChars="0"/>
        <w:rPr>
          <w:b/>
          <w:bCs/>
        </w:rPr>
      </w:pPr>
      <w:r>
        <w:rPr>
          <w:rFonts w:hint="eastAsia"/>
          <w:b/>
          <w:bCs/>
        </w:rPr>
        <w:t>团工委意见</w:t>
      </w:r>
    </w:p>
    <w:p w14:paraId="2669CE75">
      <w:pPr>
        <w:ind w:firstLine="0" w:firstLineChars="0"/>
        <w:jc w:val="center"/>
        <w:rPr>
          <w:b/>
          <w:bCs/>
        </w:rPr>
      </w:pPr>
      <w:r>
        <w:drawing>
          <wp:inline distT="0" distB="0" distL="114300" distR="114300">
            <wp:extent cx="5016500" cy="3505835"/>
            <wp:effectExtent l="9525" t="9525" r="22225" b="27940"/>
            <wp:docPr id="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8"/>
                    <pic:cNvPicPr>
                      <a:picLocks noChangeAspect="1"/>
                    </pic:cNvPicPr>
                  </pic:nvPicPr>
                  <pic:blipFill>
                    <a:blip r:embed="rId107"/>
                    <a:stretch>
                      <a:fillRect/>
                    </a:stretch>
                  </pic:blipFill>
                  <pic:spPr>
                    <a:xfrm>
                      <a:off x="0" y="0"/>
                      <a:ext cx="5016500" cy="3505835"/>
                    </a:xfrm>
                    <a:prstGeom prst="rect">
                      <a:avLst/>
                    </a:prstGeom>
                    <a:noFill/>
                    <a:ln>
                      <a:solidFill>
                        <a:schemeClr val="tx1"/>
                      </a:solidFill>
                    </a:ln>
                  </pic:spPr>
                </pic:pic>
              </a:graphicData>
            </a:graphic>
          </wp:inline>
        </w:drawing>
      </w:r>
    </w:p>
    <w:p w14:paraId="47358134">
      <w:pPr>
        <w:numPr>
          <w:ilvl w:val="0"/>
          <w:numId w:val="3"/>
        </w:numPr>
        <w:ind w:firstLine="0" w:firstLineChars="0"/>
        <w:rPr>
          <w:b/>
          <w:bCs/>
        </w:rPr>
      </w:pPr>
      <w:r>
        <w:rPr>
          <w:rFonts w:hint="eastAsia"/>
          <w:b/>
          <w:bCs/>
        </w:rPr>
        <w:t>妇联意见</w:t>
      </w:r>
    </w:p>
    <w:p w14:paraId="4982F0E4">
      <w:pPr>
        <w:ind w:firstLine="0" w:firstLineChars="0"/>
        <w:rPr>
          <w:b/>
          <w:bCs/>
        </w:rPr>
      </w:pPr>
      <w:r>
        <w:drawing>
          <wp:inline distT="0" distB="0" distL="114300" distR="114300">
            <wp:extent cx="5105400" cy="3667760"/>
            <wp:effectExtent l="9525" t="9525" r="9525" b="18415"/>
            <wp:docPr id="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9"/>
                    <pic:cNvPicPr>
                      <a:picLocks noChangeAspect="1"/>
                    </pic:cNvPicPr>
                  </pic:nvPicPr>
                  <pic:blipFill>
                    <a:blip r:embed="rId108"/>
                    <a:stretch>
                      <a:fillRect/>
                    </a:stretch>
                  </pic:blipFill>
                  <pic:spPr>
                    <a:xfrm>
                      <a:off x="0" y="0"/>
                      <a:ext cx="5105400" cy="3667760"/>
                    </a:xfrm>
                    <a:prstGeom prst="rect">
                      <a:avLst/>
                    </a:prstGeom>
                    <a:noFill/>
                    <a:ln>
                      <a:solidFill>
                        <a:schemeClr val="tx1"/>
                      </a:solidFill>
                    </a:ln>
                  </pic:spPr>
                </pic:pic>
              </a:graphicData>
            </a:graphic>
          </wp:inline>
        </w:drawing>
      </w:r>
    </w:p>
    <w:p w14:paraId="091251CD">
      <w:pPr>
        <w:numPr>
          <w:ilvl w:val="0"/>
          <w:numId w:val="3"/>
        </w:numPr>
        <w:ind w:firstLine="0" w:firstLineChars="0"/>
        <w:rPr>
          <w:b/>
          <w:bCs/>
        </w:rPr>
      </w:pPr>
      <w:r>
        <w:rPr>
          <w:rFonts w:hint="eastAsia"/>
          <w:b/>
          <w:bCs/>
        </w:rPr>
        <w:t>交警西区中队意见</w:t>
      </w:r>
    </w:p>
    <w:p w14:paraId="4DF7B89D">
      <w:pPr>
        <w:ind w:firstLine="0" w:firstLineChars="0"/>
        <w:rPr>
          <w:b/>
          <w:bCs/>
        </w:rPr>
      </w:pPr>
      <w:r>
        <w:drawing>
          <wp:inline distT="0" distB="0" distL="114300" distR="114300">
            <wp:extent cx="5201285" cy="4142740"/>
            <wp:effectExtent l="9525" t="9525" r="27940" b="19685"/>
            <wp:docPr id="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0"/>
                    <pic:cNvPicPr>
                      <a:picLocks noChangeAspect="1"/>
                    </pic:cNvPicPr>
                  </pic:nvPicPr>
                  <pic:blipFill>
                    <a:blip r:embed="rId109"/>
                    <a:stretch>
                      <a:fillRect/>
                    </a:stretch>
                  </pic:blipFill>
                  <pic:spPr>
                    <a:xfrm>
                      <a:off x="0" y="0"/>
                      <a:ext cx="5201285" cy="4142740"/>
                    </a:xfrm>
                    <a:prstGeom prst="rect">
                      <a:avLst/>
                    </a:prstGeom>
                    <a:noFill/>
                    <a:ln>
                      <a:solidFill>
                        <a:schemeClr val="tx1"/>
                      </a:solidFill>
                    </a:ln>
                  </pic:spPr>
                </pic:pic>
              </a:graphicData>
            </a:graphic>
          </wp:inline>
        </w:drawing>
      </w:r>
    </w:p>
    <w:p w14:paraId="7D72F8E7">
      <w:pPr>
        <w:numPr>
          <w:ilvl w:val="0"/>
          <w:numId w:val="3"/>
        </w:numPr>
        <w:ind w:firstLine="0" w:firstLineChars="0"/>
        <w:rPr>
          <w:b/>
          <w:bCs/>
        </w:rPr>
      </w:pPr>
      <w:r>
        <w:rPr>
          <w:rFonts w:hint="eastAsia"/>
          <w:b/>
          <w:bCs/>
        </w:rPr>
        <w:t>交通运输分局意见</w:t>
      </w:r>
    </w:p>
    <w:p w14:paraId="5979FBD9">
      <w:pPr>
        <w:ind w:firstLine="0" w:firstLineChars="0"/>
        <w:jc w:val="center"/>
        <w:rPr>
          <w:b/>
          <w:bCs/>
        </w:rPr>
      </w:pPr>
      <w:r>
        <w:rPr>
          <w:rFonts w:hint="eastAsia"/>
          <w:b/>
          <w:bCs/>
        </w:rPr>
        <w:drawing>
          <wp:inline distT="0" distB="0" distL="114300" distR="114300">
            <wp:extent cx="5154295" cy="5085080"/>
            <wp:effectExtent l="9525" t="9525" r="17780" b="10795"/>
            <wp:docPr id="61" name="图片 61" descr="交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交通"/>
                    <pic:cNvPicPr>
                      <a:picLocks noChangeAspect="1"/>
                    </pic:cNvPicPr>
                  </pic:nvPicPr>
                  <pic:blipFill>
                    <a:blip r:embed="rId110"/>
                    <a:srcRect l="9729" t="6083" r="3921" b="30196"/>
                    <a:stretch>
                      <a:fillRect/>
                    </a:stretch>
                  </pic:blipFill>
                  <pic:spPr>
                    <a:xfrm>
                      <a:off x="0" y="0"/>
                      <a:ext cx="5154295" cy="5085080"/>
                    </a:xfrm>
                    <a:prstGeom prst="rect">
                      <a:avLst/>
                    </a:prstGeom>
                    <a:ln>
                      <a:solidFill>
                        <a:schemeClr val="tx1"/>
                      </a:solidFill>
                    </a:ln>
                  </pic:spPr>
                </pic:pic>
              </a:graphicData>
            </a:graphic>
          </wp:inline>
        </w:drawing>
      </w:r>
    </w:p>
    <w:p w14:paraId="4B0D03A3">
      <w:pPr>
        <w:numPr>
          <w:ilvl w:val="0"/>
          <w:numId w:val="3"/>
        </w:numPr>
        <w:ind w:firstLine="0" w:firstLineChars="0"/>
        <w:rPr>
          <w:b/>
          <w:bCs/>
        </w:rPr>
      </w:pPr>
      <w:r>
        <w:rPr>
          <w:rFonts w:hint="eastAsia"/>
          <w:b/>
          <w:bCs/>
        </w:rPr>
        <w:t>应急管理分局意见</w:t>
      </w:r>
    </w:p>
    <w:p w14:paraId="5F47B0B8">
      <w:pPr>
        <w:ind w:firstLine="0" w:firstLineChars="0"/>
        <w:jc w:val="center"/>
        <w:rPr>
          <w:b/>
          <w:bCs/>
        </w:rPr>
      </w:pPr>
      <w:r>
        <w:drawing>
          <wp:inline distT="0" distB="0" distL="114300" distR="114300">
            <wp:extent cx="5189220" cy="2778760"/>
            <wp:effectExtent l="9525" t="9525" r="20955" b="12065"/>
            <wp:docPr id="6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1"/>
                    <pic:cNvPicPr>
                      <a:picLocks noChangeAspect="1"/>
                    </pic:cNvPicPr>
                  </pic:nvPicPr>
                  <pic:blipFill>
                    <a:blip r:embed="rId111"/>
                    <a:stretch>
                      <a:fillRect/>
                    </a:stretch>
                  </pic:blipFill>
                  <pic:spPr>
                    <a:xfrm>
                      <a:off x="0" y="0"/>
                      <a:ext cx="5189220" cy="2778760"/>
                    </a:xfrm>
                    <a:prstGeom prst="rect">
                      <a:avLst/>
                    </a:prstGeom>
                    <a:noFill/>
                    <a:ln>
                      <a:solidFill>
                        <a:schemeClr val="tx1"/>
                      </a:solidFill>
                    </a:ln>
                  </pic:spPr>
                </pic:pic>
              </a:graphicData>
            </a:graphic>
          </wp:inline>
        </w:drawing>
      </w:r>
    </w:p>
    <w:p w14:paraId="408EB421">
      <w:pPr>
        <w:numPr>
          <w:ilvl w:val="0"/>
          <w:numId w:val="3"/>
        </w:numPr>
        <w:ind w:firstLine="0" w:firstLineChars="0"/>
        <w:rPr>
          <w:b/>
          <w:bCs/>
        </w:rPr>
      </w:pPr>
      <w:r>
        <w:rPr>
          <w:rFonts w:hint="eastAsia"/>
          <w:b/>
          <w:bCs/>
        </w:rPr>
        <w:t>西区专职消防队意见</w:t>
      </w:r>
    </w:p>
    <w:p w14:paraId="4CFBE823">
      <w:pPr>
        <w:ind w:firstLine="0" w:firstLineChars="0"/>
        <w:jc w:val="center"/>
        <w:rPr>
          <w:b/>
          <w:bCs/>
        </w:rPr>
      </w:pPr>
      <w:r>
        <w:drawing>
          <wp:inline distT="0" distB="0" distL="114300" distR="114300">
            <wp:extent cx="4632960" cy="3814445"/>
            <wp:effectExtent l="9525" t="9525" r="24765" b="24130"/>
            <wp:docPr id="6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2"/>
                    <pic:cNvPicPr>
                      <a:picLocks noChangeAspect="1"/>
                    </pic:cNvPicPr>
                  </pic:nvPicPr>
                  <pic:blipFill>
                    <a:blip r:embed="rId112"/>
                    <a:stretch>
                      <a:fillRect/>
                    </a:stretch>
                  </pic:blipFill>
                  <pic:spPr>
                    <a:xfrm>
                      <a:off x="0" y="0"/>
                      <a:ext cx="4632960" cy="3814445"/>
                    </a:xfrm>
                    <a:prstGeom prst="rect">
                      <a:avLst/>
                    </a:prstGeom>
                    <a:noFill/>
                    <a:ln>
                      <a:solidFill>
                        <a:schemeClr val="tx1"/>
                      </a:solidFill>
                    </a:ln>
                  </pic:spPr>
                </pic:pic>
              </a:graphicData>
            </a:graphic>
          </wp:inline>
        </w:drawing>
      </w:r>
    </w:p>
    <w:p w14:paraId="42189CA7">
      <w:pPr>
        <w:numPr>
          <w:ilvl w:val="0"/>
          <w:numId w:val="3"/>
        </w:numPr>
        <w:ind w:firstLine="0" w:firstLineChars="0"/>
        <w:rPr>
          <w:b/>
          <w:bCs/>
        </w:rPr>
      </w:pPr>
      <w:r>
        <w:rPr>
          <w:rFonts w:hint="eastAsia"/>
          <w:b/>
          <w:bCs/>
        </w:rPr>
        <w:t>供电分局意见</w:t>
      </w:r>
    </w:p>
    <w:p w14:paraId="3285A92D">
      <w:pPr>
        <w:ind w:firstLine="0" w:firstLineChars="0"/>
        <w:jc w:val="center"/>
        <w:rPr>
          <w:b/>
          <w:bCs/>
        </w:rPr>
      </w:pPr>
      <w:r>
        <w:drawing>
          <wp:inline distT="0" distB="0" distL="114300" distR="114300">
            <wp:extent cx="4712335" cy="3926840"/>
            <wp:effectExtent l="9525" t="9525" r="21590" b="26035"/>
            <wp:docPr id="6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3"/>
                    <pic:cNvPicPr>
                      <a:picLocks noChangeAspect="1"/>
                    </pic:cNvPicPr>
                  </pic:nvPicPr>
                  <pic:blipFill>
                    <a:blip r:embed="rId113"/>
                    <a:srcRect t="5014" b="6363"/>
                    <a:stretch>
                      <a:fillRect/>
                    </a:stretch>
                  </pic:blipFill>
                  <pic:spPr>
                    <a:xfrm>
                      <a:off x="0" y="0"/>
                      <a:ext cx="4712335" cy="3926840"/>
                    </a:xfrm>
                    <a:prstGeom prst="rect">
                      <a:avLst/>
                    </a:prstGeom>
                    <a:noFill/>
                    <a:ln>
                      <a:solidFill>
                        <a:schemeClr val="tx1"/>
                      </a:solidFill>
                    </a:ln>
                  </pic:spPr>
                </pic:pic>
              </a:graphicData>
            </a:graphic>
          </wp:inline>
        </w:drawing>
      </w:r>
    </w:p>
    <w:p w14:paraId="008AB541">
      <w:pPr>
        <w:numPr>
          <w:ilvl w:val="0"/>
          <w:numId w:val="3"/>
        </w:numPr>
        <w:ind w:firstLine="0" w:firstLineChars="0"/>
        <w:rPr>
          <w:b/>
          <w:bCs/>
        </w:rPr>
      </w:pPr>
      <w:r>
        <w:rPr>
          <w:rFonts w:hint="eastAsia"/>
          <w:b/>
          <w:bCs/>
        </w:rPr>
        <w:t>城执分局意见</w:t>
      </w:r>
    </w:p>
    <w:p w14:paraId="02BE18A2">
      <w:pPr>
        <w:ind w:firstLine="0" w:firstLineChars="0"/>
        <w:jc w:val="center"/>
        <w:rPr>
          <w:b/>
          <w:bCs/>
        </w:rPr>
      </w:pPr>
      <w:r>
        <w:drawing>
          <wp:inline distT="0" distB="0" distL="114300" distR="114300">
            <wp:extent cx="4693920" cy="3514090"/>
            <wp:effectExtent l="9525" t="9525" r="20955" b="19685"/>
            <wp:docPr id="6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4"/>
                    <pic:cNvPicPr>
                      <a:picLocks noChangeAspect="1"/>
                    </pic:cNvPicPr>
                  </pic:nvPicPr>
                  <pic:blipFill>
                    <a:blip r:embed="rId114"/>
                    <a:stretch>
                      <a:fillRect/>
                    </a:stretch>
                  </pic:blipFill>
                  <pic:spPr>
                    <a:xfrm>
                      <a:off x="0" y="0"/>
                      <a:ext cx="4693920" cy="3514090"/>
                    </a:xfrm>
                    <a:prstGeom prst="rect">
                      <a:avLst/>
                    </a:prstGeom>
                    <a:noFill/>
                    <a:ln>
                      <a:solidFill>
                        <a:schemeClr val="tx1"/>
                      </a:solidFill>
                    </a:ln>
                  </pic:spPr>
                </pic:pic>
              </a:graphicData>
            </a:graphic>
          </wp:inline>
        </w:drawing>
      </w:r>
    </w:p>
    <w:p w14:paraId="227DC0A9">
      <w:pPr>
        <w:numPr>
          <w:ilvl w:val="0"/>
          <w:numId w:val="3"/>
        </w:numPr>
        <w:ind w:firstLine="0" w:firstLineChars="0"/>
        <w:rPr>
          <w:b/>
          <w:bCs/>
        </w:rPr>
      </w:pPr>
      <w:r>
        <w:rPr>
          <w:rFonts w:hint="eastAsia"/>
          <w:b/>
          <w:bCs/>
        </w:rPr>
        <w:t>工会意见</w:t>
      </w:r>
    </w:p>
    <w:p w14:paraId="70DF2297">
      <w:pPr>
        <w:ind w:firstLine="0" w:firstLineChars="0"/>
        <w:jc w:val="center"/>
        <w:rPr>
          <w:b/>
          <w:bCs/>
        </w:rPr>
      </w:pPr>
      <w:r>
        <w:drawing>
          <wp:inline distT="0" distB="0" distL="114300" distR="114300">
            <wp:extent cx="4723765" cy="4276090"/>
            <wp:effectExtent l="9525" t="9525" r="10160" b="19685"/>
            <wp:docPr id="6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5"/>
                    <pic:cNvPicPr>
                      <a:picLocks noChangeAspect="1"/>
                    </pic:cNvPicPr>
                  </pic:nvPicPr>
                  <pic:blipFill>
                    <a:blip r:embed="rId115"/>
                    <a:stretch>
                      <a:fillRect/>
                    </a:stretch>
                  </pic:blipFill>
                  <pic:spPr>
                    <a:xfrm>
                      <a:off x="0" y="0"/>
                      <a:ext cx="4723765" cy="4276090"/>
                    </a:xfrm>
                    <a:prstGeom prst="rect">
                      <a:avLst/>
                    </a:prstGeom>
                    <a:noFill/>
                    <a:ln>
                      <a:solidFill>
                        <a:schemeClr val="tx1"/>
                      </a:solidFill>
                    </a:ln>
                  </pic:spPr>
                </pic:pic>
              </a:graphicData>
            </a:graphic>
          </wp:inline>
        </w:drawing>
      </w:r>
    </w:p>
    <w:p w14:paraId="1CA92F8C">
      <w:pPr>
        <w:numPr>
          <w:ilvl w:val="0"/>
          <w:numId w:val="3"/>
        </w:numPr>
        <w:ind w:firstLine="0" w:firstLineChars="0"/>
        <w:rPr>
          <w:b/>
          <w:bCs/>
        </w:rPr>
      </w:pPr>
      <w:r>
        <w:rPr>
          <w:rFonts w:hint="eastAsia"/>
          <w:b/>
          <w:bCs/>
        </w:rPr>
        <w:t>宣传办意见</w:t>
      </w:r>
    </w:p>
    <w:p w14:paraId="1047156F">
      <w:pPr>
        <w:ind w:firstLine="0" w:firstLineChars="0"/>
        <w:jc w:val="center"/>
        <w:rPr>
          <w:b/>
          <w:bCs/>
        </w:rPr>
      </w:pPr>
      <w:r>
        <w:drawing>
          <wp:inline distT="0" distB="0" distL="114300" distR="114300">
            <wp:extent cx="4281805" cy="3689985"/>
            <wp:effectExtent l="9525" t="9525" r="13970" b="15240"/>
            <wp:docPr id="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6"/>
                    <pic:cNvPicPr>
                      <a:picLocks noChangeAspect="1"/>
                    </pic:cNvPicPr>
                  </pic:nvPicPr>
                  <pic:blipFill>
                    <a:blip r:embed="rId116"/>
                    <a:stretch>
                      <a:fillRect/>
                    </a:stretch>
                  </pic:blipFill>
                  <pic:spPr>
                    <a:xfrm>
                      <a:off x="0" y="0"/>
                      <a:ext cx="4281805" cy="3689985"/>
                    </a:xfrm>
                    <a:prstGeom prst="rect">
                      <a:avLst/>
                    </a:prstGeom>
                    <a:noFill/>
                    <a:ln>
                      <a:solidFill>
                        <a:schemeClr val="tx1"/>
                      </a:solidFill>
                    </a:ln>
                  </pic:spPr>
                </pic:pic>
              </a:graphicData>
            </a:graphic>
          </wp:inline>
        </w:drawing>
      </w:r>
    </w:p>
    <w:p w14:paraId="5578500C">
      <w:pPr>
        <w:numPr>
          <w:ilvl w:val="0"/>
          <w:numId w:val="3"/>
        </w:numPr>
        <w:ind w:firstLine="0" w:firstLineChars="0"/>
        <w:rPr>
          <w:b/>
          <w:bCs/>
        </w:rPr>
      </w:pPr>
      <w:r>
        <w:rPr>
          <w:rFonts w:hint="eastAsia"/>
          <w:b/>
          <w:bCs/>
        </w:rPr>
        <w:t>公安分局意见</w:t>
      </w:r>
    </w:p>
    <w:p w14:paraId="70B98AF5">
      <w:pPr>
        <w:ind w:firstLine="0" w:firstLineChars="0"/>
        <w:jc w:val="center"/>
        <w:rPr>
          <w:b/>
          <w:bCs/>
        </w:rPr>
      </w:pPr>
      <w:r>
        <w:drawing>
          <wp:inline distT="0" distB="0" distL="114300" distR="114300">
            <wp:extent cx="4414520" cy="4122420"/>
            <wp:effectExtent l="9525" t="9525" r="14605" b="20955"/>
            <wp:docPr id="6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7"/>
                    <pic:cNvPicPr>
                      <a:picLocks noChangeAspect="1"/>
                    </pic:cNvPicPr>
                  </pic:nvPicPr>
                  <pic:blipFill>
                    <a:blip r:embed="rId117"/>
                    <a:stretch>
                      <a:fillRect/>
                    </a:stretch>
                  </pic:blipFill>
                  <pic:spPr>
                    <a:xfrm>
                      <a:off x="0" y="0"/>
                      <a:ext cx="4414520" cy="4122420"/>
                    </a:xfrm>
                    <a:prstGeom prst="rect">
                      <a:avLst/>
                    </a:prstGeom>
                    <a:noFill/>
                    <a:ln>
                      <a:solidFill>
                        <a:schemeClr val="tx1"/>
                      </a:solidFill>
                    </a:ln>
                  </pic:spPr>
                </pic:pic>
              </a:graphicData>
            </a:graphic>
          </wp:inline>
        </w:drawing>
      </w:r>
    </w:p>
    <w:p w14:paraId="56E80805">
      <w:pPr>
        <w:numPr>
          <w:ilvl w:val="0"/>
          <w:numId w:val="3"/>
        </w:numPr>
        <w:ind w:firstLine="0" w:firstLineChars="0"/>
        <w:rPr>
          <w:b/>
          <w:bCs/>
        </w:rPr>
      </w:pPr>
      <w:r>
        <w:rPr>
          <w:rFonts w:hint="eastAsia"/>
          <w:b/>
          <w:bCs/>
        </w:rPr>
        <w:t>供水公司意见</w:t>
      </w:r>
    </w:p>
    <w:p w14:paraId="0E0268C1">
      <w:pPr>
        <w:ind w:firstLine="0" w:firstLineChars="0"/>
        <w:jc w:val="center"/>
        <w:rPr>
          <w:b/>
          <w:bCs/>
        </w:rPr>
      </w:pPr>
      <w:r>
        <w:drawing>
          <wp:inline distT="0" distB="0" distL="114300" distR="114300">
            <wp:extent cx="4859655" cy="4162425"/>
            <wp:effectExtent l="9525" t="9525" r="26670" b="19050"/>
            <wp:docPr id="7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8"/>
                    <pic:cNvPicPr>
                      <a:picLocks noChangeAspect="1"/>
                    </pic:cNvPicPr>
                  </pic:nvPicPr>
                  <pic:blipFill>
                    <a:blip r:embed="rId118"/>
                    <a:srcRect b="3315"/>
                    <a:stretch>
                      <a:fillRect/>
                    </a:stretch>
                  </pic:blipFill>
                  <pic:spPr>
                    <a:xfrm>
                      <a:off x="0" y="0"/>
                      <a:ext cx="4859655" cy="4162425"/>
                    </a:xfrm>
                    <a:prstGeom prst="rect">
                      <a:avLst/>
                    </a:prstGeom>
                    <a:noFill/>
                    <a:ln>
                      <a:solidFill>
                        <a:schemeClr val="tx1"/>
                      </a:solidFill>
                    </a:ln>
                  </pic:spPr>
                </pic:pic>
              </a:graphicData>
            </a:graphic>
          </wp:inline>
        </w:drawing>
      </w:r>
    </w:p>
    <w:p w14:paraId="42F411E9">
      <w:pPr>
        <w:numPr>
          <w:ilvl w:val="0"/>
          <w:numId w:val="3"/>
        </w:numPr>
        <w:ind w:firstLine="0" w:firstLineChars="0"/>
        <w:rPr>
          <w:b/>
          <w:bCs/>
        </w:rPr>
      </w:pPr>
      <w:r>
        <w:rPr>
          <w:rFonts w:hint="eastAsia"/>
          <w:b/>
          <w:bCs/>
        </w:rPr>
        <w:t>长洲社区意见</w:t>
      </w:r>
    </w:p>
    <w:p w14:paraId="372A9615">
      <w:pPr>
        <w:ind w:firstLine="0" w:firstLineChars="0"/>
        <w:jc w:val="center"/>
        <w:rPr>
          <w:b/>
          <w:bCs/>
        </w:rPr>
      </w:pPr>
      <w:r>
        <w:drawing>
          <wp:inline distT="0" distB="0" distL="114300" distR="114300">
            <wp:extent cx="4886960" cy="3651250"/>
            <wp:effectExtent l="9525" t="9525" r="18415" b="15875"/>
            <wp:docPr id="7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9"/>
                    <pic:cNvPicPr>
                      <a:picLocks noChangeAspect="1"/>
                    </pic:cNvPicPr>
                  </pic:nvPicPr>
                  <pic:blipFill>
                    <a:blip r:embed="rId119"/>
                    <a:stretch>
                      <a:fillRect/>
                    </a:stretch>
                  </pic:blipFill>
                  <pic:spPr>
                    <a:xfrm>
                      <a:off x="0" y="0"/>
                      <a:ext cx="4886960" cy="3651250"/>
                    </a:xfrm>
                    <a:prstGeom prst="rect">
                      <a:avLst/>
                    </a:prstGeom>
                    <a:noFill/>
                    <a:ln>
                      <a:solidFill>
                        <a:schemeClr val="tx1"/>
                      </a:solidFill>
                    </a:ln>
                  </pic:spPr>
                </pic:pic>
              </a:graphicData>
            </a:graphic>
          </wp:inline>
        </w:drawing>
      </w:r>
    </w:p>
    <w:p w14:paraId="3717C8B0">
      <w:pPr>
        <w:numPr>
          <w:ilvl w:val="0"/>
          <w:numId w:val="3"/>
        </w:numPr>
        <w:ind w:firstLine="0" w:firstLineChars="0"/>
        <w:rPr>
          <w:b/>
          <w:bCs/>
        </w:rPr>
      </w:pPr>
      <w:r>
        <w:rPr>
          <w:rFonts w:hint="eastAsia"/>
          <w:b/>
          <w:bCs/>
        </w:rPr>
        <w:t>后山社区意见</w:t>
      </w:r>
    </w:p>
    <w:p w14:paraId="7292443C">
      <w:pPr>
        <w:ind w:firstLine="0" w:firstLineChars="0"/>
        <w:jc w:val="center"/>
        <w:rPr>
          <w:b/>
          <w:bCs/>
        </w:rPr>
      </w:pPr>
      <w:r>
        <w:drawing>
          <wp:inline distT="0" distB="0" distL="114300" distR="114300">
            <wp:extent cx="4990465" cy="4331335"/>
            <wp:effectExtent l="9525" t="9525" r="10160" b="21590"/>
            <wp:docPr id="7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0"/>
                    <pic:cNvPicPr>
                      <a:picLocks noChangeAspect="1"/>
                    </pic:cNvPicPr>
                  </pic:nvPicPr>
                  <pic:blipFill>
                    <a:blip r:embed="rId120"/>
                    <a:stretch>
                      <a:fillRect/>
                    </a:stretch>
                  </pic:blipFill>
                  <pic:spPr>
                    <a:xfrm>
                      <a:off x="0" y="0"/>
                      <a:ext cx="4990465" cy="4331335"/>
                    </a:xfrm>
                    <a:prstGeom prst="rect">
                      <a:avLst/>
                    </a:prstGeom>
                    <a:noFill/>
                    <a:ln>
                      <a:solidFill>
                        <a:schemeClr val="tx1"/>
                      </a:solidFill>
                    </a:ln>
                  </pic:spPr>
                </pic:pic>
              </a:graphicData>
            </a:graphic>
          </wp:inline>
        </w:drawing>
      </w:r>
    </w:p>
    <w:p w14:paraId="467E679F">
      <w:pPr>
        <w:numPr>
          <w:ilvl w:val="0"/>
          <w:numId w:val="3"/>
        </w:numPr>
        <w:ind w:firstLine="0" w:firstLineChars="0"/>
        <w:rPr>
          <w:b/>
          <w:bCs/>
        </w:rPr>
      </w:pPr>
      <w:r>
        <w:rPr>
          <w:rFonts w:hint="eastAsia"/>
          <w:b/>
          <w:bCs/>
        </w:rPr>
        <w:t>广丰社区意见</w:t>
      </w:r>
    </w:p>
    <w:p w14:paraId="0151DB16">
      <w:pPr>
        <w:ind w:firstLine="0" w:firstLineChars="0"/>
        <w:jc w:val="center"/>
        <w:rPr>
          <w:b/>
          <w:bCs/>
        </w:rPr>
      </w:pPr>
      <w:r>
        <w:drawing>
          <wp:inline distT="0" distB="0" distL="114300" distR="114300">
            <wp:extent cx="4997450" cy="3435985"/>
            <wp:effectExtent l="9525" t="9525" r="22225" b="21590"/>
            <wp:docPr id="7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1"/>
                    <pic:cNvPicPr>
                      <a:picLocks noChangeAspect="1"/>
                    </pic:cNvPicPr>
                  </pic:nvPicPr>
                  <pic:blipFill>
                    <a:blip r:embed="rId121"/>
                    <a:stretch>
                      <a:fillRect/>
                    </a:stretch>
                  </pic:blipFill>
                  <pic:spPr>
                    <a:xfrm>
                      <a:off x="0" y="0"/>
                      <a:ext cx="4997450" cy="3435985"/>
                    </a:xfrm>
                    <a:prstGeom prst="rect">
                      <a:avLst/>
                    </a:prstGeom>
                    <a:noFill/>
                    <a:ln>
                      <a:solidFill>
                        <a:schemeClr val="tx1"/>
                      </a:solidFill>
                    </a:ln>
                  </pic:spPr>
                </pic:pic>
              </a:graphicData>
            </a:graphic>
          </wp:inline>
        </w:drawing>
      </w:r>
    </w:p>
    <w:p w14:paraId="3CDE4AC8">
      <w:pPr>
        <w:numPr>
          <w:ilvl w:val="0"/>
          <w:numId w:val="3"/>
        </w:numPr>
        <w:ind w:firstLine="0" w:firstLineChars="0"/>
        <w:rPr>
          <w:b/>
          <w:bCs/>
        </w:rPr>
      </w:pPr>
      <w:r>
        <w:rPr>
          <w:rFonts w:hint="eastAsia"/>
          <w:b/>
          <w:bCs/>
        </w:rPr>
        <w:t>彩虹社区意见</w:t>
      </w:r>
    </w:p>
    <w:p w14:paraId="3B58D317">
      <w:pPr>
        <w:ind w:firstLine="0" w:firstLineChars="0"/>
        <w:jc w:val="center"/>
        <w:rPr>
          <w:b/>
          <w:bCs/>
        </w:rPr>
      </w:pPr>
      <w:r>
        <w:drawing>
          <wp:inline distT="0" distB="0" distL="114300" distR="114300">
            <wp:extent cx="4904105" cy="3842385"/>
            <wp:effectExtent l="9525" t="9525" r="20320" b="15240"/>
            <wp:docPr id="7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2"/>
                    <pic:cNvPicPr>
                      <a:picLocks noChangeAspect="1"/>
                    </pic:cNvPicPr>
                  </pic:nvPicPr>
                  <pic:blipFill>
                    <a:blip r:embed="rId122"/>
                    <a:stretch>
                      <a:fillRect/>
                    </a:stretch>
                  </pic:blipFill>
                  <pic:spPr>
                    <a:xfrm>
                      <a:off x="0" y="0"/>
                      <a:ext cx="4904105" cy="3842385"/>
                    </a:xfrm>
                    <a:prstGeom prst="rect">
                      <a:avLst/>
                    </a:prstGeom>
                    <a:noFill/>
                    <a:ln>
                      <a:solidFill>
                        <a:schemeClr val="tx1"/>
                      </a:solidFill>
                    </a:ln>
                  </pic:spPr>
                </pic:pic>
              </a:graphicData>
            </a:graphic>
          </wp:inline>
        </w:drawing>
      </w:r>
    </w:p>
    <w:p w14:paraId="1B79EC0E">
      <w:pPr>
        <w:numPr>
          <w:ilvl w:val="0"/>
          <w:numId w:val="3"/>
        </w:numPr>
        <w:ind w:firstLine="0" w:firstLineChars="0"/>
        <w:rPr>
          <w:b/>
          <w:bCs/>
        </w:rPr>
      </w:pPr>
      <w:r>
        <w:rPr>
          <w:rFonts w:hint="eastAsia"/>
          <w:b/>
          <w:bCs/>
        </w:rPr>
        <w:t>烟洲社区意见</w:t>
      </w:r>
    </w:p>
    <w:p w14:paraId="0A01B5F7">
      <w:pPr>
        <w:ind w:firstLine="0" w:firstLineChars="0"/>
        <w:jc w:val="center"/>
        <w:rPr>
          <w:b/>
          <w:bCs/>
        </w:rPr>
      </w:pPr>
      <w:r>
        <w:rPr>
          <w:rFonts w:hint="eastAsia"/>
          <w:b/>
          <w:bCs/>
        </w:rPr>
        <w:drawing>
          <wp:inline distT="0" distB="0" distL="114300" distR="114300">
            <wp:extent cx="4912995" cy="3944620"/>
            <wp:effectExtent l="9525" t="9525" r="11430" b="27305"/>
            <wp:docPr id="75" name="图片 75" descr="（烟洲）关于征求《中山市西区水生态文明建设规划（2019-2030年）（初稿）》意见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烟洲）关于征求《中山市西区水生态文明建设规划（2019-2030年）（初稿）》意见的回复"/>
                    <pic:cNvPicPr>
                      <a:picLocks noChangeAspect="1"/>
                    </pic:cNvPicPr>
                  </pic:nvPicPr>
                  <pic:blipFill>
                    <a:blip r:embed="rId123"/>
                    <a:srcRect l="5343" t="6543" r="5776" b="42937"/>
                    <a:stretch>
                      <a:fillRect/>
                    </a:stretch>
                  </pic:blipFill>
                  <pic:spPr>
                    <a:xfrm>
                      <a:off x="0" y="0"/>
                      <a:ext cx="4912995" cy="3944620"/>
                    </a:xfrm>
                    <a:prstGeom prst="rect">
                      <a:avLst/>
                    </a:prstGeom>
                    <a:ln>
                      <a:solidFill>
                        <a:schemeClr val="tx1"/>
                      </a:solidFill>
                    </a:ln>
                  </pic:spPr>
                </pic:pic>
              </a:graphicData>
            </a:graphic>
          </wp:inline>
        </w:drawing>
      </w:r>
    </w:p>
    <w:p w14:paraId="76C286EF">
      <w:pPr>
        <w:numPr>
          <w:ilvl w:val="0"/>
          <w:numId w:val="3"/>
        </w:numPr>
        <w:ind w:firstLine="0" w:firstLineChars="0"/>
        <w:rPr>
          <w:b/>
          <w:bCs/>
        </w:rPr>
      </w:pPr>
      <w:r>
        <w:rPr>
          <w:rFonts w:hint="eastAsia"/>
          <w:b/>
          <w:bCs/>
        </w:rPr>
        <w:t>西苑社区意见</w:t>
      </w:r>
    </w:p>
    <w:p w14:paraId="6D40B230">
      <w:pPr>
        <w:ind w:firstLine="0" w:firstLineChars="0"/>
        <w:jc w:val="center"/>
        <w:rPr>
          <w:b/>
          <w:bCs/>
        </w:rPr>
      </w:pPr>
      <w:r>
        <w:rPr>
          <w:rFonts w:hint="eastAsia"/>
          <w:b/>
          <w:bCs/>
        </w:rPr>
        <w:drawing>
          <wp:inline distT="0" distB="0" distL="114300" distR="114300">
            <wp:extent cx="5285105" cy="4192905"/>
            <wp:effectExtent l="9525" t="9525" r="20320" b="26670"/>
            <wp:docPr id="76" name="图片 76" descr="西苑-关于征求《中山市西区水生态文明建设规划（2019-2030年）（初稿）》意见的通知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西苑-关于征求《中山市西区水生态文明建设规划（2019-2030年）（初稿）》意见的通知的回复"/>
                    <pic:cNvPicPr>
                      <a:picLocks noChangeAspect="1"/>
                    </pic:cNvPicPr>
                  </pic:nvPicPr>
                  <pic:blipFill>
                    <a:blip r:embed="rId124"/>
                    <a:srcRect l="5487" t="4895" r="3754" b="42797"/>
                    <a:stretch>
                      <a:fillRect/>
                    </a:stretch>
                  </pic:blipFill>
                  <pic:spPr>
                    <a:xfrm>
                      <a:off x="0" y="0"/>
                      <a:ext cx="5285105" cy="4192905"/>
                    </a:xfrm>
                    <a:prstGeom prst="rect">
                      <a:avLst/>
                    </a:prstGeom>
                    <a:ln>
                      <a:solidFill>
                        <a:schemeClr val="tx1"/>
                      </a:solidFill>
                    </a:ln>
                  </pic:spPr>
                </pic:pic>
              </a:graphicData>
            </a:graphic>
          </wp:inline>
        </w:drawing>
      </w:r>
    </w:p>
    <w:p w14:paraId="59845DD7">
      <w:pPr>
        <w:numPr>
          <w:ilvl w:val="0"/>
          <w:numId w:val="3"/>
        </w:numPr>
        <w:ind w:firstLine="0" w:firstLineChars="0"/>
        <w:rPr>
          <w:b/>
          <w:bCs/>
        </w:rPr>
      </w:pPr>
      <w:r>
        <w:rPr>
          <w:rFonts w:hint="eastAsia"/>
          <w:b/>
          <w:bCs/>
        </w:rPr>
        <w:t>沙朗社区意见</w:t>
      </w:r>
    </w:p>
    <w:p w14:paraId="569B7901">
      <w:pPr>
        <w:ind w:firstLine="0" w:firstLineChars="0"/>
        <w:jc w:val="center"/>
        <w:rPr>
          <w:b/>
          <w:bCs/>
        </w:rPr>
      </w:pPr>
      <w:r>
        <w:drawing>
          <wp:inline distT="0" distB="0" distL="114300" distR="114300">
            <wp:extent cx="5278120" cy="3631565"/>
            <wp:effectExtent l="9525" t="9525" r="27305" b="16510"/>
            <wp:docPr id="7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3"/>
                    <pic:cNvPicPr>
                      <a:picLocks noChangeAspect="1"/>
                    </pic:cNvPicPr>
                  </pic:nvPicPr>
                  <pic:blipFill>
                    <a:blip r:embed="rId125"/>
                    <a:stretch>
                      <a:fillRect/>
                    </a:stretch>
                  </pic:blipFill>
                  <pic:spPr>
                    <a:xfrm>
                      <a:off x="0" y="0"/>
                      <a:ext cx="5278120" cy="3631565"/>
                    </a:xfrm>
                    <a:prstGeom prst="rect">
                      <a:avLst/>
                    </a:prstGeom>
                    <a:noFill/>
                    <a:ln>
                      <a:solidFill>
                        <a:schemeClr val="tx1"/>
                      </a:solidFill>
                    </a:ln>
                  </pic:spPr>
                </pic:pic>
              </a:graphicData>
            </a:graphic>
          </wp:inline>
        </w:drawing>
      </w:r>
    </w:p>
    <w:p w14:paraId="44AA6BE5">
      <w:pPr>
        <w:numPr>
          <w:ilvl w:val="0"/>
          <w:numId w:val="3"/>
        </w:numPr>
        <w:ind w:firstLine="0" w:firstLineChars="0"/>
        <w:rPr>
          <w:b/>
          <w:bCs/>
        </w:rPr>
      </w:pPr>
      <w:r>
        <w:rPr>
          <w:rFonts w:hint="eastAsia"/>
          <w:b/>
          <w:bCs/>
        </w:rPr>
        <w:t>隆昌社区意见</w:t>
      </w:r>
    </w:p>
    <w:p w14:paraId="0409F71D">
      <w:pPr>
        <w:ind w:firstLine="0" w:firstLineChars="0"/>
        <w:jc w:val="center"/>
        <w:rPr>
          <w:b/>
          <w:bCs/>
        </w:rPr>
      </w:pPr>
      <w:r>
        <w:drawing>
          <wp:inline distT="0" distB="0" distL="114300" distR="114300">
            <wp:extent cx="5278120" cy="3737610"/>
            <wp:effectExtent l="9525" t="9525" r="27305" b="24765"/>
            <wp:docPr id="7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4"/>
                    <pic:cNvPicPr>
                      <a:picLocks noChangeAspect="1"/>
                    </pic:cNvPicPr>
                  </pic:nvPicPr>
                  <pic:blipFill>
                    <a:blip r:embed="rId126"/>
                    <a:stretch>
                      <a:fillRect/>
                    </a:stretch>
                  </pic:blipFill>
                  <pic:spPr>
                    <a:xfrm>
                      <a:off x="0" y="0"/>
                      <a:ext cx="5278120" cy="3737610"/>
                    </a:xfrm>
                    <a:prstGeom prst="rect">
                      <a:avLst/>
                    </a:prstGeom>
                    <a:noFill/>
                    <a:ln>
                      <a:solidFill>
                        <a:schemeClr val="tx1"/>
                      </a:solidFill>
                    </a:ln>
                  </pic:spPr>
                </pic:pic>
              </a:graphicData>
            </a:graphic>
          </wp:inline>
        </w:drawing>
      </w:r>
    </w:p>
    <w:p w14:paraId="425DFF72">
      <w:pPr>
        <w:ind w:firstLine="0" w:firstLineChars="0"/>
        <w:rPr>
          <w:b/>
          <w:bCs/>
        </w:rPr>
      </w:pPr>
      <w:r>
        <w:rPr>
          <w:rFonts w:hint="eastAsia"/>
          <w:b/>
          <w:bCs/>
        </w:rPr>
        <w:t>（40）隆平社区意见</w:t>
      </w:r>
    </w:p>
    <w:p w14:paraId="67FE4D6E">
      <w:pPr>
        <w:ind w:firstLine="0" w:firstLineChars="0"/>
        <w:jc w:val="center"/>
        <w:sectPr>
          <w:pgSz w:w="11906" w:h="16838"/>
          <w:pgMar w:top="1440" w:right="1797" w:bottom="1440" w:left="1797" w:header="851" w:footer="992" w:gutter="0"/>
          <w:cols w:space="425" w:num="1"/>
          <w:docGrid w:type="linesAndChars" w:linePitch="326" w:charSpace="0"/>
        </w:sectPr>
      </w:pPr>
      <w:r>
        <w:rPr>
          <w:rFonts w:hint="eastAsia"/>
        </w:rPr>
        <w:drawing>
          <wp:inline distT="0" distB="0" distL="114300" distR="114300">
            <wp:extent cx="5330190" cy="3674110"/>
            <wp:effectExtent l="9525" t="9525" r="13335" b="12065"/>
            <wp:docPr id="79" name="图片 79" descr="隆平社区关于对《中山市西区水生态文明建设规划（2019-2030年）（初稿）》意见的通知》征求意见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隆平社区关于对《中山市西区水生态文明建设规划（2019-2030年）（初稿）》意见的通知》征求意见的回复"/>
                    <pic:cNvPicPr>
                      <a:picLocks noChangeAspect="1"/>
                    </pic:cNvPicPr>
                  </pic:nvPicPr>
                  <pic:blipFill>
                    <a:blip r:embed="rId127"/>
                    <a:srcRect l="3321" t="6089" r="6931" b="48924"/>
                    <a:stretch>
                      <a:fillRect/>
                    </a:stretch>
                  </pic:blipFill>
                  <pic:spPr>
                    <a:xfrm>
                      <a:off x="0" y="0"/>
                      <a:ext cx="5330190" cy="3674110"/>
                    </a:xfrm>
                    <a:prstGeom prst="rect">
                      <a:avLst/>
                    </a:prstGeom>
                    <a:ln>
                      <a:solidFill>
                        <a:schemeClr val="tx1"/>
                      </a:solidFill>
                    </a:ln>
                  </pic:spPr>
                </pic:pic>
              </a:graphicData>
            </a:graphic>
          </wp:inline>
        </w:drawing>
      </w:r>
    </w:p>
    <w:p w14:paraId="02F9732F">
      <w:pPr>
        <w:ind w:firstLine="0" w:firstLineChars="0"/>
        <w:jc w:val="center"/>
      </w:pPr>
      <w:r>
        <w:drawing>
          <wp:inline distT="0" distB="0" distL="0" distR="0">
            <wp:extent cx="5278120" cy="7466965"/>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8120" cy="7466965"/>
                    </a:xfrm>
                    <a:prstGeom prst="rect">
                      <a:avLst/>
                    </a:prstGeom>
                    <a:ln w="3175">
                      <a:noFill/>
                    </a:ln>
                  </pic:spPr>
                </pic:pic>
              </a:graphicData>
            </a:graphic>
          </wp:inline>
        </w:drawing>
      </w:r>
    </w:p>
    <w:p w14:paraId="2630FE66">
      <w:pPr>
        <w:ind w:firstLine="0" w:firstLineChars="0"/>
        <w:jc w:val="center"/>
      </w:pPr>
    </w:p>
    <w:p w14:paraId="713D849E">
      <w:pPr>
        <w:ind w:firstLine="0" w:firstLineChars="0"/>
        <w:jc w:val="center"/>
      </w:pPr>
    </w:p>
    <w:p w14:paraId="2541E637">
      <w:pPr>
        <w:ind w:firstLine="0" w:firstLineChars="0"/>
        <w:jc w:val="center"/>
        <w:sectPr>
          <w:pgSz w:w="11906" w:h="16838"/>
          <w:pgMar w:top="1440" w:right="1797" w:bottom="1440" w:left="1797" w:header="851" w:footer="992" w:gutter="0"/>
          <w:cols w:space="425" w:num="1"/>
          <w:docGrid w:type="linesAndChars" w:linePitch="326" w:charSpace="0"/>
        </w:sectPr>
      </w:pPr>
    </w:p>
    <w:p w14:paraId="2B7145DD">
      <w:pPr>
        <w:ind w:firstLine="0" w:firstLineChars="0"/>
        <w:jc w:val="center"/>
      </w:pPr>
      <w:r>
        <w:drawing>
          <wp:inline distT="0" distB="0" distL="0" distR="0">
            <wp:extent cx="8846820" cy="429196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29" cstate="print">
                      <a:extLst>
                        <a:ext uri="{28A0092B-C50C-407E-A947-70E740481C1C}">
                          <a14:useLocalDpi xmlns:a14="http://schemas.microsoft.com/office/drawing/2010/main" val="0"/>
                        </a:ext>
                      </a:extLst>
                    </a:blip>
                    <a:srcRect l="5612" t="17742" r="6971" b="22667"/>
                    <a:stretch>
                      <a:fillRect/>
                    </a:stretch>
                  </pic:blipFill>
                  <pic:spPr>
                    <a:xfrm>
                      <a:off x="0" y="0"/>
                      <a:ext cx="8868074" cy="4302659"/>
                    </a:xfrm>
                    <a:prstGeom prst="rect">
                      <a:avLst/>
                    </a:prstGeom>
                    <a:ln>
                      <a:noFill/>
                    </a:ln>
                  </pic:spPr>
                </pic:pic>
              </a:graphicData>
            </a:graphic>
          </wp:inline>
        </w:drawing>
      </w:r>
    </w:p>
    <w:p w14:paraId="7941E8D3">
      <w:pPr>
        <w:ind w:firstLine="0" w:firstLineChars="0"/>
        <w:jc w:val="center"/>
      </w:pPr>
    </w:p>
    <w:p w14:paraId="7E1A370E">
      <w:pPr>
        <w:ind w:firstLine="0" w:firstLineChars="0"/>
        <w:jc w:val="center"/>
        <w:sectPr>
          <w:pgSz w:w="16838" w:h="11906" w:orient="landscape"/>
          <w:pgMar w:top="1797" w:right="1440" w:bottom="1797" w:left="1440" w:header="851" w:footer="992" w:gutter="0"/>
          <w:cols w:space="425" w:num="1"/>
          <w:docGrid w:type="linesAndChars" w:linePitch="326" w:charSpace="0"/>
        </w:sectPr>
      </w:pPr>
    </w:p>
    <w:p w14:paraId="60C7B559">
      <w:pPr>
        <w:ind w:firstLine="0" w:firstLineChars="0"/>
        <w:jc w:val="center"/>
      </w:pPr>
    </w:p>
    <w:p w14:paraId="2443D7BD">
      <w:pPr>
        <w:ind w:firstLine="0" w:firstLineChars="0"/>
        <w:jc w:val="center"/>
      </w:pPr>
      <w:r>
        <w:drawing>
          <wp:inline distT="0" distB="0" distL="0" distR="0">
            <wp:extent cx="5242560" cy="7365365"/>
            <wp:effectExtent l="0" t="0" r="0" b="698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30" cstate="print">
                      <a:extLst>
                        <a:ext uri="{28A0092B-C50C-407E-A947-70E740481C1C}">
                          <a14:useLocalDpi xmlns:a14="http://schemas.microsoft.com/office/drawing/2010/main" val="0"/>
                        </a:ext>
                      </a:extLst>
                    </a:blip>
                    <a:srcRect l="7219" t="4592" r="4716" b="7951"/>
                    <a:stretch>
                      <a:fillRect/>
                    </a:stretch>
                  </pic:blipFill>
                  <pic:spPr>
                    <a:xfrm>
                      <a:off x="0" y="0"/>
                      <a:ext cx="5248755" cy="7374070"/>
                    </a:xfrm>
                    <a:prstGeom prst="rect">
                      <a:avLst/>
                    </a:prstGeom>
                    <a:ln>
                      <a:noFill/>
                    </a:ln>
                  </pic:spPr>
                </pic:pic>
              </a:graphicData>
            </a:graphic>
          </wp:inline>
        </w:drawing>
      </w:r>
    </w:p>
    <w:p w14:paraId="46A5892C">
      <w:pPr>
        <w:ind w:firstLine="0" w:firstLineChars="0"/>
        <w:jc w:val="center"/>
      </w:pPr>
    </w:p>
    <w:p w14:paraId="4A4539AF">
      <w:pPr>
        <w:ind w:firstLine="0" w:firstLineChars="0"/>
        <w:jc w:val="center"/>
      </w:pPr>
    </w:p>
    <w:p w14:paraId="3A10632B">
      <w:pPr>
        <w:ind w:firstLine="0" w:firstLineChars="0"/>
        <w:jc w:val="center"/>
      </w:pPr>
    </w:p>
    <w:p w14:paraId="32500039">
      <w:pPr>
        <w:ind w:firstLine="0" w:firstLineChars="0"/>
        <w:jc w:val="center"/>
      </w:pPr>
    </w:p>
    <w:p w14:paraId="4A2D73FE">
      <w:pPr>
        <w:ind w:firstLine="0" w:firstLineChars="0"/>
        <w:jc w:val="center"/>
      </w:pPr>
      <w:r>
        <w:drawing>
          <wp:inline distT="0" distB="0" distL="0" distR="0">
            <wp:extent cx="5209540" cy="735901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31" cstate="print">
                      <a:extLst>
                        <a:ext uri="{28A0092B-C50C-407E-A947-70E740481C1C}">
                          <a14:useLocalDpi xmlns:a14="http://schemas.microsoft.com/office/drawing/2010/main" val="0"/>
                        </a:ext>
                      </a:extLst>
                    </a:blip>
                    <a:srcRect l="9817" t="5511" r="7604" b="12033"/>
                    <a:stretch>
                      <a:fillRect/>
                    </a:stretch>
                  </pic:blipFill>
                  <pic:spPr>
                    <a:xfrm>
                      <a:off x="0" y="0"/>
                      <a:ext cx="5216492" cy="7368751"/>
                    </a:xfrm>
                    <a:prstGeom prst="rect">
                      <a:avLst/>
                    </a:prstGeom>
                    <a:ln>
                      <a:noFill/>
                    </a:ln>
                  </pic:spPr>
                </pic:pic>
              </a:graphicData>
            </a:graphic>
          </wp:inline>
        </w:drawing>
      </w:r>
    </w:p>
    <w:p w14:paraId="4C97BCAF">
      <w:pPr>
        <w:ind w:firstLine="0" w:firstLineChars="0"/>
        <w:jc w:val="center"/>
      </w:pPr>
    </w:p>
    <w:p w14:paraId="175E63A4">
      <w:pPr>
        <w:ind w:firstLine="0" w:firstLineChars="0"/>
        <w:jc w:val="center"/>
      </w:pPr>
    </w:p>
    <w:p w14:paraId="47B01D2A">
      <w:pPr>
        <w:ind w:firstLine="0" w:firstLineChars="0"/>
        <w:jc w:val="center"/>
      </w:pPr>
    </w:p>
    <w:p w14:paraId="7A434640">
      <w:pPr>
        <w:ind w:firstLine="0" w:firstLineChars="0"/>
        <w:jc w:val="center"/>
      </w:pPr>
    </w:p>
    <w:p w14:paraId="5412EB4B">
      <w:pPr>
        <w:ind w:firstLine="0" w:firstLineChars="0"/>
        <w:jc w:val="center"/>
      </w:pPr>
      <w:r>
        <w:drawing>
          <wp:inline distT="0" distB="0" distL="0" distR="0">
            <wp:extent cx="5227320" cy="7444105"/>
            <wp:effectExtent l="0" t="0" r="0" b="444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32">
                      <a:extLst>
                        <a:ext uri="{28A0092B-C50C-407E-A947-70E740481C1C}">
                          <a14:useLocalDpi xmlns:a14="http://schemas.microsoft.com/office/drawing/2010/main" val="0"/>
                        </a:ext>
                      </a:extLst>
                    </a:blip>
                    <a:srcRect l="10106" t="5916" r="7171" b="10861"/>
                    <a:stretch>
                      <a:fillRect/>
                    </a:stretch>
                  </pic:blipFill>
                  <pic:spPr>
                    <a:xfrm>
                      <a:off x="0" y="0"/>
                      <a:ext cx="5240166" cy="7462435"/>
                    </a:xfrm>
                    <a:prstGeom prst="rect">
                      <a:avLst/>
                    </a:prstGeom>
                    <a:ln>
                      <a:noFill/>
                    </a:ln>
                  </pic:spPr>
                </pic:pic>
              </a:graphicData>
            </a:graphic>
          </wp:inline>
        </w:drawing>
      </w:r>
    </w:p>
    <w:p w14:paraId="7455A1E6">
      <w:pPr>
        <w:ind w:firstLine="0" w:firstLineChars="0"/>
        <w:jc w:val="center"/>
      </w:pPr>
    </w:p>
    <w:p w14:paraId="1F332C22">
      <w:pPr>
        <w:ind w:firstLine="0" w:firstLineChars="0"/>
        <w:jc w:val="center"/>
      </w:pPr>
    </w:p>
    <w:p w14:paraId="3EE47112">
      <w:pPr>
        <w:ind w:firstLine="0" w:firstLineChars="0"/>
        <w:jc w:val="center"/>
      </w:pPr>
    </w:p>
    <w:p w14:paraId="62AF587D">
      <w:pPr>
        <w:ind w:firstLine="0" w:firstLineChars="0"/>
        <w:jc w:val="center"/>
      </w:pPr>
      <w:r>
        <w:drawing>
          <wp:inline distT="0" distB="0" distL="0" distR="0">
            <wp:extent cx="5341620" cy="751014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5368274" cy="7547661"/>
                    </a:xfrm>
                    <a:prstGeom prst="rect">
                      <a:avLst/>
                    </a:prstGeom>
                  </pic:spPr>
                </pic:pic>
              </a:graphicData>
            </a:graphic>
          </wp:inline>
        </w:drawing>
      </w:r>
    </w:p>
    <w:p w14:paraId="10E47788">
      <w:pPr>
        <w:ind w:firstLine="0" w:firstLineChars="0"/>
        <w:jc w:val="center"/>
      </w:pPr>
    </w:p>
    <w:p w14:paraId="53FC328B">
      <w:pPr>
        <w:ind w:firstLine="0" w:firstLineChars="0"/>
        <w:jc w:val="center"/>
      </w:pPr>
    </w:p>
    <w:p w14:paraId="3AC7E40B">
      <w:pPr>
        <w:ind w:firstLine="0" w:firstLineChars="0"/>
        <w:jc w:val="center"/>
      </w:pPr>
    </w:p>
    <w:p w14:paraId="5C6A6161">
      <w:pPr>
        <w:ind w:firstLine="0" w:firstLineChars="0"/>
        <w:jc w:val="center"/>
      </w:pPr>
      <w:r>
        <w:drawing>
          <wp:inline distT="0" distB="0" distL="0" distR="0">
            <wp:extent cx="5493385" cy="7828280"/>
            <wp:effectExtent l="0" t="0" r="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34" cstate="print">
                      <a:extLst>
                        <a:ext uri="{28A0092B-C50C-407E-A947-70E740481C1C}">
                          <a14:useLocalDpi xmlns:a14="http://schemas.microsoft.com/office/drawing/2010/main" val="0"/>
                        </a:ext>
                      </a:extLst>
                    </a:blip>
                    <a:srcRect l="9026" t="5452" r="5654" b="8644"/>
                    <a:stretch>
                      <a:fillRect/>
                    </a:stretch>
                  </pic:blipFill>
                  <pic:spPr>
                    <a:xfrm>
                      <a:off x="0" y="0"/>
                      <a:ext cx="5498808" cy="7835768"/>
                    </a:xfrm>
                    <a:prstGeom prst="rect">
                      <a:avLst/>
                    </a:prstGeom>
                    <a:noFill/>
                    <a:ln>
                      <a:noFill/>
                    </a:ln>
                  </pic:spPr>
                </pic:pic>
              </a:graphicData>
            </a:graphic>
          </wp:inline>
        </w:drawing>
      </w:r>
    </w:p>
    <w:p w14:paraId="2ED497B2">
      <w:pPr>
        <w:ind w:firstLine="480"/>
        <w:sectPr>
          <w:pgSz w:w="11906" w:h="16838"/>
          <w:pgMar w:top="1440" w:right="1797" w:bottom="1440" w:left="1797" w:header="851" w:footer="992" w:gutter="0"/>
          <w:cols w:space="425" w:num="1"/>
          <w:docGrid w:type="linesAndChars" w:linePitch="326" w:charSpace="0"/>
        </w:sectPr>
      </w:pPr>
    </w:p>
    <w:p w14:paraId="7D35C264">
      <w:pPr>
        <w:pStyle w:val="2"/>
        <w:spacing w:before="0"/>
      </w:pPr>
      <w:bookmarkStart w:id="1072" w:name="_Toc16675145"/>
      <w:r>
        <w:t xml:space="preserve">附件2 </w:t>
      </w:r>
      <w:r>
        <w:rPr>
          <w:rFonts w:hint="eastAsia"/>
        </w:rPr>
        <w:t>西区各部门意见和专家评审意见回复与确认</w:t>
      </w:r>
      <w:bookmarkEnd w:id="1072"/>
    </w:p>
    <w:tbl>
      <w:tblPr>
        <w:tblStyle w:val="71"/>
        <w:tblW w:w="14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1"/>
        <w:gridCol w:w="7896"/>
        <w:gridCol w:w="4695"/>
      </w:tblGrid>
      <w:tr w14:paraId="32FD6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931" w:type="dxa"/>
            <w:shd w:val="clear" w:color="auto" w:fill="D7D7D7" w:themeFill="background1" w:themeFillShade="D8"/>
          </w:tcPr>
          <w:p w14:paraId="602CB5BC">
            <w:pPr>
              <w:snapToGrid w:val="0"/>
              <w:spacing w:before="163" w:beforeLines="50" w:after="163" w:afterLines="50" w:line="240" w:lineRule="auto"/>
              <w:ind w:firstLine="0" w:firstLineChars="0"/>
              <w:jc w:val="center"/>
              <w:rPr>
                <w:rFonts w:eastAsia="宋体" w:cs="Times New Roman"/>
                <w:szCs w:val="24"/>
              </w:rPr>
            </w:pPr>
            <w:r>
              <w:rPr>
                <w:rFonts w:eastAsia="宋体" w:cs="Times New Roman"/>
                <w:szCs w:val="24"/>
              </w:rPr>
              <w:t>部门意见</w:t>
            </w:r>
          </w:p>
        </w:tc>
        <w:tc>
          <w:tcPr>
            <w:tcW w:w="7896" w:type="dxa"/>
            <w:shd w:val="clear" w:color="auto" w:fill="D7D7D7" w:themeFill="background1" w:themeFillShade="D8"/>
            <w:vAlign w:val="center"/>
          </w:tcPr>
          <w:p w14:paraId="017760C9">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修改意见</w:t>
            </w:r>
          </w:p>
        </w:tc>
        <w:tc>
          <w:tcPr>
            <w:tcW w:w="4695" w:type="dxa"/>
            <w:shd w:val="clear" w:color="auto" w:fill="D7D7D7" w:themeFill="background1" w:themeFillShade="D8"/>
            <w:vAlign w:val="center"/>
          </w:tcPr>
          <w:p w14:paraId="2F5D2EA8">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意见回复</w:t>
            </w:r>
          </w:p>
        </w:tc>
      </w:tr>
      <w:tr w14:paraId="04822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931" w:type="dxa"/>
            <w:vMerge w:val="restart"/>
          </w:tcPr>
          <w:p w14:paraId="4B05F37A">
            <w:pPr>
              <w:snapToGrid w:val="0"/>
              <w:spacing w:before="326" w:beforeLines="100" w:line="240" w:lineRule="auto"/>
              <w:ind w:firstLine="0" w:firstLineChars="0"/>
              <w:jc w:val="center"/>
              <w:rPr>
                <w:rFonts w:eastAsia="Times New Roman" w:cs="Times New Roman"/>
                <w:sz w:val="21"/>
              </w:rPr>
            </w:pPr>
          </w:p>
          <w:p w14:paraId="22747567">
            <w:pPr>
              <w:snapToGrid w:val="0"/>
              <w:spacing w:before="326" w:beforeLines="100" w:line="240" w:lineRule="auto"/>
              <w:ind w:firstLine="0" w:firstLineChars="0"/>
              <w:jc w:val="center"/>
              <w:rPr>
                <w:rFonts w:eastAsia="Times New Roman" w:cs="Times New Roman"/>
                <w:sz w:val="21"/>
              </w:rPr>
            </w:pPr>
          </w:p>
          <w:p w14:paraId="27490E4A">
            <w:pPr>
              <w:snapToGrid w:val="0"/>
              <w:spacing w:before="326" w:beforeLines="100" w:line="240" w:lineRule="auto"/>
              <w:ind w:firstLine="0" w:firstLineChars="0"/>
              <w:jc w:val="center"/>
              <w:rPr>
                <w:rFonts w:eastAsia="Times New Roman" w:cs="Times New Roman"/>
                <w:sz w:val="21"/>
              </w:rPr>
            </w:pPr>
          </w:p>
          <w:p w14:paraId="6E73B318">
            <w:pPr>
              <w:snapToGrid w:val="0"/>
              <w:spacing w:before="326" w:beforeLines="100" w:line="240" w:lineRule="auto"/>
              <w:ind w:firstLine="0" w:firstLineChars="0"/>
              <w:jc w:val="center"/>
              <w:rPr>
                <w:rFonts w:eastAsia="Times New Roman" w:cs="Times New Roman"/>
                <w:sz w:val="21"/>
              </w:rPr>
            </w:pPr>
          </w:p>
          <w:p w14:paraId="74724731">
            <w:pPr>
              <w:snapToGrid w:val="0"/>
              <w:spacing w:before="326" w:beforeLines="100" w:line="240" w:lineRule="auto"/>
              <w:ind w:firstLine="0" w:firstLineChars="0"/>
              <w:jc w:val="center"/>
              <w:rPr>
                <w:rFonts w:eastAsia="Times New Roman" w:cs="Times New Roman"/>
                <w:sz w:val="21"/>
              </w:rPr>
            </w:pPr>
          </w:p>
          <w:p w14:paraId="5B8DBF70">
            <w:pPr>
              <w:snapToGrid w:val="0"/>
              <w:spacing w:before="326" w:beforeLines="100" w:line="240" w:lineRule="auto"/>
              <w:ind w:firstLine="0" w:firstLineChars="0"/>
              <w:jc w:val="center"/>
              <w:rPr>
                <w:rFonts w:eastAsia="Times New Roman" w:cs="Times New Roman"/>
                <w:sz w:val="21"/>
              </w:rPr>
            </w:pPr>
          </w:p>
          <w:p w14:paraId="44229E03">
            <w:pPr>
              <w:snapToGrid w:val="0"/>
              <w:spacing w:before="326" w:beforeLines="100" w:line="240" w:lineRule="auto"/>
              <w:ind w:firstLine="0" w:firstLineChars="0"/>
              <w:jc w:val="center"/>
              <w:rPr>
                <w:rFonts w:eastAsia="Times New Roman" w:cs="Times New Roman"/>
                <w:sz w:val="21"/>
              </w:rPr>
            </w:pPr>
            <w:r>
              <w:rPr>
                <w:rFonts w:hint="eastAsia" w:eastAsia="Times New Roman" w:cs="Times New Roman"/>
                <w:sz w:val="21"/>
              </w:rPr>
              <w:t>生态环境分局</w:t>
            </w:r>
          </w:p>
        </w:tc>
        <w:tc>
          <w:tcPr>
            <w:tcW w:w="7896" w:type="dxa"/>
            <w:vAlign w:val="center"/>
          </w:tcPr>
          <w:p w14:paraId="3F7361B1">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1、“前言”第二段第二句：“三区”所描述内容不清。</w:t>
            </w:r>
          </w:p>
        </w:tc>
        <w:tc>
          <w:tcPr>
            <w:tcW w:w="4695" w:type="dxa"/>
            <w:vAlign w:val="center"/>
          </w:tcPr>
          <w:p w14:paraId="6E024F56">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已采纳。已修改，详见《报告》前言。</w:t>
            </w:r>
          </w:p>
        </w:tc>
      </w:tr>
      <w:tr w14:paraId="386C4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1931" w:type="dxa"/>
            <w:vMerge w:val="continue"/>
          </w:tcPr>
          <w:p w14:paraId="167D2C50">
            <w:pPr>
              <w:snapToGrid w:val="0"/>
              <w:spacing w:line="240" w:lineRule="auto"/>
              <w:ind w:firstLine="0" w:firstLineChars="0"/>
              <w:jc w:val="center"/>
              <w:rPr>
                <w:rFonts w:eastAsia="Times New Roman" w:cs="Times New Roman"/>
                <w:sz w:val="21"/>
              </w:rPr>
            </w:pPr>
          </w:p>
        </w:tc>
        <w:tc>
          <w:tcPr>
            <w:tcW w:w="7896" w:type="dxa"/>
            <w:vAlign w:val="center"/>
          </w:tcPr>
          <w:p w14:paraId="2A973910">
            <w:pPr>
              <w:spacing w:line="240" w:lineRule="auto"/>
              <w:ind w:firstLine="0" w:firstLineChars="0"/>
              <w:jc w:val="left"/>
              <w:rPr>
                <w:rFonts w:cs="Times New Roman"/>
                <w:sz w:val="21"/>
              </w:rPr>
            </w:pPr>
            <w:r>
              <w:rPr>
                <w:rFonts w:hint="eastAsia" w:ascii="仿宋_GB2312" w:hAnsi="仿宋_GB2312" w:eastAsia="仿宋_GB2312" w:cs="仿宋_GB2312"/>
                <w:sz w:val="18"/>
                <w:szCs w:val="18"/>
              </w:rPr>
              <w:t>2、P3 1.2.1 地理位置 第三句：“镇域北与横栏镇接壤，东北与沙溪镇接壤，南与板芙镇接壤。”相关内容有误。</w:t>
            </w:r>
          </w:p>
        </w:tc>
        <w:tc>
          <w:tcPr>
            <w:tcW w:w="4695" w:type="dxa"/>
            <w:vAlign w:val="center"/>
          </w:tcPr>
          <w:p w14:paraId="67DD937E">
            <w:pPr>
              <w:spacing w:line="240" w:lineRule="auto"/>
              <w:ind w:firstLine="0" w:firstLineChars="0"/>
              <w:rPr>
                <w:rFonts w:eastAsia="Times New Roman" w:cs="Times New Roman"/>
                <w:sz w:val="21"/>
              </w:rPr>
            </w:pPr>
            <w:r>
              <w:rPr>
                <w:rFonts w:hint="eastAsia" w:ascii="仿宋_GB2312" w:hAnsi="仿宋_GB2312" w:eastAsia="仿宋_GB2312" w:cs="仿宋_GB2312"/>
                <w:sz w:val="18"/>
                <w:szCs w:val="18"/>
              </w:rPr>
              <w:t>已采纳。已修改，详见《报告》1.2.1地理位置。</w:t>
            </w:r>
          </w:p>
        </w:tc>
      </w:tr>
      <w:tr w14:paraId="1CADF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931" w:type="dxa"/>
            <w:vMerge w:val="continue"/>
          </w:tcPr>
          <w:p w14:paraId="482EC891">
            <w:pPr>
              <w:snapToGrid w:val="0"/>
              <w:spacing w:line="240" w:lineRule="auto"/>
              <w:ind w:firstLine="0" w:firstLineChars="0"/>
              <w:jc w:val="center"/>
              <w:rPr>
                <w:rFonts w:eastAsia="Times New Roman" w:cs="Times New Roman"/>
                <w:sz w:val="21"/>
              </w:rPr>
            </w:pPr>
          </w:p>
        </w:tc>
        <w:tc>
          <w:tcPr>
            <w:tcW w:w="7896" w:type="dxa"/>
            <w:vAlign w:val="center"/>
          </w:tcPr>
          <w:p w14:paraId="271C77DC">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3、P29 2.1.1.3 集中式饮用水源地安全保障程度持续提高：西区无集中式饮用水源地。</w:t>
            </w:r>
          </w:p>
        </w:tc>
        <w:tc>
          <w:tcPr>
            <w:tcW w:w="4695" w:type="dxa"/>
            <w:vAlign w:val="center"/>
          </w:tcPr>
          <w:p w14:paraId="54981AC3">
            <w:pPr>
              <w:spacing w:line="240" w:lineRule="auto"/>
              <w:ind w:firstLine="0" w:firstLineChars="0"/>
              <w:rPr>
                <w:rFonts w:eastAsia="Times New Roman" w:cs="Times New Roman"/>
                <w:sz w:val="21"/>
              </w:rPr>
            </w:pPr>
            <w:r>
              <w:rPr>
                <w:rFonts w:hint="eastAsia" w:ascii="仿宋_GB2312" w:hAnsi="仿宋_GB2312" w:eastAsia="仿宋_GB2312" w:cs="仿宋_GB2312"/>
                <w:sz w:val="18"/>
                <w:szCs w:val="18"/>
              </w:rPr>
              <w:t>已采纳。已删除相关内容，详见《报告》2.1.1.3 集中式饮用水源地安全保障程度持续提高。</w:t>
            </w:r>
          </w:p>
        </w:tc>
      </w:tr>
      <w:tr w14:paraId="7AB79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1931" w:type="dxa"/>
            <w:vMerge w:val="continue"/>
          </w:tcPr>
          <w:p w14:paraId="05E2B59B">
            <w:pPr>
              <w:snapToGrid w:val="0"/>
              <w:spacing w:line="240" w:lineRule="auto"/>
              <w:ind w:firstLine="0" w:firstLineChars="0"/>
              <w:jc w:val="center"/>
              <w:rPr>
                <w:rFonts w:eastAsia="Times New Roman" w:cs="Times New Roman"/>
                <w:sz w:val="21"/>
              </w:rPr>
            </w:pPr>
          </w:p>
        </w:tc>
        <w:tc>
          <w:tcPr>
            <w:tcW w:w="7896" w:type="dxa"/>
            <w:vAlign w:val="center"/>
          </w:tcPr>
          <w:p w14:paraId="307944F7">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4、P32 表2-5第8项：删除“和水生态修复工程”（因目前石特涌水生态修复工程仍在维护期，尚未竣工验收）。</w:t>
            </w:r>
          </w:p>
        </w:tc>
        <w:tc>
          <w:tcPr>
            <w:tcW w:w="4695" w:type="dxa"/>
            <w:vAlign w:val="center"/>
          </w:tcPr>
          <w:p w14:paraId="653EEECB">
            <w:pPr>
              <w:spacing w:line="240" w:lineRule="auto"/>
              <w:ind w:firstLine="0" w:firstLineChars="0"/>
              <w:rPr>
                <w:rFonts w:cs="Times New Roman"/>
                <w:sz w:val="21"/>
              </w:rPr>
            </w:pPr>
            <w:r>
              <w:rPr>
                <w:rFonts w:hint="eastAsia" w:ascii="仿宋_GB2312" w:hAnsi="仿宋_GB2312" w:eastAsia="仿宋_GB2312" w:cs="仿宋_GB2312"/>
                <w:sz w:val="18"/>
                <w:szCs w:val="18"/>
              </w:rPr>
              <w:t>已采纳。已删除相关内容，详见《报告》2.1.2.1内河涌水环境综合整治有序落实。</w:t>
            </w:r>
          </w:p>
        </w:tc>
      </w:tr>
      <w:tr w14:paraId="5CE72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931" w:type="dxa"/>
            <w:vMerge w:val="continue"/>
          </w:tcPr>
          <w:p w14:paraId="376A86A5">
            <w:pPr>
              <w:snapToGrid w:val="0"/>
              <w:spacing w:line="240" w:lineRule="auto"/>
              <w:ind w:firstLine="0" w:firstLineChars="0"/>
              <w:jc w:val="center"/>
              <w:rPr>
                <w:rFonts w:eastAsia="Times New Roman" w:cs="Times New Roman"/>
                <w:sz w:val="21"/>
              </w:rPr>
            </w:pPr>
          </w:p>
        </w:tc>
        <w:tc>
          <w:tcPr>
            <w:tcW w:w="7896" w:type="dxa"/>
            <w:vAlign w:val="center"/>
          </w:tcPr>
          <w:p w14:paraId="7C588F2F">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5、P44 2.2.2.2 污水处理能力与水平有待提高“2017年西区生活污水处理率为100%。”：目前西区雨污分流工程彩虹大道主管尚未接通，生活污水处理率达不到100%。</w:t>
            </w:r>
          </w:p>
        </w:tc>
        <w:tc>
          <w:tcPr>
            <w:tcW w:w="4695" w:type="dxa"/>
            <w:vAlign w:val="center"/>
          </w:tcPr>
          <w:p w14:paraId="42A2DFB2">
            <w:pPr>
              <w:spacing w:line="240" w:lineRule="auto"/>
              <w:ind w:firstLine="0" w:firstLineChars="0"/>
              <w:rPr>
                <w:rFonts w:cs="Times New Roman"/>
                <w:sz w:val="21"/>
              </w:rPr>
            </w:pPr>
            <w:r>
              <w:rPr>
                <w:rFonts w:hint="eastAsia" w:ascii="仿宋_GB2312" w:hAnsi="仿宋_GB2312" w:eastAsia="仿宋_GB2312" w:cs="仿宋_GB2312"/>
                <w:sz w:val="18"/>
                <w:szCs w:val="18"/>
              </w:rPr>
              <w:t>已采纳。已修改，详见《报告》2.2.2.2 污水处理能力与水平有待提高、4.2.3废污水达标处理率和6.1 指标体系现状分析。</w:t>
            </w:r>
          </w:p>
        </w:tc>
      </w:tr>
      <w:tr w14:paraId="2C2D7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jc w:val="center"/>
        </w:trPr>
        <w:tc>
          <w:tcPr>
            <w:tcW w:w="1931" w:type="dxa"/>
            <w:vMerge w:val="continue"/>
          </w:tcPr>
          <w:p w14:paraId="3B45C05B">
            <w:pPr>
              <w:snapToGrid w:val="0"/>
              <w:spacing w:line="240" w:lineRule="auto"/>
              <w:ind w:firstLine="0" w:firstLineChars="0"/>
              <w:jc w:val="center"/>
              <w:rPr>
                <w:rFonts w:eastAsia="Times New Roman" w:cs="Times New Roman"/>
                <w:sz w:val="21"/>
              </w:rPr>
            </w:pPr>
          </w:p>
        </w:tc>
        <w:tc>
          <w:tcPr>
            <w:tcW w:w="7896" w:type="dxa"/>
            <w:vAlign w:val="center"/>
          </w:tcPr>
          <w:p w14:paraId="57E99898">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6、P96 续表6-2 四、水监管 在线监控重点污染源企业：市生态环境局只要求省控、国控企业安装在线监控，表中所列12家企业属镇A、镇B类，未有强制安装依据；定期监测入河排污口：排查入河排污口不属环境分局管理职能。</w:t>
            </w:r>
          </w:p>
        </w:tc>
        <w:tc>
          <w:tcPr>
            <w:tcW w:w="4695" w:type="dxa"/>
            <w:vAlign w:val="center"/>
          </w:tcPr>
          <w:p w14:paraId="22D11A56">
            <w:pPr>
              <w:spacing w:line="240" w:lineRule="auto"/>
              <w:ind w:firstLine="0" w:firstLineChars="0"/>
              <w:rPr>
                <w:rFonts w:ascii="仿宋_GB2312" w:hAnsi="仿宋_GB2312" w:eastAsia="仿宋_GB2312" w:cs="仿宋_GB2312"/>
                <w:sz w:val="18"/>
                <w:szCs w:val="18"/>
              </w:rPr>
            </w:pPr>
            <w:r>
              <w:rPr>
                <w:rFonts w:hint="eastAsia" w:ascii="仿宋_GB2312" w:hAnsi="仿宋_GB2312" w:eastAsia="仿宋_GB2312" w:cs="仿宋_GB2312"/>
                <w:sz w:val="18"/>
                <w:szCs w:val="18"/>
              </w:rPr>
              <w:t>已采纳建议</w:t>
            </w:r>
            <w:r>
              <w:rPr>
                <w:rFonts w:ascii="仿宋_GB2312" w:hAnsi="仿宋_GB2312" w:eastAsia="仿宋_GB2312" w:cs="仿宋_GB2312"/>
                <w:sz w:val="18"/>
                <w:szCs w:val="18"/>
              </w:rPr>
              <w:t>1</w:t>
            </w:r>
            <w:r>
              <w:rPr>
                <w:rFonts w:hint="eastAsia" w:ascii="仿宋_GB2312" w:hAnsi="仿宋_GB2312" w:eastAsia="仿宋_GB2312" w:cs="仿宋_GB2312"/>
                <w:sz w:val="18"/>
                <w:szCs w:val="18"/>
              </w:rPr>
              <w:t>。已删除该工程布置。</w:t>
            </w:r>
          </w:p>
          <w:p w14:paraId="554254EA">
            <w:pPr>
              <w:spacing w:line="240" w:lineRule="auto"/>
              <w:ind w:firstLine="0" w:firstLineChars="0"/>
              <w:rPr>
                <w:rFonts w:eastAsia="Times New Roman" w:cs="Times New Roman"/>
                <w:sz w:val="21"/>
              </w:rPr>
            </w:pPr>
            <w:r>
              <w:rPr>
                <w:rFonts w:hint="eastAsia" w:ascii="仿宋_GB2312" w:hAnsi="仿宋_GB2312" w:eastAsia="仿宋_GB2312" w:cs="仿宋_GB2312"/>
                <w:sz w:val="18"/>
                <w:szCs w:val="18"/>
              </w:rPr>
              <w:t>采纳建议2。已修改“排查入河排污口”的责任单位。</w:t>
            </w:r>
          </w:p>
        </w:tc>
      </w:tr>
      <w:tr w14:paraId="31A5F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1931" w:type="dxa"/>
            <w:vMerge w:val="continue"/>
          </w:tcPr>
          <w:p w14:paraId="26212287">
            <w:pPr>
              <w:snapToGrid w:val="0"/>
              <w:spacing w:line="240" w:lineRule="auto"/>
              <w:ind w:firstLine="0" w:firstLineChars="0"/>
              <w:jc w:val="center"/>
              <w:rPr>
                <w:rFonts w:eastAsia="Times New Roman" w:cs="Times New Roman"/>
                <w:sz w:val="21"/>
              </w:rPr>
            </w:pPr>
          </w:p>
        </w:tc>
        <w:tc>
          <w:tcPr>
            <w:tcW w:w="7896" w:type="dxa"/>
            <w:vAlign w:val="center"/>
          </w:tcPr>
          <w:p w14:paraId="6AF9B63B">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7、P96续表6-2 五、水节约工程 2、非常规水源利用工程 再生水利用工程：我区生活污水不是接入中嘉污水处理厂，而是接入珍家山污水处理厂（二期）。同时，珍家山污水处理厂（二期）和中嘉污水处理厂均不属我局管理辖区，我局无管辖权。</w:t>
            </w:r>
          </w:p>
        </w:tc>
        <w:tc>
          <w:tcPr>
            <w:tcW w:w="4695" w:type="dxa"/>
            <w:vAlign w:val="center"/>
          </w:tcPr>
          <w:p w14:paraId="0D1567EB">
            <w:pPr>
              <w:spacing w:line="240" w:lineRule="auto"/>
              <w:ind w:firstLine="0" w:firstLineChars="0"/>
              <w:rPr>
                <w:rFonts w:cs="Times New Roman"/>
                <w:sz w:val="21"/>
              </w:rPr>
            </w:pPr>
            <w:r>
              <w:rPr>
                <w:rFonts w:hint="eastAsia" w:ascii="仿宋_GB2312" w:hAnsi="仿宋_GB2312" w:eastAsia="仿宋_GB2312" w:cs="仿宋_GB2312"/>
                <w:sz w:val="18"/>
                <w:szCs w:val="18"/>
              </w:rPr>
              <w:t>已采纳。已修改，详见《报告》续表6-2 五、水节约工程 2、非常规水源利用工程 再生水利用工程和2.1.2.2城镇废污水收集处理系统有序推进。</w:t>
            </w:r>
          </w:p>
        </w:tc>
      </w:tr>
      <w:tr w14:paraId="3608A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2F36858A">
            <w:pPr>
              <w:snapToGrid w:val="0"/>
              <w:spacing w:line="240" w:lineRule="auto"/>
              <w:ind w:firstLine="0" w:firstLineChars="0"/>
              <w:jc w:val="center"/>
              <w:rPr>
                <w:rFonts w:eastAsia="Times New Roman" w:cs="Times New Roman"/>
                <w:sz w:val="21"/>
              </w:rPr>
            </w:pPr>
          </w:p>
        </w:tc>
        <w:tc>
          <w:tcPr>
            <w:tcW w:w="7896" w:type="dxa"/>
            <w:vAlign w:val="center"/>
          </w:tcPr>
          <w:p w14:paraId="515BFC63">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8、P101 7.2.4.1 重点工程：市生态环境局只要求省控、国控企业安装在线监控，文中所列12家企业属镇A、镇B类，未有强制安装依据。</w:t>
            </w:r>
          </w:p>
        </w:tc>
        <w:tc>
          <w:tcPr>
            <w:tcW w:w="4695" w:type="dxa"/>
            <w:vAlign w:val="center"/>
          </w:tcPr>
          <w:p w14:paraId="3BB34CCC">
            <w:pPr>
              <w:spacing w:line="240" w:lineRule="auto"/>
              <w:ind w:firstLine="0" w:firstLineChars="0"/>
              <w:rPr>
                <w:rFonts w:cs="Times New Roman"/>
                <w:sz w:val="21"/>
              </w:rPr>
            </w:pPr>
            <w:r>
              <w:rPr>
                <w:rFonts w:hint="eastAsia" w:ascii="仿宋_GB2312" w:hAnsi="仿宋_GB2312" w:eastAsia="仿宋_GB2312" w:cs="仿宋_GB2312"/>
                <w:sz w:val="18"/>
                <w:szCs w:val="18"/>
              </w:rPr>
              <w:t>采纳。已删除该工程布置。</w:t>
            </w:r>
          </w:p>
        </w:tc>
      </w:tr>
      <w:tr w14:paraId="4D43F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9" w:hRule="atLeast"/>
          <w:jc w:val="center"/>
        </w:trPr>
        <w:tc>
          <w:tcPr>
            <w:tcW w:w="1931" w:type="dxa"/>
            <w:vAlign w:val="center"/>
          </w:tcPr>
          <w:p w14:paraId="5AD65DA9">
            <w:pPr>
              <w:spacing w:line="440" w:lineRule="exact"/>
              <w:ind w:firstLine="0" w:firstLineChars="0"/>
              <w:jc w:val="center"/>
              <w:rPr>
                <w:rFonts w:eastAsia="Times New Roman" w:cs="Times New Roman"/>
                <w:sz w:val="21"/>
              </w:rPr>
            </w:pPr>
            <w:r>
              <w:rPr>
                <w:rFonts w:hint="eastAsia" w:eastAsia="Times New Roman" w:cs="Times New Roman"/>
                <w:sz w:val="21"/>
              </w:rPr>
              <w:t>住建局</w:t>
            </w:r>
          </w:p>
        </w:tc>
        <w:tc>
          <w:tcPr>
            <w:tcW w:w="7896" w:type="dxa"/>
            <w:vAlign w:val="center"/>
          </w:tcPr>
          <w:p w14:paraId="051C7658">
            <w:pPr>
              <w:spacing w:line="240" w:lineRule="auto"/>
              <w:ind w:firstLine="0" w:firstLineChars="0"/>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中山市西区水生态文明建设规划》中用地数据参考各片区控规调整方案，因多个片区控规调整方案未经市政府审批通过，建议以已批控规或总规作为依据，且多个控规名称存在错误请予以更正。即《中山市城市总体规划（2011-2020年）中心城区用地规划图（2017年8月）》、《中山市西区沙朗东片区控制性详细规划》、《中山市西区沙朗西片区控制性详细规划》、《中山市西区沙朗西片区210201单元控制性详细规划（2018）》、《中山市西区彩虹片区控制性详细规划调整》、《中山市西区翠景片区控制性详细规划》、《中山市西区旧城区长洲与岐江公园片区控制性详细规划》、《中山市西区富华道南片区（首期）控制性详细规划调整（2015年）》、《中山市中心城区马山片区（西区服务综合改革试验区）控制性详细规划》。</w:t>
            </w:r>
          </w:p>
        </w:tc>
        <w:tc>
          <w:tcPr>
            <w:tcW w:w="4695" w:type="dxa"/>
            <w:vAlign w:val="center"/>
          </w:tcPr>
          <w:p w14:paraId="3B7CB9B8">
            <w:pPr>
              <w:spacing w:line="240" w:lineRule="auto"/>
              <w:ind w:firstLine="0" w:firstLineChars="0"/>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已采纳。具体修改内容见《报告》第1章的1.3.3节中的用地数据。</w:t>
            </w:r>
          </w:p>
        </w:tc>
      </w:tr>
      <w:tr w14:paraId="279F1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931" w:type="dxa"/>
            <w:vAlign w:val="center"/>
          </w:tcPr>
          <w:p w14:paraId="152F3F6E">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区经信局</w:t>
            </w:r>
          </w:p>
        </w:tc>
        <w:tc>
          <w:tcPr>
            <w:tcW w:w="7896" w:type="dxa"/>
            <w:vAlign w:val="center"/>
          </w:tcPr>
          <w:p w14:paraId="142365D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1AB3E8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77B7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31" w:type="dxa"/>
            <w:vAlign w:val="center"/>
          </w:tcPr>
          <w:p w14:paraId="574C6F4D">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区党政办</w:t>
            </w:r>
          </w:p>
        </w:tc>
        <w:tc>
          <w:tcPr>
            <w:tcW w:w="7896" w:type="dxa"/>
            <w:vAlign w:val="center"/>
          </w:tcPr>
          <w:p w14:paraId="1CADC6E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E9AF58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2A1F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931" w:type="dxa"/>
            <w:vAlign w:val="center"/>
          </w:tcPr>
          <w:p w14:paraId="6D8D9FF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综治维稳办</w:t>
            </w:r>
          </w:p>
        </w:tc>
        <w:tc>
          <w:tcPr>
            <w:tcW w:w="7896" w:type="dxa"/>
            <w:vAlign w:val="center"/>
          </w:tcPr>
          <w:p w14:paraId="1DF8B8D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3E3B4E8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3D29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931" w:type="dxa"/>
            <w:vAlign w:val="center"/>
          </w:tcPr>
          <w:p w14:paraId="777F1D68">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组织人事办</w:t>
            </w:r>
          </w:p>
        </w:tc>
        <w:tc>
          <w:tcPr>
            <w:tcW w:w="7896" w:type="dxa"/>
            <w:vAlign w:val="center"/>
          </w:tcPr>
          <w:p w14:paraId="0080C99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CEA2DB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5967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931" w:type="dxa"/>
            <w:vAlign w:val="center"/>
          </w:tcPr>
          <w:p w14:paraId="30FBE5B4">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农社局</w:t>
            </w:r>
          </w:p>
        </w:tc>
        <w:tc>
          <w:tcPr>
            <w:tcW w:w="7896" w:type="dxa"/>
            <w:vAlign w:val="center"/>
          </w:tcPr>
          <w:p w14:paraId="68DE979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BD988F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2192C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5DC838CD">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综合行政执法局</w:t>
            </w:r>
          </w:p>
        </w:tc>
        <w:tc>
          <w:tcPr>
            <w:tcW w:w="7896" w:type="dxa"/>
            <w:vAlign w:val="center"/>
          </w:tcPr>
          <w:p w14:paraId="5B4FADF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E0A9A3C">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058A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1931" w:type="dxa"/>
            <w:vAlign w:val="center"/>
          </w:tcPr>
          <w:p w14:paraId="5C45B99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人社分局</w:t>
            </w:r>
          </w:p>
        </w:tc>
        <w:tc>
          <w:tcPr>
            <w:tcW w:w="7896" w:type="dxa"/>
            <w:vAlign w:val="center"/>
          </w:tcPr>
          <w:p w14:paraId="0E17E87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733E16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8EA5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931" w:type="dxa"/>
            <w:vAlign w:val="center"/>
          </w:tcPr>
          <w:p w14:paraId="41251FDB">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社会事务局</w:t>
            </w:r>
          </w:p>
        </w:tc>
        <w:tc>
          <w:tcPr>
            <w:tcW w:w="7896" w:type="dxa"/>
            <w:vAlign w:val="center"/>
          </w:tcPr>
          <w:p w14:paraId="641B6C8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56B81C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AE89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931" w:type="dxa"/>
            <w:vAlign w:val="center"/>
          </w:tcPr>
          <w:p w14:paraId="17A9FA3F">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卫计局</w:t>
            </w:r>
          </w:p>
        </w:tc>
        <w:tc>
          <w:tcPr>
            <w:tcW w:w="7896" w:type="dxa"/>
            <w:vAlign w:val="center"/>
          </w:tcPr>
          <w:p w14:paraId="1D95176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ABB8B9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DDBB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4F62CCB6">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文体教育局</w:t>
            </w:r>
          </w:p>
        </w:tc>
        <w:tc>
          <w:tcPr>
            <w:tcW w:w="7896" w:type="dxa"/>
            <w:vAlign w:val="center"/>
          </w:tcPr>
          <w:p w14:paraId="015970D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0464D01">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3B3A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931" w:type="dxa"/>
            <w:vAlign w:val="center"/>
          </w:tcPr>
          <w:p w14:paraId="17ACA292">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发改局</w:t>
            </w:r>
          </w:p>
        </w:tc>
        <w:tc>
          <w:tcPr>
            <w:tcW w:w="7896" w:type="dxa"/>
            <w:vAlign w:val="center"/>
          </w:tcPr>
          <w:p w14:paraId="6E25EFED">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C45B4EE">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62362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931" w:type="dxa"/>
            <w:vAlign w:val="center"/>
          </w:tcPr>
          <w:p w14:paraId="1612203A">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市场监管分局</w:t>
            </w:r>
          </w:p>
        </w:tc>
        <w:tc>
          <w:tcPr>
            <w:tcW w:w="7896" w:type="dxa"/>
            <w:vAlign w:val="center"/>
          </w:tcPr>
          <w:p w14:paraId="626C902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97CC6B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04DB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1931" w:type="dxa"/>
            <w:vAlign w:val="center"/>
          </w:tcPr>
          <w:p w14:paraId="3C92E9CD">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政务办</w:t>
            </w:r>
          </w:p>
        </w:tc>
        <w:tc>
          <w:tcPr>
            <w:tcW w:w="7896" w:type="dxa"/>
            <w:vAlign w:val="center"/>
          </w:tcPr>
          <w:p w14:paraId="4803E10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5DECE7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29F16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31" w:type="dxa"/>
            <w:vAlign w:val="center"/>
          </w:tcPr>
          <w:p w14:paraId="19F097F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审计办</w:t>
            </w:r>
          </w:p>
        </w:tc>
        <w:tc>
          <w:tcPr>
            <w:tcW w:w="7896" w:type="dxa"/>
            <w:vAlign w:val="center"/>
          </w:tcPr>
          <w:p w14:paraId="280060A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357DB27E">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85E7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931" w:type="dxa"/>
            <w:vAlign w:val="center"/>
          </w:tcPr>
          <w:p w14:paraId="5653DE2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经济发展总公司</w:t>
            </w:r>
          </w:p>
        </w:tc>
        <w:tc>
          <w:tcPr>
            <w:tcW w:w="7896" w:type="dxa"/>
            <w:vAlign w:val="center"/>
          </w:tcPr>
          <w:p w14:paraId="3CC8F80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80300E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15F8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931" w:type="dxa"/>
            <w:vAlign w:val="center"/>
          </w:tcPr>
          <w:p w14:paraId="4E243260">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财政分局</w:t>
            </w:r>
          </w:p>
        </w:tc>
        <w:tc>
          <w:tcPr>
            <w:tcW w:w="7896" w:type="dxa"/>
            <w:vAlign w:val="center"/>
          </w:tcPr>
          <w:p w14:paraId="791600B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6B9DF15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E3C0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4825B4D1">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统侨办</w:t>
            </w:r>
          </w:p>
        </w:tc>
        <w:tc>
          <w:tcPr>
            <w:tcW w:w="7896" w:type="dxa"/>
            <w:vAlign w:val="center"/>
          </w:tcPr>
          <w:p w14:paraId="7C9EED9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2AA988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6890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931" w:type="dxa"/>
            <w:vAlign w:val="center"/>
          </w:tcPr>
          <w:p w14:paraId="66758ECE">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团工委</w:t>
            </w:r>
          </w:p>
        </w:tc>
        <w:tc>
          <w:tcPr>
            <w:tcW w:w="7896" w:type="dxa"/>
            <w:vAlign w:val="center"/>
          </w:tcPr>
          <w:p w14:paraId="775C7F4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15A0ED1">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1DF73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931" w:type="dxa"/>
            <w:vAlign w:val="center"/>
          </w:tcPr>
          <w:p w14:paraId="60667E8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妇联</w:t>
            </w:r>
          </w:p>
        </w:tc>
        <w:tc>
          <w:tcPr>
            <w:tcW w:w="7896" w:type="dxa"/>
            <w:vAlign w:val="center"/>
          </w:tcPr>
          <w:p w14:paraId="1927A5C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F9B4A7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CB51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931" w:type="dxa"/>
            <w:vAlign w:val="center"/>
          </w:tcPr>
          <w:p w14:paraId="6E63AA8E">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交警西区中队</w:t>
            </w:r>
          </w:p>
        </w:tc>
        <w:tc>
          <w:tcPr>
            <w:tcW w:w="7896" w:type="dxa"/>
            <w:vAlign w:val="center"/>
          </w:tcPr>
          <w:p w14:paraId="491C4F8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7C22C1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8902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931" w:type="dxa"/>
            <w:vAlign w:val="center"/>
          </w:tcPr>
          <w:p w14:paraId="4B0277E1">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交通运输分局</w:t>
            </w:r>
          </w:p>
        </w:tc>
        <w:tc>
          <w:tcPr>
            <w:tcW w:w="7896" w:type="dxa"/>
            <w:vAlign w:val="center"/>
          </w:tcPr>
          <w:p w14:paraId="3734A73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37CFF28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E1E0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931" w:type="dxa"/>
            <w:vAlign w:val="center"/>
          </w:tcPr>
          <w:p w14:paraId="279D3EC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应急管理分局</w:t>
            </w:r>
          </w:p>
        </w:tc>
        <w:tc>
          <w:tcPr>
            <w:tcW w:w="7896" w:type="dxa"/>
            <w:vAlign w:val="center"/>
          </w:tcPr>
          <w:p w14:paraId="7496F04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EC9A55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2C6A1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1931" w:type="dxa"/>
            <w:vAlign w:val="center"/>
          </w:tcPr>
          <w:p w14:paraId="7D5A9419">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西区专职消防队</w:t>
            </w:r>
          </w:p>
        </w:tc>
        <w:tc>
          <w:tcPr>
            <w:tcW w:w="7896" w:type="dxa"/>
            <w:vAlign w:val="center"/>
          </w:tcPr>
          <w:p w14:paraId="7E97F04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617932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BC69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1033FF7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供电分局</w:t>
            </w:r>
          </w:p>
        </w:tc>
        <w:tc>
          <w:tcPr>
            <w:tcW w:w="7896" w:type="dxa"/>
            <w:vAlign w:val="center"/>
          </w:tcPr>
          <w:p w14:paraId="0229D67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219D91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D082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931" w:type="dxa"/>
            <w:vAlign w:val="center"/>
          </w:tcPr>
          <w:p w14:paraId="64F00D92">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城执分局</w:t>
            </w:r>
          </w:p>
        </w:tc>
        <w:tc>
          <w:tcPr>
            <w:tcW w:w="7896" w:type="dxa"/>
            <w:vAlign w:val="center"/>
          </w:tcPr>
          <w:p w14:paraId="7128D55D">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4593CA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9D08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931" w:type="dxa"/>
            <w:vAlign w:val="center"/>
          </w:tcPr>
          <w:p w14:paraId="00F8542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工会</w:t>
            </w:r>
          </w:p>
        </w:tc>
        <w:tc>
          <w:tcPr>
            <w:tcW w:w="7896" w:type="dxa"/>
            <w:vAlign w:val="center"/>
          </w:tcPr>
          <w:p w14:paraId="67D5810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BF8B30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0353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1931" w:type="dxa"/>
            <w:vAlign w:val="center"/>
          </w:tcPr>
          <w:p w14:paraId="62F4131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宣传办</w:t>
            </w:r>
          </w:p>
        </w:tc>
        <w:tc>
          <w:tcPr>
            <w:tcW w:w="7896" w:type="dxa"/>
            <w:vAlign w:val="center"/>
          </w:tcPr>
          <w:p w14:paraId="6BB6407D">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F716CF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A553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931" w:type="dxa"/>
            <w:vAlign w:val="center"/>
          </w:tcPr>
          <w:p w14:paraId="515B6F1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公安分局</w:t>
            </w:r>
          </w:p>
        </w:tc>
        <w:tc>
          <w:tcPr>
            <w:tcW w:w="7896" w:type="dxa"/>
            <w:vAlign w:val="center"/>
          </w:tcPr>
          <w:p w14:paraId="60684E5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75664F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F7FB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931" w:type="dxa"/>
            <w:vAlign w:val="center"/>
          </w:tcPr>
          <w:p w14:paraId="2E49F436">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供水公司</w:t>
            </w:r>
          </w:p>
        </w:tc>
        <w:tc>
          <w:tcPr>
            <w:tcW w:w="7896" w:type="dxa"/>
            <w:vAlign w:val="center"/>
          </w:tcPr>
          <w:p w14:paraId="3EF8F7F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1455CC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5FB1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931" w:type="dxa"/>
            <w:vAlign w:val="center"/>
          </w:tcPr>
          <w:p w14:paraId="420ABB39">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长洲社区</w:t>
            </w:r>
          </w:p>
        </w:tc>
        <w:tc>
          <w:tcPr>
            <w:tcW w:w="7896" w:type="dxa"/>
            <w:vAlign w:val="center"/>
          </w:tcPr>
          <w:p w14:paraId="348A7AC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60A5043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633C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931" w:type="dxa"/>
            <w:vAlign w:val="center"/>
          </w:tcPr>
          <w:p w14:paraId="032CEDF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后山社区</w:t>
            </w:r>
          </w:p>
        </w:tc>
        <w:tc>
          <w:tcPr>
            <w:tcW w:w="7896" w:type="dxa"/>
            <w:vAlign w:val="center"/>
          </w:tcPr>
          <w:p w14:paraId="2C1B085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67C42FB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AD48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931" w:type="dxa"/>
            <w:vAlign w:val="center"/>
          </w:tcPr>
          <w:p w14:paraId="3AEACD24">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广丰社区</w:t>
            </w:r>
          </w:p>
        </w:tc>
        <w:tc>
          <w:tcPr>
            <w:tcW w:w="7896" w:type="dxa"/>
            <w:vAlign w:val="center"/>
          </w:tcPr>
          <w:p w14:paraId="2BFAE04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AF60F4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58DE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931" w:type="dxa"/>
            <w:vAlign w:val="center"/>
          </w:tcPr>
          <w:p w14:paraId="76081D7F">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彩虹社区</w:t>
            </w:r>
          </w:p>
        </w:tc>
        <w:tc>
          <w:tcPr>
            <w:tcW w:w="7896" w:type="dxa"/>
            <w:vAlign w:val="center"/>
          </w:tcPr>
          <w:p w14:paraId="10781C1F">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467F49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5C2B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1931" w:type="dxa"/>
            <w:vAlign w:val="center"/>
          </w:tcPr>
          <w:p w14:paraId="2E64B9AF">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烟洲社区</w:t>
            </w:r>
          </w:p>
        </w:tc>
        <w:tc>
          <w:tcPr>
            <w:tcW w:w="7896" w:type="dxa"/>
            <w:vAlign w:val="center"/>
          </w:tcPr>
          <w:p w14:paraId="1D92A79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2344D3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E6B5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931" w:type="dxa"/>
            <w:vAlign w:val="center"/>
          </w:tcPr>
          <w:p w14:paraId="09B82EF1">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西苑社区</w:t>
            </w:r>
          </w:p>
        </w:tc>
        <w:tc>
          <w:tcPr>
            <w:tcW w:w="7896" w:type="dxa"/>
            <w:vAlign w:val="center"/>
          </w:tcPr>
          <w:p w14:paraId="7E93AAB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B7DE88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E531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931" w:type="dxa"/>
            <w:vAlign w:val="center"/>
          </w:tcPr>
          <w:p w14:paraId="6F3F30A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沙朗社区</w:t>
            </w:r>
          </w:p>
        </w:tc>
        <w:tc>
          <w:tcPr>
            <w:tcW w:w="7896" w:type="dxa"/>
            <w:vAlign w:val="center"/>
          </w:tcPr>
          <w:p w14:paraId="303DC0D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056EE7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54BE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6C520BB9">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隆昌社区</w:t>
            </w:r>
          </w:p>
        </w:tc>
        <w:tc>
          <w:tcPr>
            <w:tcW w:w="7896" w:type="dxa"/>
            <w:vAlign w:val="center"/>
          </w:tcPr>
          <w:p w14:paraId="6849340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CC7D521">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3B16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931" w:type="dxa"/>
            <w:vAlign w:val="center"/>
          </w:tcPr>
          <w:p w14:paraId="7E61496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隆平社区</w:t>
            </w:r>
          </w:p>
        </w:tc>
        <w:tc>
          <w:tcPr>
            <w:tcW w:w="7896" w:type="dxa"/>
            <w:vAlign w:val="center"/>
          </w:tcPr>
          <w:p w14:paraId="714ACF7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925644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4F9F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2EEF3CFA">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公众意见</w:t>
            </w:r>
          </w:p>
        </w:tc>
        <w:tc>
          <w:tcPr>
            <w:tcW w:w="7896" w:type="dxa"/>
            <w:vAlign w:val="center"/>
          </w:tcPr>
          <w:p w14:paraId="756CCCF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63252C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bl>
    <w:p w14:paraId="74121960">
      <w:pPr>
        <w:ind w:firstLine="0" w:firstLineChars="0"/>
        <w:sectPr>
          <w:pgSz w:w="16838" w:h="11906" w:orient="landscape"/>
          <w:pgMar w:top="1797" w:right="1440" w:bottom="1797" w:left="1440" w:header="851" w:footer="992" w:gutter="0"/>
          <w:cols w:space="425" w:num="1"/>
          <w:docGrid w:type="linesAndChars" w:linePitch="326" w:charSpace="0"/>
        </w:sectPr>
      </w:pPr>
    </w:p>
    <w:tbl>
      <w:tblPr>
        <w:tblStyle w:val="71"/>
        <w:tblW w:w="14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1"/>
        <w:gridCol w:w="7849"/>
        <w:gridCol w:w="4742"/>
      </w:tblGrid>
      <w:tr w14:paraId="0B160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931" w:type="dxa"/>
            <w:shd w:val="clear" w:color="auto" w:fill="D7D7D7" w:themeFill="background1" w:themeFillShade="D8"/>
          </w:tcPr>
          <w:p w14:paraId="74C5E4EF">
            <w:pPr>
              <w:snapToGrid w:val="0"/>
              <w:spacing w:before="163" w:beforeLines="50" w:after="163" w:afterLines="50" w:line="240" w:lineRule="auto"/>
              <w:ind w:firstLine="0" w:firstLineChars="0"/>
              <w:jc w:val="center"/>
              <w:rPr>
                <w:rFonts w:eastAsia="宋体" w:cs="Times New Roman"/>
                <w:szCs w:val="24"/>
              </w:rPr>
            </w:pPr>
            <w:r>
              <w:rPr>
                <w:rFonts w:hint="eastAsia" w:eastAsia="宋体" w:cs="Times New Roman"/>
                <w:szCs w:val="24"/>
              </w:rPr>
              <w:t>专家</w:t>
            </w:r>
            <w:r>
              <w:rPr>
                <w:rFonts w:eastAsia="宋体" w:cs="Times New Roman"/>
                <w:szCs w:val="24"/>
              </w:rPr>
              <w:t>意见</w:t>
            </w:r>
          </w:p>
        </w:tc>
        <w:tc>
          <w:tcPr>
            <w:tcW w:w="7849" w:type="dxa"/>
            <w:shd w:val="clear" w:color="auto" w:fill="D7D7D7" w:themeFill="background1" w:themeFillShade="D8"/>
            <w:vAlign w:val="center"/>
          </w:tcPr>
          <w:p w14:paraId="07965A79">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修改意见</w:t>
            </w:r>
          </w:p>
        </w:tc>
        <w:tc>
          <w:tcPr>
            <w:tcW w:w="4742" w:type="dxa"/>
            <w:shd w:val="clear" w:color="auto" w:fill="D7D7D7" w:themeFill="background1" w:themeFillShade="D8"/>
            <w:vAlign w:val="center"/>
          </w:tcPr>
          <w:p w14:paraId="36130665">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意见回复</w:t>
            </w:r>
          </w:p>
        </w:tc>
      </w:tr>
      <w:tr w14:paraId="3ECE3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931" w:type="dxa"/>
            <w:vMerge w:val="restart"/>
          </w:tcPr>
          <w:p w14:paraId="4EC8CA1E">
            <w:pPr>
              <w:snapToGrid w:val="0"/>
              <w:spacing w:line="240" w:lineRule="auto"/>
              <w:ind w:firstLine="0" w:firstLineChars="0"/>
              <w:jc w:val="center"/>
              <w:rPr>
                <w:rFonts w:ascii="宋体" w:hAnsi="宋体" w:eastAsia="宋体" w:cs="宋体"/>
                <w:szCs w:val="24"/>
              </w:rPr>
            </w:pPr>
          </w:p>
          <w:p w14:paraId="2B74303E">
            <w:pPr>
              <w:snapToGrid w:val="0"/>
              <w:spacing w:line="240" w:lineRule="auto"/>
              <w:ind w:firstLine="0" w:firstLineChars="0"/>
              <w:jc w:val="center"/>
              <w:rPr>
                <w:rFonts w:ascii="宋体" w:hAnsi="宋体" w:eastAsia="宋体" w:cs="宋体"/>
                <w:szCs w:val="24"/>
              </w:rPr>
            </w:pPr>
          </w:p>
          <w:p w14:paraId="60486AC1">
            <w:pPr>
              <w:snapToGrid w:val="0"/>
              <w:spacing w:line="240" w:lineRule="auto"/>
              <w:ind w:firstLine="0" w:firstLineChars="0"/>
              <w:jc w:val="center"/>
              <w:rPr>
                <w:rFonts w:ascii="宋体" w:hAnsi="宋体" w:eastAsia="宋体" w:cs="宋体"/>
                <w:szCs w:val="24"/>
              </w:rPr>
            </w:pPr>
          </w:p>
          <w:p w14:paraId="658C922B">
            <w:pPr>
              <w:snapToGrid w:val="0"/>
              <w:spacing w:line="240" w:lineRule="auto"/>
              <w:ind w:firstLine="0" w:firstLineChars="0"/>
              <w:jc w:val="center"/>
              <w:rPr>
                <w:rFonts w:ascii="宋体" w:hAnsi="宋体" w:eastAsia="宋体" w:cs="宋体"/>
                <w:szCs w:val="24"/>
              </w:rPr>
            </w:pPr>
            <w:r>
              <w:rPr>
                <w:rFonts w:hint="eastAsia" w:ascii="宋体" w:hAnsi="宋体" w:eastAsia="宋体" w:cs="宋体"/>
                <w:szCs w:val="24"/>
              </w:rPr>
              <w:t>专家组</w:t>
            </w:r>
          </w:p>
          <w:p w14:paraId="58D8D483">
            <w:pPr>
              <w:snapToGrid w:val="0"/>
              <w:spacing w:line="240" w:lineRule="auto"/>
              <w:ind w:firstLine="0" w:firstLineChars="0"/>
              <w:jc w:val="center"/>
              <w:rPr>
                <w:rFonts w:cs="Times New Roman"/>
                <w:szCs w:val="24"/>
              </w:rPr>
            </w:pPr>
          </w:p>
          <w:p w14:paraId="543AF7C8">
            <w:pPr>
              <w:snapToGrid w:val="0"/>
              <w:spacing w:line="240" w:lineRule="auto"/>
              <w:ind w:firstLine="0" w:firstLineChars="0"/>
              <w:jc w:val="center"/>
              <w:rPr>
                <w:rFonts w:cs="Times New Roman"/>
                <w:szCs w:val="24"/>
              </w:rPr>
            </w:pPr>
          </w:p>
          <w:p w14:paraId="352C0E09">
            <w:pPr>
              <w:snapToGrid w:val="0"/>
              <w:spacing w:line="240" w:lineRule="auto"/>
              <w:ind w:firstLine="0" w:firstLineChars="0"/>
              <w:jc w:val="center"/>
              <w:rPr>
                <w:rFonts w:cs="Times New Roman"/>
                <w:szCs w:val="24"/>
              </w:rPr>
            </w:pPr>
          </w:p>
        </w:tc>
        <w:tc>
          <w:tcPr>
            <w:tcW w:w="7849" w:type="dxa"/>
            <w:vAlign w:val="center"/>
          </w:tcPr>
          <w:p w14:paraId="3E178A4C">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21"/>
              </w:rPr>
              <w:t>1、梳理完善现状及问题描述。</w:t>
            </w:r>
          </w:p>
        </w:tc>
        <w:tc>
          <w:tcPr>
            <w:tcW w:w="4742" w:type="dxa"/>
            <w:vAlign w:val="center"/>
          </w:tcPr>
          <w:p w14:paraId="155FCBB1">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21"/>
              </w:rPr>
              <w:t>已采纳。已按建议，补充相关现状资料，梳理完善现状及问题描述，详见《报告》第2章节。</w:t>
            </w:r>
          </w:p>
        </w:tc>
      </w:tr>
      <w:tr w14:paraId="7A5B5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1931" w:type="dxa"/>
            <w:vMerge w:val="continue"/>
          </w:tcPr>
          <w:p w14:paraId="3A7CAFF3">
            <w:pPr>
              <w:snapToGrid w:val="0"/>
              <w:spacing w:line="240" w:lineRule="auto"/>
              <w:ind w:firstLine="0" w:firstLineChars="0"/>
              <w:jc w:val="center"/>
              <w:rPr>
                <w:rFonts w:eastAsia="Times New Roman" w:cs="Times New Roman"/>
                <w:szCs w:val="24"/>
              </w:rPr>
            </w:pPr>
          </w:p>
        </w:tc>
        <w:tc>
          <w:tcPr>
            <w:tcW w:w="7849" w:type="dxa"/>
            <w:vAlign w:val="center"/>
          </w:tcPr>
          <w:p w14:paraId="1F2F6BA0">
            <w:pPr>
              <w:spacing w:line="240" w:lineRule="auto"/>
              <w:ind w:firstLine="0" w:firstLineChars="0"/>
              <w:jc w:val="left"/>
              <w:rPr>
                <w:rFonts w:cs="Times New Roman"/>
                <w:sz w:val="21"/>
              </w:rPr>
            </w:pPr>
            <w:r>
              <w:rPr>
                <w:rFonts w:hint="eastAsia" w:ascii="仿宋_GB2312" w:hAnsi="仿宋_GB2312" w:eastAsia="仿宋_GB2312" w:cs="仿宋_GB2312"/>
                <w:sz w:val="21"/>
              </w:rPr>
              <w:t>2、优化指标体系设置，复核建设目标。</w:t>
            </w:r>
          </w:p>
        </w:tc>
        <w:tc>
          <w:tcPr>
            <w:tcW w:w="4742" w:type="dxa"/>
            <w:vAlign w:val="center"/>
          </w:tcPr>
          <w:p w14:paraId="5036EA8A">
            <w:pPr>
              <w:spacing w:line="240" w:lineRule="auto"/>
              <w:ind w:firstLine="0" w:firstLineChars="0"/>
              <w:rPr>
                <w:rFonts w:eastAsia="Times New Roman" w:cs="Times New Roman"/>
                <w:sz w:val="21"/>
              </w:rPr>
            </w:pPr>
            <w:r>
              <w:rPr>
                <w:rFonts w:hint="eastAsia" w:ascii="仿宋_GB2312" w:hAnsi="仿宋_GB2312" w:eastAsia="仿宋_GB2312" w:cs="仿宋_GB2312"/>
                <w:sz w:val="21"/>
              </w:rPr>
              <w:t>已采纳。已按中山市水生态文明建设指标体系和西区实际，优化指标体系，并复核建设目标，详见《报告》第4章节。</w:t>
            </w:r>
          </w:p>
        </w:tc>
      </w:tr>
      <w:tr w14:paraId="508AC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1931" w:type="dxa"/>
            <w:vMerge w:val="continue"/>
          </w:tcPr>
          <w:p w14:paraId="7119F2E5">
            <w:pPr>
              <w:snapToGrid w:val="0"/>
              <w:spacing w:line="240" w:lineRule="auto"/>
              <w:ind w:firstLine="0" w:firstLineChars="0"/>
              <w:jc w:val="center"/>
              <w:rPr>
                <w:rFonts w:eastAsia="Times New Roman" w:cs="Times New Roman"/>
                <w:szCs w:val="24"/>
              </w:rPr>
            </w:pPr>
          </w:p>
        </w:tc>
        <w:tc>
          <w:tcPr>
            <w:tcW w:w="7849" w:type="dxa"/>
            <w:vAlign w:val="center"/>
          </w:tcPr>
          <w:p w14:paraId="4D367D32">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21"/>
              </w:rPr>
              <w:t>3、细化完善工程和非工程措施及实施计划安排。</w:t>
            </w:r>
          </w:p>
        </w:tc>
        <w:tc>
          <w:tcPr>
            <w:tcW w:w="4742" w:type="dxa"/>
            <w:vAlign w:val="center"/>
          </w:tcPr>
          <w:p w14:paraId="7D17BC05">
            <w:pPr>
              <w:spacing w:line="240" w:lineRule="auto"/>
              <w:ind w:firstLine="0" w:firstLineChars="0"/>
              <w:rPr>
                <w:rFonts w:eastAsia="Times New Roman" w:cs="Times New Roman"/>
                <w:sz w:val="21"/>
              </w:rPr>
            </w:pPr>
            <w:r>
              <w:rPr>
                <w:rFonts w:hint="eastAsia" w:ascii="仿宋_GB2312" w:hAnsi="仿宋_GB2312" w:eastAsia="仿宋_GB2312" w:cs="仿宋_GB2312"/>
                <w:sz w:val="21"/>
              </w:rPr>
              <w:t>已采纳。已细化完善工程，细分近、中、远期工程措施，增加非工程措施，以及细化完善实施计划安排，详见《报告》第6、7章节。</w:t>
            </w:r>
          </w:p>
        </w:tc>
      </w:tr>
      <w:tr w14:paraId="2C6B3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931" w:type="dxa"/>
            <w:vMerge w:val="restart"/>
          </w:tcPr>
          <w:p w14:paraId="77F45AD2">
            <w:pPr>
              <w:snapToGrid w:val="0"/>
              <w:spacing w:line="240" w:lineRule="auto"/>
              <w:ind w:firstLine="0" w:firstLineChars="0"/>
              <w:jc w:val="center"/>
              <w:rPr>
                <w:rFonts w:cs="Times New Roman"/>
                <w:szCs w:val="24"/>
              </w:rPr>
            </w:pPr>
          </w:p>
          <w:p w14:paraId="219B3A2A">
            <w:pPr>
              <w:snapToGrid w:val="0"/>
              <w:spacing w:line="240" w:lineRule="auto"/>
              <w:ind w:firstLine="0" w:firstLineChars="0"/>
              <w:jc w:val="center"/>
              <w:rPr>
                <w:rFonts w:cs="Times New Roman"/>
                <w:szCs w:val="24"/>
              </w:rPr>
            </w:pPr>
          </w:p>
          <w:p w14:paraId="3868C0B0">
            <w:pPr>
              <w:snapToGrid w:val="0"/>
              <w:spacing w:line="240" w:lineRule="auto"/>
              <w:ind w:firstLine="0" w:firstLineChars="0"/>
              <w:jc w:val="center"/>
              <w:rPr>
                <w:rFonts w:cs="Times New Roman"/>
                <w:szCs w:val="24"/>
              </w:rPr>
            </w:pPr>
          </w:p>
          <w:p w14:paraId="175ED62C">
            <w:pPr>
              <w:snapToGrid w:val="0"/>
              <w:spacing w:line="240" w:lineRule="auto"/>
              <w:ind w:firstLine="0" w:firstLineChars="0"/>
              <w:jc w:val="center"/>
              <w:rPr>
                <w:rFonts w:cs="Times New Roman"/>
                <w:szCs w:val="24"/>
              </w:rPr>
            </w:pPr>
          </w:p>
          <w:p w14:paraId="73D76567">
            <w:pPr>
              <w:snapToGrid w:val="0"/>
              <w:spacing w:line="240" w:lineRule="auto"/>
              <w:ind w:firstLine="0" w:firstLineChars="0"/>
              <w:jc w:val="center"/>
              <w:rPr>
                <w:rFonts w:cs="Times New Roman"/>
                <w:szCs w:val="24"/>
              </w:rPr>
            </w:pPr>
          </w:p>
          <w:p w14:paraId="305B0775">
            <w:pPr>
              <w:snapToGrid w:val="0"/>
              <w:spacing w:line="240" w:lineRule="auto"/>
              <w:ind w:firstLine="0" w:firstLineChars="0"/>
              <w:jc w:val="center"/>
              <w:rPr>
                <w:rFonts w:cs="Times New Roman"/>
                <w:szCs w:val="24"/>
              </w:rPr>
            </w:pPr>
            <w:r>
              <w:rPr>
                <w:rFonts w:hint="eastAsia" w:cs="Times New Roman"/>
                <w:szCs w:val="24"/>
              </w:rPr>
              <w:t>王清香</w:t>
            </w:r>
          </w:p>
          <w:p w14:paraId="25EDEB5F">
            <w:pPr>
              <w:snapToGrid w:val="0"/>
              <w:spacing w:line="240" w:lineRule="auto"/>
              <w:ind w:firstLine="0" w:firstLineChars="0"/>
              <w:jc w:val="center"/>
              <w:rPr>
                <w:rFonts w:cs="Times New Roman"/>
                <w:szCs w:val="24"/>
              </w:rPr>
            </w:pPr>
          </w:p>
          <w:p w14:paraId="6C3CEB2F">
            <w:pPr>
              <w:snapToGrid w:val="0"/>
              <w:spacing w:line="240" w:lineRule="auto"/>
              <w:ind w:firstLine="0" w:firstLineChars="0"/>
              <w:jc w:val="center"/>
              <w:rPr>
                <w:rFonts w:cs="Times New Roman"/>
                <w:szCs w:val="24"/>
              </w:rPr>
            </w:pPr>
          </w:p>
          <w:p w14:paraId="02A520E2">
            <w:pPr>
              <w:snapToGrid w:val="0"/>
              <w:spacing w:line="240" w:lineRule="auto"/>
              <w:ind w:firstLine="0" w:firstLineChars="0"/>
              <w:jc w:val="center"/>
              <w:rPr>
                <w:rFonts w:cs="Times New Roman"/>
                <w:szCs w:val="24"/>
              </w:rPr>
            </w:pPr>
          </w:p>
        </w:tc>
        <w:tc>
          <w:tcPr>
            <w:tcW w:w="7849" w:type="dxa"/>
            <w:vAlign w:val="center"/>
          </w:tcPr>
          <w:p w14:paraId="55765832">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1、从水生态文明建设的五个体系出发，进一步梳理，完善现状的有关内容。</w:t>
            </w:r>
          </w:p>
        </w:tc>
        <w:tc>
          <w:tcPr>
            <w:tcW w:w="4742" w:type="dxa"/>
            <w:vAlign w:val="center"/>
          </w:tcPr>
          <w:p w14:paraId="4A1DFD5E">
            <w:pPr>
              <w:spacing w:line="240" w:lineRule="auto"/>
              <w:ind w:firstLine="0" w:firstLineChars="0"/>
              <w:rPr>
                <w:rFonts w:cs="Times New Roman"/>
                <w:sz w:val="21"/>
              </w:rPr>
            </w:pPr>
            <w:r>
              <w:rPr>
                <w:rFonts w:hint="eastAsia" w:ascii="仿宋_GB2312" w:hAnsi="仿宋_GB2312" w:eastAsia="仿宋_GB2312" w:cs="仿宋_GB2312"/>
                <w:sz w:val="21"/>
              </w:rPr>
              <w:t>已采纳。已按建议，补充相关现状资料，进一步梳理，完善现状的内容，详见《报告》第2章节。</w:t>
            </w:r>
          </w:p>
        </w:tc>
      </w:tr>
      <w:tr w14:paraId="679FD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1931" w:type="dxa"/>
            <w:vMerge w:val="continue"/>
          </w:tcPr>
          <w:p w14:paraId="320298AA">
            <w:pPr>
              <w:snapToGrid w:val="0"/>
              <w:spacing w:line="240" w:lineRule="auto"/>
              <w:ind w:firstLine="0" w:firstLineChars="0"/>
              <w:jc w:val="center"/>
              <w:rPr>
                <w:rFonts w:eastAsia="Times New Roman" w:cs="Times New Roman"/>
                <w:szCs w:val="24"/>
              </w:rPr>
            </w:pPr>
          </w:p>
        </w:tc>
        <w:tc>
          <w:tcPr>
            <w:tcW w:w="7849" w:type="dxa"/>
            <w:vAlign w:val="center"/>
          </w:tcPr>
          <w:p w14:paraId="5C158EC4">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2、与中山市水生态文明建设规划指标体系衔接，优化指标体系。</w:t>
            </w:r>
          </w:p>
        </w:tc>
        <w:tc>
          <w:tcPr>
            <w:tcW w:w="4742" w:type="dxa"/>
            <w:vAlign w:val="center"/>
          </w:tcPr>
          <w:p w14:paraId="279C81CE">
            <w:pPr>
              <w:spacing w:line="240" w:lineRule="auto"/>
              <w:ind w:firstLine="0" w:firstLineChars="0"/>
              <w:rPr>
                <w:rFonts w:cs="Times New Roman"/>
                <w:sz w:val="21"/>
              </w:rPr>
            </w:pPr>
            <w:r>
              <w:rPr>
                <w:rFonts w:hint="eastAsia" w:ascii="仿宋_GB2312" w:hAnsi="仿宋_GB2312" w:eastAsia="仿宋_GB2312" w:cs="仿宋_GB2312"/>
                <w:sz w:val="21"/>
              </w:rPr>
              <w:t>已采纳。已按建议，衔接中山市水生态文明建设规划指标体系，优化指标体系，增加合适和删减不合适的指标，详见《报告》第4章节。</w:t>
            </w:r>
          </w:p>
        </w:tc>
      </w:tr>
      <w:tr w14:paraId="7F582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931" w:type="dxa"/>
            <w:vMerge w:val="continue"/>
          </w:tcPr>
          <w:p w14:paraId="00CF4EA3">
            <w:pPr>
              <w:snapToGrid w:val="0"/>
              <w:spacing w:line="240" w:lineRule="auto"/>
              <w:ind w:firstLine="0" w:firstLineChars="0"/>
              <w:jc w:val="center"/>
              <w:rPr>
                <w:rFonts w:eastAsia="Times New Roman" w:cs="Times New Roman"/>
                <w:szCs w:val="24"/>
              </w:rPr>
            </w:pPr>
          </w:p>
        </w:tc>
        <w:tc>
          <w:tcPr>
            <w:tcW w:w="7849" w:type="dxa"/>
            <w:vAlign w:val="center"/>
          </w:tcPr>
          <w:p w14:paraId="373357A5">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3、结合现状复核现状指标值，优化规划指标值并分析可达性。</w:t>
            </w:r>
          </w:p>
        </w:tc>
        <w:tc>
          <w:tcPr>
            <w:tcW w:w="4742" w:type="dxa"/>
            <w:vAlign w:val="center"/>
          </w:tcPr>
          <w:p w14:paraId="1A63997C">
            <w:pPr>
              <w:spacing w:line="240" w:lineRule="auto"/>
              <w:ind w:firstLine="0" w:firstLineChars="0"/>
              <w:rPr>
                <w:rFonts w:cs="Times New Roman"/>
                <w:sz w:val="21"/>
              </w:rPr>
            </w:pPr>
            <w:r>
              <w:rPr>
                <w:rFonts w:hint="eastAsia" w:ascii="仿宋_GB2312" w:hAnsi="仿宋_GB2312" w:eastAsia="仿宋_GB2312" w:cs="仿宋_GB2312"/>
                <w:sz w:val="21"/>
              </w:rPr>
              <w:t>已采纳。已结合现状复核现状指标值，优化规划指标值，并结合现状、相关规划和工程措施分析规划指标值的可达性，详见《报告》第4、6章节。</w:t>
            </w:r>
          </w:p>
        </w:tc>
      </w:tr>
      <w:tr w14:paraId="05B1B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1931" w:type="dxa"/>
            <w:vMerge w:val="continue"/>
          </w:tcPr>
          <w:p w14:paraId="676A40A9">
            <w:pPr>
              <w:snapToGrid w:val="0"/>
              <w:spacing w:line="240" w:lineRule="auto"/>
              <w:ind w:firstLine="0" w:firstLineChars="0"/>
              <w:jc w:val="center"/>
              <w:rPr>
                <w:rFonts w:eastAsia="Times New Roman" w:cs="Times New Roman"/>
                <w:szCs w:val="24"/>
              </w:rPr>
            </w:pPr>
          </w:p>
        </w:tc>
        <w:tc>
          <w:tcPr>
            <w:tcW w:w="7849" w:type="dxa"/>
            <w:vAlign w:val="center"/>
          </w:tcPr>
          <w:p w14:paraId="117B32E0">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4、与指标体系指标值结合，明确重点工程实施计划，以便进一步评价近期实施效果。</w:t>
            </w:r>
          </w:p>
        </w:tc>
        <w:tc>
          <w:tcPr>
            <w:tcW w:w="4742" w:type="dxa"/>
            <w:vAlign w:val="center"/>
          </w:tcPr>
          <w:p w14:paraId="72C7BD0F">
            <w:pPr>
              <w:spacing w:line="240" w:lineRule="auto"/>
              <w:ind w:firstLine="0" w:firstLineChars="0"/>
              <w:rPr>
                <w:rFonts w:cs="Times New Roman"/>
                <w:sz w:val="21"/>
              </w:rPr>
            </w:pPr>
            <w:r>
              <w:rPr>
                <w:rFonts w:hint="eastAsia" w:ascii="仿宋_GB2312" w:hAnsi="仿宋_GB2312" w:eastAsia="仿宋_GB2312" w:cs="仿宋_GB2312"/>
                <w:sz w:val="21"/>
              </w:rPr>
              <w:t>已采纳。已结合指标体系指标值，明确重点工程实施计划，对应规划指标体系，细分近、中、远期重点工程，详见《报告》第4、6章节。</w:t>
            </w:r>
          </w:p>
        </w:tc>
      </w:tr>
      <w:tr w14:paraId="0F021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restart"/>
          </w:tcPr>
          <w:p w14:paraId="6BD0B5B2">
            <w:pPr>
              <w:snapToGrid w:val="0"/>
              <w:spacing w:line="240" w:lineRule="auto"/>
              <w:ind w:firstLine="0" w:firstLineChars="0"/>
              <w:jc w:val="center"/>
              <w:rPr>
                <w:rFonts w:cs="Times New Roman"/>
                <w:szCs w:val="24"/>
              </w:rPr>
            </w:pPr>
          </w:p>
          <w:p w14:paraId="2C3CCAD5">
            <w:pPr>
              <w:snapToGrid w:val="0"/>
              <w:spacing w:line="240" w:lineRule="auto"/>
              <w:ind w:firstLine="0" w:firstLineChars="0"/>
              <w:jc w:val="center"/>
              <w:rPr>
                <w:rFonts w:cs="Times New Roman"/>
                <w:szCs w:val="24"/>
              </w:rPr>
            </w:pPr>
          </w:p>
          <w:p w14:paraId="22B182A0">
            <w:pPr>
              <w:snapToGrid w:val="0"/>
              <w:spacing w:line="240" w:lineRule="auto"/>
              <w:ind w:firstLine="0" w:firstLineChars="0"/>
              <w:jc w:val="center"/>
              <w:rPr>
                <w:rFonts w:cs="Times New Roman"/>
                <w:szCs w:val="24"/>
              </w:rPr>
            </w:pPr>
          </w:p>
          <w:p w14:paraId="46CF9816">
            <w:pPr>
              <w:snapToGrid w:val="0"/>
              <w:spacing w:line="240" w:lineRule="auto"/>
              <w:ind w:firstLine="0" w:firstLineChars="0"/>
              <w:jc w:val="center"/>
              <w:rPr>
                <w:rFonts w:cs="Times New Roman"/>
                <w:szCs w:val="24"/>
              </w:rPr>
            </w:pPr>
          </w:p>
          <w:p w14:paraId="19CD039E">
            <w:pPr>
              <w:snapToGrid w:val="0"/>
              <w:spacing w:line="240" w:lineRule="auto"/>
              <w:ind w:firstLine="0" w:firstLineChars="0"/>
              <w:jc w:val="center"/>
              <w:rPr>
                <w:rFonts w:cs="Times New Roman"/>
                <w:szCs w:val="24"/>
              </w:rPr>
            </w:pPr>
          </w:p>
          <w:p w14:paraId="21C1B5E8">
            <w:pPr>
              <w:snapToGrid w:val="0"/>
              <w:spacing w:line="240" w:lineRule="auto"/>
              <w:ind w:firstLine="0" w:firstLineChars="0"/>
              <w:jc w:val="center"/>
              <w:rPr>
                <w:rFonts w:cs="Times New Roman"/>
                <w:szCs w:val="24"/>
              </w:rPr>
            </w:pPr>
          </w:p>
          <w:p w14:paraId="28B7C539">
            <w:pPr>
              <w:snapToGrid w:val="0"/>
              <w:spacing w:line="240" w:lineRule="auto"/>
              <w:ind w:firstLine="0" w:firstLineChars="0"/>
              <w:jc w:val="center"/>
              <w:rPr>
                <w:rFonts w:cs="Times New Roman"/>
                <w:szCs w:val="24"/>
              </w:rPr>
            </w:pPr>
          </w:p>
          <w:p w14:paraId="5AB4CFF8">
            <w:pPr>
              <w:snapToGrid w:val="0"/>
              <w:spacing w:line="240" w:lineRule="auto"/>
              <w:ind w:firstLine="0" w:firstLineChars="0"/>
              <w:rPr>
                <w:rFonts w:cs="Times New Roman"/>
                <w:szCs w:val="24"/>
              </w:rPr>
            </w:pPr>
          </w:p>
          <w:p w14:paraId="0EEDE90A">
            <w:pPr>
              <w:snapToGrid w:val="0"/>
              <w:spacing w:line="240" w:lineRule="auto"/>
              <w:ind w:firstLine="0" w:firstLineChars="0"/>
              <w:jc w:val="center"/>
              <w:rPr>
                <w:rFonts w:cs="Times New Roman"/>
                <w:szCs w:val="24"/>
              </w:rPr>
            </w:pPr>
            <w:r>
              <w:rPr>
                <w:rFonts w:hint="eastAsia" w:cs="Times New Roman"/>
                <w:szCs w:val="24"/>
              </w:rPr>
              <w:t>代荣霞</w:t>
            </w:r>
          </w:p>
          <w:p w14:paraId="33769C6B">
            <w:pPr>
              <w:snapToGrid w:val="0"/>
              <w:spacing w:line="240" w:lineRule="auto"/>
              <w:ind w:firstLine="0" w:firstLineChars="0"/>
              <w:jc w:val="center"/>
              <w:rPr>
                <w:rFonts w:cs="Times New Roman"/>
                <w:szCs w:val="24"/>
              </w:rPr>
            </w:pPr>
          </w:p>
          <w:p w14:paraId="6FA5EFAC">
            <w:pPr>
              <w:snapToGrid w:val="0"/>
              <w:spacing w:line="240" w:lineRule="auto"/>
              <w:ind w:firstLine="0" w:firstLineChars="0"/>
              <w:jc w:val="center"/>
              <w:rPr>
                <w:rFonts w:cs="Times New Roman"/>
                <w:szCs w:val="24"/>
              </w:rPr>
            </w:pPr>
          </w:p>
          <w:p w14:paraId="26D68241">
            <w:pPr>
              <w:snapToGrid w:val="0"/>
              <w:spacing w:line="240" w:lineRule="auto"/>
              <w:ind w:firstLine="0" w:firstLineChars="0"/>
              <w:jc w:val="center"/>
              <w:rPr>
                <w:rFonts w:cs="Times New Roman"/>
                <w:szCs w:val="24"/>
              </w:rPr>
            </w:pPr>
          </w:p>
          <w:p w14:paraId="32B5051A">
            <w:pPr>
              <w:snapToGrid w:val="0"/>
              <w:spacing w:line="240" w:lineRule="auto"/>
              <w:ind w:firstLine="0" w:firstLineChars="0"/>
              <w:jc w:val="center"/>
              <w:rPr>
                <w:rFonts w:cs="Times New Roman"/>
                <w:szCs w:val="24"/>
              </w:rPr>
            </w:pPr>
          </w:p>
        </w:tc>
        <w:tc>
          <w:tcPr>
            <w:tcW w:w="7849" w:type="dxa"/>
            <w:vAlign w:val="center"/>
          </w:tcPr>
          <w:p w14:paraId="176E07A4">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1、复核排涝达标率、水功能区水质达标率、废污水达标率、水功能区限制纳污控制率、水域面积率等指标的可达性，水节约指标应与西区节水规划相吻合。</w:t>
            </w:r>
          </w:p>
        </w:tc>
        <w:tc>
          <w:tcPr>
            <w:tcW w:w="4742" w:type="dxa"/>
            <w:vAlign w:val="center"/>
          </w:tcPr>
          <w:p w14:paraId="4F21AC29">
            <w:pPr>
              <w:spacing w:line="240" w:lineRule="auto"/>
              <w:ind w:firstLine="0" w:firstLineChars="0"/>
              <w:rPr>
                <w:rFonts w:cs="Times New Roman"/>
                <w:sz w:val="21"/>
              </w:rPr>
            </w:pPr>
            <w:r>
              <w:rPr>
                <w:rFonts w:hint="eastAsia" w:ascii="仿宋_GB2312" w:hAnsi="仿宋_GB2312" w:eastAsia="仿宋_GB2312" w:cs="仿宋_GB2312"/>
                <w:sz w:val="21"/>
              </w:rPr>
              <w:t>已采纳。已结合西区现状和未来的相关建设工作，重新设置合理的排涝达标率、废污水达标率、水域面积率等指标值。参考西区节水规划，修改了水节约指标，详见《报告》第4章节。</w:t>
            </w:r>
          </w:p>
        </w:tc>
      </w:tr>
      <w:tr w14:paraId="62D86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74F3777C">
            <w:pPr>
              <w:snapToGrid w:val="0"/>
              <w:spacing w:line="240" w:lineRule="auto"/>
              <w:ind w:firstLine="0" w:firstLineChars="0"/>
              <w:jc w:val="center"/>
              <w:rPr>
                <w:rFonts w:eastAsia="Times New Roman" w:cs="Times New Roman"/>
                <w:szCs w:val="24"/>
              </w:rPr>
            </w:pPr>
          </w:p>
        </w:tc>
        <w:tc>
          <w:tcPr>
            <w:tcW w:w="7849" w:type="dxa"/>
            <w:vAlign w:val="center"/>
          </w:tcPr>
          <w:p w14:paraId="7E2DEB13">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2、指标评分尽量数据计算。</w:t>
            </w:r>
          </w:p>
        </w:tc>
        <w:tc>
          <w:tcPr>
            <w:tcW w:w="4742" w:type="dxa"/>
            <w:vAlign w:val="center"/>
          </w:tcPr>
          <w:p w14:paraId="414F449A">
            <w:pPr>
              <w:spacing w:line="240" w:lineRule="auto"/>
              <w:ind w:firstLine="0" w:firstLineChars="0"/>
              <w:rPr>
                <w:rFonts w:cs="Times New Roman"/>
                <w:sz w:val="21"/>
              </w:rPr>
            </w:pPr>
            <w:r>
              <w:rPr>
                <w:rFonts w:hint="eastAsia" w:ascii="仿宋_GB2312" w:hAnsi="仿宋_GB2312" w:eastAsia="仿宋_GB2312" w:cs="仿宋_GB2312"/>
                <w:sz w:val="21"/>
              </w:rPr>
              <w:t>已采纳。结合数据的获取情况，已将大部分指标评分数据计算，详见《报告》第4章节。</w:t>
            </w:r>
          </w:p>
        </w:tc>
      </w:tr>
      <w:tr w14:paraId="6F72E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69A59EB8">
            <w:pPr>
              <w:snapToGrid w:val="0"/>
              <w:spacing w:line="240" w:lineRule="auto"/>
              <w:ind w:firstLine="0" w:firstLineChars="0"/>
              <w:jc w:val="center"/>
              <w:rPr>
                <w:rFonts w:eastAsia="Times New Roman" w:cs="Times New Roman"/>
                <w:szCs w:val="24"/>
              </w:rPr>
            </w:pPr>
          </w:p>
        </w:tc>
        <w:tc>
          <w:tcPr>
            <w:tcW w:w="7849" w:type="dxa"/>
            <w:vAlign w:val="center"/>
          </w:tcPr>
          <w:p w14:paraId="6270A7E6">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3、重点工程应注重工程的可操作性，近期工程要针对目前急需解决的水生态文明问题。将黑臭水体等工程投资可放入本规划，备注清资金来源即可，复核重点工程的责任单位。</w:t>
            </w:r>
          </w:p>
        </w:tc>
        <w:tc>
          <w:tcPr>
            <w:tcW w:w="4742" w:type="dxa"/>
            <w:vAlign w:val="center"/>
          </w:tcPr>
          <w:p w14:paraId="11C5CAB3">
            <w:pPr>
              <w:spacing w:line="240" w:lineRule="auto"/>
              <w:ind w:firstLine="0" w:firstLineChars="0"/>
              <w:rPr>
                <w:rFonts w:cs="Times New Roman"/>
                <w:sz w:val="21"/>
              </w:rPr>
            </w:pPr>
            <w:r>
              <w:rPr>
                <w:rFonts w:hint="eastAsia" w:ascii="仿宋_GB2312" w:hAnsi="仿宋_GB2312" w:eastAsia="仿宋_GB2312" w:cs="仿宋_GB2312"/>
                <w:sz w:val="21"/>
              </w:rPr>
              <w:t>已采纳。已将重点工程进一步细化，增加其可操作性，并将近、中、远期工程分开布置。将黑臭水体等工程投资放入近期工程，以及备注了清资金来源，已修正了重点工程的责任单位，详见《报告》第</w:t>
            </w:r>
            <w:r>
              <w:rPr>
                <w:rFonts w:ascii="仿宋_GB2312" w:hAnsi="仿宋_GB2312" w:eastAsia="仿宋_GB2312" w:cs="仿宋_GB2312"/>
                <w:sz w:val="21"/>
              </w:rPr>
              <w:t>6</w:t>
            </w:r>
            <w:r>
              <w:rPr>
                <w:rFonts w:hint="eastAsia" w:ascii="仿宋_GB2312" w:hAnsi="仿宋_GB2312" w:eastAsia="仿宋_GB2312" w:cs="仿宋_GB2312"/>
                <w:sz w:val="21"/>
              </w:rPr>
              <w:t>章节。</w:t>
            </w:r>
          </w:p>
        </w:tc>
      </w:tr>
      <w:tr w14:paraId="78B4F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1C3D6797">
            <w:pPr>
              <w:snapToGrid w:val="0"/>
              <w:spacing w:line="240" w:lineRule="auto"/>
              <w:ind w:firstLine="0" w:firstLineChars="0"/>
              <w:jc w:val="center"/>
              <w:rPr>
                <w:rFonts w:eastAsia="Times New Roman" w:cs="Times New Roman"/>
                <w:szCs w:val="24"/>
              </w:rPr>
            </w:pPr>
          </w:p>
        </w:tc>
        <w:tc>
          <w:tcPr>
            <w:tcW w:w="7849" w:type="dxa"/>
            <w:vAlign w:val="center"/>
          </w:tcPr>
          <w:p w14:paraId="224274BE">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、工程布置图建议按近、中、远期布置。</w:t>
            </w:r>
          </w:p>
        </w:tc>
        <w:tc>
          <w:tcPr>
            <w:tcW w:w="4742" w:type="dxa"/>
            <w:vAlign w:val="center"/>
          </w:tcPr>
          <w:p w14:paraId="4CA0EB4F">
            <w:pPr>
              <w:spacing w:line="240" w:lineRule="auto"/>
              <w:ind w:firstLine="0" w:firstLineChars="0"/>
              <w:rPr>
                <w:rFonts w:cs="Times New Roman"/>
                <w:sz w:val="21"/>
              </w:rPr>
            </w:pPr>
            <w:r>
              <w:rPr>
                <w:rFonts w:hint="eastAsia" w:ascii="仿宋_GB2312" w:hAnsi="仿宋_GB2312" w:eastAsia="仿宋_GB2312" w:cs="仿宋_GB2312"/>
                <w:sz w:val="21"/>
              </w:rPr>
              <w:t>已采纳。已增加了按近、中、远期布置的工程布置图——附图1</w:t>
            </w:r>
            <w:r>
              <w:rPr>
                <w:rFonts w:ascii="仿宋_GB2312" w:hAnsi="仿宋_GB2312" w:eastAsia="仿宋_GB2312" w:cs="仿宋_GB2312"/>
                <w:sz w:val="21"/>
              </w:rPr>
              <w:t>7</w:t>
            </w:r>
            <w:r>
              <w:rPr>
                <w:rFonts w:hint="eastAsia" w:ascii="仿宋_GB2312" w:hAnsi="仿宋_GB2312" w:eastAsia="仿宋_GB2312" w:cs="仿宋_GB2312"/>
                <w:sz w:val="21"/>
              </w:rPr>
              <w:t>、附图18、附图1</w:t>
            </w:r>
            <w:r>
              <w:rPr>
                <w:rFonts w:ascii="仿宋_GB2312" w:hAnsi="仿宋_GB2312" w:eastAsia="仿宋_GB2312" w:cs="仿宋_GB2312"/>
                <w:sz w:val="21"/>
              </w:rPr>
              <w:t>9</w:t>
            </w:r>
            <w:r>
              <w:rPr>
                <w:rFonts w:hint="eastAsia" w:ascii="仿宋_GB2312" w:hAnsi="仿宋_GB2312" w:eastAsia="仿宋_GB2312" w:cs="仿宋_GB2312"/>
                <w:sz w:val="21"/>
              </w:rPr>
              <w:t>，详见《报告》附图。</w:t>
            </w:r>
          </w:p>
        </w:tc>
      </w:tr>
      <w:tr w14:paraId="5A5BF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restart"/>
          </w:tcPr>
          <w:p w14:paraId="0A8C4E44">
            <w:pPr>
              <w:snapToGrid w:val="0"/>
              <w:spacing w:line="240" w:lineRule="auto"/>
              <w:ind w:firstLine="0" w:firstLineChars="0"/>
              <w:jc w:val="center"/>
              <w:rPr>
                <w:rFonts w:cs="Times New Roman"/>
                <w:szCs w:val="24"/>
              </w:rPr>
            </w:pPr>
          </w:p>
          <w:p w14:paraId="36C46E94">
            <w:pPr>
              <w:snapToGrid w:val="0"/>
              <w:spacing w:line="240" w:lineRule="auto"/>
              <w:ind w:firstLine="0" w:firstLineChars="0"/>
              <w:jc w:val="center"/>
              <w:rPr>
                <w:rFonts w:cs="Times New Roman"/>
                <w:szCs w:val="24"/>
              </w:rPr>
            </w:pPr>
          </w:p>
          <w:p w14:paraId="0E0FF97C">
            <w:pPr>
              <w:snapToGrid w:val="0"/>
              <w:spacing w:line="240" w:lineRule="auto"/>
              <w:ind w:firstLine="0" w:firstLineChars="0"/>
              <w:jc w:val="center"/>
              <w:rPr>
                <w:rFonts w:cs="Times New Roman"/>
                <w:szCs w:val="24"/>
              </w:rPr>
            </w:pPr>
          </w:p>
          <w:p w14:paraId="0D82BCBF">
            <w:pPr>
              <w:snapToGrid w:val="0"/>
              <w:spacing w:line="240" w:lineRule="auto"/>
              <w:ind w:firstLine="0" w:firstLineChars="0"/>
              <w:jc w:val="center"/>
              <w:rPr>
                <w:rFonts w:cs="Times New Roman"/>
                <w:szCs w:val="24"/>
              </w:rPr>
            </w:pPr>
          </w:p>
          <w:p w14:paraId="2CB4E369">
            <w:pPr>
              <w:snapToGrid w:val="0"/>
              <w:spacing w:line="240" w:lineRule="auto"/>
              <w:ind w:firstLine="0" w:firstLineChars="0"/>
              <w:jc w:val="center"/>
              <w:rPr>
                <w:rFonts w:cs="Times New Roman"/>
                <w:szCs w:val="24"/>
              </w:rPr>
            </w:pPr>
            <w:r>
              <w:rPr>
                <w:rFonts w:hint="eastAsia" w:cs="Times New Roman"/>
                <w:szCs w:val="24"/>
              </w:rPr>
              <w:t>陈伯浩</w:t>
            </w:r>
          </w:p>
          <w:p w14:paraId="2B6BBBFA">
            <w:pPr>
              <w:snapToGrid w:val="0"/>
              <w:spacing w:line="240" w:lineRule="auto"/>
              <w:ind w:firstLine="0" w:firstLineChars="0"/>
              <w:jc w:val="center"/>
              <w:rPr>
                <w:rFonts w:cs="Times New Roman"/>
                <w:szCs w:val="24"/>
              </w:rPr>
            </w:pPr>
          </w:p>
          <w:p w14:paraId="1F8E74DB">
            <w:pPr>
              <w:snapToGrid w:val="0"/>
              <w:spacing w:line="240" w:lineRule="auto"/>
              <w:ind w:firstLine="0" w:firstLineChars="0"/>
              <w:jc w:val="center"/>
              <w:rPr>
                <w:rFonts w:cs="Times New Roman"/>
                <w:szCs w:val="24"/>
              </w:rPr>
            </w:pPr>
          </w:p>
          <w:p w14:paraId="55C2C0B2">
            <w:pPr>
              <w:snapToGrid w:val="0"/>
              <w:spacing w:line="240" w:lineRule="auto"/>
              <w:ind w:firstLine="0" w:firstLineChars="0"/>
              <w:jc w:val="center"/>
              <w:rPr>
                <w:rFonts w:cs="Times New Roman"/>
                <w:szCs w:val="24"/>
              </w:rPr>
            </w:pPr>
          </w:p>
        </w:tc>
        <w:tc>
          <w:tcPr>
            <w:tcW w:w="7849" w:type="dxa"/>
            <w:vAlign w:val="center"/>
          </w:tcPr>
          <w:p w14:paraId="4794BB8D">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1、请复核现状年与题目《中山市西区水生态文明建设规划（2</w:t>
            </w:r>
            <w:r>
              <w:rPr>
                <w:rFonts w:ascii="仿宋_GB2312" w:hAnsi="仿宋_GB2312" w:eastAsia="仿宋_GB2312" w:cs="仿宋_GB2312"/>
                <w:sz w:val="21"/>
              </w:rPr>
              <w:t>019</w:t>
            </w:r>
            <w:r>
              <w:rPr>
                <w:rFonts w:hint="eastAsia" w:ascii="仿宋_GB2312" w:hAnsi="仿宋_GB2312" w:eastAsia="仿宋_GB2312" w:cs="仿宋_GB2312"/>
                <w:sz w:val="21"/>
              </w:rPr>
              <w:t>-</w:t>
            </w:r>
            <w:r>
              <w:rPr>
                <w:rFonts w:ascii="仿宋_GB2312" w:hAnsi="仿宋_GB2312" w:eastAsia="仿宋_GB2312" w:cs="仿宋_GB2312"/>
                <w:sz w:val="21"/>
              </w:rPr>
              <w:t>2030</w:t>
            </w:r>
            <w:r>
              <w:rPr>
                <w:rFonts w:hint="eastAsia" w:ascii="仿宋_GB2312" w:hAnsi="仿宋_GB2312" w:eastAsia="仿宋_GB2312" w:cs="仿宋_GB2312"/>
                <w:sz w:val="21"/>
              </w:rPr>
              <w:t>）（送审稿）》的关系，对报告题目进行修改。</w:t>
            </w:r>
          </w:p>
        </w:tc>
        <w:tc>
          <w:tcPr>
            <w:tcW w:w="4742" w:type="dxa"/>
            <w:vAlign w:val="center"/>
          </w:tcPr>
          <w:p w14:paraId="7CF489F0">
            <w:pPr>
              <w:spacing w:line="240" w:lineRule="auto"/>
              <w:ind w:firstLine="0" w:firstLineChars="0"/>
              <w:rPr>
                <w:rFonts w:cs="Times New Roman"/>
                <w:sz w:val="21"/>
              </w:rPr>
            </w:pPr>
            <w:r>
              <w:rPr>
                <w:rFonts w:hint="eastAsia" w:ascii="仿宋_GB2312" w:hAnsi="仿宋_GB2312" w:eastAsia="仿宋_GB2312" w:cs="仿宋_GB2312"/>
                <w:sz w:val="21"/>
              </w:rPr>
              <w:t>已采纳。已修正题目，详见《报告》题目。</w:t>
            </w:r>
          </w:p>
        </w:tc>
      </w:tr>
      <w:tr w14:paraId="6CD15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1209E7A4">
            <w:pPr>
              <w:snapToGrid w:val="0"/>
              <w:spacing w:line="240" w:lineRule="auto"/>
              <w:ind w:firstLine="0" w:firstLineChars="0"/>
              <w:jc w:val="center"/>
              <w:rPr>
                <w:rFonts w:eastAsia="Times New Roman" w:cs="Times New Roman"/>
                <w:szCs w:val="24"/>
              </w:rPr>
            </w:pPr>
          </w:p>
        </w:tc>
        <w:tc>
          <w:tcPr>
            <w:tcW w:w="7849" w:type="dxa"/>
            <w:vAlign w:val="center"/>
          </w:tcPr>
          <w:p w14:paraId="10E54791">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2、规划报告提出的部分规划目标值（非常规水源利用率，工业用水重复利用率等）与其他具体创建任务要求（节水创建）请做好衔接。</w:t>
            </w:r>
          </w:p>
        </w:tc>
        <w:tc>
          <w:tcPr>
            <w:tcW w:w="4742" w:type="dxa"/>
            <w:vAlign w:val="center"/>
          </w:tcPr>
          <w:p w14:paraId="72C868F7">
            <w:pPr>
              <w:spacing w:line="240" w:lineRule="auto"/>
              <w:ind w:firstLine="0" w:firstLineChars="0"/>
              <w:rPr>
                <w:rFonts w:cs="Times New Roman"/>
                <w:sz w:val="21"/>
              </w:rPr>
            </w:pPr>
            <w:r>
              <w:rPr>
                <w:rFonts w:hint="eastAsia" w:ascii="仿宋_GB2312" w:hAnsi="仿宋_GB2312" w:eastAsia="仿宋_GB2312" w:cs="仿宋_GB2312"/>
                <w:sz w:val="21"/>
              </w:rPr>
              <w:t>已采纳。已重新衔接其他具体创建任务要求，规划目标值，详见《报告》第4章节。</w:t>
            </w:r>
          </w:p>
        </w:tc>
      </w:tr>
      <w:tr w14:paraId="728DA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660E5C17">
            <w:pPr>
              <w:snapToGrid w:val="0"/>
              <w:spacing w:line="240" w:lineRule="auto"/>
              <w:ind w:firstLine="0" w:firstLineChars="0"/>
              <w:jc w:val="center"/>
              <w:rPr>
                <w:rFonts w:eastAsia="Times New Roman" w:cs="Times New Roman"/>
                <w:szCs w:val="24"/>
              </w:rPr>
            </w:pPr>
          </w:p>
        </w:tc>
        <w:tc>
          <w:tcPr>
            <w:tcW w:w="7849" w:type="dxa"/>
            <w:vAlign w:val="center"/>
          </w:tcPr>
          <w:p w14:paraId="1112EDB0">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报告对照创建达标查找问题，并提出相应的措施。报告偏重工程措施，请补充完善非工程措施，提出的非工程措施要贴合目前国家政策，比如农业节水要贴合农业综合水价，节水普及率要贴合节水三同时等等。</w:t>
            </w:r>
          </w:p>
        </w:tc>
        <w:tc>
          <w:tcPr>
            <w:tcW w:w="4742" w:type="dxa"/>
            <w:vAlign w:val="center"/>
          </w:tcPr>
          <w:p w14:paraId="635A00D9">
            <w:pPr>
              <w:spacing w:line="240" w:lineRule="auto"/>
              <w:ind w:firstLine="0" w:firstLineChars="0"/>
              <w:rPr>
                <w:rFonts w:cs="Times New Roman"/>
                <w:sz w:val="21"/>
              </w:rPr>
            </w:pPr>
            <w:r>
              <w:rPr>
                <w:rFonts w:hint="eastAsia" w:ascii="仿宋_GB2312" w:hAnsi="仿宋_GB2312" w:eastAsia="仿宋_GB2312" w:cs="仿宋_GB2312"/>
                <w:sz w:val="21"/>
              </w:rPr>
              <w:t>已采纳。已按建议，贴合目前国家政策，补充完善了非工程措施内容，详见《报告》第</w:t>
            </w:r>
            <w:r>
              <w:rPr>
                <w:rFonts w:ascii="仿宋_GB2312" w:hAnsi="仿宋_GB2312" w:eastAsia="仿宋_GB2312" w:cs="仿宋_GB2312"/>
                <w:sz w:val="21"/>
              </w:rPr>
              <w:t>6</w:t>
            </w:r>
            <w:r>
              <w:rPr>
                <w:rFonts w:hint="eastAsia" w:ascii="仿宋_GB2312" w:hAnsi="仿宋_GB2312" w:eastAsia="仿宋_GB2312" w:cs="仿宋_GB2312"/>
                <w:sz w:val="21"/>
              </w:rPr>
              <w:t>章节。</w:t>
            </w:r>
          </w:p>
        </w:tc>
      </w:tr>
      <w:tr w14:paraId="6878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31" w:type="dxa"/>
            <w:vMerge w:val="continue"/>
          </w:tcPr>
          <w:p w14:paraId="132FBE87">
            <w:pPr>
              <w:snapToGrid w:val="0"/>
              <w:spacing w:line="240" w:lineRule="auto"/>
              <w:ind w:firstLine="0" w:firstLineChars="0"/>
              <w:jc w:val="center"/>
              <w:rPr>
                <w:rFonts w:eastAsia="Times New Roman" w:cs="Times New Roman"/>
                <w:szCs w:val="24"/>
              </w:rPr>
            </w:pPr>
          </w:p>
        </w:tc>
        <w:tc>
          <w:tcPr>
            <w:tcW w:w="7849" w:type="dxa"/>
            <w:vAlign w:val="center"/>
          </w:tcPr>
          <w:p w14:paraId="3AD0CCAD">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、补充完善规划目标和措施可达性分析。</w:t>
            </w:r>
          </w:p>
        </w:tc>
        <w:tc>
          <w:tcPr>
            <w:tcW w:w="4742" w:type="dxa"/>
            <w:vAlign w:val="center"/>
          </w:tcPr>
          <w:p w14:paraId="1B2D3649">
            <w:pPr>
              <w:spacing w:line="240" w:lineRule="auto"/>
              <w:ind w:firstLine="0" w:firstLineChars="0"/>
              <w:rPr>
                <w:rFonts w:cs="Times New Roman"/>
                <w:sz w:val="21"/>
              </w:rPr>
            </w:pPr>
            <w:r>
              <w:rPr>
                <w:rFonts w:hint="eastAsia" w:ascii="仿宋_GB2312" w:hAnsi="仿宋_GB2312" w:eastAsia="仿宋_GB2312" w:cs="仿宋_GB2312"/>
                <w:sz w:val="21"/>
              </w:rPr>
              <w:t>已采纳。已按建议，根据中山市水生态文明建设指标体系和西区实际情况，补充完善了规划目标和措施可达性分析，详见《报告》第</w:t>
            </w:r>
            <w:r>
              <w:rPr>
                <w:rFonts w:ascii="仿宋_GB2312" w:hAnsi="仿宋_GB2312" w:eastAsia="仿宋_GB2312" w:cs="仿宋_GB2312"/>
                <w:sz w:val="21"/>
              </w:rPr>
              <w:t>4</w:t>
            </w:r>
            <w:r>
              <w:rPr>
                <w:rFonts w:hint="eastAsia" w:ascii="仿宋_GB2312" w:hAnsi="仿宋_GB2312" w:eastAsia="仿宋_GB2312" w:cs="仿宋_GB2312"/>
                <w:sz w:val="21"/>
              </w:rPr>
              <w:t>章节。</w:t>
            </w:r>
          </w:p>
        </w:tc>
      </w:tr>
      <w:tr w14:paraId="4FA1F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restart"/>
          </w:tcPr>
          <w:p w14:paraId="19665EF3">
            <w:pPr>
              <w:snapToGrid w:val="0"/>
              <w:spacing w:line="240" w:lineRule="auto"/>
              <w:ind w:firstLine="0" w:firstLineChars="0"/>
              <w:jc w:val="center"/>
              <w:rPr>
                <w:rFonts w:cs="Times New Roman"/>
                <w:szCs w:val="24"/>
              </w:rPr>
            </w:pPr>
          </w:p>
          <w:p w14:paraId="32A86EE8">
            <w:pPr>
              <w:snapToGrid w:val="0"/>
              <w:spacing w:line="240" w:lineRule="auto"/>
              <w:ind w:firstLine="0" w:firstLineChars="0"/>
              <w:jc w:val="center"/>
              <w:rPr>
                <w:rFonts w:cs="Times New Roman"/>
                <w:szCs w:val="24"/>
              </w:rPr>
            </w:pPr>
          </w:p>
          <w:p w14:paraId="2665EFEA">
            <w:pPr>
              <w:snapToGrid w:val="0"/>
              <w:spacing w:line="240" w:lineRule="auto"/>
              <w:ind w:firstLine="0" w:firstLineChars="0"/>
              <w:jc w:val="center"/>
              <w:rPr>
                <w:rFonts w:cs="Times New Roman"/>
                <w:szCs w:val="24"/>
              </w:rPr>
            </w:pPr>
            <w:r>
              <w:rPr>
                <w:rFonts w:hint="eastAsia" w:cs="Times New Roman"/>
                <w:szCs w:val="24"/>
              </w:rPr>
              <w:t>张云</w:t>
            </w:r>
          </w:p>
          <w:p w14:paraId="48EE2E19">
            <w:pPr>
              <w:snapToGrid w:val="0"/>
              <w:spacing w:line="240" w:lineRule="auto"/>
              <w:ind w:firstLine="0" w:firstLineChars="0"/>
              <w:jc w:val="center"/>
              <w:rPr>
                <w:rFonts w:cs="Times New Roman"/>
                <w:szCs w:val="24"/>
              </w:rPr>
            </w:pPr>
          </w:p>
          <w:p w14:paraId="711C61EA">
            <w:pPr>
              <w:snapToGrid w:val="0"/>
              <w:spacing w:line="240" w:lineRule="auto"/>
              <w:ind w:firstLine="0" w:firstLineChars="0"/>
              <w:jc w:val="center"/>
              <w:rPr>
                <w:rFonts w:cs="Times New Roman"/>
                <w:szCs w:val="24"/>
              </w:rPr>
            </w:pPr>
          </w:p>
          <w:p w14:paraId="3DE9A733">
            <w:pPr>
              <w:snapToGrid w:val="0"/>
              <w:spacing w:line="240" w:lineRule="auto"/>
              <w:ind w:firstLine="0" w:firstLineChars="0"/>
              <w:jc w:val="center"/>
              <w:rPr>
                <w:rFonts w:cs="Times New Roman"/>
                <w:szCs w:val="24"/>
              </w:rPr>
            </w:pPr>
          </w:p>
        </w:tc>
        <w:tc>
          <w:tcPr>
            <w:tcW w:w="7849" w:type="dxa"/>
            <w:vAlign w:val="center"/>
          </w:tcPr>
          <w:p w14:paraId="389B1236">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1、项目报告总体按照“问题-目标-措施”三个核心内容梳理有关内容表述，以问题为导向，规划的措施与总结的问题对应。</w:t>
            </w:r>
          </w:p>
        </w:tc>
        <w:tc>
          <w:tcPr>
            <w:tcW w:w="4742" w:type="dxa"/>
            <w:vAlign w:val="center"/>
          </w:tcPr>
          <w:p w14:paraId="122D12E2">
            <w:pPr>
              <w:spacing w:line="240" w:lineRule="auto"/>
              <w:ind w:firstLine="0" w:firstLineChars="0"/>
              <w:rPr>
                <w:rFonts w:cs="Times New Roman"/>
                <w:sz w:val="21"/>
              </w:rPr>
            </w:pPr>
            <w:r>
              <w:rPr>
                <w:rFonts w:hint="eastAsia" w:ascii="仿宋_GB2312" w:hAnsi="仿宋_GB2312" w:eastAsia="仿宋_GB2312" w:cs="仿宋_GB2312"/>
                <w:sz w:val="21"/>
              </w:rPr>
              <w:t>谢谢认可和支持。</w:t>
            </w:r>
          </w:p>
        </w:tc>
      </w:tr>
      <w:tr w14:paraId="7D3DC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721A72C6">
            <w:pPr>
              <w:snapToGrid w:val="0"/>
              <w:spacing w:line="240" w:lineRule="auto"/>
              <w:ind w:firstLine="0" w:firstLineChars="0"/>
              <w:jc w:val="center"/>
              <w:rPr>
                <w:rFonts w:eastAsia="Times New Roman" w:cs="Times New Roman"/>
                <w:szCs w:val="24"/>
              </w:rPr>
            </w:pPr>
          </w:p>
        </w:tc>
        <w:tc>
          <w:tcPr>
            <w:tcW w:w="7849" w:type="dxa"/>
            <w:vAlign w:val="center"/>
          </w:tcPr>
          <w:p w14:paraId="61B903D3">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2、在现状描述中增加关于以往工作经验和靓点的表述；关于现状描述紧密围绕“中山市西区”和“2</w:t>
            </w:r>
            <w:r>
              <w:rPr>
                <w:rFonts w:ascii="仿宋_GB2312" w:hAnsi="仿宋_GB2312" w:eastAsia="仿宋_GB2312" w:cs="仿宋_GB2312"/>
                <w:sz w:val="21"/>
              </w:rPr>
              <w:t>017</w:t>
            </w:r>
            <w:r>
              <w:rPr>
                <w:rFonts w:hint="eastAsia" w:ascii="仿宋_GB2312" w:hAnsi="仿宋_GB2312" w:eastAsia="仿宋_GB2312" w:cs="仿宋_GB2312"/>
                <w:sz w:val="21"/>
              </w:rPr>
              <w:t>水平年”组织展开。</w:t>
            </w:r>
          </w:p>
        </w:tc>
        <w:tc>
          <w:tcPr>
            <w:tcW w:w="4742" w:type="dxa"/>
            <w:vAlign w:val="center"/>
          </w:tcPr>
          <w:p w14:paraId="41B69A3A">
            <w:pPr>
              <w:spacing w:line="240" w:lineRule="auto"/>
              <w:ind w:firstLine="0" w:firstLineChars="0"/>
              <w:rPr>
                <w:rFonts w:cs="Times New Roman"/>
                <w:sz w:val="21"/>
              </w:rPr>
            </w:pPr>
            <w:r>
              <w:rPr>
                <w:rFonts w:hint="eastAsia" w:ascii="仿宋_GB2312" w:hAnsi="仿宋_GB2312" w:eastAsia="仿宋_GB2312" w:cs="仿宋_GB2312"/>
                <w:sz w:val="21"/>
              </w:rPr>
              <w:t>已采纳。已在现状描述增加西区以往工作经验和靓点的表述，并紧密围绕“中山市西区”和“2017水平年”组织展开，详见《报告》第</w:t>
            </w:r>
            <w:r>
              <w:rPr>
                <w:rFonts w:ascii="仿宋_GB2312" w:hAnsi="仿宋_GB2312" w:eastAsia="仿宋_GB2312" w:cs="仿宋_GB2312"/>
                <w:sz w:val="21"/>
              </w:rPr>
              <w:t>2</w:t>
            </w:r>
            <w:r>
              <w:rPr>
                <w:rFonts w:hint="eastAsia" w:ascii="仿宋_GB2312" w:hAnsi="仿宋_GB2312" w:eastAsia="仿宋_GB2312" w:cs="仿宋_GB2312"/>
                <w:sz w:val="21"/>
              </w:rPr>
              <w:t>章节。</w:t>
            </w:r>
          </w:p>
        </w:tc>
      </w:tr>
      <w:tr w14:paraId="6E90A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931" w:type="dxa"/>
            <w:vMerge w:val="continue"/>
          </w:tcPr>
          <w:p w14:paraId="420C7DA3">
            <w:pPr>
              <w:snapToGrid w:val="0"/>
              <w:spacing w:line="240" w:lineRule="auto"/>
              <w:ind w:firstLine="0" w:firstLineChars="0"/>
              <w:jc w:val="center"/>
              <w:rPr>
                <w:rFonts w:eastAsia="Times New Roman" w:cs="Times New Roman"/>
                <w:szCs w:val="24"/>
              </w:rPr>
            </w:pPr>
          </w:p>
        </w:tc>
        <w:tc>
          <w:tcPr>
            <w:tcW w:w="7849" w:type="dxa"/>
            <w:vAlign w:val="center"/>
          </w:tcPr>
          <w:p w14:paraId="5178D608">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3、指标体系设置尽可能与市一级规划统一。</w:t>
            </w:r>
          </w:p>
        </w:tc>
        <w:tc>
          <w:tcPr>
            <w:tcW w:w="4742" w:type="dxa"/>
            <w:vAlign w:val="center"/>
          </w:tcPr>
          <w:p w14:paraId="4421FD7A">
            <w:pPr>
              <w:spacing w:line="240" w:lineRule="auto"/>
              <w:ind w:firstLine="0" w:firstLineChars="0"/>
              <w:rPr>
                <w:rFonts w:cs="Times New Roman"/>
                <w:sz w:val="21"/>
              </w:rPr>
            </w:pPr>
            <w:r>
              <w:rPr>
                <w:rFonts w:hint="eastAsia" w:ascii="仿宋_GB2312" w:hAnsi="仿宋_GB2312" w:eastAsia="仿宋_GB2312" w:cs="仿宋_GB2312"/>
                <w:sz w:val="21"/>
              </w:rPr>
              <w:t>已采纳。已按建议，根据中山市水生态文明建设指标体系设置西区指标体系，两者基本统一，详见《报告》第</w:t>
            </w:r>
            <w:r>
              <w:rPr>
                <w:rFonts w:ascii="仿宋_GB2312" w:hAnsi="仿宋_GB2312" w:eastAsia="仿宋_GB2312" w:cs="仿宋_GB2312"/>
                <w:sz w:val="21"/>
              </w:rPr>
              <w:t>4</w:t>
            </w:r>
            <w:r>
              <w:rPr>
                <w:rFonts w:hint="eastAsia" w:ascii="仿宋_GB2312" w:hAnsi="仿宋_GB2312" w:eastAsia="仿宋_GB2312" w:cs="仿宋_GB2312"/>
                <w:sz w:val="21"/>
              </w:rPr>
              <w:t>章节。</w:t>
            </w:r>
          </w:p>
        </w:tc>
      </w:tr>
      <w:tr w14:paraId="1CA7B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0533B7FA">
            <w:pPr>
              <w:snapToGrid w:val="0"/>
              <w:spacing w:line="240" w:lineRule="auto"/>
              <w:ind w:firstLine="0" w:firstLineChars="0"/>
              <w:jc w:val="center"/>
              <w:rPr>
                <w:rFonts w:eastAsia="Times New Roman" w:cs="Times New Roman"/>
                <w:szCs w:val="24"/>
              </w:rPr>
            </w:pPr>
          </w:p>
        </w:tc>
        <w:tc>
          <w:tcPr>
            <w:tcW w:w="7849" w:type="dxa"/>
            <w:vAlign w:val="center"/>
          </w:tcPr>
          <w:p w14:paraId="6FB1EF45">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、规划措施中补充非工程措施，结合实际情况细化复核完善有关工程措施，分近期/中期/远期制定重点项目实施计划安排。</w:t>
            </w:r>
          </w:p>
        </w:tc>
        <w:tc>
          <w:tcPr>
            <w:tcW w:w="4742" w:type="dxa"/>
            <w:vAlign w:val="center"/>
          </w:tcPr>
          <w:p w14:paraId="71C6A90C">
            <w:pPr>
              <w:spacing w:line="240" w:lineRule="auto"/>
              <w:ind w:firstLine="0" w:firstLineChars="0"/>
              <w:rPr>
                <w:rFonts w:cs="Times New Roman"/>
                <w:sz w:val="21"/>
              </w:rPr>
            </w:pPr>
            <w:r>
              <w:rPr>
                <w:rFonts w:hint="eastAsia" w:ascii="仿宋_GB2312" w:hAnsi="仿宋_GB2312" w:eastAsia="仿宋_GB2312" w:cs="仿宋_GB2312"/>
                <w:sz w:val="21"/>
              </w:rPr>
              <w:t>已采纳。已补充非工程措施，并结合实际情况复核完善有关工程措施，将近期/中期/远期制定重点项目进行独立实施计划安排，详见《报告》第</w:t>
            </w:r>
            <w:r>
              <w:rPr>
                <w:rFonts w:ascii="仿宋_GB2312" w:hAnsi="仿宋_GB2312" w:eastAsia="仿宋_GB2312" w:cs="仿宋_GB2312"/>
                <w:sz w:val="21"/>
              </w:rPr>
              <w:t>6</w:t>
            </w:r>
            <w:r>
              <w:rPr>
                <w:rFonts w:hint="eastAsia" w:ascii="仿宋_GB2312" w:hAnsi="仿宋_GB2312" w:eastAsia="仿宋_GB2312" w:cs="仿宋_GB2312"/>
                <w:sz w:val="21"/>
              </w:rPr>
              <w:t>章节。</w:t>
            </w:r>
          </w:p>
        </w:tc>
      </w:tr>
      <w:tr w14:paraId="66433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1931" w:type="dxa"/>
            <w:vMerge w:val="restart"/>
          </w:tcPr>
          <w:p w14:paraId="0E146D07">
            <w:pPr>
              <w:snapToGrid w:val="0"/>
              <w:spacing w:line="240" w:lineRule="auto"/>
              <w:ind w:firstLine="0" w:firstLineChars="0"/>
              <w:jc w:val="center"/>
              <w:rPr>
                <w:rFonts w:cs="Times New Roman"/>
                <w:szCs w:val="24"/>
              </w:rPr>
            </w:pPr>
          </w:p>
          <w:p w14:paraId="2112C7A5">
            <w:pPr>
              <w:snapToGrid w:val="0"/>
              <w:spacing w:line="240" w:lineRule="auto"/>
              <w:ind w:firstLine="0" w:firstLineChars="0"/>
              <w:jc w:val="center"/>
              <w:rPr>
                <w:rFonts w:cs="Times New Roman"/>
                <w:szCs w:val="24"/>
              </w:rPr>
            </w:pPr>
          </w:p>
          <w:p w14:paraId="6C1E1A5B">
            <w:pPr>
              <w:snapToGrid w:val="0"/>
              <w:spacing w:line="240" w:lineRule="auto"/>
              <w:ind w:firstLine="0" w:firstLineChars="0"/>
              <w:jc w:val="center"/>
              <w:rPr>
                <w:rFonts w:cs="Times New Roman"/>
                <w:szCs w:val="24"/>
              </w:rPr>
            </w:pPr>
          </w:p>
          <w:p w14:paraId="199795A7">
            <w:pPr>
              <w:snapToGrid w:val="0"/>
              <w:spacing w:line="240" w:lineRule="auto"/>
              <w:ind w:firstLine="0" w:firstLineChars="0"/>
              <w:jc w:val="center"/>
              <w:rPr>
                <w:rFonts w:cs="Times New Roman"/>
                <w:szCs w:val="24"/>
              </w:rPr>
            </w:pPr>
          </w:p>
          <w:p w14:paraId="68F0560B">
            <w:pPr>
              <w:snapToGrid w:val="0"/>
              <w:spacing w:line="240" w:lineRule="auto"/>
              <w:ind w:firstLine="0" w:firstLineChars="0"/>
              <w:jc w:val="center"/>
              <w:rPr>
                <w:rFonts w:cs="Times New Roman"/>
                <w:szCs w:val="24"/>
              </w:rPr>
            </w:pPr>
            <w:r>
              <w:rPr>
                <w:rFonts w:hint="eastAsia" w:cs="Times New Roman"/>
                <w:szCs w:val="24"/>
              </w:rPr>
              <w:t>邱凯琼</w:t>
            </w:r>
          </w:p>
          <w:p w14:paraId="3DF0DAB1">
            <w:pPr>
              <w:snapToGrid w:val="0"/>
              <w:spacing w:line="240" w:lineRule="auto"/>
              <w:ind w:firstLine="0" w:firstLineChars="0"/>
              <w:jc w:val="center"/>
              <w:rPr>
                <w:rFonts w:cs="Times New Roman"/>
                <w:szCs w:val="24"/>
              </w:rPr>
            </w:pPr>
          </w:p>
          <w:p w14:paraId="4EC9B188">
            <w:pPr>
              <w:snapToGrid w:val="0"/>
              <w:spacing w:line="240" w:lineRule="auto"/>
              <w:ind w:firstLine="0" w:firstLineChars="0"/>
              <w:jc w:val="center"/>
              <w:rPr>
                <w:rFonts w:cs="Times New Roman"/>
                <w:szCs w:val="24"/>
              </w:rPr>
            </w:pPr>
          </w:p>
          <w:p w14:paraId="13F0E913">
            <w:pPr>
              <w:snapToGrid w:val="0"/>
              <w:spacing w:line="240" w:lineRule="auto"/>
              <w:ind w:firstLine="0" w:firstLineChars="0"/>
              <w:jc w:val="center"/>
              <w:rPr>
                <w:rFonts w:cs="Times New Roman"/>
                <w:szCs w:val="24"/>
              </w:rPr>
            </w:pPr>
          </w:p>
        </w:tc>
        <w:tc>
          <w:tcPr>
            <w:tcW w:w="7849" w:type="dxa"/>
            <w:vAlign w:val="center"/>
          </w:tcPr>
          <w:p w14:paraId="716CC8E1">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1、复核河涌水系、水资源等规划现状水平年基础信息。</w:t>
            </w:r>
          </w:p>
        </w:tc>
        <w:tc>
          <w:tcPr>
            <w:tcW w:w="4742" w:type="dxa"/>
            <w:vAlign w:val="center"/>
          </w:tcPr>
          <w:p w14:paraId="457CEA05">
            <w:pPr>
              <w:spacing w:line="240" w:lineRule="auto"/>
              <w:ind w:firstLine="0" w:firstLineChars="0"/>
              <w:rPr>
                <w:rFonts w:cs="Times New Roman"/>
                <w:sz w:val="21"/>
              </w:rPr>
            </w:pPr>
            <w:r>
              <w:rPr>
                <w:rFonts w:hint="eastAsia" w:ascii="仿宋_GB2312" w:hAnsi="仿宋_GB2312" w:eastAsia="仿宋_GB2312" w:cs="仿宋_GB2312"/>
                <w:sz w:val="21"/>
              </w:rPr>
              <w:t>已采纳。已修正了河涌水系、水资源等规划现状水平年基础信息，详见《报告》第</w:t>
            </w:r>
            <w:r>
              <w:rPr>
                <w:rFonts w:ascii="仿宋_GB2312" w:hAnsi="仿宋_GB2312" w:eastAsia="仿宋_GB2312" w:cs="仿宋_GB2312"/>
                <w:sz w:val="21"/>
              </w:rPr>
              <w:t>1</w:t>
            </w:r>
            <w:r>
              <w:rPr>
                <w:rFonts w:hint="eastAsia" w:ascii="仿宋_GB2312" w:hAnsi="仿宋_GB2312" w:eastAsia="仿宋_GB2312" w:cs="仿宋_GB2312"/>
                <w:sz w:val="21"/>
              </w:rPr>
              <w:t>章节。</w:t>
            </w:r>
          </w:p>
        </w:tc>
      </w:tr>
      <w:tr w14:paraId="28B68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2904E6C3">
            <w:pPr>
              <w:snapToGrid w:val="0"/>
              <w:spacing w:line="240" w:lineRule="auto"/>
              <w:ind w:firstLine="0" w:firstLineChars="0"/>
              <w:jc w:val="center"/>
              <w:rPr>
                <w:rFonts w:eastAsia="Times New Roman" w:cs="Times New Roman"/>
                <w:szCs w:val="24"/>
              </w:rPr>
            </w:pPr>
          </w:p>
        </w:tc>
        <w:tc>
          <w:tcPr>
            <w:tcW w:w="7849" w:type="dxa"/>
            <w:vAlign w:val="center"/>
          </w:tcPr>
          <w:p w14:paraId="4539B868">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2、“2水生态文明建设现状和存在的主要问题”中如河湖健康状况、入河排污口、非常规水源等内容建议针对西区实际情况进行复核完善。</w:t>
            </w:r>
          </w:p>
        </w:tc>
        <w:tc>
          <w:tcPr>
            <w:tcW w:w="4742" w:type="dxa"/>
            <w:vAlign w:val="center"/>
          </w:tcPr>
          <w:p w14:paraId="653E805C">
            <w:pPr>
              <w:spacing w:line="240" w:lineRule="auto"/>
              <w:ind w:firstLine="0" w:firstLineChars="0"/>
              <w:rPr>
                <w:rFonts w:cs="Times New Roman"/>
                <w:sz w:val="21"/>
              </w:rPr>
            </w:pPr>
            <w:r>
              <w:rPr>
                <w:rFonts w:hint="eastAsia" w:ascii="仿宋_GB2312" w:hAnsi="仿宋_GB2312" w:eastAsia="仿宋_GB2312" w:cs="仿宋_GB2312"/>
                <w:sz w:val="21"/>
              </w:rPr>
              <w:t>已采纳。已针对西区实际情况，修改完善河湖健康状况、入河排污口、非常规水源等内容，详见《报告》第</w:t>
            </w:r>
            <w:r>
              <w:rPr>
                <w:rFonts w:ascii="仿宋_GB2312" w:hAnsi="仿宋_GB2312" w:eastAsia="仿宋_GB2312" w:cs="仿宋_GB2312"/>
                <w:sz w:val="21"/>
              </w:rPr>
              <w:t>2</w:t>
            </w:r>
            <w:r>
              <w:rPr>
                <w:rFonts w:hint="eastAsia" w:ascii="仿宋_GB2312" w:hAnsi="仿宋_GB2312" w:eastAsia="仿宋_GB2312" w:cs="仿宋_GB2312"/>
                <w:sz w:val="21"/>
              </w:rPr>
              <w:t>章节。</w:t>
            </w:r>
          </w:p>
        </w:tc>
      </w:tr>
      <w:tr w14:paraId="1C431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31E48A53">
            <w:pPr>
              <w:snapToGrid w:val="0"/>
              <w:spacing w:line="240" w:lineRule="auto"/>
              <w:ind w:firstLine="0" w:firstLineChars="0"/>
              <w:jc w:val="center"/>
              <w:rPr>
                <w:rFonts w:eastAsia="Times New Roman" w:cs="Times New Roman"/>
                <w:szCs w:val="24"/>
              </w:rPr>
            </w:pPr>
          </w:p>
        </w:tc>
        <w:tc>
          <w:tcPr>
            <w:tcW w:w="7849" w:type="dxa"/>
            <w:vAlign w:val="center"/>
          </w:tcPr>
          <w:p w14:paraId="1937F19F">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3、指标体系的目标设置（如水质优良率、水资源监控能力指数、工业增加值用水量相对值等）建议结合西区水生态文明建设条件及工作现状进行优化调整。</w:t>
            </w:r>
          </w:p>
        </w:tc>
        <w:tc>
          <w:tcPr>
            <w:tcW w:w="4742" w:type="dxa"/>
            <w:vAlign w:val="center"/>
          </w:tcPr>
          <w:p w14:paraId="4FB08821">
            <w:pPr>
              <w:spacing w:line="240" w:lineRule="auto"/>
              <w:ind w:firstLine="0" w:firstLineChars="0"/>
              <w:rPr>
                <w:rFonts w:cs="Times New Roman"/>
                <w:sz w:val="21"/>
              </w:rPr>
            </w:pPr>
            <w:r>
              <w:rPr>
                <w:rFonts w:hint="eastAsia" w:ascii="仿宋_GB2312" w:hAnsi="仿宋_GB2312" w:eastAsia="仿宋_GB2312" w:cs="仿宋_GB2312"/>
                <w:sz w:val="21"/>
              </w:rPr>
              <w:t>已采纳。已结合西区水生态文明建设条件及工作现状，优化调整指标体系，详见《报告》第</w:t>
            </w:r>
            <w:r>
              <w:rPr>
                <w:rFonts w:ascii="仿宋_GB2312" w:hAnsi="仿宋_GB2312" w:eastAsia="仿宋_GB2312" w:cs="仿宋_GB2312"/>
                <w:sz w:val="21"/>
              </w:rPr>
              <w:t>4</w:t>
            </w:r>
            <w:r>
              <w:rPr>
                <w:rFonts w:hint="eastAsia" w:ascii="仿宋_GB2312" w:hAnsi="仿宋_GB2312" w:eastAsia="仿宋_GB2312" w:cs="仿宋_GB2312"/>
                <w:sz w:val="21"/>
              </w:rPr>
              <w:t>章节。</w:t>
            </w:r>
          </w:p>
        </w:tc>
      </w:tr>
      <w:tr w14:paraId="2E89D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4AFDDEBC">
            <w:pPr>
              <w:snapToGrid w:val="0"/>
              <w:spacing w:line="240" w:lineRule="auto"/>
              <w:ind w:firstLine="0" w:firstLineChars="0"/>
              <w:jc w:val="center"/>
              <w:rPr>
                <w:rFonts w:eastAsia="Times New Roman" w:cs="Times New Roman"/>
                <w:szCs w:val="24"/>
              </w:rPr>
            </w:pPr>
          </w:p>
        </w:tc>
        <w:tc>
          <w:tcPr>
            <w:tcW w:w="7849" w:type="dxa"/>
            <w:vAlign w:val="center"/>
          </w:tcPr>
          <w:p w14:paraId="0B7CB0A5">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、“5</w:t>
            </w:r>
            <w:r>
              <w:rPr>
                <w:rFonts w:ascii="仿宋_GB2312" w:hAnsi="仿宋_GB2312" w:eastAsia="仿宋_GB2312" w:cs="仿宋_GB2312"/>
                <w:sz w:val="21"/>
              </w:rPr>
              <w:t>.2</w:t>
            </w:r>
            <w:r>
              <w:rPr>
                <w:rFonts w:hint="eastAsia" w:ascii="仿宋_GB2312" w:hAnsi="仿宋_GB2312" w:eastAsia="仿宋_GB2312" w:cs="仿宋_GB2312"/>
                <w:sz w:val="21"/>
              </w:rPr>
              <w:t>重点领域”中关于水环境综合治理、污染减排控制、水生态法律制度体系等部分，建议结合水十条、河长制、流域治理等相关方案，针对西区实际工作进行复核完善。</w:t>
            </w:r>
          </w:p>
        </w:tc>
        <w:tc>
          <w:tcPr>
            <w:tcW w:w="4742" w:type="dxa"/>
            <w:vAlign w:val="center"/>
          </w:tcPr>
          <w:p w14:paraId="1C882894">
            <w:pPr>
              <w:spacing w:line="240" w:lineRule="auto"/>
              <w:ind w:firstLine="0" w:firstLineChars="0"/>
              <w:rPr>
                <w:rFonts w:cs="Times New Roman"/>
                <w:sz w:val="21"/>
              </w:rPr>
            </w:pPr>
            <w:r>
              <w:rPr>
                <w:rFonts w:hint="eastAsia" w:ascii="仿宋_GB2312" w:hAnsi="仿宋_GB2312" w:eastAsia="仿宋_GB2312" w:cs="仿宋_GB2312"/>
                <w:sz w:val="21"/>
              </w:rPr>
              <w:t>已采纳。已结合水十条、河长制、流域治理等相关方案和西区实际工作，复核完善了水环境综合治理、污染减排控制、水生态法律制度体系等部分内容，详见《报告》第</w:t>
            </w:r>
            <w:r>
              <w:rPr>
                <w:rFonts w:ascii="仿宋_GB2312" w:hAnsi="仿宋_GB2312" w:eastAsia="仿宋_GB2312" w:cs="仿宋_GB2312"/>
                <w:sz w:val="21"/>
              </w:rPr>
              <w:t>5</w:t>
            </w:r>
            <w:r>
              <w:rPr>
                <w:rFonts w:hint="eastAsia" w:ascii="仿宋_GB2312" w:hAnsi="仿宋_GB2312" w:eastAsia="仿宋_GB2312" w:cs="仿宋_GB2312"/>
                <w:sz w:val="21"/>
              </w:rPr>
              <w:t>章节“5</w:t>
            </w:r>
            <w:r>
              <w:rPr>
                <w:rFonts w:ascii="仿宋_GB2312" w:hAnsi="仿宋_GB2312" w:eastAsia="仿宋_GB2312" w:cs="仿宋_GB2312"/>
                <w:sz w:val="21"/>
              </w:rPr>
              <w:t>.2</w:t>
            </w:r>
            <w:r>
              <w:rPr>
                <w:rFonts w:hint="eastAsia" w:ascii="仿宋_GB2312" w:hAnsi="仿宋_GB2312" w:eastAsia="仿宋_GB2312" w:cs="仿宋_GB2312"/>
                <w:sz w:val="21"/>
              </w:rPr>
              <w:t>重点领域”。</w:t>
            </w:r>
          </w:p>
        </w:tc>
      </w:tr>
    </w:tbl>
    <w:p w14:paraId="57A37C86">
      <w:pPr>
        <w:spacing w:line="240" w:lineRule="auto"/>
        <w:ind w:firstLine="0" w:firstLineChars="0"/>
        <w:rPr>
          <w:rFonts w:ascii="宋体" w:hAnsi="宋体" w:eastAsia="宋体" w:cs="Times New Roman"/>
          <w:szCs w:val="24"/>
        </w:rPr>
      </w:pPr>
    </w:p>
    <w:p w14:paraId="19E0F405">
      <w:pPr>
        <w:ind w:firstLine="0" w:firstLineChars="0"/>
        <w:rPr>
          <w:rFonts w:eastAsia="宋体" w:cs="Times New Roman"/>
          <w:szCs w:val="24"/>
        </w:rPr>
      </w:pPr>
      <w:r>
        <w:rPr>
          <w:rFonts w:hint="eastAsia" w:ascii="宋体" w:hAnsi="宋体" w:eastAsia="宋体" w:cs="Times New Roman"/>
          <w:szCs w:val="24"/>
        </w:rPr>
        <w:t>评审意见修改与回复情况：</w:t>
      </w:r>
    </w:p>
    <w:p w14:paraId="51B039FC">
      <w:pPr>
        <w:ind w:firstLine="0" w:firstLineChars="0"/>
        <w:rPr>
          <w:rFonts w:eastAsia="宋体" w:cs="Times New Roman"/>
          <w:szCs w:val="24"/>
        </w:rPr>
      </w:pPr>
      <w:r>
        <w:rPr>
          <w:rFonts w:eastAsia="宋体" w:cs="Times New Roman"/>
          <w:szCs w:val="24"/>
        </w:rPr>
        <w:t xml:space="preserve"> </w:t>
      </w:r>
    </w:p>
    <w:p w14:paraId="2DBE7C78">
      <w:pPr>
        <w:ind w:firstLine="0" w:firstLineChars="0"/>
        <w:rPr>
          <w:rFonts w:eastAsia="宋体" w:cs="Times New Roman"/>
          <w:szCs w:val="24"/>
        </w:rPr>
      </w:pPr>
      <w:r>
        <w:rPr>
          <w:rFonts w:hint="eastAsia" w:ascii="宋体" w:hAnsi="宋体" w:eastAsia="宋体" w:cs="Times New Roman"/>
          <w:szCs w:val="24"/>
        </w:rPr>
        <w:t>专家组组长（签字）：</w:t>
      </w:r>
    </w:p>
    <w:p w14:paraId="6B16A4E2">
      <w:pPr>
        <w:ind w:right="960" w:firstLine="10279" w:firstLineChars="4283"/>
        <w:rPr>
          <w:rFonts w:eastAsia="宋体" w:cs="Times New Roman"/>
          <w:szCs w:val="24"/>
        </w:rPr>
      </w:pPr>
      <w:r>
        <w:rPr>
          <w:rFonts w:hint="eastAsia" w:ascii="宋体" w:hAnsi="宋体" w:eastAsia="宋体" w:cs="Times New Roman"/>
          <w:szCs w:val="24"/>
        </w:rPr>
        <w:t>日期：</w:t>
      </w:r>
    </w:p>
    <w:p w14:paraId="5AE5104B">
      <w:pPr>
        <w:ind w:firstLine="0" w:firstLineChars="0"/>
      </w:pPr>
    </w:p>
    <w:sectPr>
      <w:pgSz w:w="16838" w:h="11906" w:orient="landscape"/>
      <w:pgMar w:top="1797" w:right="1440" w:bottom="1797" w:left="1440" w:header="851" w:footer="992" w:gutter="0"/>
      <w:cols w:space="425" w:num="1"/>
      <w:docGrid w:type="linesAndChar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724E73">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99466">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DD0EA5">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66603064"/>
    </w:sdtPr>
    <w:sdtContent>
      <w:p w14:paraId="26AD5B1B">
        <w:pPr>
          <w:pStyle w:val="14"/>
          <w:ind w:firstLine="360"/>
          <w:jc w:val="center"/>
        </w:pPr>
        <w:r>
          <w:fldChar w:fldCharType="begin"/>
        </w:r>
        <w:r>
          <w:instrText xml:space="preserve">PAGE   \* MERGEFORMAT</w:instrText>
        </w:r>
        <w:r>
          <w:fldChar w:fldCharType="separate"/>
        </w:r>
        <w:r>
          <w:rPr>
            <w:lang w:val="zh-CN"/>
          </w:rPr>
          <w:t>V</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6DE2F4">
    <w:pPr>
      <w:pStyle w:val="14"/>
      <w:ind w:firstLine="0" w:firstLineChars="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42900" cy="196850"/>
              <wp:effectExtent l="0" t="0" r="0" b="0"/>
              <wp:wrapNone/>
              <wp:docPr id="2" name="Text Box 2"/>
              <wp:cNvGraphicFramePr/>
              <a:graphic xmlns:a="http://schemas.openxmlformats.org/drawingml/2006/main">
                <a:graphicData uri="http://schemas.microsoft.com/office/word/2010/wordprocessingShape">
                  <wps:wsp>
                    <wps:cNvSpPr txBox="1">
                      <a:spLocks noChangeArrowheads="1"/>
                    </wps:cNvSpPr>
                    <wps:spPr bwMode="auto">
                      <a:xfrm>
                        <a:off x="0" y="0"/>
                        <a:ext cx="342900" cy="196850"/>
                      </a:xfrm>
                      <a:prstGeom prst="rect">
                        <a:avLst/>
                      </a:prstGeom>
                      <a:noFill/>
                      <a:ln>
                        <a:noFill/>
                      </a:ln>
                    </wps:spPr>
                    <wps:txbx>
                      <w:txbxContent>
                        <w:p w14:paraId="6DD31F1F">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wps:txbx>
                    <wps:bodyPr rot="0" vert="horz" wrap="square" lIns="0" tIns="0" rIns="0" bIns="0" anchor="t" anchorCtr="0" upright="1">
                      <a:spAutoFit/>
                    </wps:bodyPr>
                  </wps:wsp>
                </a:graphicData>
              </a:graphic>
            </wp:anchor>
          </w:drawing>
        </mc:Choice>
        <mc:Fallback>
          <w:pict>
            <v:shape id="Text Box 2" o:spid="_x0000_s1026" o:spt="202" type="#_x0000_t202" style="position:absolute;left:0pt;margin-top:0pt;height:15.5pt;width:27pt;mso-position-horizontal:center;mso-position-horizontal-relative:margin;z-index:251659264;mso-width-relative:page;mso-height-relative:page;" filled="f" stroked="f" coordsize="21600,21600" o:gfxdata="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3QRh9EAAAADAQAADwAAAAAAAAABACAAAAAiAAAAZHJzL2Rvd25yZXYueG1sUEsB&#10;AhQAFAAAAAgAh07iQKZsk1j8AQAAAwQAAA4AAAAAAAAAAQAgAAAAIAEAAGRycy9lMm9Eb2MueG1s&#10;UEsFBgAAAAAGAAYAWQEAAI4FAAAAAA==&#10;">
              <v:fill on="f" focussize="0,0"/>
              <v:stroke on="f"/>
              <v:imagedata o:title=""/>
              <o:lock v:ext="edit" aspectratio="f"/>
              <v:textbox inset="0mm,0mm,0mm,0mm" style="mso-fit-shape-to-text:t;">
                <w:txbxContent>
                  <w:p w14:paraId="6DD31F1F">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v:textbox>
            </v:shape>
          </w:pict>
        </mc:Fallback>
      </mc:AlternateContent>
    </w:r>
  </w:p>
  <w:p w14:paraId="3BF6FE1C">
    <w:pPr>
      <w:pStyle w:val="14"/>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80547">
    <w:pPr>
      <w:pStyle w:val="14"/>
      <w:ind w:firstLine="0" w:firstLineChars="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42900" cy="196850"/>
              <wp:effectExtent l="0" t="0" r="0" b="0"/>
              <wp:wrapNone/>
              <wp:docPr id="16" name="Text Box 2"/>
              <wp:cNvGraphicFramePr/>
              <a:graphic xmlns:a="http://schemas.openxmlformats.org/drawingml/2006/main">
                <a:graphicData uri="http://schemas.microsoft.com/office/word/2010/wordprocessingShape">
                  <wps:wsp>
                    <wps:cNvSpPr txBox="1">
                      <a:spLocks noChangeArrowheads="1"/>
                    </wps:cNvSpPr>
                    <wps:spPr bwMode="auto">
                      <a:xfrm>
                        <a:off x="0" y="0"/>
                        <a:ext cx="342900" cy="196850"/>
                      </a:xfrm>
                      <a:prstGeom prst="rect">
                        <a:avLst/>
                      </a:prstGeom>
                      <a:noFill/>
                      <a:ln>
                        <a:noFill/>
                      </a:ln>
                    </wps:spPr>
                    <wps:txbx>
                      <w:txbxContent>
                        <w:p w14:paraId="6968FE91">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22</w:t>
                          </w:r>
                          <w:r>
                            <w:rPr>
                              <w:rFonts w:hint="eastAsia"/>
                            </w:rPr>
                            <w:fldChar w:fldCharType="end"/>
                          </w:r>
                        </w:p>
                      </w:txbxContent>
                    </wps:txbx>
                    <wps:bodyPr rot="0" vert="horz" wrap="square" lIns="0" tIns="0" rIns="0" bIns="0" anchor="t" anchorCtr="0" upright="1">
                      <a:spAutoFit/>
                    </wps:bodyPr>
                  </wps:wsp>
                </a:graphicData>
              </a:graphic>
            </wp:anchor>
          </w:drawing>
        </mc:Choice>
        <mc:Fallback>
          <w:pict>
            <v:shape id="Text Box 2" o:spid="_x0000_s1026" o:spt="202" type="#_x0000_t202" style="position:absolute;left:0pt;margin-top:0pt;height:15.5pt;width:27pt;mso-position-horizontal:center;mso-position-horizontal-relative:margin;z-index:251660288;mso-width-relative:page;mso-height-relative:page;" filled="f" stroked="f" coordsize="21600,21600" o:gfxdata="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3QRh9EAAAADAQAADwAAAAAAAAABACAAAAAiAAAAZHJzL2Rvd25yZXYueG1sUEsB&#10;AhQAFAAAAAgAh07iQMt75df8AQAABAQAAA4AAAAAAAAAAQAgAAAAIAEAAGRycy9lMm9Eb2MueG1s&#10;UEsFBgAAAAAGAAYAWQEAAI4FAAAAAA==&#10;">
              <v:fill on="f" focussize="0,0"/>
              <v:stroke on="f"/>
              <v:imagedata o:title=""/>
              <o:lock v:ext="edit" aspectratio="f"/>
              <v:textbox inset="0mm,0mm,0mm,0mm" style="mso-fit-shape-to-text:t;">
                <w:txbxContent>
                  <w:p w14:paraId="6968FE91">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22</w:t>
                    </w:r>
                    <w:r>
                      <w:rPr>
                        <w:rFonts w:hint="eastAsia"/>
                      </w:rPr>
                      <w:fldChar w:fldCharType="end"/>
                    </w:r>
                  </w:p>
                </w:txbxContent>
              </v:textbox>
            </v:shape>
          </w:pict>
        </mc:Fallback>
      </mc:AlternateContent>
    </w:r>
  </w:p>
  <w:p w14:paraId="6764FCE9">
    <w:pPr>
      <w:pStyle w:val="14"/>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16132860"/>
    </w:sdtPr>
    <w:sdtContent>
      <w:p w14:paraId="434D22FD">
        <w:pPr>
          <w:pStyle w:val="14"/>
          <w:ind w:firstLine="360"/>
          <w:jc w:val="center"/>
        </w:pPr>
        <w:r>
          <w:fldChar w:fldCharType="begin"/>
        </w:r>
        <w:r>
          <w:instrText xml:space="preserve">PAGE   \* MERGEFORMAT</w:instrText>
        </w:r>
        <w:r>
          <w:fldChar w:fldCharType="separate"/>
        </w:r>
        <w:r>
          <w:rPr>
            <w:lang w:val="zh-CN"/>
          </w:rPr>
          <w:t>2</w:t>
        </w:r>
        <w:r>
          <w:fldChar w:fldCharType="end"/>
        </w:r>
      </w:p>
    </w:sdtContent>
  </w:sdt>
  <w:p w14:paraId="4EDE6352">
    <w:pPr>
      <w:pStyle w:val="1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pPr>
        <w:spacing w:line="360" w:lineRule="auto"/>
        <w:ind w:firstLine="480"/>
      </w:pPr>
      <w:r>
        <w:separator/>
      </w:r>
    </w:p>
  </w:footnote>
  <w:footnote w:type="continuationSeparator" w:id="7">
    <w:p>
      <w:pPr>
        <w:spacing w:line="360" w:lineRule="auto"/>
        <w:ind w:firstLine="480"/>
      </w:pPr>
      <w:r>
        <w:continuationSeparator/>
      </w:r>
    </w:p>
  </w:footnote>
  <w:footnote w:id="0">
    <w:p w14:paraId="1AD7AD70">
      <w:pPr>
        <w:pStyle w:val="18"/>
        <w:ind w:firstLine="360"/>
      </w:pPr>
      <w:r>
        <w:rPr>
          <w:rStyle w:val="31"/>
        </w:rPr>
        <w:footnoteRef/>
      </w:r>
      <w:r>
        <w:t xml:space="preserve"> </w:t>
      </w:r>
      <w:r>
        <w:rPr>
          <w:rFonts w:hint="eastAsia"/>
        </w:rPr>
        <w:t>数据来自《中山市西区土地利用总体规划（2010-2020）调整完善方案（2017）》</w:t>
      </w:r>
    </w:p>
  </w:footnote>
  <w:footnote w:id="1">
    <w:p w14:paraId="10236F16">
      <w:pPr>
        <w:pStyle w:val="18"/>
        <w:ind w:firstLine="360"/>
      </w:pPr>
      <w:r>
        <w:rPr>
          <w:rStyle w:val="31"/>
        </w:rPr>
        <w:footnoteRef/>
      </w:r>
      <w:r>
        <w:t xml:space="preserve"> </w:t>
      </w:r>
      <w:r>
        <w:rPr>
          <w:rFonts w:hint="eastAsia"/>
        </w:rPr>
        <w:t>数据来自《中山市主体功能区规划实施纲要》。</w:t>
      </w:r>
    </w:p>
  </w:footnote>
  <w:footnote w:id="2">
    <w:p w14:paraId="2D7326BB">
      <w:pPr>
        <w:pStyle w:val="18"/>
        <w:ind w:firstLine="360"/>
      </w:pPr>
      <w:r>
        <w:rPr>
          <w:rStyle w:val="31"/>
        </w:rPr>
        <w:footnoteRef/>
      </w:r>
      <w:r>
        <w:t xml:space="preserve"> </w:t>
      </w:r>
      <w:r>
        <w:rPr>
          <w:rFonts w:hint="eastAsia"/>
        </w:rPr>
        <w:t>来源于</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0EC04D">
    <w:pPr>
      <w:pStyle w:val="15"/>
      <w:pBdr>
        <w:bottom w:val="single" w:color="auto" w:sz="4" w:space="1"/>
      </w:pBdr>
      <w:ind w:firstLine="360"/>
      <w:jc w:val="right"/>
    </w:pPr>
    <w:r>
      <w:rPr>
        <w:rFonts w:hint="eastAsia"/>
      </w:rPr>
      <w:t>中山市西区水生态文明建设规划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F192A">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433EE">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6048104"/>
    <w:multiLevelType w:val="singleLevel"/>
    <w:tmpl w:val="E6048104"/>
    <w:lvl w:ilvl="0" w:tentative="0">
      <w:start w:val="1"/>
      <w:numFmt w:val="decimal"/>
      <w:suff w:val="nothing"/>
      <w:lvlText w:val="（%1）"/>
      <w:lvlJc w:val="left"/>
    </w:lvl>
  </w:abstractNum>
  <w:abstractNum w:abstractNumId="1">
    <w:nsid w:val="F11F45C1"/>
    <w:multiLevelType w:val="singleLevel"/>
    <w:tmpl w:val="F11F45C1"/>
    <w:lvl w:ilvl="0" w:tentative="0">
      <w:start w:val="1"/>
      <w:numFmt w:val="decimal"/>
      <w:suff w:val="nothing"/>
      <w:lvlText w:val="（%1）"/>
      <w:lvlJc w:val="left"/>
    </w:lvl>
  </w:abstractNum>
  <w:abstractNum w:abstractNumId="2">
    <w:nsid w:val="1B0D162C"/>
    <w:multiLevelType w:val="singleLevel"/>
    <w:tmpl w:val="1B0D162C"/>
    <w:lvl w:ilvl="0" w:tentative="0">
      <w:start w:val="5"/>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hideSpellingErrors/>
  <w:documentProtection w:enforcement="0"/>
  <w:defaultTabStop w:val="420"/>
  <w:drawingGridHorizontalSpacing w:val="120"/>
  <w:drawingGridVerticalSpacing w:val="163"/>
  <w:displayHorizontalDrawingGridEvery w:val="2"/>
  <w:displayVerticalDrawingGridEvery w:val="2"/>
  <w:noPunctuationKerning w:val="1"/>
  <w:characterSpacingControl w:val="compressPunctuation"/>
  <w:footnotePr>
    <w:footnote w:id="6"/>
    <w:footnote w:id="7"/>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2FF"/>
    <w:rsid w:val="00000603"/>
    <w:rsid w:val="00001BCB"/>
    <w:rsid w:val="000037E5"/>
    <w:rsid w:val="00004B70"/>
    <w:rsid w:val="000068F0"/>
    <w:rsid w:val="0000692B"/>
    <w:rsid w:val="00006C17"/>
    <w:rsid w:val="00006CDB"/>
    <w:rsid w:val="00006EA6"/>
    <w:rsid w:val="00011E35"/>
    <w:rsid w:val="00011EF7"/>
    <w:rsid w:val="000138C6"/>
    <w:rsid w:val="00013FB0"/>
    <w:rsid w:val="00014716"/>
    <w:rsid w:val="0001488C"/>
    <w:rsid w:val="00015D9A"/>
    <w:rsid w:val="000166F8"/>
    <w:rsid w:val="00016C23"/>
    <w:rsid w:val="00020C0F"/>
    <w:rsid w:val="000213A4"/>
    <w:rsid w:val="00023143"/>
    <w:rsid w:val="00027664"/>
    <w:rsid w:val="000278A5"/>
    <w:rsid w:val="00030FB7"/>
    <w:rsid w:val="00031AEC"/>
    <w:rsid w:val="0003239E"/>
    <w:rsid w:val="000327D3"/>
    <w:rsid w:val="000331D5"/>
    <w:rsid w:val="000336E0"/>
    <w:rsid w:val="0003388A"/>
    <w:rsid w:val="00034BEC"/>
    <w:rsid w:val="00034E27"/>
    <w:rsid w:val="00035411"/>
    <w:rsid w:val="00036679"/>
    <w:rsid w:val="00036E53"/>
    <w:rsid w:val="00037211"/>
    <w:rsid w:val="000375B5"/>
    <w:rsid w:val="00037E9B"/>
    <w:rsid w:val="00041013"/>
    <w:rsid w:val="0004125A"/>
    <w:rsid w:val="0004177F"/>
    <w:rsid w:val="00041780"/>
    <w:rsid w:val="00041CD0"/>
    <w:rsid w:val="0004295A"/>
    <w:rsid w:val="00043B98"/>
    <w:rsid w:val="00044634"/>
    <w:rsid w:val="00044D6C"/>
    <w:rsid w:val="0004510A"/>
    <w:rsid w:val="00045556"/>
    <w:rsid w:val="00045CFA"/>
    <w:rsid w:val="00045DF1"/>
    <w:rsid w:val="000464DE"/>
    <w:rsid w:val="0004689E"/>
    <w:rsid w:val="00047585"/>
    <w:rsid w:val="00047588"/>
    <w:rsid w:val="000476FD"/>
    <w:rsid w:val="000504EA"/>
    <w:rsid w:val="000505EC"/>
    <w:rsid w:val="00050938"/>
    <w:rsid w:val="000512FB"/>
    <w:rsid w:val="00051FAC"/>
    <w:rsid w:val="000523ED"/>
    <w:rsid w:val="00052690"/>
    <w:rsid w:val="000535D4"/>
    <w:rsid w:val="00054038"/>
    <w:rsid w:val="000549DA"/>
    <w:rsid w:val="00054A7F"/>
    <w:rsid w:val="00054BB2"/>
    <w:rsid w:val="000557D0"/>
    <w:rsid w:val="0005600B"/>
    <w:rsid w:val="00060548"/>
    <w:rsid w:val="000614D7"/>
    <w:rsid w:val="000617DA"/>
    <w:rsid w:val="00071E99"/>
    <w:rsid w:val="00073528"/>
    <w:rsid w:val="00074183"/>
    <w:rsid w:val="00074B18"/>
    <w:rsid w:val="00074D35"/>
    <w:rsid w:val="00076068"/>
    <w:rsid w:val="00076EFC"/>
    <w:rsid w:val="0008028A"/>
    <w:rsid w:val="00080E2A"/>
    <w:rsid w:val="00081712"/>
    <w:rsid w:val="00081FB1"/>
    <w:rsid w:val="00083190"/>
    <w:rsid w:val="00083BC3"/>
    <w:rsid w:val="00083C27"/>
    <w:rsid w:val="000849DE"/>
    <w:rsid w:val="00084F48"/>
    <w:rsid w:val="00085A1A"/>
    <w:rsid w:val="0008642D"/>
    <w:rsid w:val="00086513"/>
    <w:rsid w:val="00086922"/>
    <w:rsid w:val="000879BF"/>
    <w:rsid w:val="00090637"/>
    <w:rsid w:val="0009194C"/>
    <w:rsid w:val="00092387"/>
    <w:rsid w:val="00092CF6"/>
    <w:rsid w:val="00094223"/>
    <w:rsid w:val="00095945"/>
    <w:rsid w:val="00096539"/>
    <w:rsid w:val="00096C93"/>
    <w:rsid w:val="000A03C7"/>
    <w:rsid w:val="000A065F"/>
    <w:rsid w:val="000A09EB"/>
    <w:rsid w:val="000A1330"/>
    <w:rsid w:val="000A1CAA"/>
    <w:rsid w:val="000A1F06"/>
    <w:rsid w:val="000A250B"/>
    <w:rsid w:val="000A2C59"/>
    <w:rsid w:val="000A2C5E"/>
    <w:rsid w:val="000A2F7E"/>
    <w:rsid w:val="000A3954"/>
    <w:rsid w:val="000A519F"/>
    <w:rsid w:val="000A69A4"/>
    <w:rsid w:val="000A6C49"/>
    <w:rsid w:val="000A7730"/>
    <w:rsid w:val="000A7C3E"/>
    <w:rsid w:val="000B029F"/>
    <w:rsid w:val="000B0D2F"/>
    <w:rsid w:val="000B1BBD"/>
    <w:rsid w:val="000B2DBD"/>
    <w:rsid w:val="000B39BF"/>
    <w:rsid w:val="000B3E5A"/>
    <w:rsid w:val="000B4610"/>
    <w:rsid w:val="000B4F05"/>
    <w:rsid w:val="000B702C"/>
    <w:rsid w:val="000B7D8D"/>
    <w:rsid w:val="000C03C3"/>
    <w:rsid w:val="000C16A0"/>
    <w:rsid w:val="000C2E02"/>
    <w:rsid w:val="000C362A"/>
    <w:rsid w:val="000C3FC5"/>
    <w:rsid w:val="000C4C28"/>
    <w:rsid w:val="000C6E59"/>
    <w:rsid w:val="000C7682"/>
    <w:rsid w:val="000C7EE7"/>
    <w:rsid w:val="000D0AEE"/>
    <w:rsid w:val="000D1475"/>
    <w:rsid w:val="000D2681"/>
    <w:rsid w:val="000D2D06"/>
    <w:rsid w:val="000D3EB0"/>
    <w:rsid w:val="000D4B19"/>
    <w:rsid w:val="000D4BCE"/>
    <w:rsid w:val="000D4DB1"/>
    <w:rsid w:val="000D64BA"/>
    <w:rsid w:val="000D7DAC"/>
    <w:rsid w:val="000E20EA"/>
    <w:rsid w:val="000E3B67"/>
    <w:rsid w:val="000E7639"/>
    <w:rsid w:val="000F001B"/>
    <w:rsid w:val="000F04A3"/>
    <w:rsid w:val="000F0860"/>
    <w:rsid w:val="000F1349"/>
    <w:rsid w:val="000F1CEF"/>
    <w:rsid w:val="000F2075"/>
    <w:rsid w:val="000F47EB"/>
    <w:rsid w:val="000F57E4"/>
    <w:rsid w:val="000F6D8C"/>
    <w:rsid w:val="000F7B27"/>
    <w:rsid w:val="000F7FE4"/>
    <w:rsid w:val="00100CFD"/>
    <w:rsid w:val="0010144F"/>
    <w:rsid w:val="001015F0"/>
    <w:rsid w:val="00101699"/>
    <w:rsid w:val="001022DD"/>
    <w:rsid w:val="00102467"/>
    <w:rsid w:val="00102635"/>
    <w:rsid w:val="00103D32"/>
    <w:rsid w:val="001042FB"/>
    <w:rsid w:val="00104BDC"/>
    <w:rsid w:val="00106900"/>
    <w:rsid w:val="00106C10"/>
    <w:rsid w:val="001071EB"/>
    <w:rsid w:val="00107564"/>
    <w:rsid w:val="001105CA"/>
    <w:rsid w:val="00114B0E"/>
    <w:rsid w:val="001156E0"/>
    <w:rsid w:val="001171EF"/>
    <w:rsid w:val="00122122"/>
    <w:rsid w:val="001222DB"/>
    <w:rsid w:val="00123600"/>
    <w:rsid w:val="001236E7"/>
    <w:rsid w:val="001246BC"/>
    <w:rsid w:val="00124CDF"/>
    <w:rsid w:val="00124D8D"/>
    <w:rsid w:val="0012544C"/>
    <w:rsid w:val="001259C9"/>
    <w:rsid w:val="0012629D"/>
    <w:rsid w:val="00126910"/>
    <w:rsid w:val="00126F79"/>
    <w:rsid w:val="00127547"/>
    <w:rsid w:val="00130EFD"/>
    <w:rsid w:val="00131939"/>
    <w:rsid w:val="0013194B"/>
    <w:rsid w:val="00131E0F"/>
    <w:rsid w:val="0013328E"/>
    <w:rsid w:val="00133623"/>
    <w:rsid w:val="001338D7"/>
    <w:rsid w:val="00133982"/>
    <w:rsid w:val="0013461A"/>
    <w:rsid w:val="00134F9F"/>
    <w:rsid w:val="00135287"/>
    <w:rsid w:val="00136467"/>
    <w:rsid w:val="00136623"/>
    <w:rsid w:val="00136971"/>
    <w:rsid w:val="00136CDC"/>
    <w:rsid w:val="001372EE"/>
    <w:rsid w:val="00141297"/>
    <w:rsid w:val="001416B3"/>
    <w:rsid w:val="001424A3"/>
    <w:rsid w:val="00142D90"/>
    <w:rsid w:val="00143EC2"/>
    <w:rsid w:val="00145659"/>
    <w:rsid w:val="00146684"/>
    <w:rsid w:val="00147193"/>
    <w:rsid w:val="00150592"/>
    <w:rsid w:val="00151435"/>
    <w:rsid w:val="00153610"/>
    <w:rsid w:val="0015496A"/>
    <w:rsid w:val="00155303"/>
    <w:rsid w:val="00156960"/>
    <w:rsid w:val="00157277"/>
    <w:rsid w:val="00157450"/>
    <w:rsid w:val="001615FC"/>
    <w:rsid w:val="0016166F"/>
    <w:rsid w:val="001617C3"/>
    <w:rsid w:val="001627B1"/>
    <w:rsid w:val="00162FAD"/>
    <w:rsid w:val="00163D49"/>
    <w:rsid w:val="0016420B"/>
    <w:rsid w:val="00164AB6"/>
    <w:rsid w:val="00165134"/>
    <w:rsid w:val="0016564B"/>
    <w:rsid w:val="0016590C"/>
    <w:rsid w:val="00166231"/>
    <w:rsid w:val="00166E16"/>
    <w:rsid w:val="00167D57"/>
    <w:rsid w:val="00170713"/>
    <w:rsid w:val="0017084D"/>
    <w:rsid w:val="001708E2"/>
    <w:rsid w:val="00170C53"/>
    <w:rsid w:val="00172A27"/>
    <w:rsid w:val="00173049"/>
    <w:rsid w:val="001731D1"/>
    <w:rsid w:val="0017334B"/>
    <w:rsid w:val="0017338B"/>
    <w:rsid w:val="001736E4"/>
    <w:rsid w:val="001737A6"/>
    <w:rsid w:val="00173A3D"/>
    <w:rsid w:val="00173F33"/>
    <w:rsid w:val="001748A8"/>
    <w:rsid w:val="00174D2F"/>
    <w:rsid w:val="001765D2"/>
    <w:rsid w:val="00176D84"/>
    <w:rsid w:val="00177908"/>
    <w:rsid w:val="00180D2D"/>
    <w:rsid w:val="00180E4E"/>
    <w:rsid w:val="001813BD"/>
    <w:rsid w:val="0018144E"/>
    <w:rsid w:val="00181919"/>
    <w:rsid w:val="0018305C"/>
    <w:rsid w:val="00183266"/>
    <w:rsid w:val="0018329C"/>
    <w:rsid w:val="00187678"/>
    <w:rsid w:val="00187733"/>
    <w:rsid w:val="0018789B"/>
    <w:rsid w:val="001901A3"/>
    <w:rsid w:val="00190BBD"/>
    <w:rsid w:val="001916F4"/>
    <w:rsid w:val="0019201F"/>
    <w:rsid w:val="00193795"/>
    <w:rsid w:val="00193993"/>
    <w:rsid w:val="00193FDC"/>
    <w:rsid w:val="001962E1"/>
    <w:rsid w:val="00196F4E"/>
    <w:rsid w:val="001A0435"/>
    <w:rsid w:val="001A1316"/>
    <w:rsid w:val="001A1936"/>
    <w:rsid w:val="001A22A1"/>
    <w:rsid w:val="001A2988"/>
    <w:rsid w:val="001A2A04"/>
    <w:rsid w:val="001A3750"/>
    <w:rsid w:val="001A41BF"/>
    <w:rsid w:val="001A4AAF"/>
    <w:rsid w:val="001A4DF8"/>
    <w:rsid w:val="001A5683"/>
    <w:rsid w:val="001A5D24"/>
    <w:rsid w:val="001A6BE5"/>
    <w:rsid w:val="001A7AD5"/>
    <w:rsid w:val="001B0F25"/>
    <w:rsid w:val="001B12C5"/>
    <w:rsid w:val="001B216D"/>
    <w:rsid w:val="001B2566"/>
    <w:rsid w:val="001B3911"/>
    <w:rsid w:val="001B5161"/>
    <w:rsid w:val="001B548A"/>
    <w:rsid w:val="001B5F6E"/>
    <w:rsid w:val="001B6043"/>
    <w:rsid w:val="001B65A8"/>
    <w:rsid w:val="001B664D"/>
    <w:rsid w:val="001B66D6"/>
    <w:rsid w:val="001B751C"/>
    <w:rsid w:val="001B77C5"/>
    <w:rsid w:val="001B7B9D"/>
    <w:rsid w:val="001C07B3"/>
    <w:rsid w:val="001C1968"/>
    <w:rsid w:val="001C1B8F"/>
    <w:rsid w:val="001C1D9C"/>
    <w:rsid w:val="001C1DB3"/>
    <w:rsid w:val="001C2455"/>
    <w:rsid w:val="001C24BC"/>
    <w:rsid w:val="001C2793"/>
    <w:rsid w:val="001C2B53"/>
    <w:rsid w:val="001C3213"/>
    <w:rsid w:val="001C37A6"/>
    <w:rsid w:val="001C39AE"/>
    <w:rsid w:val="001C4D58"/>
    <w:rsid w:val="001C60FE"/>
    <w:rsid w:val="001C6672"/>
    <w:rsid w:val="001C6EF9"/>
    <w:rsid w:val="001D1221"/>
    <w:rsid w:val="001D1CA9"/>
    <w:rsid w:val="001D1FC7"/>
    <w:rsid w:val="001D3466"/>
    <w:rsid w:val="001D3523"/>
    <w:rsid w:val="001D378D"/>
    <w:rsid w:val="001D510A"/>
    <w:rsid w:val="001D5FE8"/>
    <w:rsid w:val="001D7466"/>
    <w:rsid w:val="001E0074"/>
    <w:rsid w:val="001E02AE"/>
    <w:rsid w:val="001E0403"/>
    <w:rsid w:val="001E06EB"/>
    <w:rsid w:val="001E0A20"/>
    <w:rsid w:val="001E0C83"/>
    <w:rsid w:val="001E102F"/>
    <w:rsid w:val="001E10EB"/>
    <w:rsid w:val="001E1BEE"/>
    <w:rsid w:val="001E3B4D"/>
    <w:rsid w:val="001E5BA2"/>
    <w:rsid w:val="001E5EA1"/>
    <w:rsid w:val="001E6A30"/>
    <w:rsid w:val="001F0824"/>
    <w:rsid w:val="001F1976"/>
    <w:rsid w:val="001F2070"/>
    <w:rsid w:val="001F2099"/>
    <w:rsid w:val="001F376F"/>
    <w:rsid w:val="001F638E"/>
    <w:rsid w:val="001F6B47"/>
    <w:rsid w:val="001F7FBD"/>
    <w:rsid w:val="0020053D"/>
    <w:rsid w:val="00200A58"/>
    <w:rsid w:val="00200C45"/>
    <w:rsid w:val="00201116"/>
    <w:rsid w:val="0020474B"/>
    <w:rsid w:val="002049B5"/>
    <w:rsid w:val="00207004"/>
    <w:rsid w:val="002078DB"/>
    <w:rsid w:val="00210499"/>
    <w:rsid w:val="00211549"/>
    <w:rsid w:val="0021215F"/>
    <w:rsid w:val="002127B4"/>
    <w:rsid w:val="00212BA5"/>
    <w:rsid w:val="00212E25"/>
    <w:rsid w:val="002136E5"/>
    <w:rsid w:val="00213D77"/>
    <w:rsid w:val="0021441C"/>
    <w:rsid w:val="00214721"/>
    <w:rsid w:val="002151B9"/>
    <w:rsid w:val="00215C64"/>
    <w:rsid w:val="00215F74"/>
    <w:rsid w:val="00216245"/>
    <w:rsid w:val="00216858"/>
    <w:rsid w:val="00217594"/>
    <w:rsid w:val="00222868"/>
    <w:rsid w:val="00223CAF"/>
    <w:rsid w:val="00224415"/>
    <w:rsid w:val="00224DE7"/>
    <w:rsid w:val="00225309"/>
    <w:rsid w:val="00225518"/>
    <w:rsid w:val="002257A1"/>
    <w:rsid w:val="00226E51"/>
    <w:rsid w:val="0023070E"/>
    <w:rsid w:val="00230E91"/>
    <w:rsid w:val="00231534"/>
    <w:rsid w:val="00231624"/>
    <w:rsid w:val="0023179C"/>
    <w:rsid w:val="002324BC"/>
    <w:rsid w:val="00233350"/>
    <w:rsid w:val="00234337"/>
    <w:rsid w:val="0023504F"/>
    <w:rsid w:val="002356E0"/>
    <w:rsid w:val="002368E3"/>
    <w:rsid w:val="00237E06"/>
    <w:rsid w:val="00240726"/>
    <w:rsid w:val="00240A37"/>
    <w:rsid w:val="00243E21"/>
    <w:rsid w:val="002440EA"/>
    <w:rsid w:val="002448C5"/>
    <w:rsid w:val="00245E65"/>
    <w:rsid w:val="002475D2"/>
    <w:rsid w:val="00247729"/>
    <w:rsid w:val="0025006F"/>
    <w:rsid w:val="00250B83"/>
    <w:rsid w:val="002533E3"/>
    <w:rsid w:val="002557FD"/>
    <w:rsid w:val="00255D26"/>
    <w:rsid w:val="00255E6E"/>
    <w:rsid w:val="0025733C"/>
    <w:rsid w:val="00260ED5"/>
    <w:rsid w:val="002612CF"/>
    <w:rsid w:val="00262806"/>
    <w:rsid w:val="00262F84"/>
    <w:rsid w:val="00262F98"/>
    <w:rsid w:val="002638C0"/>
    <w:rsid w:val="002644F4"/>
    <w:rsid w:val="002645A7"/>
    <w:rsid w:val="00264EB6"/>
    <w:rsid w:val="00265D29"/>
    <w:rsid w:val="00267000"/>
    <w:rsid w:val="002670AF"/>
    <w:rsid w:val="00267415"/>
    <w:rsid w:val="00270C84"/>
    <w:rsid w:val="00270CF1"/>
    <w:rsid w:val="0027116C"/>
    <w:rsid w:val="00271B76"/>
    <w:rsid w:val="00271BB1"/>
    <w:rsid w:val="00273EE6"/>
    <w:rsid w:val="00274A9C"/>
    <w:rsid w:val="00274EFB"/>
    <w:rsid w:val="00276FE0"/>
    <w:rsid w:val="00281B13"/>
    <w:rsid w:val="00281B9E"/>
    <w:rsid w:val="00282661"/>
    <w:rsid w:val="00285C10"/>
    <w:rsid w:val="002868B0"/>
    <w:rsid w:val="00287036"/>
    <w:rsid w:val="00290414"/>
    <w:rsid w:val="00290B49"/>
    <w:rsid w:val="00291895"/>
    <w:rsid w:val="00291CE4"/>
    <w:rsid w:val="0029444C"/>
    <w:rsid w:val="0029458C"/>
    <w:rsid w:val="002948A3"/>
    <w:rsid w:val="002961F6"/>
    <w:rsid w:val="0029629C"/>
    <w:rsid w:val="00296403"/>
    <w:rsid w:val="00297387"/>
    <w:rsid w:val="002A010E"/>
    <w:rsid w:val="002A061E"/>
    <w:rsid w:val="002A1A26"/>
    <w:rsid w:val="002A37DE"/>
    <w:rsid w:val="002A385A"/>
    <w:rsid w:val="002A38C9"/>
    <w:rsid w:val="002A4289"/>
    <w:rsid w:val="002A4D5B"/>
    <w:rsid w:val="002A7CAD"/>
    <w:rsid w:val="002B0A70"/>
    <w:rsid w:val="002B11AE"/>
    <w:rsid w:val="002B21B4"/>
    <w:rsid w:val="002B54C2"/>
    <w:rsid w:val="002B575F"/>
    <w:rsid w:val="002B5792"/>
    <w:rsid w:val="002B5EFB"/>
    <w:rsid w:val="002C0824"/>
    <w:rsid w:val="002C0A6D"/>
    <w:rsid w:val="002C2FBF"/>
    <w:rsid w:val="002C34FC"/>
    <w:rsid w:val="002C3E12"/>
    <w:rsid w:val="002C429A"/>
    <w:rsid w:val="002C4C28"/>
    <w:rsid w:val="002C51C9"/>
    <w:rsid w:val="002C6441"/>
    <w:rsid w:val="002D0283"/>
    <w:rsid w:val="002D05EC"/>
    <w:rsid w:val="002D254C"/>
    <w:rsid w:val="002D3B37"/>
    <w:rsid w:val="002D42C4"/>
    <w:rsid w:val="002D531A"/>
    <w:rsid w:val="002D596A"/>
    <w:rsid w:val="002D5B41"/>
    <w:rsid w:val="002D5F57"/>
    <w:rsid w:val="002D6A2C"/>
    <w:rsid w:val="002D7D61"/>
    <w:rsid w:val="002E01AA"/>
    <w:rsid w:val="002E08E9"/>
    <w:rsid w:val="002E0CCC"/>
    <w:rsid w:val="002E11F2"/>
    <w:rsid w:val="002E1ED9"/>
    <w:rsid w:val="002E2102"/>
    <w:rsid w:val="002E25FB"/>
    <w:rsid w:val="002E293F"/>
    <w:rsid w:val="002E3032"/>
    <w:rsid w:val="002E3935"/>
    <w:rsid w:val="002E3C91"/>
    <w:rsid w:val="002E3F12"/>
    <w:rsid w:val="002E4A42"/>
    <w:rsid w:val="002E5BCB"/>
    <w:rsid w:val="002E5EA5"/>
    <w:rsid w:val="002E7035"/>
    <w:rsid w:val="002F06E7"/>
    <w:rsid w:val="002F0BFD"/>
    <w:rsid w:val="002F196D"/>
    <w:rsid w:val="002F1E89"/>
    <w:rsid w:val="002F45E5"/>
    <w:rsid w:val="002F4D1B"/>
    <w:rsid w:val="002F5013"/>
    <w:rsid w:val="002F529C"/>
    <w:rsid w:val="002F5588"/>
    <w:rsid w:val="002F5691"/>
    <w:rsid w:val="002F579F"/>
    <w:rsid w:val="002F77E4"/>
    <w:rsid w:val="002F7D0F"/>
    <w:rsid w:val="00300712"/>
    <w:rsid w:val="00300FE8"/>
    <w:rsid w:val="0030125C"/>
    <w:rsid w:val="0030165B"/>
    <w:rsid w:val="00301CFC"/>
    <w:rsid w:val="00302BD1"/>
    <w:rsid w:val="00303483"/>
    <w:rsid w:val="00304568"/>
    <w:rsid w:val="00304C2B"/>
    <w:rsid w:val="00305257"/>
    <w:rsid w:val="003055C5"/>
    <w:rsid w:val="0030594B"/>
    <w:rsid w:val="00305CF0"/>
    <w:rsid w:val="003070D0"/>
    <w:rsid w:val="003072C2"/>
    <w:rsid w:val="00311DF9"/>
    <w:rsid w:val="0031315C"/>
    <w:rsid w:val="003135AD"/>
    <w:rsid w:val="0031496A"/>
    <w:rsid w:val="00315CC2"/>
    <w:rsid w:val="0031748F"/>
    <w:rsid w:val="00317A29"/>
    <w:rsid w:val="00317A65"/>
    <w:rsid w:val="00317C29"/>
    <w:rsid w:val="0032092B"/>
    <w:rsid w:val="0032583D"/>
    <w:rsid w:val="00325916"/>
    <w:rsid w:val="003262EA"/>
    <w:rsid w:val="00326CB4"/>
    <w:rsid w:val="003272A3"/>
    <w:rsid w:val="003306EE"/>
    <w:rsid w:val="003318A6"/>
    <w:rsid w:val="0033254E"/>
    <w:rsid w:val="00332BA1"/>
    <w:rsid w:val="003341FF"/>
    <w:rsid w:val="00335B19"/>
    <w:rsid w:val="003371FD"/>
    <w:rsid w:val="003400E5"/>
    <w:rsid w:val="00340856"/>
    <w:rsid w:val="0034103A"/>
    <w:rsid w:val="003421AC"/>
    <w:rsid w:val="003427C4"/>
    <w:rsid w:val="003441CC"/>
    <w:rsid w:val="00344544"/>
    <w:rsid w:val="0034458A"/>
    <w:rsid w:val="00346873"/>
    <w:rsid w:val="00347F38"/>
    <w:rsid w:val="00347F7B"/>
    <w:rsid w:val="00350D7A"/>
    <w:rsid w:val="00351D33"/>
    <w:rsid w:val="00352744"/>
    <w:rsid w:val="00353813"/>
    <w:rsid w:val="00354879"/>
    <w:rsid w:val="00355B3C"/>
    <w:rsid w:val="0035643E"/>
    <w:rsid w:val="00356C02"/>
    <w:rsid w:val="00356C23"/>
    <w:rsid w:val="003574CC"/>
    <w:rsid w:val="003575E5"/>
    <w:rsid w:val="0036017A"/>
    <w:rsid w:val="0036077B"/>
    <w:rsid w:val="00363C7E"/>
    <w:rsid w:val="0036468E"/>
    <w:rsid w:val="00364C53"/>
    <w:rsid w:val="00364C6A"/>
    <w:rsid w:val="00365ADF"/>
    <w:rsid w:val="003667F2"/>
    <w:rsid w:val="003706BF"/>
    <w:rsid w:val="00370C16"/>
    <w:rsid w:val="00371C70"/>
    <w:rsid w:val="00371EA4"/>
    <w:rsid w:val="00373BCF"/>
    <w:rsid w:val="00373C88"/>
    <w:rsid w:val="00374956"/>
    <w:rsid w:val="00374FEA"/>
    <w:rsid w:val="0037759A"/>
    <w:rsid w:val="00377EB6"/>
    <w:rsid w:val="00380337"/>
    <w:rsid w:val="003811FD"/>
    <w:rsid w:val="003836E7"/>
    <w:rsid w:val="003849A0"/>
    <w:rsid w:val="003852EF"/>
    <w:rsid w:val="0038654D"/>
    <w:rsid w:val="00386E97"/>
    <w:rsid w:val="003871A3"/>
    <w:rsid w:val="0038755C"/>
    <w:rsid w:val="0039218C"/>
    <w:rsid w:val="003922F6"/>
    <w:rsid w:val="003939D4"/>
    <w:rsid w:val="00394BB6"/>
    <w:rsid w:val="0039659D"/>
    <w:rsid w:val="003A10D7"/>
    <w:rsid w:val="003A113B"/>
    <w:rsid w:val="003A11C9"/>
    <w:rsid w:val="003A28F5"/>
    <w:rsid w:val="003A43AB"/>
    <w:rsid w:val="003A464D"/>
    <w:rsid w:val="003A465F"/>
    <w:rsid w:val="003A46A6"/>
    <w:rsid w:val="003A4CFA"/>
    <w:rsid w:val="003A5392"/>
    <w:rsid w:val="003A5730"/>
    <w:rsid w:val="003A575E"/>
    <w:rsid w:val="003A5E86"/>
    <w:rsid w:val="003A6822"/>
    <w:rsid w:val="003B027E"/>
    <w:rsid w:val="003B0B87"/>
    <w:rsid w:val="003B1E5E"/>
    <w:rsid w:val="003B286D"/>
    <w:rsid w:val="003B38A2"/>
    <w:rsid w:val="003B3A3E"/>
    <w:rsid w:val="003B48E9"/>
    <w:rsid w:val="003B62A7"/>
    <w:rsid w:val="003B79FD"/>
    <w:rsid w:val="003C026D"/>
    <w:rsid w:val="003C0FA6"/>
    <w:rsid w:val="003C1915"/>
    <w:rsid w:val="003C2305"/>
    <w:rsid w:val="003C4373"/>
    <w:rsid w:val="003C522E"/>
    <w:rsid w:val="003C5468"/>
    <w:rsid w:val="003C592F"/>
    <w:rsid w:val="003C5FA9"/>
    <w:rsid w:val="003C630C"/>
    <w:rsid w:val="003C6673"/>
    <w:rsid w:val="003C6E95"/>
    <w:rsid w:val="003C6F5B"/>
    <w:rsid w:val="003C7238"/>
    <w:rsid w:val="003C726C"/>
    <w:rsid w:val="003C738D"/>
    <w:rsid w:val="003D3128"/>
    <w:rsid w:val="003D54C5"/>
    <w:rsid w:val="003D7360"/>
    <w:rsid w:val="003E12CB"/>
    <w:rsid w:val="003E260E"/>
    <w:rsid w:val="003E2E1B"/>
    <w:rsid w:val="003E39FD"/>
    <w:rsid w:val="003E3A79"/>
    <w:rsid w:val="003E3E4A"/>
    <w:rsid w:val="003E50C8"/>
    <w:rsid w:val="003E55D7"/>
    <w:rsid w:val="003E60A9"/>
    <w:rsid w:val="003E67BC"/>
    <w:rsid w:val="003E702A"/>
    <w:rsid w:val="003E74B8"/>
    <w:rsid w:val="003E78B5"/>
    <w:rsid w:val="003F0157"/>
    <w:rsid w:val="003F0201"/>
    <w:rsid w:val="003F1086"/>
    <w:rsid w:val="003F2008"/>
    <w:rsid w:val="003F2407"/>
    <w:rsid w:val="003F2AB2"/>
    <w:rsid w:val="003F2AFE"/>
    <w:rsid w:val="003F3924"/>
    <w:rsid w:val="003F3EC0"/>
    <w:rsid w:val="003F6A34"/>
    <w:rsid w:val="003F7B4A"/>
    <w:rsid w:val="004001F8"/>
    <w:rsid w:val="004004E7"/>
    <w:rsid w:val="00403451"/>
    <w:rsid w:val="00404B15"/>
    <w:rsid w:val="00405252"/>
    <w:rsid w:val="00405306"/>
    <w:rsid w:val="00405321"/>
    <w:rsid w:val="0040601C"/>
    <w:rsid w:val="00406899"/>
    <w:rsid w:val="00407630"/>
    <w:rsid w:val="00407850"/>
    <w:rsid w:val="00407A1E"/>
    <w:rsid w:val="00407BCA"/>
    <w:rsid w:val="00407F82"/>
    <w:rsid w:val="00411AC7"/>
    <w:rsid w:val="00413192"/>
    <w:rsid w:val="0041378E"/>
    <w:rsid w:val="00413870"/>
    <w:rsid w:val="004151D0"/>
    <w:rsid w:val="004158E1"/>
    <w:rsid w:val="00415E17"/>
    <w:rsid w:val="004178D2"/>
    <w:rsid w:val="004201FE"/>
    <w:rsid w:val="00420337"/>
    <w:rsid w:val="004222AB"/>
    <w:rsid w:val="004241B4"/>
    <w:rsid w:val="00426509"/>
    <w:rsid w:val="00427940"/>
    <w:rsid w:val="004317C4"/>
    <w:rsid w:val="00433B2C"/>
    <w:rsid w:val="00434B10"/>
    <w:rsid w:val="00434FB9"/>
    <w:rsid w:val="004357F5"/>
    <w:rsid w:val="00436B1E"/>
    <w:rsid w:val="004372BB"/>
    <w:rsid w:val="0043767D"/>
    <w:rsid w:val="00437785"/>
    <w:rsid w:val="0043783D"/>
    <w:rsid w:val="00440F82"/>
    <w:rsid w:val="0044101A"/>
    <w:rsid w:val="00441195"/>
    <w:rsid w:val="00441288"/>
    <w:rsid w:val="00441B82"/>
    <w:rsid w:val="00443569"/>
    <w:rsid w:val="00445CA8"/>
    <w:rsid w:val="00447D31"/>
    <w:rsid w:val="004501C6"/>
    <w:rsid w:val="004503AC"/>
    <w:rsid w:val="00451625"/>
    <w:rsid w:val="004517C1"/>
    <w:rsid w:val="00451AEB"/>
    <w:rsid w:val="00451F04"/>
    <w:rsid w:val="00452B56"/>
    <w:rsid w:val="00452F00"/>
    <w:rsid w:val="00454A0D"/>
    <w:rsid w:val="00455688"/>
    <w:rsid w:val="00455C36"/>
    <w:rsid w:val="004563CB"/>
    <w:rsid w:val="004571FD"/>
    <w:rsid w:val="00457429"/>
    <w:rsid w:val="00461359"/>
    <w:rsid w:val="00462CF1"/>
    <w:rsid w:val="00464497"/>
    <w:rsid w:val="0046543F"/>
    <w:rsid w:val="00465B39"/>
    <w:rsid w:val="00466AB5"/>
    <w:rsid w:val="00467F05"/>
    <w:rsid w:val="004705DE"/>
    <w:rsid w:val="0047063E"/>
    <w:rsid w:val="00470FE2"/>
    <w:rsid w:val="0047184F"/>
    <w:rsid w:val="00472605"/>
    <w:rsid w:val="00472AEA"/>
    <w:rsid w:val="00472AFC"/>
    <w:rsid w:val="00472DE0"/>
    <w:rsid w:val="00474373"/>
    <w:rsid w:val="00474B8D"/>
    <w:rsid w:val="004752FB"/>
    <w:rsid w:val="004754FB"/>
    <w:rsid w:val="004759F7"/>
    <w:rsid w:val="00475E2B"/>
    <w:rsid w:val="0047633D"/>
    <w:rsid w:val="00476C52"/>
    <w:rsid w:val="004776B5"/>
    <w:rsid w:val="0047792C"/>
    <w:rsid w:val="00477D7C"/>
    <w:rsid w:val="00477EAD"/>
    <w:rsid w:val="004804AF"/>
    <w:rsid w:val="00480835"/>
    <w:rsid w:val="00480B6C"/>
    <w:rsid w:val="00480ECE"/>
    <w:rsid w:val="00480EDA"/>
    <w:rsid w:val="00481C71"/>
    <w:rsid w:val="00481CDB"/>
    <w:rsid w:val="0048211A"/>
    <w:rsid w:val="0048228D"/>
    <w:rsid w:val="00482B9C"/>
    <w:rsid w:val="004834F3"/>
    <w:rsid w:val="00483F76"/>
    <w:rsid w:val="00484331"/>
    <w:rsid w:val="0048442F"/>
    <w:rsid w:val="0048537C"/>
    <w:rsid w:val="004858B3"/>
    <w:rsid w:val="00485C58"/>
    <w:rsid w:val="00486201"/>
    <w:rsid w:val="00486A2E"/>
    <w:rsid w:val="00490152"/>
    <w:rsid w:val="004911CA"/>
    <w:rsid w:val="00492DE5"/>
    <w:rsid w:val="00492E91"/>
    <w:rsid w:val="004930D5"/>
    <w:rsid w:val="004934AD"/>
    <w:rsid w:val="00494E4F"/>
    <w:rsid w:val="004956CD"/>
    <w:rsid w:val="00495F0C"/>
    <w:rsid w:val="004962B6"/>
    <w:rsid w:val="004975BE"/>
    <w:rsid w:val="004A0F10"/>
    <w:rsid w:val="004A12B5"/>
    <w:rsid w:val="004A19D8"/>
    <w:rsid w:val="004A1DD0"/>
    <w:rsid w:val="004A2BA6"/>
    <w:rsid w:val="004A302B"/>
    <w:rsid w:val="004A59D5"/>
    <w:rsid w:val="004A6498"/>
    <w:rsid w:val="004A76CD"/>
    <w:rsid w:val="004A7C84"/>
    <w:rsid w:val="004B0062"/>
    <w:rsid w:val="004B1333"/>
    <w:rsid w:val="004B15C6"/>
    <w:rsid w:val="004B226C"/>
    <w:rsid w:val="004B2489"/>
    <w:rsid w:val="004B25B6"/>
    <w:rsid w:val="004B278B"/>
    <w:rsid w:val="004B3074"/>
    <w:rsid w:val="004B384C"/>
    <w:rsid w:val="004B5989"/>
    <w:rsid w:val="004B666F"/>
    <w:rsid w:val="004B6C80"/>
    <w:rsid w:val="004B6FBD"/>
    <w:rsid w:val="004B7896"/>
    <w:rsid w:val="004C0180"/>
    <w:rsid w:val="004C0E35"/>
    <w:rsid w:val="004C1850"/>
    <w:rsid w:val="004C1F17"/>
    <w:rsid w:val="004C2320"/>
    <w:rsid w:val="004C2497"/>
    <w:rsid w:val="004C2A2C"/>
    <w:rsid w:val="004C3CB7"/>
    <w:rsid w:val="004C5811"/>
    <w:rsid w:val="004C6982"/>
    <w:rsid w:val="004C6B0D"/>
    <w:rsid w:val="004C7817"/>
    <w:rsid w:val="004D0F22"/>
    <w:rsid w:val="004D1146"/>
    <w:rsid w:val="004D126D"/>
    <w:rsid w:val="004D12EC"/>
    <w:rsid w:val="004D1315"/>
    <w:rsid w:val="004D1DC2"/>
    <w:rsid w:val="004D33A6"/>
    <w:rsid w:val="004D4F4E"/>
    <w:rsid w:val="004D5215"/>
    <w:rsid w:val="004D5894"/>
    <w:rsid w:val="004D6048"/>
    <w:rsid w:val="004D679B"/>
    <w:rsid w:val="004D704C"/>
    <w:rsid w:val="004D7693"/>
    <w:rsid w:val="004E0A92"/>
    <w:rsid w:val="004E10E0"/>
    <w:rsid w:val="004E194E"/>
    <w:rsid w:val="004E1CDD"/>
    <w:rsid w:val="004E2409"/>
    <w:rsid w:val="004E3255"/>
    <w:rsid w:val="004E3998"/>
    <w:rsid w:val="004E3B19"/>
    <w:rsid w:val="004E4726"/>
    <w:rsid w:val="004E4E45"/>
    <w:rsid w:val="004E52A4"/>
    <w:rsid w:val="004E5A71"/>
    <w:rsid w:val="004E6289"/>
    <w:rsid w:val="004F001E"/>
    <w:rsid w:val="004F06E1"/>
    <w:rsid w:val="004F072C"/>
    <w:rsid w:val="004F2AB4"/>
    <w:rsid w:val="004F3FE7"/>
    <w:rsid w:val="004F4AED"/>
    <w:rsid w:val="004F5A0D"/>
    <w:rsid w:val="004F6397"/>
    <w:rsid w:val="004F6D78"/>
    <w:rsid w:val="00500F16"/>
    <w:rsid w:val="00500F67"/>
    <w:rsid w:val="0050195E"/>
    <w:rsid w:val="00501E70"/>
    <w:rsid w:val="0050278F"/>
    <w:rsid w:val="00502855"/>
    <w:rsid w:val="00503D31"/>
    <w:rsid w:val="00503F48"/>
    <w:rsid w:val="005044B1"/>
    <w:rsid w:val="00506745"/>
    <w:rsid w:val="00506A2A"/>
    <w:rsid w:val="00506ADB"/>
    <w:rsid w:val="00506E20"/>
    <w:rsid w:val="005078A5"/>
    <w:rsid w:val="005108AA"/>
    <w:rsid w:val="00510EF4"/>
    <w:rsid w:val="00511EBD"/>
    <w:rsid w:val="00513B68"/>
    <w:rsid w:val="00514B16"/>
    <w:rsid w:val="00515871"/>
    <w:rsid w:val="00516756"/>
    <w:rsid w:val="0051767E"/>
    <w:rsid w:val="00517779"/>
    <w:rsid w:val="00517845"/>
    <w:rsid w:val="00520256"/>
    <w:rsid w:val="00520731"/>
    <w:rsid w:val="00520B69"/>
    <w:rsid w:val="005213DA"/>
    <w:rsid w:val="0052254E"/>
    <w:rsid w:val="00524609"/>
    <w:rsid w:val="00524BDA"/>
    <w:rsid w:val="00526EA7"/>
    <w:rsid w:val="005270AF"/>
    <w:rsid w:val="00527C25"/>
    <w:rsid w:val="00527CAD"/>
    <w:rsid w:val="00530491"/>
    <w:rsid w:val="0053092E"/>
    <w:rsid w:val="00530BC9"/>
    <w:rsid w:val="00530E1F"/>
    <w:rsid w:val="00531A73"/>
    <w:rsid w:val="005326E3"/>
    <w:rsid w:val="00532724"/>
    <w:rsid w:val="0053298C"/>
    <w:rsid w:val="00532B53"/>
    <w:rsid w:val="0053301E"/>
    <w:rsid w:val="00534017"/>
    <w:rsid w:val="00534454"/>
    <w:rsid w:val="0053644F"/>
    <w:rsid w:val="005370DC"/>
    <w:rsid w:val="00537B96"/>
    <w:rsid w:val="00540297"/>
    <w:rsid w:val="005405CB"/>
    <w:rsid w:val="00542C68"/>
    <w:rsid w:val="0054380D"/>
    <w:rsid w:val="00544C1B"/>
    <w:rsid w:val="00544C8E"/>
    <w:rsid w:val="0054519B"/>
    <w:rsid w:val="005453A5"/>
    <w:rsid w:val="005461D0"/>
    <w:rsid w:val="005461EE"/>
    <w:rsid w:val="00546BDE"/>
    <w:rsid w:val="00551B9D"/>
    <w:rsid w:val="005521FB"/>
    <w:rsid w:val="0055290B"/>
    <w:rsid w:val="0055308B"/>
    <w:rsid w:val="005537CA"/>
    <w:rsid w:val="00553A44"/>
    <w:rsid w:val="00554CE0"/>
    <w:rsid w:val="005556E0"/>
    <w:rsid w:val="00555739"/>
    <w:rsid w:val="0055652F"/>
    <w:rsid w:val="005565B9"/>
    <w:rsid w:val="00556A98"/>
    <w:rsid w:val="005601DF"/>
    <w:rsid w:val="00560D49"/>
    <w:rsid w:val="0056183F"/>
    <w:rsid w:val="00561F41"/>
    <w:rsid w:val="00562FD7"/>
    <w:rsid w:val="00563092"/>
    <w:rsid w:val="00563E1E"/>
    <w:rsid w:val="005658E2"/>
    <w:rsid w:val="00565C2D"/>
    <w:rsid w:val="00566493"/>
    <w:rsid w:val="00570E3C"/>
    <w:rsid w:val="00572EA5"/>
    <w:rsid w:val="00573030"/>
    <w:rsid w:val="005746CF"/>
    <w:rsid w:val="00574EA0"/>
    <w:rsid w:val="00577121"/>
    <w:rsid w:val="0057756D"/>
    <w:rsid w:val="00577B36"/>
    <w:rsid w:val="00577E78"/>
    <w:rsid w:val="0058239D"/>
    <w:rsid w:val="005848A2"/>
    <w:rsid w:val="0058562B"/>
    <w:rsid w:val="00585D38"/>
    <w:rsid w:val="005864D4"/>
    <w:rsid w:val="005913EB"/>
    <w:rsid w:val="005923AB"/>
    <w:rsid w:val="00592D3F"/>
    <w:rsid w:val="005935DD"/>
    <w:rsid w:val="00593941"/>
    <w:rsid w:val="00594E64"/>
    <w:rsid w:val="00595EF5"/>
    <w:rsid w:val="005962FA"/>
    <w:rsid w:val="00596747"/>
    <w:rsid w:val="0059714E"/>
    <w:rsid w:val="00597B39"/>
    <w:rsid w:val="00597E41"/>
    <w:rsid w:val="00597E42"/>
    <w:rsid w:val="005A02F9"/>
    <w:rsid w:val="005A09F2"/>
    <w:rsid w:val="005A1A3A"/>
    <w:rsid w:val="005A1ACA"/>
    <w:rsid w:val="005A2442"/>
    <w:rsid w:val="005A308A"/>
    <w:rsid w:val="005A3410"/>
    <w:rsid w:val="005A349B"/>
    <w:rsid w:val="005A3804"/>
    <w:rsid w:val="005A399D"/>
    <w:rsid w:val="005A455E"/>
    <w:rsid w:val="005A4D72"/>
    <w:rsid w:val="005A4EE9"/>
    <w:rsid w:val="005A5CB2"/>
    <w:rsid w:val="005A607A"/>
    <w:rsid w:val="005A72CE"/>
    <w:rsid w:val="005B0ACF"/>
    <w:rsid w:val="005B1227"/>
    <w:rsid w:val="005B1A47"/>
    <w:rsid w:val="005B2319"/>
    <w:rsid w:val="005B2E43"/>
    <w:rsid w:val="005B2E6D"/>
    <w:rsid w:val="005B3630"/>
    <w:rsid w:val="005B49A5"/>
    <w:rsid w:val="005B5978"/>
    <w:rsid w:val="005B5E4A"/>
    <w:rsid w:val="005B6E92"/>
    <w:rsid w:val="005B6F97"/>
    <w:rsid w:val="005C1195"/>
    <w:rsid w:val="005C1F49"/>
    <w:rsid w:val="005C21DC"/>
    <w:rsid w:val="005C2869"/>
    <w:rsid w:val="005C49EC"/>
    <w:rsid w:val="005C5435"/>
    <w:rsid w:val="005C5444"/>
    <w:rsid w:val="005C6503"/>
    <w:rsid w:val="005C6A72"/>
    <w:rsid w:val="005C6DEF"/>
    <w:rsid w:val="005C75FE"/>
    <w:rsid w:val="005C790E"/>
    <w:rsid w:val="005D1004"/>
    <w:rsid w:val="005D1ADA"/>
    <w:rsid w:val="005D4975"/>
    <w:rsid w:val="005D5C33"/>
    <w:rsid w:val="005D69A9"/>
    <w:rsid w:val="005D73CA"/>
    <w:rsid w:val="005D75E4"/>
    <w:rsid w:val="005D78BB"/>
    <w:rsid w:val="005E11DA"/>
    <w:rsid w:val="005E3433"/>
    <w:rsid w:val="005E3627"/>
    <w:rsid w:val="005E38FD"/>
    <w:rsid w:val="005E4427"/>
    <w:rsid w:val="005E4D2F"/>
    <w:rsid w:val="005E595D"/>
    <w:rsid w:val="005E6AB4"/>
    <w:rsid w:val="005E721A"/>
    <w:rsid w:val="005E73C0"/>
    <w:rsid w:val="005E74A6"/>
    <w:rsid w:val="005F059F"/>
    <w:rsid w:val="005F177F"/>
    <w:rsid w:val="005F27CB"/>
    <w:rsid w:val="005F2C64"/>
    <w:rsid w:val="005F3B64"/>
    <w:rsid w:val="005F3C4A"/>
    <w:rsid w:val="005F3FD7"/>
    <w:rsid w:val="005F4098"/>
    <w:rsid w:val="005F532B"/>
    <w:rsid w:val="005F6155"/>
    <w:rsid w:val="005F6245"/>
    <w:rsid w:val="005F63BD"/>
    <w:rsid w:val="005F7671"/>
    <w:rsid w:val="005F7D16"/>
    <w:rsid w:val="0060024B"/>
    <w:rsid w:val="006003E3"/>
    <w:rsid w:val="00601563"/>
    <w:rsid w:val="00601636"/>
    <w:rsid w:val="00603729"/>
    <w:rsid w:val="00604911"/>
    <w:rsid w:val="006050CA"/>
    <w:rsid w:val="0060541E"/>
    <w:rsid w:val="00607C68"/>
    <w:rsid w:val="00610E58"/>
    <w:rsid w:val="00612025"/>
    <w:rsid w:val="006139BE"/>
    <w:rsid w:val="0061436A"/>
    <w:rsid w:val="0061470F"/>
    <w:rsid w:val="0061531E"/>
    <w:rsid w:val="0061542C"/>
    <w:rsid w:val="00620F90"/>
    <w:rsid w:val="0062132F"/>
    <w:rsid w:val="006230B0"/>
    <w:rsid w:val="00623491"/>
    <w:rsid w:val="00623D11"/>
    <w:rsid w:val="006241D0"/>
    <w:rsid w:val="006249B2"/>
    <w:rsid w:val="00624C24"/>
    <w:rsid w:val="00625D06"/>
    <w:rsid w:val="00626184"/>
    <w:rsid w:val="0062618B"/>
    <w:rsid w:val="006261F1"/>
    <w:rsid w:val="0062661E"/>
    <w:rsid w:val="00627040"/>
    <w:rsid w:val="006271B7"/>
    <w:rsid w:val="006279D6"/>
    <w:rsid w:val="00627B79"/>
    <w:rsid w:val="00627C09"/>
    <w:rsid w:val="006309AC"/>
    <w:rsid w:val="006319A9"/>
    <w:rsid w:val="006320AD"/>
    <w:rsid w:val="006323B5"/>
    <w:rsid w:val="00634636"/>
    <w:rsid w:val="00635546"/>
    <w:rsid w:val="006355BF"/>
    <w:rsid w:val="00635A1A"/>
    <w:rsid w:val="00636AF8"/>
    <w:rsid w:val="00636ECD"/>
    <w:rsid w:val="00637DF3"/>
    <w:rsid w:val="00640437"/>
    <w:rsid w:val="00640869"/>
    <w:rsid w:val="006427F6"/>
    <w:rsid w:val="0064345D"/>
    <w:rsid w:val="00643C0A"/>
    <w:rsid w:val="006454E7"/>
    <w:rsid w:val="00646D6A"/>
    <w:rsid w:val="006505DD"/>
    <w:rsid w:val="00650C5D"/>
    <w:rsid w:val="00650EAA"/>
    <w:rsid w:val="006512E9"/>
    <w:rsid w:val="006516F4"/>
    <w:rsid w:val="00651CC9"/>
    <w:rsid w:val="006525A7"/>
    <w:rsid w:val="006526B6"/>
    <w:rsid w:val="00653290"/>
    <w:rsid w:val="006536A3"/>
    <w:rsid w:val="00653A3D"/>
    <w:rsid w:val="00654474"/>
    <w:rsid w:val="00654BC4"/>
    <w:rsid w:val="00655977"/>
    <w:rsid w:val="006564BF"/>
    <w:rsid w:val="00657ED7"/>
    <w:rsid w:val="00664089"/>
    <w:rsid w:val="006647E7"/>
    <w:rsid w:val="00666FC8"/>
    <w:rsid w:val="006673E1"/>
    <w:rsid w:val="006676B2"/>
    <w:rsid w:val="00667C5C"/>
    <w:rsid w:val="00667C60"/>
    <w:rsid w:val="0067017A"/>
    <w:rsid w:val="00672670"/>
    <w:rsid w:val="00673999"/>
    <w:rsid w:val="00673D30"/>
    <w:rsid w:val="006741ED"/>
    <w:rsid w:val="00674291"/>
    <w:rsid w:val="006742E1"/>
    <w:rsid w:val="00674726"/>
    <w:rsid w:val="00675733"/>
    <w:rsid w:val="00675D48"/>
    <w:rsid w:val="006762CE"/>
    <w:rsid w:val="00677050"/>
    <w:rsid w:val="006777BF"/>
    <w:rsid w:val="006806DA"/>
    <w:rsid w:val="00680C57"/>
    <w:rsid w:val="00683A20"/>
    <w:rsid w:val="0068497B"/>
    <w:rsid w:val="00686115"/>
    <w:rsid w:val="00686329"/>
    <w:rsid w:val="006877C5"/>
    <w:rsid w:val="00687B56"/>
    <w:rsid w:val="0069364D"/>
    <w:rsid w:val="0069497E"/>
    <w:rsid w:val="006950F6"/>
    <w:rsid w:val="00696F71"/>
    <w:rsid w:val="00697BF2"/>
    <w:rsid w:val="006A0467"/>
    <w:rsid w:val="006A131F"/>
    <w:rsid w:val="006A3527"/>
    <w:rsid w:val="006A41EE"/>
    <w:rsid w:val="006A5004"/>
    <w:rsid w:val="006A55B5"/>
    <w:rsid w:val="006A584A"/>
    <w:rsid w:val="006A5EF8"/>
    <w:rsid w:val="006A6921"/>
    <w:rsid w:val="006A69E7"/>
    <w:rsid w:val="006A7A09"/>
    <w:rsid w:val="006B13C7"/>
    <w:rsid w:val="006B1524"/>
    <w:rsid w:val="006B1B6D"/>
    <w:rsid w:val="006B1DA6"/>
    <w:rsid w:val="006B1E5D"/>
    <w:rsid w:val="006B281F"/>
    <w:rsid w:val="006B2AA6"/>
    <w:rsid w:val="006B42FA"/>
    <w:rsid w:val="006B49F3"/>
    <w:rsid w:val="006B4A23"/>
    <w:rsid w:val="006B63D1"/>
    <w:rsid w:val="006B6D56"/>
    <w:rsid w:val="006B7CEA"/>
    <w:rsid w:val="006B7EDC"/>
    <w:rsid w:val="006C0B8E"/>
    <w:rsid w:val="006C0EE5"/>
    <w:rsid w:val="006C2993"/>
    <w:rsid w:val="006C2DEF"/>
    <w:rsid w:val="006C39F4"/>
    <w:rsid w:val="006C4F37"/>
    <w:rsid w:val="006C6052"/>
    <w:rsid w:val="006C7535"/>
    <w:rsid w:val="006D1166"/>
    <w:rsid w:val="006D1383"/>
    <w:rsid w:val="006D2717"/>
    <w:rsid w:val="006D2768"/>
    <w:rsid w:val="006D2CF8"/>
    <w:rsid w:val="006D4567"/>
    <w:rsid w:val="006D5BEF"/>
    <w:rsid w:val="006D7769"/>
    <w:rsid w:val="006D79FF"/>
    <w:rsid w:val="006E1C6D"/>
    <w:rsid w:val="006E235A"/>
    <w:rsid w:val="006E3358"/>
    <w:rsid w:val="006E3592"/>
    <w:rsid w:val="006E4217"/>
    <w:rsid w:val="006E5C08"/>
    <w:rsid w:val="006E604C"/>
    <w:rsid w:val="006E6C9D"/>
    <w:rsid w:val="006E6EE6"/>
    <w:rsid w:val="006E782A"/>
    <w:rsid w:val="006F37B3"/>
    <w:rsid w:val="006F3C5F"/>
    <w:rsid w:val="006F6F94"/>
    <w:rsid w:val="007000E2"/>
    <w:rsid w:val="00701460"/>
    <w:rsid w:val="00701F26"/>
    <w:rsid w:val="00702F0E"/>
    <w:rsid w:val="007030AD"/>
    <w:rsid w:val="007037FE"/>
    <w:rsid w:val="00704781"/>
    <w:rsid w:val="007049D7"/>
    <w:rsid w:val="007049F4"/>
    <w:rsid w:val="007059E4"/>
    <w:rsid w:val="007068AF"/>
    <w:rsid w:val="0070715B"/>
    <w:rsid w:val="0070753A"/>
    <w:rsid w:val="0071027E"/>
    <w:rsid w:val="00710A88"/>
    <w:rsid w:val="00711819"/>
    <w:rsid w:val="00712EE2"/>
    <w:rsid w:val="00713162"/>
    <w:rsid w:val="007139AA"/>
    <w:rsid w:val="00714776"/>
    <w:rsid w:val="0071611C"/>
    <w:rsid w:val="00716EC9"/>
    <w:rsid w:val="00717620"/>
    <w:rsid w:val="007201FE"/>
    <w:rsid w:val="00721565"/>
    <w:rsid w:val="00721694"/>
    <w:rsid w:val="00721969"/>
    <w:rsid w:val="007219D7"/>
    <w:rsid w:val="007250AE"/>
    <w:rsid w:val="00725CAB"/>
    <w:rsid w:val="00726709"/>
    <w:rsid w:val="00726E67"/>
    <w:rsid w:val="00726EFD"/>
    <w:rsid w:val="00727166"/>
    <w:rsid w:val="007303E2"/>
    <w:rsid w:val="00730C4B"/>
    <w:rsid w:val="00732524"/>
    <w:rsid w:val="00732961"/>
    <w:rsid w:val="007342E8"/>
    <w:rsid w:val="00736374"/>
    <w:rsid w:val="00736CB5"/>
    <w:rsid w:val="00737AB4"/>
    <w:rsid w:val="00740498"/>
    <w:rsid w:val="00741086"/>
    <w:rsid w:val="0074148B"/>
    <w:rsid w:val="007432CD"/>
    <w:rsid w:val="0074375F"/>
    <w:rsid w:val="00744BBD"/>
    <w:rsid w:val="0074516B"/>
    <w:rsid w:val="0074619A"/>
    <w:rsid w:val="00746A7E"/>
    <w:rsid w:val="00750695"/>
    <w:rsid w:val="007507B3"/>
    <w:rsid w:val="007516E6"/>
    <w:rsid w:val="007519E5"/>
    <w:rsid w:val="00754084"/>
    <w:rsid w:val="00754119"/>
    <w:rsid w:val="007554ED"/>
    <w:rsid w:val="00756153"/>
    <w:rsid w:val="00756775"/>
    <w:rsid w:val="007571DF"/>
    <w:rsid w:val="007579CC"/>
    <w:rsid w:val="00760501"/>
    <w:rsid w:val="00760ABB"/>
    <w:rsid w:val="00761A06"/>
    <w:rsid w:val="00762E1A"/>
    <w:rsid w:val="007649F0"/>
    <w:rsid w:val="00764A73"/>
    <w:rsid w:val="00765328"/>
    <w:rsid w:val="00765491"/>
    <w:rsid w:val="00765A7C"/>
    <w:rsid w:val="00765E32"/>
    <w:rsid w:val="00765F68"/>
    <w:rsid w:val="00766846"/>
    <w:rsid w:val="00767413"/>
    <w:rsid w:val="007677E0"/>
    <w:rsid w:val="007705E2"/>
    <w:rsid w:val="00773203"/>
    <w:rsid w:val="00774A6E"/>
    <w:rsid w:val="0077503E"/>
    <w:rsid w:val="00775EB3"/>
    <w:rsid w:val="007760F8"/>
    <w:rsid w:val="00776313"/>
    <w:rsid w:val="00776655"/>
    <w:rsid w:val="007772EC"/>
    <w:rsid w:val="00780478"/>
    <w:rsid w:val="00781569"/>
    <w:rsid w:val="007829EE"/>
    <w:rsid w:val="00782A2D"/>
    <w:rsid w:val="00782C18"/>
    <w:rsid w:val="00783BAA"/>
    <w:rsid w:val="00783FBD"/>
    <w:rsid w:val="00784D8C"/>
    <w:rsid w:val="00785AB7"/>
    <w:rsid w:val="00787608"/>
    <w:rsid w:val="00791111"/>
    <w:rsid w:val="007928E4"/>
    <w:rsid w:val="00793F42"/>
    <w:rsid w:val="0079505A"/>
    <w:rsid w:val="00795D10"/>
    <w:rsid w:val="007967CE"/>
    <w:rsid w:val="00796F63"/>
    <w:rsid w:val="00797245"/>
    <w:rsid w:val="00797E24"/>
    <w:rsid w:val="007A09CD"/>
    <w:rsid w:val="007A0F65"/>
    <w:rsid w:val="007A36ED"/>
    <w:rsid w:val="007A3706"/>
    <w:rsid w:val="007A3B20"/>
    <w:rsid w:val="007A3D25"/>
    <w:rsid w:val="007A4271"/>
    <w:rsid w:val="007A4671"/>
    <w:rsid w:val="007A54D0"/>
    <w:rsid w:val="007A5615"/>
    <w:rsid w:val="007A5E1C"/>
    <w:rsid w:val="007A6081"/>
    <w:rsid w:val="007A739F"/>
    <w:rsid w:val="007B1612"/>
    <w:rsid w:val="007B2F5D"/>
    <w:rsid w:val="007B3A02"/>
    <w:rsid w:val="007B40AC"/>
    <w:rsid w:val="007B4451"/>
    <w:rsid w:val="007B494C"/>
    <w:rsid w:val="007B51E7"/>
    <w:rsid w:val="007B5A07"/>
    <w:rsid w:val="007B5F6F"/>
    <w:rsid w:val="007B67D5"/>
    <w:rsid w:val="007B7512"/>
    <w:rsid w:val="007B7A3C"/>
    <w:rsid w:val="007C29BE"/>
    <w:rsid w:val="007C39FA"/>
    <w:rsid w:val="007C3A57"/>
    <w:rsid w:val="007C3B90"/>
    <w:rsid w:val="007C3B96"/>
    <w:rsid w:val="007C4A73"/>
    <w:rsid w:val="007C5E73"/>
    <w:rsid w:val="007C75AF"/>
    <w:rsid w:val="007D08A6"/>
    <w:rsid w:val="007D0ADE"/>
    <w:rsid w:val="007D0DA8"/>
    <w:rsid w:val="007D1A73"/>
    <w:rsid w:val="007D4265"/>
    <w:rsid w:val="007D5463"/>
    <w:rsid w:val="007D55B9"/>
    <w:rsid w:val="007D57C7"/>
    <w:rsid w:val="007D6406"/>
    <w:rsid w:val="007E0180"/>
    <w:rsid w:val="007E03A3"/>
    <w:rsid w:val="007E048B"/>
    <w:rsid w:val="007E080D"/>
    <w:rsid w:val="007E1529"/>
    <w:rsid w:val="007E18E7"/>
    <w:rsid w:val="007E205C"/>
    <w:rsid w:val="007E2FDF"/>
    <w:rsid w:val="007E2FF0"/>
    <w:rsid w:val="007E3DF8"/>
    <w:rsid w:val="007E4B83"/>
    <w:rsid w:val="007E5C08"/>
    <w:rsid w:val="007E7920"/>
    <w:rsid w:val="007E7AFA"/>
    <w:rsid w:val="007F0489"/>
    <w:rsid w:val="007F0850"/>
    <w:rsid w:val="007F0E09"/>
    <w:rsid w:val="007F0EE4"/>
    <w:rsid w:val="007F115B"/>
    <w:rsid w:val="007F1F4B"/>
    <w:rsid w:val="007F22D3"/>
    <w:rsid w:val="007F2C38"/>
    <w:rsid w:val="007F5174"/>
    <w:rsid w:val="007F639B"/>
    <w:rsid w:val="007F6534"/>
    <w:rsid w:val="007F6787"/>
    <w:rsid w:val="007F69EB"/>
    <w:rsid w:val="007F77E3"/>
    <w:rsid w:val="007F7A19"/>
    <w:rsid w:val="007F7B3D"/>
    <w:rsid w:val="007F7BE2"/>
    <w:rsid w:val="00800BA5"/>
    <w:rsid w:val="00800C59"/>
    <w:rsid w:val="0080140F"/>
    <w:rsid w:val="00801688"/>
    <w:rsid w:val="008016FF"/>
    <w:rsid w:val="00802613"/>
    <w:rsid w:val="00802D76"/>
    <w:rsid w:val="0080411B"/>
    <w:rsid w:val="0080422F"/>
    <w:rsid w:val="0080561B"/>
    <w:rsid w:val="00805967"/>
    <w:rsid w:val="00805A38"/>
    <w:rsid w:val="00805CEE"/>
    <w:rsid w:val="0080666D"/>
    <w:rsid w:val="00806E12"/>
    <w:rsid w:val="008112F9"/>
    <w:rsid w:val="00812019"/>
    <w:rsid w:val="00812048"/>
    <w:rsid w:val="00812941"/>
    <w:rsid w:val="0081412B"/>
    <w:rsid w:val="00815C27"/>
    <w:rsid w:val="00815C70"/>
    <w:rsid w:val="008161A3"/>
    <w:rsid w:val="00816530"/>
    <w:rsid w:val="00817546"/>
    <w:rsid w:val="00817E56"/>
    <w:rsid w:val="00817FA4"/>
    <w:rsid w:val="008203E4"/>
    <w:rsid w:val="008207AA"/>
    <w:rsid w:val="00820F21"/>
    <w:rsid w:val="0082115C"/>
    <w:rsid w:val="00821A30"/>
    <w:rsid w:val="0082235A"/>
    <w:rsid w:val="008226E4"/>
    <w:rsid w:val="00822B09"/>
    <w:rsid w:val="0082329B"/>
    <w:rsid w:val="008246AF"/>
    <w:rsid w:val="00827385"/>
    <w:rsid w:val="00827D76"/>
    <w:rsid w:val="008300F3"/>
    <w:rsid w:val="00830254"/>
    <w:rsid w:val="00831053"/>
    <w:rsid w:val="00831465"/>
    <w:rsid w:val="00832603"/>
    <w:rsid w:val="00832F1B"/>
    <w:rsid w:val="00833427"/>
    <w:rsid w:val="008335F8"/>
    <w:rsid w:val="00833B2F"/>
    <w:rsid w:val="00833E22"/>
    <w:rsid w:val="008341D7"/>
    <w:rsid w:val="0083496A"/>
    <w:rsid w:val="00834A14"/>
    <w:rsid w:val="00834BD1"/>
    <w:rsid w:val="00835C06"/>
    <w:rsid w:val="00835DAF"/>
    <w:rsid w:val="00835FE3"/>
    <w:rsid w:val="008375C2"/>
    <w:rsid w:val="00837F28"/>
    <w:rsid w:val="008401D8"/>
    <w:rsid w:val="0084032B"/>
    <w:rsid w:val="0084065D"/>
    <w:rsid w:val="00841650"/>
    <w:rsid w:val="00841F28"/>
    <w:rsid w:val="00841FAD"/>
    <w:rsid w:val="0084434A"/>
    <w:rsid w:val="00845512"/>
    <w:rsid w:val="008463B6"/>
    <w:rsid w:val="008466E5"/>
    <w:rsid w:val="00846958"/>
    <w:rsid w:val="008471AD"/>
    <w:rsid w:val="00847B69"/>
    <w:rsid w:val="00847EF1"/>
    <w:rsid w:val="008505F4"/>
    <w:rsid w:val="0085074A"/>
    <w:rsid w:val="0085125C"/>
    <w:rsid w:val="00851B7C"/>
    <w:rsid w:val="0085237F"/>
    <w:rsid w:val="00854983"/>
    <w:rsid w:val="00854C3E"/>
    <w:rsid w:val="008553C0"/>
    <w:rsid w:val="00857EB5"/>
    <w:rsid w:val="008605B6"/>
    <w:rsid w:val="008605E9"/>
    <w:rsid w:val="00860996"/>
    <w:rsid w:val="00863225"/>
    <w:rsid w:val="00865668"/>
    <w:rsid w:val="008659D0"/>
    <w:rsid w:val="008676AD"/>
    <w:rsid w:val="008700E8"/>
    <w:rsid w:val="00870112"/>
    <w:rsid w:val="00870CB5"/>
    <w:rsid w:val="0087245E"/>
    <w:rsid w:val="00872556"/>
    <w:rsid w:val="008743DD"/>
    <w:rsid w:val="00874E64"/>
    <w:rsid w:val="0087646D"/>
    <w:rsid w:val="0088022B"/>
    <w:rsid w:val="00880374"/>
    <w:rsid w:val="00880792"/>
    <w:rsid w:val="00880CA6"/>
    <w:rsid w:val="00881345"/>
    <w:rsid w:val="008824B0"/>
    <w:rsid w:val="008826CA"/>
    <w:rsid w:val="00882EA4"/>
    <w:rsid w:val="0088400A"/>
    <w:rsid w:val="00884503"/>
    <w:rsid w:val="00885837"/>
    <w:rsid w:val="00885E4F"/>
    <w:rsid w:val="00887096"/>
    <w:rsid w:val="00887B3A"/>
    <w:rsid w:val="008908B8"/>
    <w:rsid w:val="00891698"/>
    <w:rsid w:val="0089265F"/>
    <w:rsid w:val="008930CB"/>
    <w:rsid w:val="00893234"/>
    <w:rsid w:val="00893345"/>
    <w:rsid w:val="00893D39"/>
    <w:rsid w:val="00895F77"/>
    <w:rsid w:val="00896CD1"/>
    <w:rsid w:val="00896FEA"/>
    <w:rsid w:val="0089771E"/>
    <w:rsid w:val="008A004C"/>
    <w:rsid w:val="008A11DF"/>
    <w:rsid w:val="008A1862"/>
    <w:rsid w:val="008A2F9F"/>
    <w:rsid w:val="008A44B9"/>
    <w:rsid w:val="008A56AF"/>
    <w:rsid w:val="008A6A43"/>
    <w:rsid w:val="008A6D7E"/>
    <w:rsid w:val="008A7854"/>
    <w:rsid w:val="008B02E2"/>
    <w:rsid w:val="008B12D4"/>
    <w:rsid w:val="008B13F5"/>
    <w:rsid w:val="008B2DC7"/>
    <w:rsid w:val="008B3156"/>
    <w:rsid w:val="008B3572"/>
    <w:rsid w:val="008B3A9A"/>
    <w:rsid w:val="008B4FFE"/>
    <w:rsid w:val="008B5553"/>
    <w:rsid w:val="008B63D6"/>
    <w:rsid w:val="008B7E28"/>
    <w:rsid w:val="008C00F5"/>
    <w:rsid w:val="008C01F8"/>
    <w:rsid w:val="008C08A8"/>
    <w:rsid w:val="008C2A6A"/>
    <w:rsid w:val="008C3EE9"/>
    <w:rsid w:val="008C472F"/>
    <w:rsid w:val="008C49DB"/>
    <w:rsid w:val="008C56BB"/>
    <w:rsid w:val="008C72D5"/>
    <w:rsid w:val="008C7D5E"/>
    <w:rsid w:val="008C7FA9"/>
    <w:rsid w:val="008D08CE"/>
    <w:rsid w:val="008D3FCC"/>
    <w:rsid w:val="008D4708"/>
    <w:rsid w:val="008D4B94"/>
    <w:rsid w:val="008D4C09"/>
    <w:rsid w:val="008D568A"/>
    <w:rsid w:val="008D5D70"/>
    <w:rsid w:val="008D5F28"/>
    <w:rsid w:val="008D6B22"/>
    <w:rsid w:val="008D70C0"/>
    <w:rsid w:val="008D71B7"/>
    <w:rsid w:val="008D7576"/>
    <w:rsid w:val="008E1F99"/>
    <w:rsid w:val="008E30D2"/>
    <w:rsid w:val="008E3744"/>
    <w:rsid w:val="008E5393"/>
    <w:rsid w:val="008E6080"/>
    <w:rsid w:val="008E6DBA"/>
    <w:rsid w:val="008E7D2C"/>
    <w:rsid w:val="008E7E01"/>
    <w:rsid w:val="008F101D"/>
    <w:rsid w:val="008F1A8C"/>
    <w:rsid w:val="008F2459"/>
    <w:rsid w:val="008F2B97"/>
    <w:rsid w:val="008F2E1D"/>
    <w:rsid w:val="008F38AC"/>
    <w:rsid w:val="008F3C56"/>
    <w:rsid w:val="008F56F0"/>
    <w:rsid w:val="008F5C74"/>
    <w:rsid w:val="008F6078"/>
    <w:rsid w:val="008F6EAD"/>
    <w:rsid w:val="008F7096"/>
    <w:rsid w:val="008F7E92"/>
    <w:rsid w:val="00903065"/>
    <w:rsid w:val="00904160"/>
    <w:rsid w:val="00904866"/>
    <w:rsid w:val="0090721F"/>
    <w:rsid w:val="00907E10"/>
    <w:rsid w:val="00912139"/>
    <w:rsid w:val="0091445A"/>
    <w:rsid w:val="00915DE6"/>
    <w:rsid w:val="00915F5D"/>
    <w:rsid w:val="00916A8A"/>
    <w:rsid w:val="00916DCE"/>
    <w:rsid w:val="00917268"/>
    <w:rsid w:val="0091754B"/>
    <w:rsid w:val="00920022"/>
    <w:rsid w:val="0092037F"/>
    <w:rsid w:val="00920F7A"/>
    <w:rsid w:val="0092177D"/>
    <w:rsid w:val="00921B2D"/>
    <w:rsid w:val="00921B3B"/>
    <w:rsid w:val="00921D4D"/>
    <w:rsid w:val="00921D75"/>
    <w:rsid w:val="009221A9"/>
    <w:rsid w:val="0092257E"/>
    <w:rsid w:val="00922CDE"/>
    <w:rsid w:val="00923A5B"/>
    <w:rsid w:val="00923F4E"/>
    <w:rsid w:val="00923F75"/>
    <w:rsid w:val="009248A4"/>
    <w:rsid w:val="009255FA"/>
    <w:rsid w:val="00925C69"/>
    <w:rsid w:val="00925F87"/>
    <w:rsid w:val="00926F82"/>
    <w:rsid w:val="00927AC2"/>
    <w:rsid w:val="0093077D"/>
    <w:rsid w:val="009310DD"/>
    <w:rsid w:val="00933343"/>
    <w:rsid w:val="00933868"/>
    <w:rsid w:val="00933A90"/>
    <w:rsid w:val="00934D85"/>
    <w:rsid w:val="00937C17"/>
    <w:rsid w:val="00937F3E"/>
    <w:rsid w:val="00941AE7"/>
    <w:rsid w:val="0094288C"/>
    <w:rsid w:val="00943052"/>
    <w:rsid w:val="00943D9D"/>
    <w:rsid w:val="00946650"/>
    <w:rsid w:val="0094729D"/>
    <w:rsid w:val="00947502"/>
    <w:rsid w:val="0094765B"/>
    <w:rsid w:val="009476BC"/>
    <w:rsid w:val="00950E3C"/>
    <w:rsid w:val="00950E62"/>
    <w:rsid w:val="00951320"/>
    <w:rsid w:val="00951698"/>
    <w:rsid w:val="00953260"/>
    <w:rsid w:val="00954AA6"/>
    <w:rsid w:val="00954F9D"/>
    <w:rsid w:val="009555CE"/>
    <w:rsid w:val="00955ECD"/>
    <w:rsid w:val="009569B0"/>
    <w:rsid w:val="009569E6"/>
    <w:rsid w:val="00960015"/>
    <w:rsid w:val="00960ECE"/>
    <w:rsid w:val="00961527"/>
    <w:rsid w:val="009644C9"/>
    <w:rsid w:val="00964A9E"/>
    <w:rsid w:val="00964AA7"/>
    <w:rsid w:val="00966CBB"/>
    <w:rsid w:val="00967623"/>
    <w:rsid w:val="00970A9F"/>
    <w:rsid w:val="0097176E"/>
    <w:rsid w:val="00971EC2"/>
    <w:rsid w:val="00972D27"/>
    <w:rsid w:val="009731CD"/>
    <w:rsid w:val="00973210"/>
    <w:rsid w:val="00973746"/>
    <w:rsid w:val="00975D7F"/>
    <w:rsid w:val="00976D17"/>
    <w:rsid w:val="0097748C"/>
    <w:rsid w:val="009777C9"/>
    <w:rsid w:val="00980E27"/>
    <w:rsid w:val="0098259B"/>
    <w:rsid w:val="009848D1"/>
    <w:rsid w:val="00984E51"/>
    <w:rsid w:val="00986A8F"/>
    <w:rsid w:val="00987058"/>
    <w:rsid w:val="00987D80"/>
    <w:rsid w:val="00990464"/>
    <w:rsid w:val="009913A6"/>
    <w:rsid w:val="009929AB"/>
    <w:rsid w:val="009A00DA"/>
    <w:rsid w:val="009A1884"/>
    <w:rsid w:val="009A1D02"/>
    <w:rsid w:val="009A2326"/>
    <w:rsid w:val="009A296A"/>
    <w:rsid w:val="009A3E92"/>
    <w:rsid w:val="009A408A"/>
    <w:rsid w:val="009A41C9"/>
    <w:rsid w:val="009A4812"/>
    <w:rsid w:val="009A5A6B"/>
    <w:rsid w:val="009A5E43"/>
    <w:rsid w:val="009A630D"/>
    <w:rsid w:val="009A7DC6"/>
    <w:rsid w:val="009B0FAF"/>
    <w:rsid w:val="009B1138"/>
    <w:rsid w:val="009B1FEA"/>
    <w:rsid w:val="009B2AB6"/>
    <w:rsid w:val="009B2E46"/>
    <w:rsid w:val="009B3FFC"/>
    <w:rsid w:val="009B40BE"/>
    <w:rsid w:val="009B4179"/>
    <w:rsid w:val="009B4250"/>
    <w:rsid w:val="009B4960"/>
    <w:rsid w:val="009B4D40"/>
    <w:rsid w:val="009B505C"/>
    <w:rsid w:val="009B5328"/>
    <w:rsid w:val="009B62A1"/>
    <w:rsid w:val="009B7A07"/>
    <w:rsid w:val="009C0159"/>
    <w:rsid w:val="009C0678"/>
    <w:rsid w:val="009C0A1A"/>
    <w:rsid w:val="009C1BCC"/>
    <w:rsid w:val="009C2AE9"/>
    <w:rsid w:val="009C2CBE"/>
    <w:rsid w:val="009C341C"/>
    <w:rsid w:val="009C35D3"/>
    <w:rsid w:val="009C5BED"/>
    <w:rsid w:val="009C5C28"/>
    <w:rsid w:val="009C6D74"/>
    <w:rsid w:val="009C70FA"/>
    <w:rsid w:val="009C754A"/>
    <w:rsid w:val="009D0136"/>
    <w:rsid w:val="009D124D"/>
    <w:rsid w:val="009D1CC9"/>
    <w:rsid w:val="009D2A32"/>
    <w:rsid w:val="009D31AB"/>
    <w:rsid w:val="009D31EB"/>
    <w:rsid w:val="009D443A"/>
    <w:rsid w:val="009D45C1"/>
    <w:rsid w:val="009D4774"/>
    <w:rsid w:val="009D5B40"/>
    <w:rsid w:val="009D6C75"/>
    <w:rsid w:val="009D7BEF"/>
    <w:rsid w:val="009E3E82"/>
    <w:rsid w:val="009E4531"/>
    <w:rsid w:val="009E4937"/>
    <w:rsid w:val="009E50A3"/>
    <w:rsid w:val="009E7365"/>
    <w:rsid w:val="009E7C97"/>
    <w:rsid w:val="009E7D3F"/>
    <w:rsid w:val="009F011E"/>
    <w:rsid w:val="009F0F17"/>
    <w:rsid w:val="009F2715"/>
    <w:rsid w:val="009F29A2"/>
    <w:rsid w:val="009F383D"/>
    <w:rsid w:val="009F402C"/>
    <w:rsid w:val="009F4C27"/>
    <w:rsid w:val="009F6146"/>
    <w:rsid w:val="009F64B5"/>
    <w:rsid w:val="009F77E7"/>
    <w:rsid w:val="009F7C65"/>
    <w:rsid w:val="00A024B8"/>
    <w:rsid w:val="00A027B7"/>
    <w:rsid w:val="00A028E4"/>
    <w:rsid w:val="00A03C91"/>
    <w:rsid w:val="00A0438B"/>
    <w:rsid w:val="00A045CD"/>
    <w:rsid w:val="00A04B83"/>
    <w:rsid w:val="00A04FC3"/>
    <w:rsid w:val="00A05042"/>
    <w:rsid w:val="00A06756"/>
    <w:rsid w:val="00A07AE4"/>
    <w:rsid w:val="00A10247"/>
    <w:rsid w:val="00A109B7"/>
    <w:rsid w:val="00A10B62"/>
    <w:rsid w:val="00A11BA9"/>
    <w:rsid w:val="00A120B6"/>
    <w:rsid w:val="00A152EF"/>
    <w:rsid w:val="00A15A8D"/>
    <w:rsid w:val="00A20215"/>
    <w:rsid w:val="00A213D2"/>
    <w:rsid w:val="00A23A5F"/>
    <w:rsid w:val="00A23FC0"/>
    <w:rsid w:val="00A24300"/>
    <w:rsid w:val="00A248FF"/>
    <w:rsid w:val="00A24CA6"/>
    <w:rsid w:val="00A257EA"/>
    <w:rsid w:val="00A25F37"/>
    <w:rsid w:val="00A2601B"/>
    <w:rsid w:val="00A266E7"/>
    <w:rsid w:val="00A26C42"/>
    <w:rsid w:val="00A272FB"/>
    <w:rsid w:val="00A2746B"/>
    <w:rsid w:val="00A27C8A"/>
    <w:rsid w:val="00A30489"/>
    <w:rsid w:val="00A30A44"/>
    <w:rsid w:val="00A31CBC"/>
    <w:rsid w:val="00A321F8"/>
    <w:rsid w:val="00A32607"/>
    <w:rsid w:val="00A3265D"/>
    <w:rsid w:val="00A33067"/>
    <w:rsid w:val="00A33350"/>
    <w:rsid w:val="00A336E6"/>
    <w:rsid w:val="00A33BD4"/>
    <w:rsid w:val="00A34833"/>
    <w:rsid w:val="00A34EC2"/>
    <w:rsid w:val="00A350E7"/>
    <w:rsid w:val="00A35153"/>
    <w:rsid w:val="00A356D8"/>
    <w:rsid w:val="00A35A60"/>
    <w:rsid w:val="00A367A7"/>
    <w:rsid w:val="00A36B88"/>
    <w:rsid w:val="00A36E8E"/>
    <w:rsid w:val="00A371E4"/>
    <w:rsid w:val="00A37DEE"/>
    <w:rsid w:val="00A417E5"/>
    <w:rsid w:val="00A427AC"/>
    <w:rsid w:val="00A438B5"/>
    <w:rsid w:val="00A4409C"/>
    <w:rsid w:val="00A44139"/>
    <w:rsid w:val="00A441F2"/>
    <w:rsid w:val="00A443A4"/>
    <w:rsid w:val="00A447FC"/>
    <w:rsid w:val="00A44F78"/>
    <w:rsid w:val="00A4584D"/>
    <w:rsid w:val="00A45AB0"/>
    <w:rsid w:val="00A45BF0"/>
    <w:rsid w:val="00A47177"/>
    <w:rsid w:val="00A5106E"/>
    <w:rsid w:val="00A5226D"/>
    <w:rsid w:val="00A53E93"/>
    <w:rsid w:val="00A54BF7"/>
    <w:rsid w:val="00A55397"/>
    <w:rsid w:val="00A568F3"/>
    <w:rsid w:val="00A571D6"/>
    <w:rsid w:val="00A57C9E"/>
    <w:rsid w:val="00A6032C"/>
    <w:rsid w:val="00A604D0"/>
    <w:rsid w:val="00A605C7"/>
    <w:rsid w:val="00A62D76"/>
    <w:rsid w:val="00A63966"/>
    <w:rsid w:val="00A640D5"/>
    <w:rsid w:val="00A655B1"/>
    <w:rsid w:val="00A65F04"/>
    <w:rsid w:val="00A66183"/>
    <w:rsid w:val="00A7004B"/>
    <w:rsid w:val="00A700FB"/>
    <w:rsid w:val="00A702FD"/>
    <w:rsid w:val="00A7033B"/>
    <w:rsid w:val="00A70854"/>
    <w:rsid w:val="00A70894"/>
    <w:rsid w:val="00A710AF"/>
    <w:rsid w:val="00A721D0"/>
    <w:rsid w:val="00A72298"/>
    <w:rsid w:val="00A73494"/>
    <w:rsid w:val="00A7356D"/>
    <w:rsid w:val="00A7442B"/>
    <w:rsid w:val="00A747D1"/>
    <w:rsid w:val="00A74A8D"/>
    <w:rsid w:val="00A75C91"/>
    <w:rsid w:val="00A76C46"/>
    <w:rsid w:val="00A771EB"/>
    <w:rsid w:val="00A77D1B"/>
    <w:rsid w:val="00A80208"/>
    <w:rsid w:val="00A8322C"/>
    <w:rsid w:val="00A84DFA"/>
    <w:rsid w:val="00A86C4A"/>
    <w:rsid w:val="00A905FB"/>
    <w:rsid w:val="00A909C4"/>
    <w:rsid w:val="00A909D1"/>
    <w:rsid w:val="00A90FC5"/>
    <w:rsid w:val="00A91F0A"/>
    <w:rsid w:val="00A92975"/>
    <w:rsid w:val="00A92BF3"/>
    <w:rsid w:val="00A92E5C"/>
    <w:rsid w:val="00A931E8"/>
    <w:rsid w:val="00A94CF0"/>
    <w:rsid w:val="00A95058"/>
    <w:rsid w:val="00A9643C"/>
    <w:rsid w:val="00A96C68"/>
    <w:rsid w:val="00A96EAB"/>
    <w:rsid w:val="00A97692"/>
    <w:rsid w:val="00A97C83"/>
    <w:rsid w:val="00A97E96"/>
    <w:rsid w:val="00AA0A76"/>
    <w:rsid w:val="00AA0C98"/>
    <w:rsid w:val="00AA1AAC"/>
    <w:rsid w:val="00AA1EB0"/>
    <w:rsid w:val="00AA1F70"/>
    <w:rsid w:val="00AA333F"/>
    <w:rsid w:val="00AA3354"/>
    <w:rsid w:val="00AA4E14"/>
    <w:rsid w:val="00AA5318"/>
    <w:rsid w:val="00AA5550"/>
    <w:rsid w:val="00AA6141"/>
    <w:rsid w:val="00AA6191"/>
    <w:rsid w:val="00AA6F2B"/>
    <w:rsid w:val="00AA75CE"/>
    <w:rsid w:val="00AA7BB6"/>
    <w:rsid w:val="00AB06CB"/>
    <w:rsid w:val="00AB07B6"/>
    <w:rsid w:val="00AB098F"/>
    <w:rsid w:val="00AB28D6"/>
    <w:rsid w:val="00AB2F76"/>
    <w:rsid w:val="00AB326E"/>
    <w:rsid w:val="00AB3C55"/>
    <w:rsid w:val="00AB4E68"/>
    <w:rsid w:val="00AB520C"/>
    <w:rsid w:val="00AB6110"/>
    <w:rsid w:val="00AB6129"/>
    <w:rsid w:val="00AB6954"/>
    <w:rsid w:val="00AB6B61"/>
    <w:rsid w:val="00AB6C95"/>
    <w:rsid w:val="00AB7E65"/>
    <w:rsid w:val="00AC2823"/>
    <w:rsid w:val="00AC2A82"/>
    <w:rsid w:val="00AC2E9C"/>
    <w:rsid w:val="00AC4627"/>
    <w:rsid w:val="00AC4DDA"/>
    <w:rsid w:val="00AC5A99"/>
    <w:rsid w:val="00AC5D29"/>
    <w:rsid w:val="00AC6645"/>
    <w:rsid w:val="00AC6A80"/>
    <w:rsid w:val="00AC7BC5"/>
    <w:rsid w:val="00AD0B27"/>
    <w:rsid w:val="00AD178E"/>
    <w:rsid w:val="00AD2D4D"/>
    <w:rsid w:val="00AD40E3"/>
    <w:rsid w:val="00AD5ADD"/>
    <w:rsid w:val="00AD635C"/>
    <w:rsid w:val="00AD6B1D"/>
    <w:rsid w:val="00AD6BC0"/>
    <w:rsid w:val="00AD7645"/>
    <w:rsid w:val="00AD7794"/>
    <w:rsid w:val="00AE2047"/>
    <w:rsid w:val="00AE303E"/>
    <w:rsid w:val="00AE3420"/>
    <w:rsid w:val="00AE38A1"/>
    <w:rsid w:val="00AE3A9E"/>
    <w:rsid w:val="00AE41DD"/>
    <w:rsid w:val="00AE4350"/>
    <w:rsid w:val="00AE5E43"/>
    <w:rsid w:val="00AE6E7B"/>
    <w:rsid w:val="00AE7BF0"/>
    <w:rsid w:val="00AF01C4"/>
    <w:rsid w:val="00AF0348"/>
    <w:rsid w:val="00AF08DE"/>
    <w:rsid w:val="00AF0F97"/>
    <w:rsid w:val="00AF1A5E"/>
    <w:rsid w:val="00AF1C3E"/>
    <w:rsid w:val="00AF35B9"/>
    <w:rsid w:val="00AF4C5A"/>
    <w:rsid w:val="00AF66F1"/>
    <w:rsid w:val="00B001AF"/>
    <w:rsid w:val="00B01AF3"/>
    <w:rsid w:val="00B03A49"/>
    <w:rsid w:val="00B03AB1"/>
    <w:rsid w:val="00B03CFD"/>
    <w:rsid w:val="00B05BBE"/>
    <w:rsid w:val="00B05DF3"/>
    <w:rsid w:val="00B069E5"/>
    <w:rsid w:val="00B07381"/>
    <w:rsid w:val="00B102CA"/>
    <w:rsid w:val="00B10929"/>
    <w:rsid w:val="00B10BD4"/>
    <w:rsid w:val="00B1179E"/>
    <w:rsid w:val="00B1339C"/>
    <w:rsid w:val="00B149D2"/>
    <w:rsid w:val="00B14E77"/>
    <w:rsid w:val="00B167E5"/>
    <w:rsid w:val="00B170E0"/>
    <w:rsid w:val="00B21542"/>
    <w:rsid w:val="00B21C35"/>
    <w:rsid w:val="00B21D9D"/>
    <w:rsid w:val="00B238B7"/>
    <w:rsid w:val="00B23C3C"/>
    <w:rsid w:val="00B24BEE"/>
    <w:rsid w:val="00B2516C"/>
    <w:rsid w:val="00B253AA"/>
    <w:rsid w:val="00B2589B"/>
    <w:rsid w:val="00B25A85"/>
    <w:rsid w:val="00B31369"/>
    <w:rsid w:val="00B31578"/>
    <w:rsid w:val="00B3198E"/>
    <w:rsid w:val="00B32818"/>
    <w:rsid w:val="00B33314"/>
    <w:rsid w:val="00B339D9"/>
    <w:rsid w:val="00B348CB"/>
    <w:rsid w:val="00B363F0"/>
    <w:rsid w:val="00B40F0D"/>
    <w:rsid w:val="00B435C1"/>
    <w:rsid w:val="00B43CE9"/>
    <w:rsid w:val="00B462EC"/>
    <w:rsid w:val="00B46724"/>
    <w:rsid w:val="00B46FB4"/>
    <w:rsid w:val="00B470A8"/>
    <w:rsid w:val="00B47FF3"/>
    <w:rsid w:val="00B5059C"/>
    <w:rsid w:val="00B505DD"/>
    <w:rsid w:val="00B50F61"/>
    <w:rsid w:val="00B521BB"/>
    <w:rsid w:val="00B5254C"/>
    <w:rsid w:val="00B5402D"/>
    <w:rsid w:val="00B54F22"/>
    <w:rsid w:val="00B553F4"/>
    <w:rsid w:val="00B556C1"/>
    <w:rsid w:val="00B55B84"/>
    <w:rsid w:val="00B5710F"/>
    <w:rsid w:val="00B5783B"/>
    <w:rsid w:val="00B61394"/>
    <w:rsid w:val="00B614BB"/>
    <w:rsid w:val="00B6253F"/>
    <w:rsid w:val="00B6322B"/>
    <w:rsid w:val="00B653F1"/>
    <w:rsid w:val="00B6543B"/>
    <w:rsid w:val="00B655F4"/>
    <w:rsid w:val="00B65753"/>
    <w:rsid w:val="00B67CAA"/>
    <w:rsid w:val="00B67D55"/>
    <w:rsid w:val="00B7083F"/>
    <w:rsid w:val="00B7163B"/>
    <w:rsid w:val="00B717F8"/>
    <w:rsid w:val="00B71DD0"/>
    <w:rsid w:val="00B728C0"/>
    <w:rsid w:val="00B736CA"/>
    <w:rsid w:val="00B74D83"/>
    <w:rsid w:val="00B76966"/>
    <w:rsid w:val="00B81968"/>
    <w:rsid w:val="00B82D9F"/>
    <w:rsid w:val="00B82F69"/>
    <w:rsid w:val="00B847AF"/>
    <w:rsid w:val="00B85839"/>
    <w:rsid w:val="00B865E6"/>
    <w:rsid w:val="00B86EB6"/>
    <w:rsid w:val="00B87437"/>
    <w:rsid w:val="00B9032F"/>
    <w:rsid w:val="00B90B45"/>
    <w:rsid w:val="00B9303D"/>
    <w:rsid w:val="00B935D2"/>
    <w:rsid w:val="00B93819"/>
    <w:rsid w:val="00B93C3E"/>
    <w:rsid w:val="00B95EC4"/>
    <w:rsid w:val="00B97011"/>
    <w:rsid w:val="00BA0D96"/>
    <w:rsid w:val="00BA1261"/>
    <w:rsid w:val="00BA1820"/>
    <w:rsid w:val="00BA234C"/>
    <w:rsid w:val="00BA2872"/>
    <w:rsid w:val="00BA2C2D"/>
    <w:rsid w:val="00BA314F"/>
    <w:rsid w:val="00BA31DC"/>
    <w:rsid w:val="00BA3DDA"/>
    <w:rsid w:val="00BA3F18"/>
    <w:rsid w:val="00BA473C"/>
    <w:rsid w:val="00BA52E1"/>
    <w:rsid w:val="00BA54E6"/>
    <w:rsid w:val="00BA55EB"/>
    <w:rsid w:val="00BA5620"/>
    <w:rsid w:val="00BA571A"/>
    <w:rsid w:val="00BA6219"/>
    <w:rsid w:val="00BA7179"/>
    <w:rsid w:val="00BB1398"/>
    <w:rsid w:val="00BB1A17"/>
    <w:rsid w:val="00BB2905"/>
    <w:rsid w:val="00BB2D5B"/>
    <w:rsid w:val="00BB3284"/>
    <w:rsid w:val="00BB418C"/>
    <w:rsid w:val="00BB4DA0"/>
    <w:rsid w:val="00BB524B"/>
    <w:rsid w:val="00BB5B24"/>
    <w:rsid w:val="00BB6B69"/>
    <w:rsid w:val="00BB6BE2"/>
    <w:rsid w:val="00BB70B2"/>
    <w:rsid w:val="00BB7AC1"/>
    <w:rsid w:val="00BC01C9"/>
    <w:rsid w:val="00BC24A0"/>
    <w:rsid w:val="00BC28A2"/>
    <w:rsid w:val="00BC2E76"/>
    <w:rsid w:val="00BC41EF"/>
    <w:rsid w:val="00BC6B9C"/>
    <w:rsid w:val="00BC7720"/>
    <w:rsid w:val="00BD03A5"/>
    <w:rsid w:val="00BD0991"/>
    <w:rsid w:val="00BD139B"/>
    <w:rsid w:val="00BD18B9"/>
    <w:rsid w:val="00BD2BD0"/>
    <w:rsid w:val="00BD4369"/>
    <w:rsid w:val="00BD51ED"/>
    <w:rsid w:val="00BD5B43"/>
    <w:rsid w:val="00BD6DB7"/>
    <w:rsid w:val="00BD711A"/>
    <w:rsid w:val="00BD7A91"/>
    <w:rsid w:val="00BE03FD"/>
    <w:rsid w:val="00BE1427"/>
    <w:rsid w:val="00BE2674"/>
    <w:rsid w:val="00BE29F4"/>
    <w:rsid w:val="00BE2FC8"/>
    <w:rsid w:val="00BE3370"/>
    <w:rsid w:val="00BE470B"/>
    <w:rsid w:val="00BE4901"/>
    <w:rsid w:val="00BE5CBB"/>
    <w:rsid w:val="00BE69E5"/>
    <w:rsid w:val="00BE7DB0"/>
    <w:rsid w:val="00BF1AC5"/>
    <w:rsid w:val="00BF1D6D"/>
    <w:rsid w:val="00BF3265"/>
    <w:rsid w:val="00BF32BD"/>
    <w:rsid w:val="00BF5AD1"/>
    <w:rsid w:val="00BF6793"/>
    <w:rsid w:val="00BF70A9"/>
    <w:rsid w:val="00BF75FD"/>
    <w:rsid w:val="00BF77CE"/>
    <w:rsid w:val="00BF79B4"/>
    <w:rsid w:val="00C00E20"/>
    <w:rsid w:val="00C01109"/>
    <w:rsid w:val="00C028A7"/>
    <w:rsid w:val="00C1104F"/>
    <w:rsid w:val="00C12D73"/>
    <w:rsid w:val="00C1416E"/>
    <w:rsid w:val="00C14515"/>
    <w:rsid w:val="00C14852"/>
    <w:rsid w:val="00C14E8A"/>
    <w:rsid w:val="00C150CC"/>
    <w:rsid w:val="00C1579E"/>
    <w:rsid w:val="00C15C4E"/>
    <w:rsid w:val="00C165C9"/>
    <w:rsid w:val="00C215D4"/>
    <w:rsid w:val="00C23A6E"/>
    <w:rsid w:val="00C23D71"/>
    <w:rsid w:val="00C24638"/>
    <w:rsid w:val="00C24E21"/>
    <w:rsid w:val="00C24EEE"/>
    <w:rsid w:val="00C30658"/>
    <w:rsid w:val="00C30EE1"/>
    <w:rsid w:val="00C31AE3"/>
    <w:rsid w:val="00C3398A"/>
    <w:rsid w:val="00C350C9"/>
    <w:rsid w:val="00C35355"/>
    <w:rsid w:val="00C36EBC"/>
    <w:rsid w:val="00C3701B"/>
    <w:rsid w:val="00C37828"/>
    <w:rsid w:val="00C40784"/>
    <w:rsid w:val="00C40D47"/>
    <w:rsid w:val="00C40EF5"/>
    <w:rsid w:val="00C41898"/>
    <w:rsid w:val="00C419E1"/>
    <w:rsid w:val="00C424E9"/>
    <w:rsid w:val="00C43D2F"/>
    <w:rsid w:val="00C46BA2"/>
    <w:rsid w:val="00C47665"/>
    <w:rsid w:val="00C47800"/>
    <w:rsid w:val="00C5042B"/>
    <w:rsid w:val="00C5065E"/>
    <w:rsid w:val="00C51C5C"/>
    <w:rsid w:val="00C52B78"/>
    <w:rsid w:val="00C53701"/>
    <w:rsid w:val="00C53D0C"/>
    <w:rsid w:val="00C54BA9"/>
    <w:rsid w:val="00C557B4"/>
    <w:rsid w:val="00C57350"/>
    <w:rsid w:val="00C57AE6"/>
    <w:rsid w:val="00C57AE8"/>
    <w:rsid w:val="00C57EB2"/>
    <w:rsid w:val="00C60718"/>
    <w:rsid w:val="00C61029"/>
    <w:rsid w:val="00C615A1"/>
    <w:rsid w:val="00C625C2"/>
    <w:rsid w:val="00C63502"/>
    <w:rsid w:val="00C63FA8"/>
    <w:rsid w:val="00C65024"/>
    <w:rsid w:val="00C65799"/>
    <w:rsid w:val="00C667FD"/>
    <w:rsid w:val="00C7004D"/>
    <w:rsid w:val="00C711AD"/>
    <w:rsid w:val="00C71910"/>
    <w:rsid w:val="00C71E9D"/>
    <w:rsid w:val="00C72011"/>
    <w:rsid w:val="00C748F8"/>
    <w:rsid w:val="00C74C84"/>
    <w:rsid w:val="00C75867"/>
    <w:rsid w:val="00C75B08"/>
    <w:rsid w:val="00C764D9"/>
    <w:rsid w:val="00C83103"/>
    <w:rsid w:val="00C83712"/>
    <w:rsid w:val="00C850D7"/>
    <w:rsid w:val="00C8566A"/>
    <w:rsid w:val="00C85A56"/>
    <w:rsid w:val="00C85BEC"/>
    <w:rsid w:val="00C87015"/>
    <w:rsid w:val="00C872E9"/>
    <w:rsid w:val="00C874DC"/>
    <w:rsid w:val="00C879ED"/>
    <w:rsid w:val="00C9331A"/>
    <w:rsid w:val="00C9351C"/>
    <w:rsid w:val="00C94F05"/>
    <w:rsid w:val="00C96C0F"/>
    <w:rsid w:val="00C9797E"/>
    <w:rsid w:val="00C97BC4"/>
    <w:rsid w:val="00CA3559"/>
    <w:rsid w:val="00CA3F27"/>
    <w:rsid w:val="00CA47C3"/>
    <w:rsid w:val="00CA536E"/>
    <w:rsid w:val="00CA5476"/>
    <w:rsid w:val="00CA60C0"/>
    <w:rsid w:val="00CA69A3"/>
    <w:rsid w:val="00CA71A6"/>
    <w:rsid w:val="00CB119D"/>
    <w:rsid w:val="00CB11AE"/>
    <w:rsid w:val="00CB2BAF"/>
    <w:rsid w:val="00CB3D0B"/>
    <w:rsid w:val="00CB4DCC"/>
    <w:rsid w:val="00CB55F9"/>
    <w:rsid w:val="00CB66F1"/>
    <w:rsid w:val="00CB6A39"/>
    <w:rsid w:val="00CB6C97"/>
    <w:rsid w:val="00CB6E1A"/>
    <w:rsid w:val="00CB6E2B"/>
    <w:rsid w:val="00CB6FE5"/>
    <w:rsid w:val="00CC0464"/>
    <w:rsid w:val="00CC0564"/>
    <w:rsid w:val="00CC0683"/>
    <w:rsid w:val="00CC1202"/>
    <w:rsid w:val="00CC1BB9"/>
    <w:rsid w:val="00CC2465"/>
    <w:rsid w:val="00CC2541"/>
    <w:rsid w:val="00CC315F"/>
    <w:rsid w:val="00CC32D9"/>
    <w:rsid w:val="00CC35DC"/>
    <w:rsid w:val="00CC3DAE"/>
    <w:rsid w:val="00CC6458"/>
    <w:rsid w:val="00CC6CF1"/>
    <w:rsid w:val="00CC6F8A"/>
    <w:rsid w:val="00CC75E7"/>
    <w:rsid w:val="00CC7B87"/>
    <w:rsid w:val="00CD0D62"/>
    <w:rsid w:val="00CD25A0"/>
    <w:rsid w:val="00CD2C3A"/>
    <w:rsid w:val="00CD4286"/>
    <w:rsid w:val="00CD4C0E"/>
    <w:rsid w:val="00CD5A38"/>
    <w:rsid w:val="00CD5FD2"/>
    <w:rsid w:val="00CD6C6E"/>
    <w:rsid w:val="00CD71E8"/>
    <w:rsid w:val="00CD766D"/>
    <w:rsid w:val="00CD7C75"/>
    <w:rsid w:val="00CE05C6"/>
    <w:rsid w:val="00CE1A0C"/>
    <w:rsid w:val="00CE1ACB"/>
    <w:rsid w:val="00CE235D"/>
    <w:rsid w:val="00CE42B7"/>
    <w:rsid w:val="00CE47DE"/>
    <w:rsid w:val="00CE52E1"/>
    <w:rsid w:val="00CE5FBE"/>
    <w:rsid w:val="00CE7B20"/>
    <w:rsid w:val="00CF0E87"/>
    <w:rsid w:val="00CF1310"/>
    <w:rsid w:val="00CF1C02"/>
    <w:rsid w:val="00CF3A8B"/>
    <w:rsid w:val="00CF455E"/>
    <w:rsid w:val="00CF49C3"/>
    <w:rsid w:val="00CF53EB"/>
    <w:rsid w:val="00CF57B2"/>
    <w:rsid w:val="00CF6D29"/>
    <w:rsid w:val="00CF7AA4"/>
    <w:rsid w:val="00CF7CDE"/>
    <w:rsid w:val="00D02073"/>
    <w:rsid w:val="00D02170"/>
    <w:rsid w:val="00D02E67"/>
    <w:rsid w:val="00D03AD1"/>
    <w:rsid w:val="00D042D1"/>
    <w:rsid w:val="00D04A55"/>
    <w:rsid w:val="00D04AB4"/>
    <w:rsid w:val="00D04BBC"/>
    <w:rsid w:val="00D04E55"/>
    <w:rsid w:val="00D05384"/>
    <w:rsid w:val="00D0633A"/>
    <w:rsid w:val="00D063BB"/>
    <w:rsid w:val="00D06B6C"/>
    <w:rsid w:val="00D10AF3"/>
    <w:rsid w:val="00D10E73"/>
    <w:rsid w:val="00D119BB"/>
    <w:rsid w:val="00D12D75"/>
    <w:rsid w:val="00D12F11"/>
    <w:rsid w:val="00D13092"/>
    <w:rsid w:val="00D1391A"/>
    <w:rsid w:val="00D14533"/>
    <w:rsid w:val="00D149AE"/>
    <w:rsid w:val="00D14D32"/>
    <w:rsid w:val="00D162FB"/>
    <w:rsid w:val="00D165BC"/>
    <w:rsid w:val="00D17A79"/>
    <w:rsid w:val="00D201C9"/>
    <w:rsid w:val="00D20843"/>
    <w:rsid w:val="00D215B2"/>
    <w:rsid w:val="00D21795"/>
    <w:rsid w:val="00D21AFF"/>
    <w:rsid w:val="00D22029"/>
    <w:rsid w:val="00D22AD7"/>
    <w:rsid w:val="00D23BEE"/>
    <w:rsid w:val="00D2413D"/>
    <w:rsid w:val="00D24199"/>
    <w:rsid w:val="00D24F63"/>
    <w:rsid w:val="00D26593"/>
    <w:rsid w:val="00D26AA5"/>
    <w:rsid w:val="00D276A8"/>
    <w:rsid w:val="00D305A7"/>
    <w:rsid w:val="00D30AA1"/>
    <w:rsid w:val="00D32D66"/>
    <w:rsid w:val="00D33C20"/>
    <w:rsid w:val="00D34455"/>
    <w:rsid w:val="00D35DFF"/>
    <w:rsid w:val="00D364C8"/>
    <w:rsid w:val="00D37DE9"/>
    <w:rsid w:val="00D4056C"/>
    <w:rsid w:val="00D413C7"/>
    <w:rsid w:val="00D415C2"/>
    <w:rsid w:val="00D4194A"/>
    <w:rsid w:val="00D435BE"/>
    <w:rsid w:val="00D448F1"/>
    <w:rsid w:val="00D455CB"/>
    <w:rsid w:val="00D457F6"/>
    <w:rsid w:val="00D4584D"/>
    <w:rsid w:val="00D46F98"/>
    <w:rsid w:val="00D5196F"/>
    <w:rsid w:val="00D5350D"/>
    <w:rsid w:val="00D53BCA"/>
    <w:rsid w:val="00D54E2A"/>
    <w:rsid w:val="00D55E59"/>
    <w:rsid w:val="00D57790"/>
    <w:rsid w:val="00D62C48"/>
    <w:rsid w:val="00D62D80"/>
    <w:rsid w:val="00D644AF"/>
    <w:rsid w:val="00D64C15"/>
    <w:rsid w:val="00D64CCF"/>
    <w:rsid w:val="00D65891"/>
    <w:rsid w:val="00D7017B"/>
    <w:rsid w:val="00D707A5"/>
    <w:rsid w:val="00D70B85"/>
    <w:rsid w:val="00D72B5C"/>
    <w:rsid w:val="00D750AF"/>
    <w:rsid w:val="00D7531A"/>
    <w:rsid w:val="00D7566F"/>
    <w:rsid w:val="00D7574D"/>
    <w:rsid w:val="00D760D4"/>
    <w:rsid w:val="00D76A39"/>
    <w:rsid w:val="00D80152"/>
    <w:rsid w:val="00D805EE"/>
    <w:rsid w:val="00D8169E"/>
    <w:rsid w:val="00D81E08"/>
    <w:rsid w:val="00D82590"/>
    <w:rsid w:val="00D84784"/>
    <w:rsid w:val="00D8489F"/>
    <w:rsid w:val="00D848A4"/>
    <w:rsid w:val="00D84A73"/>
    <w:rsid w:val="00D852CB"/>
    <w:rsid w:val="00D853E7"/>
    <w:rsid w:val="00D87F3F"/>
    <w:rsid w:val="00D90901"/>
    <w:rsid w:val="00D91BE7"/>
    <w:rsid w:val="00D93021"/>
    <w:rsid w:val="00D93517"/>
    <w:rsid w:val="00D95156"/>
    <w:rsid w:val="00DA06C4"/>
    <w:rsid w:val="00DA1AA3"/>
    <w:rsid w:val="00DA1B56"/>
    <w:rsid w:val="00DA2CA9"/>
    <w:rsid w:val="00DA2E47"/>
    <w:rsid w:val="00DA3270"/>
    <w:rsid w:val="00DA3CF4"/>
    <w:rsid w:val="00DA3F6C"/>
    <w:rsid w:val="00DA4D35"/>
    <w:rsid w:val="00DA5471"/>
    <w:rsid w:val="00DA54E6"/>
    <w:rsid w:val="00DA5794"/>
    <w:rsid w:val="00DA6A21"/>
    <w:rsid w:val="00DA72BA"/>
    <w:rsid w:val="00DB01FD"/>
    <w:rsid w:val="00DB0B00"/>
    <w:rsid w:val="00DB13A5"/>
    <w:rsid w:val="00DB1DF2"/>
    <w:rsid w:val="00DB230A"/>
    <w:rsid w:val="00DB25E6"/>
    <w:rsid w:val="00DB3A9B"/>
    <w:rsid w:val="00DB3C3A"/>
    <w:rsid w:val="00DB449E"/>
    <w:rsid w:val="00DB46CE"/>
    <w:rsid w:val="00DB47B4"/>
    <w:rsid w:val="00DB4C85"/>
    <w:rsid w:val="00DB4D19"/>
    <w:rsid w:val="00DB5128"/>
    <w:rsid w:val="00DB51AE"/>
    <w:rsid w:val="00DB574B"/>
    <w:rsid w:val="00DB5AC2"/>
    <w:rsid w:val="00DB6726"/>
    <w:rsid w:val="00DB7224"/>
    <w:rsid w:val="00DB79A6"/>
    <w:rsid w:val="00DC00D9"/>
    <w:rsid w:val="00DC0C9D"/>
    <w:rsid w:val="00DC1364"/>
    <w:rsid w:val="00DC15D6"/>
    <w:rsid w:val="00DC167F"/>
    <w:rsid w:val="00DC16CD"/>
    <w:rsid w:val="00DC170C"/>
    <w:rsid w:val="00DC2BD7"/>
    <w:rsid w:val="00DC2F48"/>
    <w:rsid w:val="00DC2FE2"/>
    <w:rsid w:val="00DC39C4"/>
    <w:rsid w:val="00DC46E4"/>
    <w:rsid w:val="00DC4C1A"/>
    <w:rsid w:val="00DC54CE"/>
    <w:rsid w:val="00DC6A29"/>
    <w:rsid w:val="00DC6C98"/>
    <w:rsid w:val="00DC73E1"/>
    <w:rsid w:val="00DC771C"/>
    <w:rsid w:val="00DC7CBE"/>
    <w:rsid w:val="00DD0594"/>
    <w:rsid w:val="00DD16C4"/>
    <w:rsid w:val="00DD1CF2"/>
    <w:rsid w:val="00DD245A"/>
    <w:rsid w:val="00DD3F19"/>
    <w:rsid w:val="00DD6B81"/>
    <w:rsid w:val="00DE02A1"/>
    <w:rsid w:val="00DE0805"/>
    <w:rsid w:val="00DE09C5"/>
    <w:rsid w:val="00DE1271"/>
    <w:rsid w:val="00DE1D25"/>
    <w:rsid w:val="00DE3376"/>
    <w:rsid w:val="00DE362A"/>
    <w:rsid w:val="00DE3807"/>
    <w:rsid w:val="00DE3D72"/>
    <w:rsid w:val="00DE4FCE"/>
    <w:rsid w:val="00DE51B4"/>
    <w:rsid w:val="00DE5216"/>
    <w:rsid w:val="00DE58AB"/>
    <w:rsid w:val="00DE6A91"/>
    <w:rsid w:val="00DE7155"/>
    <w:rsid w:val="00DE7217"/>
    <w:rsid w:val="00DE7CFD"/>
    <w:rsid w:val="00DF1745"/>
    <w:rsid w:val="00DF1AB2"/>
    <w:rsid w:val="00DF20C6"/>
    <w:rsid w:val="00DF212C"/>
    <w:rsid w:val="00DF2C09"/>
    <w:rsid w:val="00DF2EE9"/>
    <w:rsid w:val="00DF47A0"/>
    <w:rsid w:val="00DF4B73"/>
    <w:rsid w:val="00DF4BC3"/>
    <w:rsid w:val="00DF4CB6"/>
    <w:rsid w:val="00DF68B0"/>
    <w:rsid w:val="00DF76F4"/>
    <w:rsid w:val="00DF7CB4"/>
    <w:rsid w:val="00E013CC"/>
    <w:rsid w:val="00E01A70"/>
    <w:rsid w:val="00E03876"/>
    <w:rsid w:val="00E04C12"/>
    <w:rsid w:val="00E04FB8"/>
    <w:rsid w:val="00E06281"/>
    <w:rsid w:val="00E063AE"/>
    <w:rsid w:val="00E066D0"/>
    <w:rsid w:val="00E07B4F"/>
    <w:rsid w:val="00E07BBC"/>
    <w:rsid w:val="00E1088A"/>
    <w:rsid w:val="00E11369"/>
    <w:rsid w:val="00E140B7"/>
    <w:rsid w:val="00E150C1"/>
    <w:rsid w:val="00E156CD"/>
    <w:rsid w:val="00E15F72"/>
    <w:rsid w:val="00E20B73"/>
    <w:rsid w:val="00E20E1E"/>
    <w:rsid w:val="00E2455B"/>
    <w:rsid w:val="00E26655"/>
    <w:rsid w:val="00E27632"/>
    <w:rsid w:val="00E314B9"/>
    <w:rsid w:val="00E31638"/>
    <w:rsid w:val="00E318CA"/>
    <w:rsid w:val="00E32F37"/>
    <w:rsid w:val="00E3397F"/>
    <w:rsid w:val="00E33AFB"/>
    <w:rsid w:val="00E33E99"/>
    <w:rsid w:val="00E344A0"/>
    <w:rsid w:val="00E3517E"/>
    <w:rsid w:val="00E35458"/>
    <w:rsid w:val="00E3556F"/>
    <w:rsid w:val="00E35605"/>
    <w:rsid w:val="00E35D25"/>
    <w:rsid w:val="00E364FE"/>
    <w:rsid w:val="00E3717F"/>
    <w:rsid w:val="00E371CF"/>
    <w:rsid w:val="00E41898"/>
    <w:rsid w:val="00E429DE"/>
    <w:rsid w:val="00E42B09"/>
    <w:rsid w:val="00E42E9B"/>
    <w:rsid w:val="00E42F8C"/>
    <w:rsid w:val="00E43B0E"/>
    <w:rsid w:val="00E43B53"/>
    <w:rsid w:val="00E440BD"/>
    <w:rsid w:val="00E46E3B"/>
    <w:rsid w:val="00E47C6C"/>
    <w:rsid w:val="00E506D9"/>
    <w:rsid w:val="00E5285D"/>
    <w:rsid w:val="00E52CEC"/>
    <w:rsid w:val="00E5374E"/>
    <w:rsid w:val="00E539E0"/>
    <w:rsid w:val="00E5537E"/>
    <w:rsid w:val="00E56DDE"/>
    <w:rsid w:val="00E57AC7"/>
    <w:rsid w:val="00E60FEF"/>
    <w:rsid w:val="00E617D8"/>
    <w:rsid w:val="00E61806"/>
    <w:rsid w:val="00E61B53"/>
    <w:rsid w:val="00E63B5D"/>
    <w:rsid w:val="00E6653B"/>
    <w:rsid w:val="00E66B7A"/>
    <w:rsid w:val="00E71538"/>
    <w:rsid w:val="00E716E5"/>
    <w:rsid w:val="00E71F79"/>
    <w:rsid w:val="00E72A7A"/>
    <w:rsid w:val="00E72DCA"/>
    <w:rsid w:val="00E72E27"/>
    <w:rsid w:val="00E7358A"/>
    <w:rsid w:val="00E746A4"/>
    <w:rsid w:val="00E7592A"/>
    <w:rsid w:val="00E75E46"/>
    <w:rsid w:val="00E75E82"/>
    <w:rsid w:val="00E76770"/>
    <w:rsid w:val="00E76F44"/>
    <w:rsid w:val="00E77FDF"/>
    <w:rsid w:val="00E8072C"/>
    <w:rsid w:val="00E80784"/>
    <w:rsid w:val="00E809EA"/>
    <w:rsid w:val="00E80F9B"/>
    <w:rsid w:val="00E812C0"/>
    <w:rsid w:val="00E81E89"/>
    <w:rsid w:val="00E82166"/>
    <w:rsid w:val="00E82BAE"/>
    <w:rsid w:val="00E83CCF"/>
    <w:rsid w:val="00E85C39"/>
    <w:rsid w:val="00E85F2A"/>
    <w:rsid w:val="00E86132"/>
    <w:rsid w:val="00E87CCD"/>
    <w:rsid w:val="00E90225"/>
    <w:rsid w:val="00E902AE"/>
    <w:rsid w:val="00E9144E"/>
    <w:rsid w:val="00E93C01"/>
    <w:rsid w:val="00E94297"/>
    <w:rsid w:val="00E94F42"/>
    <w:rsid w:val="00E953EA"/>
    <w:rsid w:val="00E9542F"/>
    <w:rsid w:val="00EA02B2"/>
    <w:rsid w:val="00EA0F3F"/>
    <w:rsid w:val="00EA2E36"/>
    <w:rsid w:val="00EA2FB0"/>
    <w:rsid w:val="00EA3887"/>
    <w:rsid w:val="00EA4AAD"/>
    <w:rsid w:val="00EA5280"/>
    <w:rsid w:val="00EA54A7"/>
    <w:rsid w:val="00EA755C"/>
    <w:rsid w:val="00EB06BE"/>
    <w:rsid w:val="00EB2120"/>
    <w:rsid w:val="00EB27C2"/>
    <w:rsid w:val="00EB2D9D"/>
    <w:rsid w:val="00EB3394"/>
    <w:rsid w:val="00EB4815"/>
    <w:rsid w:val="00EB4977"/>
    <w:rsid w:val="00EB6AF7"/>
    <w:rsid w:val="00EB7226"/>
    <w:rsid w:val="00EB7804"/>
    <w:rsid w:val="00EB7840"/>
    <w:rsid w:val="00EC00D7"/>
    <w:rsid w:val="00EC021E"/>
    <w:rsid w:val="00EC07CE"/>
    <w:rsid w:val="00EC22EE"/>
    <w:rsid w:val="00EC2C89"/>
    <w:rsid w:val="00EC2DBA"/>
    <w:rsid w:val="00EC30A6"/>
    <w:rsid w:val="00EC3143"/>
    <w:rsid w:val="00EC3543"/>
    <w:rsid w:val="00EC3764"/>
    <w:rsid w:val="00EC4B71"/>
    <w:rsid w:val="00EC52AD"/>
    <w:rsid w:val="00EC75D3"/>
    <w:rsid w:val="00ED0805"/>
    <w:rsid w:val="00ED1310"/>
    <w:rsid w:val="00ED15DD"/>
    <w:rsid w:val="00ED1DEE"/>
    <w:rsid w:val="00ED3258"/>
    <w:rsid w:val="00ED38B5"/>
    <w:rsid w:val="00ED4308"/>
    <w:rsid w:val="00ED4785"/>
    <w:rsid w:val="00ED5A5E"/>
    <w:rsid w:val="00ED607D"/>
    <w:rsid w:val="00ED668D"/>
    <w:rsid w:val="00ED74D8"/>
    <w:rsid w:val="00ED7823"/>
    <w:rsid w:val="00EE0948"/>
    <w:rsid w:val="00EE0E28"/>
    <w:rsid w:val="00EE109D"/>
    <w:rsid w:val="00EE14B5"/>
    <w:rsid w:val="00EE1C69"/>
    <w:rsid w:val="00EE2BC2"/>
    <w:rsid w:val="00EE2BF6"/>
    <w:rsid w:val="00EE2E9C"/>
    <w:rsid w:val="00EE3C53"/>
    <w:rsid w:val="00EE3C91"/>
    <w:rsid w:val="00EE466B"/>
    <w:rsid w:val="00EE546E"/>
    <w:rsid w:val="00EE616A"/>
    <w:rsid w:val="00EE6362"/>
    <w:rsid w:val="00EE6754"/>
    <w:rsid w:val="00EE6CD7"/>
    <w:rsid w:val="00EE7AEC"/>
    <w:rsid w:val="00EF06CE"/>
    <w:rsid w:val="00EF0E1F"/>
    <w:rsid w:val="00EF1636"/>
    <w:rsid w:val="00EF16E2"/>
    <w:rsid w:val="00EF2076"/>
    <w:rsid w:val="00EF211D"/>
    <w:rsid w:val="00EF2EF3"/>
    <w:rsid w:val="00EF3732"/>
    <w:rsid w:val="00EF40BC"/>
    <w:rsid w:val="00EF40EE"/>
    <w:rsid w:val="00EF4282"/>
    <w:rsid w:val="00EF4717"/>
    <w:rsid w:val="00EF492B"/>
    <w:rsid w:val="00EF501D"/>
    <w:rsid w:val="00EF53A5"/>
    <w:rsid w:val="00EF65D4"/>
    <w:rsid w:val="00EF7687"/>
    <w:rsid w:val="00EF7C03"/>
    <w:rsid w:val="00F0224B"/>
    <w:rsid w:val="00F02EBC"/>
    <w:rsid w:val="00F0307B"/>
    <w:rsid w:val="00F07596"/>
    <w:rsid w:val="00F077A0"/>
    <w:rsid w:val="00F07F40"/>
    <w:rsid w:val="00F1033C"/>
    <w:rsid w:val="00F10D6E"/>
    <w:rsid w:val="00F11B07"/>
    <w:rsid w:val="00F1216F"/>
    <w:rsid w:val="00F131F7"/>
    <w:rsid w:val="00F13D42"/>
    <w:rsid w:val="00F14212"/>
    <w:rsid w:val="00F14A23"/>
    <w:rsid w:val="00F155C8"/>
    <w:rsid w:val="00F15F15"/>
    <w:rsid w:val="00F170EB"/>
    <w:rsid w:val="00F173CC"/>
    <w:rsid w:val="00F1776A"/>
    <w:rsid w:val="00F2009A"/>
    <w:rsid w:val="00F2136C"/>
    <w:rsid w:val="00F21EDC"/>
    <w:rsid w:val="00F22D5B"/>
    <w:rsid w:val="00F26EAC"/>
    <w:rsid w:val="00F27756"/>
    <w:rsid w:val="00F27A50"/>
    <w:rsid w:val="00F304AD"/>
    <w:rsid w:val="00F335A3"/>
    <w:rsid w:val="00F33A59"/>
    <w:rsid w:val="00F34437"/>
    <w:rsid w:val="00F362BF"/>
    <w:rsid w:val="00F36FAC"/>
    <w:rsid w:val="00F3720C"/>
    <w:rsid w:val="00F37400"/>
    <w:rsid w:val="00F377A7"/>
    <w:rsid w:val="00F37898"/>
    <w:rsid w:val="00F42E57"/>
    <w:rsid w:val="00F44700"/>
    <w:rsid w:val="00F447CF"/>
    <w:rsid w:val="00F46580"/>
    <w:rsid w:val="00F51A38"/>
    <w:rsid w:val="00F51D41"/>
    <w:rsid w:val="00F54054"/>
    <w:rsid w:val="00F5517E"/>
    <w:rsid w:val="00F557D9"/>
    <w:rsid w:val="00F56663"/>
    <w:rsid w:val="00F5697C"/>
    <w:rsid w:val="00F5698D"/>
    <w:rsid w:val="00F57C62"/>
    <w:rsid w:val="00F60A7A"/>
    <w:rsid w:val="00F6109B"/>
    <w:rsid w:val="00F619E1"/>
    <w:rsid w:val="00F61BFC"/>
    <w:rsid w:val="00F62184"/>
    <w:rsid w:val="00F62DAC"/>
    <w:rsid w:val="00F6523E"/>
    <w:rsid w:val="00F659C9"/>
    <w:rsid w:val="00F6675D"/>
    <w:rsid w:val="00F73ACC"/>
    <w:rsid w:val="00F80F8E"/>
    <w:rsid w:val="00F83AC4"/>
    <w:rsid w:val="00F84142"/>
    <w:rsid w:val="00F8428E"/>
    <w:rsid w:val="00F84987"/>
    <w:rsid w:val="00F84BF4"/>
    <w:rsid w:val="00F84E97"/>
    <w:rsid w:val="00F85541"/>
    <w:rsid w:val="00F85F00"/>
    <w:rsid w:val="00F8647D"/>
    <w:rsid w:val="00F906B9"/>
    <w:rsid w:val="00F90FB5"/>
    <w:rsid w:val="00F9198B"/>
    <w:rsid w:val="00F92C9B"/>
    <w:rsid w:val="00F93B11"/>
    <w:rsid w:val="00F93D88"/>
    <w:rsid w:val="00F95189"/>
    <w:rsid w:val="00F9563F"/>
    <w:rsid w:val="00F95802"/>
    <w:rsid w:val="00F973AC"/>
    <w:rsid w:val="00F97B58"/>
    <w:rsid w:val="00FA1DAE"/>
    <w:rsid w:val="00FA323E"/>
    <w:rsid w:val="00FA4DD2"/>
    <w:rsid w:val="00FA601A"/>
    <w:rsid w:val="00FA6285"/>
    <w:rsid w:val="00FA677F"/>
    <w:rsid w:val="00FA6A2E"/>
    <w:rsid w:val="00FA77F0"/>
    <w:rsid w:val="00FB0C3D"/>
    <w:rsid w:val="00FB0C95"/>
    <w:rsid w:val="00FB1138"/>
    <w:rsid w:val="00FB1302"/>
    <w:rsid w:val="00FB19F6"/>
    <w:rsid w:val="00FB2526"/>
    <w:rsid w:val="00FB26DA"/>
    <w:rsid w:val="00FB27EF"/>
    <w:rsid w:val="00FB4433"/>
    <w:rsid w:val="00FB5AD3"/>
    <w:rsid w:val="00FB5AF2"/>
    <w:rsid w:val="00FB6330"/>
    <w:rsid w:val="00FB6FE2"/>
    <w:rsid w:val="00FB7100"/>
    <w:rsid w:val="00FB7FA5"/>
    <w:rsid w:val="00FC1142"/>
    <w:rsid w:val="00FC1313"/>
    <w:rsid w:val="00FC497E"/>
    <w:rsid w:val="00FC6B51"/>
    <w:rsid w:val="00FC7844"/>
    <w:rsid w:val="00FD00E5"/>
    <w:rsid w:val="00FD0171"/>
    <w:rsid w:val="00FD0375"/>
    <w:rsid w:val="00FD03F3"/>
    <w:rsid w:val="00FD07E2"/>
    <w:rsid w:val="00FD13B2"/>
    <w:rsid w:val="00FD2672"/>
    <w:rsid w:val="00FD33D2"/>
    <w:rsid w:val="00FD3C37"/>
    <w:rsid w:val="00FD4948"/>
    <w:rsid w:val="00FD52AD"/>
    <w:rsid w:val="00FD6830"/>
    <w:rsid w:val="00FD6BAD"/>
    <w:rsid w:val="00FD766A"/>
    <w:rsid w:val="00FE02EF"/>
    <w:rsid w:val="00FE12E0"/>
    <w:rsid w:val="00FE1804"/>
    <w:rsid w:val="00FE2DF0"/>
    <w:rsid w:val="00FE3268"/>
    <w:rsid w:val="00FE33BF"/>
    <w:rsid w:val="00FE503B"/>
    <w:rsid w:val="00FE5640"/>
    <w:rsid w:val="00FE61F3"/>
    <w:rsid w:val="00FF0A8D"/>
    <w:rsid w:val="00FF21D5"/>
    <w:rsid w:val="00FF2B6B"/>
    <w:rsid w:val="00FF2B99"/>
    <w:rsid w:val="00FF2BCB"/>
    <w:rsid w:val="00FF4E95"/>
    <w:rsid w:val="00FF588A"/>
    <w:rsid w:val="00FF6652"/>
    <w:rsid w:val="00FF6726"/>
    <w:rsid w:val="00FF6B1D"/>
    <w:rsid w:val="00FF6E10"/>
    <w:rsid w:val="00FF6F18"/>
    <w:rsid w:val="00FF718D"/>
    <w:rsid w:val="01937482"/>
    <w:rsid w:val="01B84797"/>
    <w:rsid w:val="01BA31E8"/>
    <w:rsid w:val="01BC4366"/>
    <w:rsid w:val="01EA74A3"/>
    <w:rsid w:val="02141F7A"/>
    <w:rsid w:val="021A1258"/>
    <w:rsid w:val="026F0C1D"/>
    <w:rsid w:val="027D1032"/>
    <w:rsid w:val="029B66FF"/>
    <w:rsid w:val="02B83BD6"/>
    <w:rsid w:val="02C344EE"/>
    <w:rsid w:val="02D35CBA"/>
    <w:rsid w:val="02EC79C9"/>
    <w:rsid w:val="02FC535F"/>
    <w:rsid w:val="03076A5A"/>
    <w:rsid w:val="031740B9"/>
    <w:rsid w:val="032A0111"/>
    <w:rsid w:val="032A790C"/>
    <w:rsid w:val="03310835"/>
    <w:rsid w:val="034B0FFA"/>
    <w:rsid w:val="03683435"/>
    <w:rsid w:val="03B06CA1"/>
    <w:rsid w:val="03BC45CE"/>
    <w:rsid w:val="03D422F9"/>
    <w:rsid w:val="03F84750"/>
    <w:rsid w:val="03FC2840"/>
    <w:rsid w:val="040A7080"/>
    <w:rsid w:val="040C1175"/>
    <w:rsid w:val="041B21EC"/>
    <w:rsid w:val="04257C60"/>
    <w:rsid w:val="0431222F"/>
    <w:rsid w:val="048C2806"/>
    <w:rsid w:val="051A11F2"/>
    <w:rsid w:val="055D0A38"/>
    <w:rsid w:val="057A258A"/>
    <w:rsid w:val="05D27ED6"/>
    <w:rsid w:val="05E60A7A"/>
    <w:rsid w:val="06382D35"/>
    <w:rsid w:val="064F0A43"/>
    <w:rsid w:val="068145AC"/>
    <w:rsid w:val="069D43EA"/>
    <w:rsid w:val="06BB02CE"/>
    <w:rsid w:val="07207438"/>
    <w:rsid w:val="07543A9E"/>
    <w:rsid w:val="07835F89"/>
    <w:rsid w:val="07E57709"/>
    <w:rsid w:val="07FE6177"/>
    <w:rsid w:val="085A0104"/>
    <w:rsid w:val="08B17C40"/>
    <w:rsid w:val="08C37FEB"/>
    <w:rsid w:val="090A1B63"/>
    <w:rsid w:val="091E0989"/>
    <w:rsid w:val="09284FDE"/>
    <w:rsid w:val="092B5CC7"/>
    <w:rsid w:val="09453829"/>
    <w:rsid w:val="09555C14"/>
    <w:rsid w:val="09787CB0"/>
    <w:rsid w:val="099354EB"/>
    <w:rsid w:val="099D409D"/>
    <w:rsid w:val="09F83DC8"/>
    <w:rsid w:val="0A516AD2"/>
    <w:rsid w:val="0A6A70C7"/>
    <w:rsid w:val="0A960F9B"/>
    <w:rsid w:val="0ACB1F7D"/>
    <w:rsid w:val="0AEA4BC2"/>
    <w:rsid w:val="0B1F117F"/>
    <w:rsid w:val="0B375D0B"/>
    <w:rsid w:val="0B4A01A7"/>
    <w:rsid w:val="0B6B49B7"/>
    <w:rsid w:val="0B87087E"/>
    <w:rsid w:val="0BBE2070"/>
    <w:rsid w:val="0BD231CC"/>
    <w:rsid w:val="0C3A092F"/>
    <w:rsid w:val="0C4D72EF"/>
    <w:rsid w:val="0C6076E9"/>
    <w:rsid w:val="0C774DD6"/>
    <w:rsid w:val="0C7B1852"/>
    <w:rsid w:val="0CC9589D"/>
    <w:rsid w:val="0CD4791C"/>
    <w:rsid w:val="0D291DF1"/>
    <w:rsid w:val="0D474403"/>
    <w:rsid w:val="0D4F45D1"/>
    <w:rsid w:val="0D6B6391"/>
    <w:rsid w:val="0DA750F4"/>
    <w:rsid w:val="0DEF1096"/>
    <w:rsid w:val="0E1C7FFB"/>
    <w:rsid w:val="0E374327"/>
    <w:rsid w:val="0EB30307"/>
    <w:rsid w:val="0EB373D6"/>
    <w:rsid w:val="0EC70066"/>
    <w:rsid w:val="0EE04300"/>
    <w:rsid w:val="0F1C21E4"/>
    <w:rsid w:val="0F1C6729"/>
    <w:rsid w:val="0F336917"/>
    <w:rsid w:val="0F461DB5"/>
    <w:rsid w:val="0F703EE2"/>
    <w:rsid w:val="0FA12618"/>
    <w:rsid w:val="0FC575B8"/>
    <w:rsid w:val="0FDB02C9"/>
    <w:rsid w:val="104A6ED5"/>
    <w:rsid w:val="106C2BD6"/>
    <w:rsid w:val="10712721"/>
    <w:rsid w:val="107B145F"/>
    <w:rsid w:val="107E363D"/>
    <w:rsid w:val="10AF7241"/>
    <w:rsid w:val="11381635"/>
    <w:rsid w:val="118D65F6"/>
    <w:rsid w:val="11BB2EF5"/>
    <w:rsid w:val="11BF1E4A"/>
    <w:rsid w:val="11BF6778"/>
    <w:rsid w:val="11C1274B"/>
    <w:rsid w:val="12310A38"/>
    <w:rsid w:val="125118AC"/>
    <w:rsid w:val="127F3542"/>
    <w:rsid w:val="128F20F6"/>
    <w:rsid w:val="13090520"/>
    <w:rsid w:val="139C640E"/>
    <w:rsid w:val="13A27389"/>
    <w:rsid w:val="142B678F"/>
    <w:rsid w:val="14571BC7"/>
    <w:rsid w:val="149D07FE"/>
    <w:rsid w:val="14B15FDE"/>
    <w:rsid w:val="1500686E"/>
    <w:rsid w:val="1513224D"/>
    <w:rsid w:val="15213520"/>
    <w:rsid w:val="1525096C"/>
    <w:rsid w:val="153A49BD"/>
    <w:rsid w:val="153B579F"/>
    <w:rsid w:val="153C71D4"/>
    <w:rsid w:val="15496AAA"/>
    <w:rsid w:val="15676127"/>
    <w:rsid w:val="1569205F"/>
    <w:rsid w:val="15780CB8"/>
    <w:rsid w:val="159833CE"/>
    <w:rsid w:val="15A352F6"/>
    <w:rsid w:val="16DD416A"/>
    <w:rsid w:val="171F3635"/>
    <w:rsid w:val="17255CE6"/>
    <w:rsid w:val="173C51C9"/>
    <w:rsid w:val="175B49A7"/>
    <w:rsid w:val="176E733C"/>
    <w:rsid w:val="179B29DC"/>
    <w:rsid w:val="17CA7BDB"/>
    <w:rsid w:val="17CC108E"/>
    <w:rsid w:val="18047C2E"/>
    <w:rsid w:val="186D1C85"/>
    <w:rsid w:val="188E6C86"/>
    <w:rsid w:val="18E737C0"/>
    <w:rsid w:val="18FD0E40"/>
    <w:rsid w:val="190E4B1A"/>
    <w:rsid w:val="197D62BB"/>
    <w:rsid w:val="19B20934"/>
    <w:rsid w:val="19C91C63"/>
    <w:rsid w:val="19DC7BE5"/>
    <w:rsid w:val="1A811D7A"/>
    <w:rsid w:val="1ABC0196"/>
    <w:rsid w:val="1AD9090C"/>
    <w:rsid w:val="1B201879"/>
    <w:rsid w:val="1B9105C6"/>
    <w:rsid w:val="1BDE6123"/>
    <w:rsid w:val="1BE0761A"/>
    <w:rsid w:val="1C507367"/>
    <w:rsid w:val="1C843FF7"/>
    <w:rsid w:val="1C934A6F"/>
    <w:rsid w:val="1CBD7772"/>
    <w:rsid w:val="1CE37442"/>
    <w:rsid w:val="1D0F6E01"/>
    <w:rsid w:val="1D141987"/>
    <w:rsid w:val="1D180796"/>
    <w:rsid w:val="1D2A13E9"/>
    <w:rsid w:val="1D375430"/>
    <w:rsid w:val="1D8F4F28"/>
    <w:rsid w:val="1DB637AB"/>
    <w:rsid w:val="1DF7646B"/>
    <w:rsid w:val="1DFD5807"/>
    <w:rsid w:val="1E193C30"/>
    <w:rsid w:val="1E6317E7"/>
    <w:rsid w:val="1E9337DF"/>
    <w:rsid w:val="1EB06D0C"/>
    <w:rsid w:val="1F077B3D"/>
    <w:rsid w:val="1F202B94"/>
    <w:rsid w:val="1F7048C3"/>
    <w:rsid w:val="1F734FB5"/>
    <w:rsid w:val="1F80543E"/>
    <w:rsid w:val="1F8860DF"/>
    <w:rsid w:val="1F8B2B20"/>
    <w:rsid w:val="1F975564"/>
    <w:rsid w:val="1FA056B5"/>
    <w:rsid w:val="1FAE0CCF"/>
    <w:rsid w:val="20131BBD"/>
    <w:rsid w:val="207132BE"/>
    <w:rsid w:val="20B231DF"/>
    <w:rsid w:val="20F95BAB"/>
    <w:rsid w:val="21155376"/>
    <w:rsid w:val="216B2D64"/>
    <w:rsid w:val="21877A06"/>
    <w:rsid w:val="21E17AF9"/>
    <w:rsid w:val="22244EBC"/>
    <w:rsid w:val="22251CAF"/>
    <w:rsid w:val="22870C93"/>
    <w:rsid w:val="22A034F2"/>
    <w:rsid w:val="22B45F7B"/>
    <w:rsid w:val="22FF2EFF"/>
    <w:rsid w:val="233A2056"/>
    <w:rsid w:val="233A46D8"/>
    <w:rsid w:val="234556C4"/>
    <w:rsid w:val="2368325C"/>
    <w:rsid w:val="2389150E"/>
    <w:rsid w:val="240060F8"/>
    <w:rsid w:val="24310553"/>
    <w:rsid w:val="2445401A"/>
    <w:rsid w:val="244C6C89"/>
    <w:rsid w:val="245C0B99"/>
    <w:rsid w:val="24933813"/>
    <w:rsid w:val="24AC1FE8"/>
    <w:rsid w:val="24D22A8D"/>
    <w:rsid w:val="24D55B5E"/>
    <w:rsid w:val="24FB4E2A"/>
    <w:rsid w:val="25040AA8"/>
    <w:rsid w:val="25795A66"/>
    <w:rsid w:val="258568A5"/>
    <w:rsid w:val="25A74D07"/>
    <w:rsid w:val="25B520A1"/>
    <w:rsid w:val="25D33E13"/>
    <w:rsid w:val="260F3416"/>
    <w:rsid w:val="2667349F"/>
    <w:rsid w:val="267D3F70"/>
    <w:rsid w:val="26BE36B0"/>
    <w:rsid w:val="26C121FC"/>
    <w:rsid w:val="2746530F"/>
    <w:rsid w:val="2767583A"/>
    <w:rsid w:val="27684255"/>
    <w:rsid w:val="27A446BE"/>
    <w:rsid w:val="27B81461"/>
    <w:rsid w:val="27BF1F4F"/>
    <w:rsid w:val="27EE34DF"/>
    <w:rsid w:val="27EE504C"/>
    <w:rsid w:val="281D16A7"/>
    <w:rsid w:val="28730EEA"/>
    <w:rsid w:val="289C7E9F"/>
    <w:rsid w:val="28AF0870"/>
    <w:rsid w:val="28BE61BF"/>
    <w:rsid w:val="28FB3EAA"/>
    <w:rsid w:val="2998221B"/>
    <w:rsid w:val="2A817379"/>
    <w:rsid w:val="2AD52550"/>
    <w:rsid w:val="2ADB2801"/>
    <w:rsid w:val="2ADE3694"/>
    <w:rsid w:val="2AEE39A7"/>
    <w:rsid w:val="2B2F59BD"/>
    <w:rsid w:val="2B3F429C"/>
    <w:rsid w:val="2B535204"/>
    <w:rsid w:val="2B921080"/>
    <w:rsid w:val="2B986AE9"/>
    <w:rsid w:val="2BCC6976"/>
    <w:rsid w:val="2C916CCC"/>
    <w:rsid w:val="2CC50EDD"/>
    <w:rsid w:val="2D5D463C"/>
    <w:rsid w:val="2DB5705B"/>
    <w:rsid w:val="2DD20398"/>
    <w:rsid w:val="2DE242DF"/>
    <w:rsid w:val="2E150B7A"/>
    <w:rsid w:val="2E466007"/>
    <w:rsid w:val="2E6014D3"/>
    <w:rsid w:val="2E8B7669"/>
    <w:rsid w:val="2EC65DEC"/>
    <w:rsid w:val="2EDC6202"/>
    <w:rsid w:val="2F39018F"/>
    <w:rsid w:val="2F450E65"/>
    <w:rsid w:val="2F505118"/>
    <w:rsid w:val="2F584DA4"/>
    <w:rsid w:val="2F742B46"/>
    <w:rsid w:val="2F87583D"/>
    <w:rsid w:val="2F880B8D"/>
    <w:rsid w:val="2F8A2D3C"/>
    <w:rsid w:val="2FA06E61"/>
    <w:rsid w:val="2FAB1919"/>
    <w:rsid w:val="2FB87135"/>
    <w:rsid w:val="2FC56611"/>
    <w:rsid w:val="2FCE654D"/>
    <w:rsid w:val="2FF1642F"/>
    <w:rsid w:val="30263A3A"/>
    <w:rsid w:val="304C3629"/>
    <w:rsid w:val="30622838"/>
    <w:rsid w:val="3077606F"/>
    <w:rsid w:val="30B72D44"/>
    <w:rsid w:val="30EA5BEE"/>
    <w:rsid w:val="313E4119"/>
    <w:rsid w:val="31555DD1"/>
    <w:rsid w:val="31B62D98"/>
    <w:rsid w:val="31C44ECB"/>
    <w:rsid w:val="31CB7491"/>
    <w:rsid w:val="31DE2662"/>
    <w:rsid w:val="32290EDD"/>
    <w:rsid w:val="322C2814"/>
    <w:rsid w:val="32304C5D"/>
    <w:rsid w:val="3275715F"/>
    <w:rsid w:val="32786123"/>
    <w:rsid w:val="32AC1922"/>
    <w:rsid w:val="32C14D2C"/>
    <w:rsid w:val="32C6161A"/>
    <w:rsid w:val="33317B37"/>
    <w:rsid w:val="3332048E"/>
    <w:rsid w:val="33320BC8"/>
    <w:rsid w:val="33436851"/>
    <w:rsid w:val="33486EF9"/>
    <w:rsid w:val="3377613C"/>
    <w:rsid w:val="33995A2A"/>
    <w:rsid w:val="339A4F04"/>
    <w:rsid w:val="33A31C93"/>
    <w:rsid w:val="33A62319"/>
    <w:rsid w:val="3468440C"/>
    <w:rsid w:val="347A0A00"/>
    <w:rsid w:val="34A61941"/>
    <w:rsid w:val="34E67ADE"/>
    <w:rsid w:val="352D6736"/>
    <w:rsid w:val="356B2032"/>
    <w:rsid w:val="357163EC"/>
    <w:rsid w:val="3577654B"/>
    <w:rsid w:val="35832F6A"/>
    <w:rsid w:val="35856099"/>
    <w:rsid w:val="358F389B"/>
    <w:rsid w:val="35907D88"/>
    <w:rsid w:val="35E27D4B"/>
    <w:rsid w:val="35F07CE6"/>
    <w:rsid w:val="3629707E"/>
    <w:rsid w:val="36670830"/>
    <w:rsid w:val="369566E8"/>
    <w:rsid w:val="369B21D7"/>
    <w:rsid w:val="36E42BE4"/>
    <w:rsid w:val="36E87EE0"/>
    <w:rsid w:val="370F57CC"/>
    <w:rsid w:val="37111054"/>
    <w:rsid w:val="371A25B1"/>
    <w:rsid w:val="37637F6D"/>
    <w:rsid w:val="380A698E"/>
    <w:rsid w:val="380D2561"/>
    <w:rsid w:val="3813381E"/>
    <w:rsid w:val="3815469D"/>
    <w:rsid w:val="383B70FC"/>
    <w:rsid w:val="38627EF7"/>
    <w:rsid w:val="38657CC6"/>
    <w:rsid w:val="387976E7"/>
    <w:rsid w:val="38933A0D"/>
    <w:rsid w:val="38BF0FB3"/>
    <w:rsid w:val="39252E55"/>
    <w:rsid w:val="399645A1"/>
    <w:rsid w:val="39964799"/>
    <w:rsid w:val="39F0672C"/>
    <w:rsid w:val="3A051973"/>
    <w:rsid w:val="3A162E44"/>
    <w:rsid w:val="3A6E2ED7"/>
    <w:rsid w:val="3A917A3F"/>
    <w:rsid w:val="3ACC79EF"/>
    <w:rsid w:val="3AD11E64"/>
    <w:rsid w:val="3ADE0E07"/>
    <w:rsid w:val="3AFB0E11"/>
    <w:rsid w:val="3B304938"/>
    <w:rsid w:val="3B7573B4"/>
    <w:rsid w:val="3B7D129F"/>
    <w:rsid w:val="3B867853"/>
    <w:rsid w:val="3B92126A"/>
    <w:rsid w:val="3BC264EB"/>
    <w:rsid w:val="3BF90F13"/>
    <w:rsid w:val="3C0A3521"/>
    <w:rsid w:val="3C395494"/>
    <w:rsid w:val="3C7C6F77"/>
    <w:rsid w:val="3D1B445B"/>
    <w:rsid w:val="3D20720B"/>
    <w:rsid w:val="3D413213"/>
    <w:rsid w:val="3D6E3C71"/>
    <w:rsid w:val="3DA57220"/>
    <w:rsid w:val="3DBE443F"/>
    <w:rsid w:val="3DED2E85"/>
    <w:rsid w:val="3DF23FA9"/>
    <w:rsid w:val="3E1D54C7"/>
    <w:rsid w:val="3E2076D5"/>
    <w:rsid w:val="3E6148A1"/>
    <w:rsid w:val="3EB73BF5"/>
    <w:rsid w:val="3ECD70D9"/>
    <w:rsid w:val="3ED8720F"/>
    <w:rsid w:val="3F1309E7"/>
    <w:rsid w:val="3F24361B"/>
    <w:rsid w:val="3F4303B4"/>
    <w:rsid w:val="3F4662E7"/>
    <w:rsid w:val="3F546EE3"/>
    <w:rsid w:val="3FBB4538"/>
    <w:rsid w:val="3FD66F6B"/>
    <w:rsid w:val="40BC3180"/>
    <w:rsid w:val="40BF317B"/>
    <w:rsid w:val="40C45CBF"/>
    <w:rsid w:val="40FE463F"/>
    <w:rsid w:val="411B3722"/>
    <w:rsid w:val="41852F83"/>
    <w:rsid w:val="41900C86"/>
    <w:rsid w:val="42023899"/>
    <w:rsid w:val="42406CFB"/>
    <w:rsid w:val="42577326"/>
    <w:rsid w:val="42592A5F"/>
    <w:rsid w:val="428E4DA8"/>
    <w:rsid w:val="42C82085"/>
    <w:rsid w:val="43066900"/>
    <w:rsid w:val="4314383E"/>
    <w:rsid w:val="43571092"/>
    <w:rsid w:val="435918A5"/>
    <w:rsid w:val="43B819ED"/>
    <w:rsid w:val="43C2760A"/>
    <w:rsid w:val="43C36FC6"/>
    <w:rsid w:val="43C90BD0"/>
    <w:rsid w:val="44C23E81"/>
    <w:rsid w:val="44F75F21"/>
    <w:rsid w:val="45106097"/>
    <w:rsid w:val="4588336C"/>
    <w:rsid w:val="45DF5A95"/>
    <w:rsid w:val="45FE5830"/>
    <w:rsid w:val="46133B05"/>
    <w:rsid w:val="4617083E"/>
    <w:rsid w:val="46320D18"/>
    <w:rsid w:val="46661844"/>
    <w:rsid w:val="46EB5FE5"/>
    <w:rsid w:val="46EE5AF7"/>
    <w:rsid w:val="470B62A1"/>
    <w:rsid w:val="472072C8"/>
    <w:rsid w:val="47450CE9"/>
    <w:rsid w:val="47A47AF1"/>
    <w:rsid w:val="47AF469F"/>
    <w:rsid w:val="47C044A4"/>
    <w:rsid w:val="47FC5186"/>
    <w:rsid w:val="49021C38"/>
    <w:rsid w:val="492935F1"/>
    <w:rsid w:val="498E2592"/>
    <w:rsid w:val="49B64C7A"/>
    <w:rsid w:val="49C35B1E"/>
    <w:rsid w:val="49FA4F9A"/>
    <w:rsid w:val="4A3C323A"/>
    <w:rsid w:val="4A423193"/>
    <w:rsid w:val="4A6B7CD7"/>
    <w:rsid w:val="4A8939EE"/>
    <w:rsid w:val="4AEB7302"/>
    <w:rsid w:val="4AFF52D7"/>
    <w:rsid w:val="4B036702"/>
    <w:rsid w:val="4B28746E"/>
    <w:rsid w:val="4B377E4A"/>
    <w:rsid w:val="4BF130BE"/>
    <w:rsid w:val="4BFE3C50"/>
    <w:rsid w:val="4BFF3ED4"/>
    <w:rsid w:val="4C0411F6"/>
    <w:rsid w:val="4C1A7433"/>
    <w:rsid w:val="4C444229"/>
    <w:rsid w:val="4C913620"/>
    <w:rsid w:val="4D0A0826"/>
    <w:rsid w:val="4D295F97"/>
    <w:rsid w:val="4D774297"/>
    <w:rsid w:val="4D79629A"/>
    <w:rsid w:val="4D7A7247"/>
    <w:rsid w:val="4D7F2119"/>
    <w:rsid w:val="4E1D2CE1"/>
    <w:rsid w:val="4E4A5711"/>
    <w:rsid w:val="4E4E63C3"/>
    <w:rsid w:val="4E531FC7"/>
    <w:rsid w:val="4E5B2EA5"/>
    <w:rsid w:val="4E6D24AE"/>
    <w:rsid w:val="4EA92457"/>
    <w:rsid w:val="4EDB4198"/>
    <w:rsid w:val="4EF26EA8"/>
    <w:rsid w:val="4F25100B"/>
    <w:rsid w:val="4F84367C"/>
    <w:rsid w:val="4F946094"/>
    <w:rsid w:val="4F982F35"/>
    <w:rsid w:val="4F995A71"/>
    <w:rsid w:val="4FBD0533"/>
    <w:rsid w:val="4FC81115"/>
    <w:rsid w:val="501F5574"/>
    <w:rsid w:val="50285ED1"/>
    <w:rsid w:val="504028EE"/>
    <w:rsid w:val="505205FC"/>
    <w:rsid w:val="50F416C4"/>
    <w:rsid w:val="51156CEF"/>
    <w:rsid w:val="514E1490"/>
    <w:rsid w:val="51D53AB9"/>
    <w:rsid w:val="522C79C2"/>
    <w:rsid w:val="5247411B"/>
    <w:rsid w:val="525B3752"/>
    <w:rsid w:val="525D124C"/>
    <w:rsid w:val="52725062"/>
    <w:rsid w:val="531A02AE"/>
    <w:rsid w:val="53545DC9"/>
    <w:rsid w:val="535A2A1D"/>
    <w:rsid w:val="53B72C36"/>
    <w:rsid w:val="53E339A1"/>
    <w:rsid w:val="54197E9F"/>
    <w:rsid w:val="542A4F4D"/>
    <w:rsid w:val="54305D8A"/>
    <w:rsid w:val="54850317"/>
    <w:rsid w:val="54AD4035"/>
    <w:rsid w:val="54CD10A9"/>
    <w:rsid w:val="54DC77CA"/>
    <w:rsid w:val="55274BDD"/>
    <w:rsid w:val="55320E5A"/>
    <w:rsid w:val="55C03594"/>
    <w:rsid w:val="561468B2"/>
    <w:rsid w:val="56690173"/>
    <w:rsid w:val="5679772F"/>
    <w:rsid w:val="56B074DB"/>
    <w:rsid w:val="56EC1BAB"/>
    <w:rsid w:val="56FA3C37"/>
    <w:rsid w:val="57187E9E"/>
    <w:rsid w:val="577233CF"/>
    <w:rsid w:val="57BE2AEB"/>
    <w:rsid w:val="58435D91"/>
    <w:rsid w:val="58696C96"/>
    <w:rsid w:val="586B4B5D"/>
    <w:rsid w:val="58C10DF6"/>
    <w:rsid w:val="58D43502"/>
    <w:rsid w:val="590E3D95"/>
    <w:rsid w:val="59E62982"/>
    <w:rsid w:val="5A0C3DB1"/>
    <w:rsid w:val="5A315AE4"/>
    <w:rsid w:val="5A7C5E87"/>
    <w:rsid w:val="5AA9407B"/>
    <w:rsid w:val="5AB44E4F"/>
    <w:rsid w:val="5B015C0B"/>
    <w:rsid w:val="5B0B5854"/>
    <w:rsid w:val="5B8713B4"/>
    <w:rsid w:val="5BF378A1"/>
    <w:rsid w:val="5C0709B4"/>
    <w:rsid w:val="5C170E24"/>
    <w:rsid w:val="5C3A130D"/>
    <w:rsid w:val="5C621815"/>
    <w:rsid w:val="5CB22DB3"/>
    <w:rsid w:val="5CDF0E30"/>
    <w:rsid w:val="5D0873D0"/>
    <w:rsid w:val="5D13376F"/>
    <w:rsid w:val="5D400E41"/>
    <w:rsid w:val="5D8776F3"/>
    <w:rsid w:val="5D9C6B32"/>
    <w:rsid w:val="5DE16FE7"/>
    <w:rsid w:val="5E1049ED"/>
    <w:rsid w:val="5E4C3E52"/>
    <w:rsid w:val="5E5A347F"/>
    <w:rsid w:val="5EB74320"/>
    <w:rsid w:val="5ED01153"/>
    <w:rsid w:val="5F18379F"/>
    <w:rsid w:val="5F294644"/>
    <w:rsid w:val="5F8C36AF"/>
    <w:rsid w:val="5F9A6D88"/>
    <w:rsid w:val="5FDE47B7"/>
    <w:rsid w:val="5FE30EF3"/>
    <w:rsid w:val="5FF07A81"/>
    <w:rsid w:val="60053F9A"/>
    <w:rsid w:val="602B5FF3"/>
    <w:rsid w:val="603F00BE"/>
    <w:rsid w:val="604C01F8"/>
    <w:rsid w:val="609A5A90"/>
    <w:rsid w:val="60AE4076"/>
    <w:rsid w:val="61425DE1"/>
    <w:rsid w:val="618B32CF"/>
    <w:rsid w:val="61F34388"/>
    <w:rsid w:val="621C5629"/>
    <w:rsid w:val="625F5737"/>
    <w:rsid w:val="62790D6D"/>
    <w:rsid w:val="628C2866"/>
    <w:rsid w:val="62994E6D"/>
    <w:rsid w:val="62ED6299"/>
    <w:rsid w:val="63807A40"/>
    <w:rsid w:val="63CD665A"/>
    <w:rsid w:val="63CF7FBB"/>
    <w:rsid w:val="64C50237"/>
    <w:rsid w:val="64C61DF6"/>
    <w:rsid w:val="64D32243"/>
    <w:rsid w:val="64FB4100"/>
    <w:rsid w:val="654C00E8"/>
    <w:rsid w:val="6578558E"/>
    <w:rsid w:val="65CA1498"/>
    <w:rsid w:val="66105780"/>
    <w:rsid w:val="662155EB"/>
    <w:rsid w:val="663263E6"/>
    <w:rsid w:val="66355999"/>
    <w:rsid w:val="66B867AD"/>
    <w:rsid w:val="66E718C6"/>
    <w:rsid w:val="66EC46FE"/>
    <w:rsid w:val="67277EB4"/>
    <w:rsid w:val="67326F7C"/>
    <w:rsid w:val="67714B78"/>
    <w:rsid w:val="67854048"/>
    <w:rsid w:val="678D2DB0"/>
    <w:rsid w:val="67920722"/>
    <w:rsid w:val="67A24AB9"/>
    <w:rsid w:val="67B727F6"/>
    <w:rsid w:val="67D7529F"/>
    <w:rsid w:val="686F7DED"/>
    <w:rsid w:val="68841D93"/>
    <w:rsid w:val="68843C1F"/>
    <w:rsid w:val="68A955F8"/>
    <w:rsid w:val="68D4677B"/>
    <w:rsid w:val="69052774"/>
    <w:rsid w:val="694A6BDF"/>
    <w:rsid w:val="69756725"/>
    <w:rsid w:val="69F55507"/>
    <w:rsid w:val="69FC201D"/>
    <w:rsid w:val="6A3F5F1E"/>
    <w:rsid w:val="6A800DB2"/>
    <w:rsid w:val="6A883153"/>
    <w:rsid w:val="6B0C1687"/>
    <w:rsid w:val="6B877237"/>
    <w:rsid w:val="6BB34C7E"/>
    <w:rsid w:val="6BBD2127"/>
    <w:rsid w:val="6C0F192A"/>
    <w:rsid w:val="6C6126E3"/>
    <w:rsid w:val="6C6A657A"/>
    <w:rsid w:val="6CD22958"/>
    <w:rsid w:val="6D054CC3"/>
    <w:rsid w:val="6D066277"/>
    <w:rsid w:val="6D2A5A21"/>
    <w:rsid w:val="6D3409A8"/>
    <w:rsid w:val="6D6B5013"/>
    <w:rsid w:val="6D74010E"/>
    <w:rsid w:val="6DB40D37"/>
    <w:rsid w:val="6DBD0B6F"/>
    <w:rsid w:val="6E017608"/>
    <w:rsid w:val="6E295EA0"/>
    <w:rsid w:val="6E3B67FE"/>
    <w:rsid w:val="6E6E76FE"/>
    <w:rsid w:val="6E770B41"/>
    <w:rsid w:val="6EE3192E"/>
    <w:rsid w:val="6EE73FFA"/>
    <w:rsid w:val="6EEB71E8"/>
    <w:rsid w:val="6F041DF9"/>
    <w:rsid w:val="6F0B15EC"/>
    <w:rsid w:val="6F693CAD"/>
    <w:rsid w:val="6F79557A"/>
    <w:rsid w:val="6F7B0E08"/>
    <w:rsid w:val="6FBE6247"/>
    <w:rsid w:val="6FFB43DD"/>
    <w:rsid w:val="701F21CC"/>
    <w:rsid w:val="704B696F"/>
    <w:rsid w:val="70535962"/>
    <w:rsid w:val="7066086E"/>
    <w:rsid w:val="70B328ED"/>
    <w:rsid w:val="70DB032C"/>
    <w:rsid w:val="711901FC"/>
    <w:rsid w:val="711B34B1"/>
    <w:rsid w:val="711D106D"/>
    <w:rsid w:val="7120165F"/>
    <w:rsid w:val="71846949"/>
    <w:rsid w:val="719B67F0"/>
    <w:rsid w:val="71A96849"/>
    <w:rsid w:val="71AD4F8A"/>
    <w:rsid w:val="71B51364"/>
    <w:rsid w:val="71C0065F"/>
    <w:rsid w:val="7229362D"/>
    <w:rsid w:val="727534DD"/>
    <w:rsid w:val="72870C13"/>
    <w:rsid w:val="72C352ED"/>
    <w:rsid w:val="72CB0CF2"/>
    <w:rsid w:val="73206E20"/>
    <w:rsid w:val="73351AD4"/>
    <w:rsid w:val="73403BC2"/>
    <w:rsid w:val="735030BF"/>
    <w:rsid w:val="736F0452"/>
    <w:rsid w:val="73737095"/>
    <w:rsid w:val="73A459A5"/>
    <w:rsid w:val="741B6C7D"/>
    <w:rsid w:val="742C7A42"/>
    <w:rsid w:val="74542672"/>
    <w:rsid w:val="745F3F43"/>
    <w:rsid w:val="746330E5"/>
    <w:rsid w:val="748047F3"/>
    <w:rsid w:val="748F5FF3"/>
    <w:rsid w:val="74B936E2"/>
    <w:rsid w:val="74F7235E"/>
    <w:rsid w:val="752E294E"/>
    <w:rsid w:val="757772E3"/>
    <w:rsid w:val="758E0C51"/>
    <w:rsid w:val="7596135F"/>
    <w:rsid w:val="75990ED1"/>
    <w:rsid w:val="75E91D46"/>
    <w:rsid w:val="76203F61"/>
    <w:rsid w:val="76243AC1"/>
    <w:rsid w:val="7625437D"/>
    <w:rsid w:val="763F281F"/>
    <w:rsid w:val="766E0787"/>
    <w:rsid w:val="769E072F"/>
    <w:rsid w:val="76A00EEB"/>
    <w:rsid w:val="76EB5CF4"/>
    <w:rsid w:val="76F25125"/>
    <w:rsid w:val="770A4C6F"/>
    <w:rsid w:val="77176682"/>
    <w:rsid w:val="7723685A"/>
    <w:rsid w:val="7741788C"/>
    <w:rsid w:val="774879C5"/>
    <w:rsid w:val="774B5ED1"/>
    <w:rsid w:val="77A3015F"/>
    <w:rsid w:val="77DA19CC"/>
    <w:rsid w:val="77E824DD"/>
    <w:rsid w:val="77EE669B"/>
    <w:rsid w:val="781E044B"/>
    <w:rsid w:val="78854239"/>
    <w:rsid w:val="788961F8"/>
    <w:rsid w:val="788D2B8A"/>
    <w:rsid w:val="78974EBB"/>
    <w:rsid w:val="78A42D35"/>
    <w:rsid w:val="78CF4E18"/>
    <w:rsid w:val="78FE49B2"/>
    <w:rsid w:val="797313B0"/>
    <w:rsid w:val="79B27663"/>
    <w:rsid w:val="79C96838"/>
    <w:rsid w:val="79DB3EFA"/>
    <w:rsid w:val="79DD07D3"/>
    <w:rsid w:val="7A1719A9"/>
    <w:rsid w:val="7A2514BA"/>
    <w:rsid w:val="7A5270FB"/>
    <w:rsid w:val="7A6544BD"/>
    <w:rsid w:val="7AE52F07"/>
    <w:rsid w:val="7AFD0044"/>
    <w:rsid w:val="7AFF6C23"/>
    <w:rsid w:val="7B000991"/>
    <w:rsid w:val="7B0C11C4"/>
    <w:rsid w:val="7B415F72"/>
    <w:rsid w:val="7B4C395E"/>
    <w:rsid w:val="7B7764D8"/>
    <w:rsid w:val="7BB81227"/>
    <w:rsid w:val="7C071B9B"/>
    <w:rsid w:val="7C1E4AA0"/>
    <w:rsid w:val="7C3C25A5"/>
    <w:rsid w:val="7C4D3EF5"/>
    <w:rsid w:val="7CC5389B"/>
    <w:rsid w:val="7D216290"/>
    <w:rsid w:val="7D2F302A"/>
    <w:rsid w:val="7D6426D4"/>
    <w:rsid w:val="7D9C6BAC"/>
    <w:rsid w:val="7DA16B3A"/>
    <w:rsid w:val="7DB10108"/>
    <w:rsid w:val="7DC9447F"/>
    <w:rsid w:val="7DE1031C"/>
    <w:rsid w:val="7DFE08F4"/>
    <w:rsid w:val="7E087CEA"/>
    <w:rsid w:val="7E0A094B"/>
    <w:rsid w:val="7E0B22E6"/>
    <w:rsid w:val="7E1A0FAB"/>
    <w:rsid w:val="7EBF3839"/>
    <w:rsid w:val="7EFB3A6E"/>
    <w:rsid w:val="7F110F06"/>
    <w:rsid w:val="7F2C2EEC"/>
    <w:rsid w:val="7F3E4BF2"/>
    <w:rsid w:val="7F513D60"/>
    <w:rsid w:val="7F8F56E9"/>
    <w:rsid w:val="7F9154D5"/>
    <w:rsid w:val="7F9B0EE5"/>
    <w:rsid w:val="7FD27BA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Theme="minorEastAsia" w:cstheme="minorBidi"/>
      <w:kern w:val="2"/>
      <w:sz w:val="24"/>
      <w:szCs w:val="21"/>
      <w:lang w:val="en-US" w:eastAsia="zh-CN" w:bidi="ar-SA"/>
    </w:rPr>
  </w:style>
  <w:style w:type="paragraph" w:styleId="2">
    <w:name w:val="heading 1"/>
    <w:basedOn w:val="3"/>
    <w:next w:val="1"/>
    <w:link w:val="33"/>
    <w:qFormat/>
    <w:uiPriority w:val="9"/>
    <w:pPr>
      <w:outlineLvl w:val="0"/>
    </w:pPr>
    <w:rPr>
      <w:sz w:val="32"/>
    </w:rPr>
  </w:style>
  <w:style w:type="paragraph" w:styleId="4">
    <w:name w:val="heading 2"/>
    <w:basedOn w:val="2"/>
    <w:next w:val="1"/>
    <w:link w:val="34"/>
    <w:qFormat/>
    <w:uiPriority w:val="9"/>
    <w:pPr>
      <w:outlineLvl w:val="1"/>
    </w:pPr>
    <w:rPr>
      <w:sz w:val="30"/>
    </w:rPr>
  </w:style>
  <w:style w:type="paragraph" w:styleId="3">
    <w:name w:val="heading 3"/>
    <w:basedOn w:val="1"/>
    <w:next w:val="1"/>
    <w:link w:val="32"/>
    <w:unhideWhenUsed/>
    <w:qFormat/>
    <w:uiPriority w:val="9"/>
    <w:pPr>
      <w:keepNext/>
      <w:keepLines/>
      <w:spacing w:before="260" w:after="260" w:line="240" w:lineRule="auto"/>
      <w:ind w:firstLine="0" w:firstLineChars="0"/>
      <w:outlineLvl w:val="2"/>
    </w:pPr>
    <w:rPr>
      <w:rFonts w:eastAsia="黑体"/>
      <w:bCs/>
      <w:sz w:val="28"/>
      <w:szCs w:val="32"/>
    </w:rPr>
  </w:style>
  <w:style w:type="paragraph" w:styleId="5">
    <w:name w:val="heading 4"/>
    <w:basedOn w:val="1"/>
    <w:next w:val="1"/>
    <w:link w:val="35"/>
    <w:unhideWhenUsed/>
    <w:qFormat/>
    <w:uiPriority w:val="9"/>
    <w:pPr>
      <w:ind w:firstLine="0" w:firstLineChars="0"/>
      <w:outlineLvl w:val="3"/>
    </w:pPr>
    <w:rPr>
      <w:rFonts w:eastAsia="黑体" w:cs="Times New Roman"/>
      <w:szCs w:val="28"/>
    </w:rPr>
  </w:style>
  <w:style w:type="paragraph" w:styleId="6">
    <w:name w:val="heading 5"/>
    <w:basedOn w:val="1"/>
    <w:next w:val="1"/>
    <w:link w:val="36"/>
    <w:unhideWhenUsed/>
    <w:qFormat/>
    <w:uiPriority w:val="9"/>
    <w:pPr>
      <w:keepNext/>
      <w:keepLines/>
      <w:spacing w:before="280" w:after="290" w:line="376" w:lineRule="auto"/>
      <w:outlineLvl w:val="4"/>
    </w:pPr>
    <w:rPr>
      <w:b/>
      <w:bCs/>
      <w:sz w:val="28"/>
      <w:szCs w:val="28"/>
    </w:rPr>
  </w:style>
  <w:style w:type="character" w:default="1" w:styleId="27">
    <w:name w:val="Default Paragraph Font"/>
    <w:unhideWhenUsed/>
    <w:qFormat/>
    <w:uiPriority w:val="1"/>
  </w:style>
  <w:style w:type="table" w:default="1" w:styleId="25">
    <w:name w:val="Normal Table"/>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spacing w:line="240" w:lineRule="auto"/>
      <w:ind w:left="2520" w:leftChars="1200" w:firstLine="0" w:firstLineChars="0"/>
    </w:pPr>
    <w:rPr>
      <w:rFonts w:asciiTheme="minorHAnsi" w:hAnsiTheme="minorHAnsi"/>
      <w:sz w:val="21"/>
      <w:szCs w:val="22"/>
    </w:rPr>
  </w:style>
  <w:style w:type="paragraph" w:styleId="8">
    <w:name w:val="Document Map"/>
    <w:basedOn w:val="1"/>
    <w:link w:val="37"/>
    <w:unhideWhenUsed/>
    <w:qFormat/>
    <w:uiPriority w:val="99"/>
    <w:rPr>
      <w:rFonts w:ascii="宋体" w:eastAsia="宋体"/>
      <w:sz w:val="18"/>
      <w:szCs w:val="18"/>
    </w:rPr>
  </w:style>
  <w:style w:type="paragraph" w:styleId="9">
    <w:name w:val="annotation text"/>
    <w:basedOn w:val="1"/>
    <w:link w:val="38"/>
    <w:unhideWhenUsed/>
    <w:qFormat/>
    <w:uiPriority w:val="99"/>
    <w:pPr>
      <w:jc w:val="left"/>
    </w:pPr>
  </w:style>
  <w:style w:type="paragraph" w:styleId="10">
    <w:name w:val="toc 5"/>
    <w:basedOn w:val="1"/>
    <w:next w:val="1"/>
    <w:unhideWhenUsed/>
    <w:qFormat/>
    <w:uiPriority w:val="39"/>
    <w:pPr>
      <w:spacing w:line="240" w:lineRule="auto"/>
      <w:ind w:left="1680" w:leftChars="800" w:firstLine="0" w:firstLineChars="0"/>
    </w:pPr>
    <w:rPr>
      <w:rFonts w:asciiTheme="minorHAnsi" w:hAnsiTheme="minorHAnsi"/>
      <w:sz w:val="21"/>
      <w:szCs w:val="22"/>
    </w:rPr>
  </w:style>
  <w:style w:type="paragraph" w:styleId="11">
    <w:name w:val="toc 3"/>
    <w:basedOn w:val="1"/>
    <w:next w:val="1"/>
    <w:unhideWhenUsed/>
    <w:qFormat/>
    <w:uiPriority w:val="39"/>
    <w:pPr>
      <w:ind w:left="840" w:leftChars="400"/>
    </w:pPr>
  </w:style>
  <w:style w:type="paragraph" w:styleId="12">
    <w:name w:val="toc 8"/>
    <w:basedOn w:val="1"/>
    <w:next w:val="1"/>
    <w:unhideWhenUsed/>
    <w:qFormat/>
    <w:uiPriority w:val="39"/>
    <w:pPr>
      <w:spacing w:line="240" w:lineRule="auto"/>
      <w:ind w:left="2940" w:leftChars="1400" w:firstLine="0" w:firstLineChars="0"/>
    </w:pPr>
    <w:rPr>
      <w:rFonts w:asciiTheme="minorHAnsi" w:hAnsiTheme="minorHAnsi"/>
      <w:sz w:val="21"/>
      <w:szCs w:val="22"/>
    </w:rPr>
  </w:style>
  <w:style w:type="paragraph" w:styleId="13">
    <w:name w:val="Balloon Text"/>
    <w:basedOn w:val="1"/>
    <w:link w:val="39"/>
    <w:unhideWhenUsed/>
    <w:qFormat/>
    <w:uiPriority w:val="99"/>
    <w:pPr>
      <w:spacing w:line="240" w:lineRule="auto"/>
    </w:pPr>
    <w:rPr>
      <w:sz w:val="18"/>
      <w:szCs w:val="18"/>
    </w:rPr>
  </w:style>
  <w:style w:type="paragraph" w:styleId="14">
    <w:name w:val="footer"/>
    <w:basedOn w:val="1"/>
    <w:link w:val="40"/>
    <w:unhideWhenUsed/>
    <w:qFormat/>
    <w:uiPriority w:val="99"/>
    <w:pPr>
      <w:tabs>
        <w:tab w:val="center" w:pos="4153"/>
        <w:tab w:val="right" w:pos="8306"/>
      </w:tabs>
      <w:snapToGrid w:val="0"/>
      <w:jc w:val="left"/>
    </w:pPr>
    <w:rPr>
      <w:sz w:val="18"/>
      <w:szCs w:val="18"/>
    </w:rPr>
  </w:style>
  <w:style w:type="paragraph" w:styleId="15">
    <w:name w:val="header"/>
    <w:basedOn w:val="1"/>
    <w:link w:val="41"/>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tabs>
        <w:tab w:val="right" w:leader="dot" w:pos="8296"/>
      </w:tabs>
      <w:ind w:firstLine="482"/>
    </w:pPr>
    <w:rPr>
      <w:rFonts w:cs="Times New Roman"/>
      <w:b/>
    </w:rPr>
  </w:style>
  <w:style w:type="paragraph" w:styleId="17">
    <w:name w:val="toc 4"/>
    <w:basedOn w:val="1"/>
    <w:next w:val="1"/>
    <w:unhideWhenUsed/>
    <w:qFormat/>
    <w:uiPriority w:val="39"/>
    <w:pPr>
      <w:spacing w:line="240" w:lineRule="auto"/>
      <w:ind w:left="1260" w:leftChars="600" w:firstLine="0" w:firstLineChars="0"/>
    </w:pPr>
    <w:rPr>
      <w:rFonts w:asciiTheme="minorHAnsi" w:hAnsiTheme="minorHAnsi"/>
      <w:sz w:val="21"/>
      <w:szCs w:val="22"/>
    </w:rPr>
  </w:style>
  <w:style w:type="paragraph" w:styleId="18">
    <w:name w:val="footnote text"/>
    <w:basedOn w:val="1"/>
    <w:link w:val="42"/>
    <w:unhideWhenUsed/>
    <w:qFormat/>
    <w:uiPriority w:val="99"/>
    <w:pPr>
      <w:snapToGrid w:val="0"/>
      <w:jc w:val="left"/>
    </w:pPr>
    <w:rPr>
      <w:sz w:val="18"/>
      <w:szCs w:val="18"/>
    </w:rPr>
  </w:style>
  <w:style w:type="paragraph" w:styleId="19">
    <w:name w:val="toc 6"/>
    <w:basedOn w:val="1"/>
    <w:next w:val="1"/>
    <w:unhideWhenUsed/>
    <w:qFormat/>
    <w:uiPriority w:val="39"/>
    <w:pPr>
      <w:spacing w:line="240" w:lineRule="auto"/>
      <w:ind w:left="2100" w:leftChars="1000" w:firstLine="0" w:firstLineChars="0"/>
    </w:pPr>
    <w:rPr>
      <w:rFonts w:asciiTheme="minorHAnsi" w:hAnsiTheme="minorHAnsi"/>
      <w:sz w:val="21"/>
      <w:szCs w:val="22"/>
    </w:rPr>
  </w:style>
  <w:style w:type="paragraph" w:styleId="20">
    <w:name w:val="toc 2"/>
    <w:basedOn w:val="1"/>
    <w:next w:val="1"/>
    <w:unhideWhenUsed/>
    <w:qFormat/>
    <w:uiPriority w:val="39"/>
    <w:pPr>
      <w:ind w:left="420" w:leftChars="200"/>
    </w:pPr>
  </w:style>
  <w:style w:type="paragraph" w:styleId="21">
    <w:name w:val="toc 9"/>
    <w:basedOn w:val="1"/>
    <w:next w:val="1"/>
    <w:unhideWhenUsed/>
    <w:qFormat/>
    <w:uiPriority w:val="39"/>
    <w:pPr>
      <w:spacing w:line="240" w:lineRule="auto"/>
      <w:ind w:left="3360" w:leftChars="1600" w:firstLine="0" w:firstLineChars="0"/>
    </w:pPr>
    <w:rPr>
      <w:rFonts w:asciiTheme="minorHAnsi" w:hAnsiTheme="minorHAnsi"/>
      <w:sz w:val="21"/>
      <w:szCs w:val="22"/>
    </w:rPr>
  </w:style>
  <w:style w:type="paragraph" w:styleId="22">
    <w:name w:val="Normal (Web)"/>
    <w:basedOn w:val="1"/>
    <w:unhideWhenUsed/>
    <w:qFormat/>
    <w:uiPriority w:val="99"/>
    <w:pPr>
      <w:widowControl/>
      <w:spacing w:before="100" w:beforeAutospacing="1" w:after="100" w:afterAutospacing="1" w:line="240" w:lineRule="auto"/>
      <w:ind w:firstLine="0" w:firstLineChars="0"/>
      <w:jc w:val="left"/>
    </w:pPr>
    <w:rPr>
      <w:rFonts w:ascii="宋体" w:hAnsi="宋体" w:eastAsia="宋体" w:cs="宋体"/>
      <w:kern w:val="0"/>
      <w:szCs w:val="24"/>
    </w:rPr>
  </w:style>
  <w:style w:type="paragraph" w:styleId="23">
    <w:name w:val="Title"/>
    <w:basedOn w:val="1"/>
    <w:next w:val="1"/>
    <w:link w:val="43"/>
    <w:qFormat/>
    <w:uiPriority w:val="10"/>
    <w:pPr>
      <w:spacing w:before="240" w:after="60"/>
      <w:jc w:val="center"/>
      <w:outlineLvl w:val="0"/>
    </w:pPr>
    <w:rPr>
      <w:rFonts w:eastAsia="宋体" w:asciiTheme="majorHAnsi" w:hAnsiTheme="majorHAnsi" w:cstheme="majorBidi"/>
      <w:b/>
      <w:bCs/>
      <w:sz w:val="32"/>
      <w:szCs w:val="32"/>
    </w:rPr>
  </w:style>
  <w:style w:type="paragraph" w:styleId="24">
    <w:name w:val="annotation subject"/>
    <w:basedOn w:val="9"/>
    <w:next w:val="9"/>
    <w:link w:val="44"/>
    <w:unhideWhenUsed/>
    <w:qFormat/>
    <w:uiPriority w:val="99"/>
    <w:pPr>
      <w:spacing w:line="240" w:lineRule="auto"/>
      <w:ind w:firstLine="0" w:firstLineChars="0"/>
    </w:pPr>
    <w:rPr>
      <w:rFonts w:asciiTheme="minorHAnsi" w:hAnsiTheme="minorHAnsi"/>
      <w:b/>
      <w:bCs/>
      <w:sz w:val="21"/>
      <w:szCs w:val="22"/>
    </w:rPr>
  </w:style>
  <w:style w:type="table" w:styleId="26">
    <w:name w:val="Table Grid"/>
    <w:basedOn w:val="25"/>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8">
    <w:name w:val="FollowedHyperlink"/>
    <w:basedOn w:val="27"/>
    <w:unhideWhenUsed/>
    <w:qFormat/>
    <w:uiPriority w:val="99"/>
    <w:rPr>
      <w:color w:val="800080"/>
      <w:u w:val="single"/>
    </w:rPr>
  </w:style>
  <w:style w:type="character" w:styleId="29">
    <w:name w:val="Hyperlink"/>
    <w:basedOn w:val="27"/>
    <w:unhideWhenUsed/>
    <w:qFormat/>
    <w:uiPriority w:val="99"/>
    <w:rPr>
      <w:color w:val="0000FF"/>
      <w:u w:val="single"/>
    </w:rPr>
  </w:style>
  <w:style w:type="character" w:styleId="30">
    <w:name w:val="annotation reference"/>
    <w:basedOn w:val="27"/>
    <w:unhideWhenUsed/>
    <w:qFormat/>
    <w:uiPriority w:val="99"/>
    <w:rPr>
      <w:sz w:val="21"/>
      <w:szCs w:val="21"/>
    </w:rPr>
  </w:style>
  <w:style w:type="character" w:styleId="31">
    <w:name w:val="footnote reference"/>
    <w:basedOn w:val="27"/>
    <w:unhideWhenUsed/>
    <w:qFormat/>
    <w:uiPriority w:val="99"/>
    <w:rPr>
      <w:vertAlign w:val="superscript"/>
    </w:rPr>
  </w:style>
  <w:style w:type="character" w:customStyle="1" w:styleId="32">
    <w:name w:val="标题 3 字符"/>
    <w:basedOn w:val="27"/>
    <w:link w:val="3"/>
    <w:qFormat/>
    <w:uiPriority w:val="9"/>
    <w:rPr>
      <w:rFonts w:ascii="Times New Roman" w:hAnsi="Times New Roman" w:eastAsia="黑体"/>
      <w:bCs/>
      <w:sz w:val="28"/>
      <w:szCs w:val="32"/>
    </w:rPr>
  </w:style>
  <w:style w:type="character" w:customStyle="1" w:styleId="33">
    <w:name w:val="标题 1 字符"/>
    <w:basedOn w:val="27"/>
    <w:link w:val="2"/>
    <w:qFormat/>
    <w:uiPriority w:val="9"/>
    <w:rPr>
      <w:rFonts w:ascii="Times New Roman" w:hAnsi="Times New Roman" w:eastAsia="黑体"/>
      <w:bCs/>
      <w:sz w:val="32"/>
      <w:szCs w:val="32"/>
    </w:rPr>
  </w:style>
  <w:style w:type="character" w:customStyle="1" w:styleId="34">
    <w:name w:val="标题 2 字符"/>
    <w:basedOn w:val="27"/>
    <w:link w:val="4"/>
    <w:qFormat/>
    <w:uiPriority w:val="9"/>
    <w:rPr>
      <w:rFonts w:ascii="Times New Roman" w:hAnsi="Times New Roman" w:eastAsia="黑体"/>
      <w:bCs/>
      <w:sz w:val="30"/>
      <w:szCs w:val="32"/>
    </w:rPr>
  </w:style>
  <w:style w:type="character" w:customStyle="1" w:styleId="35">
    <w:name w:val="标题 4 字符"/>
    <w:basedOn w:val="27"/>
    <w:link w:val="5"/>
    <w:qFormat/>
    <w:uiPriority w:val="9"/>
    <w:rPr>
      <w:rFonts w:ascii="Times New Roman" w:hAnsi="Times New Roman" w:eastAsia="黑体" w:cs="Times New Roman"/>
      <w:sz w:val="24"/>
      <w:szCs w:val="28"/>
    </w:rPr>
  </w:style>
  <w:style w:type="character" w:customStyle="1" w:styleId="36">
    <w:name w:val="标题 5 字符"/>
    <w:basedOn w:val="27"/>
    <w:link w:val="6"/>
    <w:qFormat/>
    <w:uiPriority w:val="9"/>
    <w:rPr>
      <w:rFonts w:ascii="Times New Roman" w:hAnsi="Times New Roman"/>
      <w:b/>
      <w:bCs/>
      <w:sz w:val="28"/>
      <w:szCs w:val="28"/>
    </w:rPr>
  </w:style>
  <w:style w:type="character" w:customStyle="1" w:styleId="37">
    <w:name w:val="文档结构图 字符"/>
    <w:basedOn w:val="27"/>
    <w:link w:val="8"/>
    <w:semiHidden/>
    <w:qFormat/>
    <w:uiPriority w:val="99"/>
    <w:rPr>
      <w:rFonts w:ascii="宋体" w:hAnsi="Times New Roman" w:eastAsia="宋体"/>
      <w:sz w:val="18"/>
      <w:szCs w:val="18"/>
    </w:rPr>
  </w:style>
  <w:style w:type="character" w:customStyle="1" w:styleId="38">
    <w:name w:val="批注文字 字符"/>
    <w:basedOn w:val="27"/>
    <w:link w:val="9"/>
    <w:semiHidden/>
    <w:qFormat/>
    <w:uiPriority w:val="99"/>
    <w:rPr>
      <w:rFonts w:ascii="Times New Roman" w:hAnsi="Times New Roman"/>
      <w:sz w:val="24"/>
    </w:rPr>
  </w:style>
  <w:style w:type="character" w:customStyle="1" w:styleId="39">
    <w:name w:val="批注框文本 字符"/>
    <w:basedOn w:val="27"/>
    <w:link w:val="13"/>
    <w:semiHidden/>
    <w:qFormat/>
    <w:uiPriority w:val="99"/>
    <w:rPr>
      <w:rFonts w:ascii="Times New Roman" w:hAnsi="Times New Roman"/>
      <w:sz w:val="18"/>
      <w:szCs w:val="18"/>
    </w:rPr>
  </w:style>
  <w:style w:type="character" w:customStyle="1" w:styleId="40">
    <w:name w:val="页脚 字符"/>
    <w:basedOn w:val="27"/>
    <w:link w:val="14"/>
    <w:qFormat/>
    <w:uiPriority w:val="99"/>
    <w:rPr>
      <w:sz w:val="18"/>
      <w:szCs w:val="18"/>
    </w:rPr>
  </w:style>
  <w:style w:type="character" w:customStyle="1" w:styleId="41">
    <w:name w:val="页眉 字符"/>
    <w:basedOn w:val="27"/>
    <w:link w:val="15"/>
    <w:qFormat/>
    <w:uiPriority w:val="99"/>
    <w:rPr>
      <w:sz w:val="18"/>
      <w:szCs w:val="18"/>
    </w:rPr>
  </w:style>
  <w:style w:type="character" w:customStyle="1" w:styleId="42">
    <w:name w:val="脚注文本 字符"/>
    <w:basedOn w:val="27"/>
    <w:link w:val="18"/>
    <w:semiHidden/>
    <w:qFormat/>
    <w:uiPriority w:val="99"/>
    <w:rPr>
      <w:rFonts w:eastAsiaTheme="minorEastAsia" w:cstheme="minorBidi"/>
      <w:kern w:val="2"/>
      <w:sz w:val="18"/>
      <w:szCs w:val="18"/>
    </w:rPr>
  </w:style>
  <w:style w:type="character" w:customStyle="1" w:styleId="43">
    <w:name w:val="标题 字符"/>
    <w:basedOn w:val="27"/>
    <w:link w:val="23"/>
    <w:qFormat/>
    <w:uiPriority w:val="10"/>
    <w:rPr>
      <w:rFonts w:eastAsia="宋体" w:asciiTheme="majorHAnsi" w:hAnsiTheme="majorHAnsi" w:cstheme="majorBidi"/>
      <w:b/>
      <w:bCs/>
      <w:sz w:val="32"/>
      <w:szCs w:val="32"/>
    </w:rPr>
  </w:style>
  <w:style w:type="character" w:customStyle="1" w:styleId="44">
    <w:name w:val="批注主题 字符"/>
    <w:basedOn w:val="38"/>
    <w:link w:val="24"/>
    <w:semiHidden/>
    <w:qFormat/>
    <w:uiPriority w:val="99"/>
    <w:rPr>
      <w:rFonts w:ascii="Times New Roman" w:hAnsi="Times New Roman"/>
      <w:b/>
      <w:bCs/>
      <w:sz w:val="24"/>
      <w:szCs w:val="22"/>
    </w:rPr>
  </w:style>
  <w:style w:type="table" w:customStyle="1" w:styleId="45">
    <w:name w:val="表格内容"/>
    <w:basedOn w:val="25"/>
    <w:qFormat/>
    <w:uiPriority w:val="99"/>
    <w:pPr>
      <w:jc w:val="center"/>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table" w:customStyle="1" w:styleId="46">
    <w:name w:val="表格"/>
    <w:basedOn w:val="25"/>
    <w:qFormat/>
    <w:uiPriority w:val="99"/>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table" w:customStyle="1" w:styleId="47">
    <w:name w:val="表格1"/>
    <w:basedOn w:val="25"/>
    <w:qFormat/>
    <w:uiPriority w:val="99"/>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paragraph" w:customStyle="1" w:styleId="48">
    <w:name w:val="列出段落1"/>
    <w:basedOn w:val="1"/>
    <w:qFormat/>
    <w:uiPriority w:val="34"/>
    <w:pPr>
      <w:ind w:firstLine="420"/>
    </w:pPr>
  </w:style>
  <w:style w:type="paragraph" w:customStyle="1" w:styleId="49">
    <w:name w:val="样式 表格 + Times New Roman"/>
    <w:qFormat/>
    <w:uiPriority w:val="0"/>
    <w:pPr>
      <w:widowControl w:val="0"/>
    </w:pPr>
    <w:rPr>
      <w:rFonts w:ascii="Times New Roman" w:hAnsi="Times New Roman" w:eastAsia="黑体" w:cs="Times New Roman"/>
      <w:kern w:val="2"/>
      <w:sz w:val="28"/>
      <w:szCs w:val="28"/>
      <w:lang w:val="en-US" w:eastAsia="zh-CN" w:bidi="ar-SA"/>
    </w:rPr>
  </w:style>
  <w:style w:type="paragraph" w:customStyle="1" w:styleId="50">
    <w:name w:val="font5"/>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51">
    <w:name w:val="font6"/>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18"/>
      <w:szCs w:val="18"/>
    </w:rPr>
  </w:style>
  <w:style w:type="paragraph" w:customStyle="1" w:styleId="52">
    <w:name w:val="font7"/>
    <w:basedOn w:val="1"/>
    <w:qFormat/>
    <w:uiPriority w:val="0"/>
    <w:pPr>
      <w:widowControl/>
      <w:spacing w:before="100" w:beforeAutospacing="1" w:after="100" w:afterAutospacing="1" w:line="240" w:lineRule="auto"/>
      <w:ind w:firstLine="0" w:firstLineChars="0"/>
      <w:jc w:val="left"/>
    </w:pPr>
    <w:rPr>
      <w:rFonts w:eastAsia="宋体" w:cs="Times New Roman"/>
      <w:color w:val="000000"/>
      <w:kern w:val="0"/>
      <w:sz w:val="18"/>
      <w:szCs w:val="18"/>
    </w:rPr>
  </w:style>
  <w:style w:type="paragraph" w:customStyle="1" w:styleId="53">
    <w:name w:val="xl65"/>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4">
    <w:name w:val="xl66"/>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18"/>
      <w:szCs w:val="18"/>
    </w:rPr>
  </w:style>
  <w:style w:type="paragraph" w:customStyle="1" w:styleId="55">
    <w:name w:val="xl67"/>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18"/>
      <w:szCs w:val="18"/>
    </w:rPr>
  </w:style>
  <w:style w:type="paragraph" w:customStyle="1" w:styleId="56">
    <w:name w:val="xl68"/>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7">
    <w:name w:val="xl69"/>
    <w:basedOn w:val="1"/>
    <w:qFormat/>
    <w:uiPriority w:val="0"/>
    <w:pPr>
      <w:widowControl/>
      <w:pBdr>
        <w:top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8">
    <w:name w:val="xl70"/>
    <w:basedOn w:val="1"/>
    <w:qFormat/>
    <w:uiPriority w:val="0"/>
    <w:pPr>
      <w:widowControl/>
      <w:pBdr>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9">
    <w:name w:val="xl71"/>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0">
    <w:name w:val="xl72"/>
    <w:basedOn w:val="1"/>
    <w:qFormat/>
    <w:uiPriority w:val="0"/>
    <w:pPr>
      <w:widowControl/>
      <w:pBdr>
        <w:left w:val="single" w:color="auto" w:sz="8" w:space="0"/>
        <w:bottom w:val="single" w:color="000000"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1">
    <w:name w:val="xl73"/>
    <w:basedOn w:val="1"/>
    <w:qFormat/>
    <w:uiPriority w:val="0"/>
    <w:pPr>
      <w:widowControl/>
      <w:pBdr>
        <w:top w:val="single" w:color="auto" w:sz="8" w:space="0"/>
        <w:left w:val="single" w:color="auto" w:sz="8" w:space="0"/>
        <w:bottom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2">
    <w:name w:val="xl74"/>
    <w:basedOn w:val="1"/>
    <w:qFormat/>
    <w:uiPriority w:val="0"/>
    <w:pPr>
      <w:widowControl/>
      <w:pBdr>
        <w:top w:val="single" w:color="auto" w:sz="8" w:space="0"/>
        <w:bottom w:val="single" w:color="auto" w:sz="8" w:space="0"/>
        <w:right w:val="single" w:color="000000"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3">
    <w:name w:val="TOC 标题1"/>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b/>
      <w:color w:val="2E75B6" w:themeColor="accent1" w:themeShade="BF"/>
      <w:kern w:val="0"/>
      <w:sz w:val="28"/>
      <w:szCs w:val="28"/>
    </w:rPr>
  </w:style>
  <w:style w:type="character" w:customStyle="1" w:styleId="64">
    <w:name w:val="占位符文本1"/>
    <w:basedOn w:val="27"/>
    <w:semiHidden/>
    <w:qFormat/>
    <w:uiPriority w:val="99"/>
    <w:rPr>
      <w:color w:val="808080"/>
    </w:rPr>
  </w:style>
  <w:style w:type="paragraph" w:customStyle="1" w:styleId="65">
    <w:name w:val="修订1"/>
    <w:hidden/>
    <w:semiHidden/>
    <w:qFormat/>
    <w:uiPriority w:val="99"/>
    <w:rPr>
      <w:rFonts w:ascii="Times New Roman" w:hAnsi="Times New Roman" w:eastAsiaTheme="minorEastAsia" w:cstheme="minorBidi"/>
      <w:kern w:val="2"/>
      <w:sz w:val="24"/>
      <w:szCs w:val="21"/>
      <w:lang w:val="en-US" w:eastAsia="zh-CN" w:bidi="ar-SA"/>
    </w:rPr>
  </w:style>
  <w:style w:type="paragraph" w:customStyle="1" w:styleId="66">
    <w:name w:val="样式 00正文1-2字符 + 首行缩进:  2 字符"/>
    <w:basedOn w:val="1"/>
    <w:qFormat/>
    <w:uiPriority w:val="0"/>
    <w:rPr>
      <w:rFonts w:eastAsia="宋体" w:cs="宋体"/>
      <w:sz w:val="28"/>
      <w:szCs w:val="20"/>
    </w:rPr>
  </w:style>
  <w:style w:type="paragraph" w:customStyle="1" w:styleId="67">
    <w:name w:val="列出段落2"/>
    <w:basedOn w:val="1"/>
    <w:qFormat/>
    <w:uiPriority w:val="99"/>
    <w:pPr>
      <w:ind w:firstLine="420"/>
    </w:pPr>
  </w:style>
  <w:style w:type="paragraph" w:customStyle="1" w:styleId="68">
    <w:name w:val="列出段落3"/>
    <w:basedOn w:val="1"/>
    <w:qFormat/>
    <w:uiPriority w:val="99"/>
    <w:pPr>
      <w:ind w:firstLine="420"/>
    </w:pPr>
  </w:style>
  <w:style w:type="paragraph" w:customStyle="1" w:styleId="69">
    <w:name w:val="List Paragraph"/>
    <w:basedOn w:val="1"/>
    <w:qFormat/>
    <w:uiPriority w:val="99"/>
    <w:pPr>
      <w:ind w:firstLine="420"/>
    </w:pPr>
  </w:style>
  <w:style w:type="paragraph" w:customStyle="1" w:styleId="70">
    <w:name w:val="修订2"/>
    <w:hidden/>
    <w:semiHidden/>
    <w:qFormat/>
    <w:uiPriority w:val="99"/>
    <w:rPr>
      <w:rFonts w:ascii="Times New Roman" w:hAnsi="Times New Roman" w:eastAsiaTheme="minorEastAsia" w:cstheme="minorBidi"/>
      <w:kern w:val="2"/>
      <w:sz w:val="24"/>
      <w:szCs w:val="21"/>
      <w:lang w:val="en-US" w:eastAsia="zh-CN" w:bidi="ar-SA"/>
    </w:rPr>
  </w:style>
  <w:style w:type="table" w:customStyle="1" w:styleId="71">
    <w:name w:val="网格型1"/>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2">
    <w:name w:val="fontstyle01"/>
    <w:basedOn w:val="27"/>
    <w:qFormat/>
    <w:uiPriority w:val="0"/>
    <w:rPr>
      <w:rFonts w:hint="eastAsia" w:ascii="宋体" w:hAnsi="宋体" w:eastAsia="宋体"/>
      <w:color w:val="000000"/>
      <w:sz w:val="20"/>
      <w:szCs w:val="20"/>
    </w:rPr>
  </w:style>
  <w:style w:type="character" w:customStyle="1" w:styleId="73">
    <w:name w:val="fontstyle11"/>
    <w:basedOn w:val="27"/>
    <w:qFormat/>
    <w:uiPriority w:val="0"/>
    <w:rPr>
      <w:rFonts w:hint="default" w:ascii="Times New Roman" w:hAnsi="Times New Roman" w:cs="Times New Roman"/>
      <w:color w:val="000000"/>
      <w:sz w:val="16"/>
      <w:szCs w:val="16"/>
    </w:rPr>
  </w:style>
  <w:style w:type="character" w:customStyle="1" w:styleId="74">
    <w:name w:val="fontstyle21"/>
    <w:basedOn w:val="27"/>
    <w:qFormat/>
    <w:uiPriority w:val="0"/>
    <w:rPr>
      <w:rFonts w:hint="default" w:ascii="Symbol" w:hAnsi="Symbol"/>
      <w:color w:val="000000"/>
      <w:sz w:val="22"/>
      <w:szCs w:val="22"/>
    </w:rPr>
  </w:style>
  <w:style w:type="table" w:customStyle="1" w:styleId="75">
    <w:name w:val="网格型2"/>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
    <w:name w:val="网格型3"/>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
    <w:name w:val="网格型4"/>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8">
    <w:name w:val="ZX-正文"/>
    <w:basedOn w:val="1"/>
    <w:qFormat/>
    <w:uiPriority w:val="0"/>
    <w:pPr>
      <w:widowControl/>
      <w:adjustRightInd w:val="0"/>
      <w:snapToGrid w:val="0"/>
    </w:pPr>
    <w:rPr>
      <w:rFonts w:eastAsia="宋体" w:cs="Times New Roman"/>
      <w:sz w:val="28"/>
      <w:szCs w:val="28"/>
    </w:rPr>
  </w:style>
  <w:style w:type="paragraph" w:customStyle="1" w:styleId="79">
    <w:name w:val="msolistparagraph"/>
    <w:basedOn w:val="1"/>
    <w:qFormat/>
    <w:uiPriority w:val="0"/>
    <w:pPr>
      <w:ind w:firstLine="420"/>
    </w:pPr>
    <w:rPr>
      <w:rFonts w:eastAsia="宋体" w:cs="Times New Roman"/>
    </w:rPr>
  </w:style>
  <w:style w:type="table" w:customStyle="1" w:styleId="80">
    <w:name w:val="网格型5"/>
    <w:basedOn w:val="25"/>
    <w:qFormat/>
    <w:uiPriority w:val="0"/>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table" w:customStyle="1" w:styleId="81">
    <w:name w:val="网格型11"/>
    <w:basedOn w:val="25"/>
    <w:qFormat/>
    <w:uiPriority w:val="0"/>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table" w:customStyle="1" w:styleId="82">
    <w:name w:val="网格型41"/>
    <w:basedOn w:val="25"/>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83">
    <w:name w:val="网格型42"/>
    <w:basedOn w:val="25"/>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paragraph" w:customStyle="1" w:styleId="84">
    <w:name w:val="xl24"/>
    <w:basedOn w:val="1"/>
    <w:qFormat/>
    <w:uiPriority w:val="0"/>
    <w:pPr>
      <w:widowControl/>
      <w:pBdr>
        <w:left w:val="single" w:color="auto" w:sz="4" w:space="0"/>
        <w:right w:val="single" w:color="auto" w:sz="4" w:space="0"/>
      </w:pBdr>
      <w:spacing w:before="100" w:beforeAutospacing="1" w:after="100" w:afterAutospacing="1"/>
      <w:jc w:val="center"/>
    </w:pPr>
    <w:rPr>
      <w:rFonts w:hint="eastAsia" w:ascii="黑体" w:hAnsi="宋体" w:eastAsia="黑体"/>
      <w:kern w:val="0"/>
      <w:sz w:val="28"/>
      <w:szCs w:val="28"/>
    </w:rPr>
  </w:style>
  <w:style w:type="paragraph" w:customStyle="1" w:styleId="85">
    <w:name w:val="正文1"/>
    <w:basedOn w:val="1"/>
    <w:qFormat/>
    <w:uiPriority w:val="0"/>
    <w:pPr>
      <w:widowControl/>
      <w:spacing w:line="240" w:lineRule="auto"/>
      <w:ind w:firstLine="0" w:firstLineChars="0"/>
    </w:pPr>
    <w:rPr>
      <w:rFonts w:hint="eastAsia" w:ascii="宋体" w:hAnsi="宋体" w:eastAsia="宋体" w:cs="Times New Roman"/>
      <w:sz w:val="21"/>
    </w:rPr>
  </w:style>
  <w:style w:type="paragraph" w:customStyle="1" w:styleId="86">
    <w:name w:val="正文2"/>
    <w:basedOn w:val="1"/>
    <w:qFormat/>
    <w:uiPriority w:val="0"/>
    <w:pPr>
      <w:widowControl/>
      <w:spacing w:line="240" w:lineRule="auto"/>
      <w:ind w:firstLine="0" w:firstLineChars="0"/>
    </w:pPr>
    <w:rPr>
      <w:rFonts w:hint="eastAsia" w:ascii="宋体" w:hAnsi="宋体" w:eastAsia="宋体" w:cs="Times New Roman"/>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63.png"/><Relationship Id="rId98" Type="http://schemas.openxmlformats.org/officeDocument/2006/relationships/image" Target="media/image62.png"/><Relationship Id="rId97" Type="http://schemas.openxmlformats.org/officeDocument/2006/relationships/image" Target="media/image61.png"/><Relationship Id="rId96" Type="http://schemas.openxmlformats.org/officeDocument/2006/relationships/image" Target="media/image60.jpeg"/><Relationship Id="rId95" Type="http://schemas.openxmlformats.org/officeDocument/2006/relationships/image" Target="media/image59.png"/><Relationship Id="rId94" Type="http://schemas.openxmlformats.org/officeDocument/2006/relationships/image" Target="media/image58.png"/><Relationship Id="rId93" Type="http://schemas.openxmlformats.org/officeDocument/2006/relationships/image" Target="media/image57.png"/><Relationship Id="rId92" Type="http://schemas.openxmlformats.org/officeDocument/2006/relationships/image" Target="media/image56.png"/><Relationship Id="rId91" Type="http://schemas.openxmlformats.org/officeDocument/2006/relationships/image" Target="media/image55.png"/><Relationship Id="rId90" Type="http://schemas.openxmlformats.org/officeDocument/2006/relationships/image" Target="media/image54.png"/><Relationship Id="rId9" Type="http://schemas.openxmlformats.org/officeDocument/2006/relationships/footer" Target="footer2.xml"/><Relationship Id="rId89" Type="http://schemas.openxmlformats.org/officeDocument/2006/relationships/image" Target="media/image53.png"/><Relationship Id="rId88" Type="http://schemas.openxmlformats.org/officeDocument/2006/relationships/image" Target="media/image52.png"/><Relationship Id="rId87" Type="http://schemas.openxmlformats.org/officeDocument/2006/relationships/image" Target="media/image51.wmf"/><Relationship Id="rId86" Type="http://schemas.openxmlformats.org/officeDocument/2006/relationships/oleObject" Target="embeddings/oleObject19.bin"/><Relationship Id="rId85" Type="http://schemas.openxmlformats.org/officeDocument/2006/relationships/image" Target="media/image50.png"/><Relationship Id="rId84" Type="http://schemas.openxmlformats.org/officeDocument/2006/relationships/image" Target="media/image49.wmf"/><Relationship Id="rId83" Type="http://schemas.openxmlformats.org/officeDocument/2006/relationships/oleObject" Target="embeddings/oleObject18.bin"/><Relationship Id="rId82" Type="http://schemas.openxmlformats.org/officeDocument/2006/relationships/image" Target="media/image48.wmf"/><Relationship Id="rId81" Type="http://schemas.openxmlformats.org/officeDocument/2006/relationships/oleObject" Target="embeddings/oleObject17.bin"/><Relationship Id="rId80" Type="http://schemas.openxmlformats.org/officeDocument/2006/relationships/image" Target="media/image47.wmf"/><Relationship Id="rId8" Type="http://schemas.openxmlformats.org/officeDocument/2006/relationships/footer" Target="footer1.xml"/><Relationship Id="rId79" Type="http://schemas.openxmlformats.org/officeDocument/2006/relationships/oleObject" Target="embeddings/oleObject16.bin"/><Relationship Id="rId78" Type="http://schemas.openxmlformats.org/officeDocument/2006/relationships/image" Target="media/image46.png"/><Relationship Id="rId77" Type="http://schemas.openxmlformats.org/officeDocument/2006/relationships/image" Target="media/image45.png"/><Relationship Id="rId76" Type="http://schemas.openxmlformats.org/officeDocument/2006/relationships/image" Target="media/image44.png"/><Relationship Id="rId75" Type="http://schemas.openxmlformats.org/officeDocument/2006/relationships/image" Target="media/image43.wmf"/><Relationship Id="rId74" Type="http://schemas.openxmlformats.org/officeDocument/2006/relationships/oleObject" Target="embeddings/oleObject15.bin"/><Relationship Id="rId73" Type="http://schemas.openxmlformats.org/officeDocument/2006/relationships/image" Target="media/image42.wmf"/><Relationship Id="rId72" Type="http://schemas.openxmlformats.org/officeDocument/2006/relationships/oleObject" Target="embeddings/oleObject14.bin"/><Relationship Id="rId71" Type="http://schemas.openxmlformats.org/officeDocument/2006/relationships/image" Target="media/image41.png"/><Relationship Id="rId70" Type="http://schemas.openxmlformats.org/officeDocument/2006/relationships/image" Target="media/image40.wmf"/><Relationship Id="rId7" Type="http://schemas.openxmlformats.org/officeDocument/2006/relationships/header" Target="header3.xml"/><Relationship Id="rId69" Type="http://schemas.openxmlformats.org/officeDocument/2006/relationships/oleObject" Target="embeddings/oleObject13.bin"/><Relationship Id="rId68" Type="http://schemas.openxmlformats.org/officeDocument/2006/relationships/image" Target="media/image39.wmf"/><Relationship Id="rId67" Type="http://schemas.openxmlformats.org/officeDocument/2006/relationships/oleObject" Target="embeddings/oleObject12.bin"/><Relationship Id="rId66" Type="http://schemas.openxmlformats.org/officeDocument/2006/relationships/image" Target="media/image38.wmf"/><Relationship Id="rId65" Type="http://schemas.openxmlformats.org/officeDocument/2006/relationships/oleObject" Target="embeddings/oleObject11.bin"/><Relationship Id="rId64" Type="http://schemas.openxmlformats.org/officeDocument/2006/relationships/image" Target="media/image37.wmf"/><Relationship Id="rId63" Type="http://schemas.openxmlformats.org/officeDocument/2006/relationships/oleObject" Target="embeddings/oleObject10.bin"/><Relationship Id="rId62" Type="http://schemas.openxmlformats.org/officeDocument/2006/relationships/image" Target="media/image36.wmf"/><Relationship Id="rId61" Type="http://schemas.openxmlformats.org/officeDocument/2006/relationships/oleObject" Target="embeddings/oleObject9.bin"/><Relationship Id="rId60" Type="http://schemas.openxmlformats.org/officeDocument/2006/relationships/image" Target="media/image35.wmf"/><Relationship Id="rId6" Type="http://schemas.openxmlformats.org/officeDocument/2006/relationships/header" Target="header2.xml"/><Relationship Id="rId59" Type="http://schemas.openxmlformats.org/officeDocument/2006/relationships/oleObject" Target="embeddings/oleObject8.bin"/><Relationship Id="rId58" Type="http://schemas.openxmlformats.org/officeDocument/2006/relationships/image" Target="media/image34.wmf"/><Relationship Id="rId57" Type="http://schemas.openxmlformats.org/officeDocument/2006/relationships/oleObject" Target="embeddings/oleObject7.bin"/><Relationship Id="rId56" Type="http://schemas.openxmlformats.org/officeDocument/2006/relationships/image" Target="media/image33.wmf"/><Relationship Id="rId55" Type="http://schemas.openxmlformats.org/officeDocument/2006/relationships/oleObject" Target="embeddings/oleObject6.bin"/><Relationship Id="rId54" Type="http://schemas.openxmlformats.org/officeDocument/2006/relationships/image" Target="media/image32.wmf"/><Relationship Id="rId53" Type="http://schemas.openxmlformats.org/officeDocument/2006/relationships/oleObject" Target="embeddings/oleObject5.bin"/><Relationship Id="rId52" Type="http://schemas.openxmlformats.org/officeDocument/2006/relationships/image" Target="media/image31.wmf"/><Relationship Id="rId51" Type="http://schemas.openxmlformats.org/officeDocument/2006/relationships/oleObject" Target="embeddings/oleObject4.bin"/><Relationship Id="rId50" Type="http://schemas.openxmlformats.org/officeDocument/2006/relationships/image" Target="media/image30.png"/><Relationship Id="rId5" Type="http://schemas.openxmlformats.org/officeDocument/2006/relationships/header" Target="header1.xml"/><Relationship Id="rId49" Type="http://schemas.openxmlformats.org/officeDocument/2006/relationships/image" Target="media/image29.png"/><Relationship Id="rId48" Type="http://schemas.openxmlformats.org/officeDocument/2006/relationships/image" Target="media/image28.wmf"/><Relationship Id="rId47" Type="http://schemas.openxmlformats.org/officeDocument/2006/relationships/oleObject" Target="embeddings/oleObject3.bin"/><Relationship Id="rId46" Type="http://schemas.openxmlformats.org/officeDocument/2006/relationships/image" Target="media/image27.wmf"/><Relationship Id="rId45" Type="http://schemas.openxmlformats.org/officeDocument/2006/relationships/oleObject" Target="embeddings/oleObject2.bin"/><Relationship Id="rId44" Type="http://schemas.openxmlformats.org/officeDocument/2006/relationships/image" Target="media/image26.wmf"/><Relationship Id="rId43" Type="http://schemas.openxmlformats.org/officeDocument/2006/relationships/oleObject" Target="embeddings/oleObject1.bin"/><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jpeg"/><Relationship Id="rId3" Type="http://schemas.openxmlformats.org/officeDocument/2006/relationships/footnotes" Target="footnotes.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chart" Target="charts/chart2.xml"/><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chart" Target="charts/chart1.xml"/><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7.xml"/><Relationship Id="rId138" Type="http://schemas.openxmlformats.org/officeDocument/2006/relationships/fontTable" Target="fontTable.xml"/><Relationship Id="rId137" Type="http://schemas.openxmlformats.org/officeDocument/2006/relationships/customXml" Target="../customXml/item2.xml"/><Relationship Id="rId136" Type="http://schemas.openxmlformats.org/officeDocument/2006/relationships/numbering" Target="numbering.xml"/><Relationship Id="rId135" Type="http://schemas.openxmlformats.org/officeDocument/2006/relationships/customXml" Target="../customXml/item1.xml"/><Relationship Id="rId134" Type="http://schemas.openxmlformats.org/officeDocument/2006/relationships/image" Target="media/image98.jpeg"/><Relationship Id="rId133" Type="http://schemas.openxmlformats.org/officeDocument/2006/relationships/image" Target="media/image97.jpeg"/><Relationship Id="rId132" Type="http://schemas.openxmlformats.org/officeDocument/2006/relationships/image" Target="media/image96.jpeg"/><Relationship Id="rId131" Type="http://schemas.openxmlformats.org/officeDocument/2006/relationships/image" Target="media/image95.jpeg"/><Relationship Id="rId130" Type="http://schemas.openxmlformats.org/officeDocument/2006/relationships/image" Target="media/image94.jpeg"/><Relationship Id="rId13" Type="http://schemas.openxmlformats.org/officeDocument/2006/relationships/footer" Target="footer6.xml"/><Relationship Id="rId129" Type="http://schemas.openxmlformats.org/officeDocument/2006/relationships/image" Target="media/image93.jpeg"/><Relationship Id="rId128" Type="http://schemas.openxmlformats.org/officeDocument/2006/relationships/image" Target="media/image92.jpeg"/><Relationship Id="rId127" Type="http://schemas.openxmlformats.org/officeDocument/2006/relationships/image" Target="media/image91.jpeg"/><Relationship Id="rId126" Type="http://schemas.openxmlformats.org/officeDocument/2006/relationships/image" Target="media/image90.png"/><Relationship Id="rId125" Type="http://schemas.openxmlformats.org/officeDocument/2006/relationships/image" Target="media/image89.png"/><Relationship Id="rId124" Type="http://schemas.openxmlformats.org/officeDocument/2006/relationships/image" Target="media/image88.jpeg"/><Relationship Id="rId123" Type="http://schemas.openxmlformats.org/officeDocument/2006/relationships/image" Target="media/image87.tiff"/><Relationship Id="rId122" Type="http://schemas.openxmlformats.org/officeDocument/2006/relationships/image" Target="media/image86.png"/><Relationship Id="rId121" Type="http://schemas.openxmlformats.org/officeDocument/2006/relationships/image" Target="media/image85.png"/><Relationship Id="rId120" Type="http://schemas.openxmlformats.org/officeDocument/2006/relationships/image" Target="media/image84.png"/><Relationship Id="rId12" Type="http://schemas.openxmlformats.org/officeDocument/2006/relationships/footer" Target="footer5.xml"/><Relationship Id="rId119" Type="http://schemas.openxmlformats.org/officeDocument/2006/relationships/image" Target="media/image83.png"/><Relationship Id="rId118" Type="http://schemas.openxmlformats.org/officeDocument/2006/relationships/image" Target="media/image82.png"/><Relationship Id="rId117" Type="http://schemas.openxmlformats.org/officeDocument/2006/relationships/image" Target="media/image81.png"/><Relationship Id="rId116" Type="http://schemas.openxmlformats.org/officeDocument/2006/relationships/image" Target="media/image80.png"/><Relationship Id="rId115" Type="http://schemas.openxmlformats.org/officeDocument/2006/relationships/image" Target="media/image79.png"/><Relationship Id="rId114" Type="http://schemas.openxmlformats.org/officeDocument/2006/relationships/image" Target="media/image78.png"/><Relationship Id="rId113" Type="http://schemas.openxmlformats.org/officeDocument/2006/relationships/image" Target="media/image77.png"/><Relationship Id="rId112" Type="http://schemas.openxmlformats.org/officeDocument/2006/relationships/image" Target="media/image76.png"/><Relationship Id="rId111" Type="http://schemas.openxmlformats.org/officeDocument/2006/relationships/image" Target="media/image75.png"/><Relationship Id="rId110" Type="http://schemas.openxmlformats.org/officeDocument/2006/relationships/image" Target="media/image74.jpeg"/><Relationship Id="rId11" Type="http://schemas.openxmlformats.org/officeDocument/2006/relationships/footer" Target="footer4.xml"/><Relationship Id="rId109" Type="http://schemas.openxmlformats.org/officeDocument/2006/relationships/image" Target="media/image73.png"/><Relationship Id="rId108" Type="http://schemas.openxmlformats.org/officeDocument/2006/relationships/image" Target="media/image72.png"/><Relationship Id="rId107" Type="http://schemas.openxmlformats.org/officeDocument/2006/relationships/image" Target="media/image71.png"/><Relationship Id="rId106" Type="http://schemas.openxmlformats.org/officeDocument/2006/relationships/image" Target="media/image70.png"/><Relationship Id="rId105" Type="http://schemas.openxmlformats.org/officeDocument/2006/relationships/image" Target="media/image69.png"/><Relationship Id="rId104" Type="http://schemas.openxmlformats.org/officeDocument/2006/relationships/image" Target="media/image68.jpeg"/><Relationship Id="rId103" Type="http://schemas.openxmlformats.org/officeDocument/2006/relationships/image" Target="media/image67.png"/><Relationship Id="rId102" Type="http://schemas.openxmlformats.org/officeDocument/2006/relationships/image" Target="media/image66.jpeg"/><Relationship Id="rId101" Type="http://schemas.openxmlformats.org/officeDocument/2006/relationships/image" Target="media/image65.png"/><Relationship Id="rId100" Type="http://schemas.openxmlformats.org/officeDocument/2006/relationships/image" Target="media/image64.pn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F:\&#20013;&#22823;&#39033;&#30446;\&#35268;&#21010;&#27700;&#36164;&#28304;&#35770;&#35777;&#21644;&#27700;&#29983;&#24577;&#25991;&#26126;&#24314;&#35774;&#36164;&#26009;\&#20013;&#23665;&#24066;&#35199;&#21306;&#27700;&#29983;&#24577;&#25991;&#26126;&#24314;&#35774;&#35268;&#21010;\&#35745;&#31639;.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F:\&#20013;&#22823;&#39033;&#30446;\&#35268;&#21010;&#27700;&#36164;&#28304;&#35770;&#35777;&#21644;&#27700;&#29983;&#24577;&#25991;&#26126;&#24314;&#35774;&#36164;&#26009;\&#20013;&#23665;&#24066;&#35199;&#21306;&#27700;&#29983;&#24577;&#25991;&#26126;&#24314;&#35774;&#35268;&#21010;\&#35745;&#3163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spc="0" baseline="0">
                <a:solidFill>
                  <a:schemeClr val="tx1">
                    <a:lumMod val="65000"/>
                    <a:lumOff val="35000"/>
                  </a:schemeClr>
                </a:solidFill>
                <a:latin typeface="+mn-lt"/>
                <a:ea typeface="+mn-ea"/>
                <a:cs typeface="+mn-cs"/>
              </a:defRPr>
            </a:pPr>
            <a:r>
              <a:rPr lang="zh-CN" altLang="en-US" sz="1200" b="1"/>
              <a:t>中山市西区</a:t>
            </a:r>
            <a:r>
              <a:rPr lang="en-US" altLang="zh-CN" sz="1200" b="1"/>
              <a:t>2007-2017</a:t>
            </a:r>
            <a:r>
              <a:rPr lang="zh-CN" altLang="en-US" sz="1200" b="1"/>
              <a:t>年的经济发展情况</a:t>
            </a:r>
            <a:endParaRPr lang="zh-CN" altLang="en-US" sz="1200" b="1"/>
          </a:p>
        </c:rich>
      </c:tx>
      <c:layout>
        <c:manualLayout>
          <c:xMode val="edge"/>
          <c:yMode val="edge"/>
          <c:x val="0.246687923539189"/>
          <c:y val="0.0188394738754451"/>
        </c:manualLayout>
      </c:layout>
      <c:overlay val="0"/>
      <c:spPr>
        <a:noFill/>
        <a:ln>
          <a:noFill/>
        </a:ln>
        <a:effectLst/>
      </c:spPr>
    </c:title>
    <c:autoTitleDeleted val="0"/>
    <c:plotArea>
      <c:layout/>
      <c:barChart>
        <c:barDir val="col"/>
        <c:grouping val="clustered"/>
        <c:varyColors val="0"/>
        <c:ser>
          <c:idx val="0"/>
          <c:order val="0"/>
          <c:tx>
            <c:strRef>
              <c:f>[计算.xlsx]Sheet1!$G$4</c:f>
              <c:strCache>
                <c:ptCount val="1"/>
                <c:pt idx="0">
                  <c:v>GDP</c:v>
                </c:pt>
              </c:strCache>
            </c:strRef>
          </c:tx>
          <c:spPr>
            <a:solidFill>
              <a:schemeClr val="accent1"/>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[计算.xlsx]Sheet1!$G$5:$G$15</c:f>
              <c:numCache>
                <c:formatCode>General</c:formatCode>
                <c:ptCount val="11"/>
                <c:pt idx="0">
                  <c:v>414630</c:v>
                </c:pt>
                <c:pt idx="1">
                  <c:v>466967</c:v>
                </c:pt>
                <c:pt idx="2">
                  <c:v>504066</c:v>
                </c:pt>
                <c:pt idx="3">
                  <c:v>593914</c:v>
                </c:pt>
                <c:pt idx="4">
                  <c:v>698087</c:v>
                </c:pt>
                <c:pt idx="5">
                  <c:v>785963</c:v>
                </c:pt>
                <c:pt idx="6">
                  <c:v>895063</c:v>
                </c:pt>
                <c:pt idx="7">
                  <c:v>987326</c:v>
                </c:pt>
                <c:pt idx="8">
                  <c:v>1064882</c:v>
                </c:pt>
                <c:pt idx="9">
                  <c:v>1184331</c:v>
                </c:pt>
                <c:pt idx="10">
                  <c:v>1368024</c:v>
                </c:pt>
              </c:numCache>
            </c:numRef>
          </c:val>
        </c:ser>
        <c:ser>
          <c:idx val="1"/>
          <c:order val="1"/>
          <c:tx>
            <c:strRef>
              <c:f>[计算.xlsx]Sheet1!$H$4</c:f>
              <c:strCache>
                <c:ptCount val="1"/>
                <c:pt idx="0">
                  <c:v>第一产业</c:v>
                </c:pt>
              </c:strCache>
            </c:strRef>
          </c:tx>
          <c:spPr>
            <a:solidFill>
              <a:schemeClr val="accent2"/>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[计算.xlsx]Sheet1!$H$5:$H$15</c:f>
              <c:numCache>
                <c:formatCode>General</c:formatCode>
                <c:ptCount val="11"/>
                <c:pt idx="0">
                  <c:v>7037</c:v>
                </c:pt>
                <c:pt idx="1">
                  <c:v>8117</c:v>
                </c:pt>
                <c:pt idx="2">
                  <c:v>8074</c:v>
                </c:pt>
                <c:pt idx="3">
                  <c:v>9009</c:v>
                </c:pt>
                <c:pt idx="4">
                  <c:v>10533</c:v>
                </c:pt>
                <c:pt idx="5">
                  <c:v>8338</c:v>
                </c:pt>
                <c:pt idx="6">
                  <c:v>7184</c:v>
                </c:pt>
                <c:pt idx="7">
                  <c:v>7135</c:v>
                </c:pt>
                <c:pt idx="8">
                  <c:v>6693</c:v>
                </c:pt>
                <c:pt idx="9">
                  <c:v>5158</c:v>
                </c:pt>
                <c:pt idx="10">
                  <c:v>4473</c:v>
                </c:pt>
              </c:numCache>
            </c:numRef>
          </c:val>
        </c:ser>
        <c:ser>
          <c:idx val="2"/>
          <c:order val="2"/>
          <c:tx>
            <c:strRef>
              <c:f>[计算.xlsx]Sheet1!$I$4</c:f>
              <c:strCache>
                <c:ptCount val="1"/>
                <c:pt idx="0">
                  <c:v>第二产业</c:v>
                </c:pt>
              </c:strCache>
            </c:strRef>
          </c:tx>
          <c:spPr>
            <a:solidFill>
              <a:schemeClr val="accent3"/>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[计算.xlsx]Sheet1!$I$5:$I$15</c:f>
              <c:numCache>
                <c:formatCode>General</c:formatCode>
                <c:ptCount val="11"/>
                <c:pt idx="0">
                  <c:v>176934</c:v>
                </c:pt>
                <c:pt idx="1">
                  <c:v>196510</c:v>
                </c:pt>
                <c:pt idx="2">
                  <c:v>215569</c:v>
                </c:pt>
                <c:pt idx="3">
                  <c:v>237948</c:v>
                </c:pt>
                <c:pt idx="4">
                  <c:v>264752</c:v>
                </c:pt>
                <c:pt idx="5">
                  <c:v>287025</c:v>
                </c:pt>
                <c:pt idx="6">
                  <c:v>315125</c:v>
                </c:pt>
                <c:pt idx="7">
                  <c:v>350771</c:v>
                </c:pt>
                <c:pt idx="8">
                  <c:v>364263</c:v>
                </c:pt>
                <c:pt idx="9">
                  <c:v>395155</c:v>
                </c:pt>
                <c:pt idx="10">
                  <c:v>466086</c:v>
                </c:pt>
              </c:numCache>
            </c:numRef>
          </c:val>
        </c:ser>
        <c:ser>
          <c:idx val="3"/>
          <c:order val="3"/>
          <c:tx>
            <c:strRef>
              <c:f>[计算.xlsx]Sheet1!$J$4</c:f>
              <c:strCache>
                <c:ptCount val="1"/>
                <c:pt idx="0">
                  <c:v>第三产业</c:v>
                </c:pt>
              </c:strCache>
            </c:strRef>
          </c:tx>
          <c:spPr>
            <a:solidFill>
              <a:schemeClr val="accent4"/>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[计算.xlsx]Sheet1!$J$5:$J$15</c:f>
              <c:numCache>
                <c:formatCode>General</c:formatCode>
                <c:ptCount val="11"/>
                <c:pt idx="0">
                  <c:v>230659</c:v>
                </c:pt>
                <c:pt idx="1">
                  <c:v>262341</c:v>
                </c:pt>
                <c:pt idx="2">
                  <c:v>280423</c:v>
                </c:pt>
                <c:pt idx="3">
                  <c:v>346957</c:v>
                </c:pt>
                <c:pt idx="4">
                  <c:v>422802</c:v>
                </c:pt>
                <c:pt idx="5">
                  <c:v>490599</c:v>
                </c:pt>
                <c:pt idx="6">
                  <c:v>572755</c:v>
                </c:pt>
                <c:pt idx="7">
                  <c:v>629420</c:v>
                </c:pt>
                <c:pt idx="8">
                  <c:v>693925</c:v>
                </c:pt>
                <c:pt idx="9">
                  <c:v>784018</c:v>
                </c:pt>
                <c:pt idx="10">
                  <c:v>897464</c:v>
                </c:pt>
              </c:numCache>
            </c:numRef>
          </c:val>
        </c:ser>
        <c:dLbls>
          <c:showLegendKey val="0"/>
          <c:showVal val="0"/>
          <c:showCatName val="0"/>
          <c:showSerName val="0"/>
          <c:showPercent val="0"/>
          <c:showBubbleSize val="0"/>
        </c:dLbls>
        <c:gapWidth val="219"/>
        <c:overlap val="-27"/>
        <c:axId val="937247560"/>
        <c:axId val="644563263"/>
      </c:barChart>
      <c:catAx>
        <c:axId val="937247560"/>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sz="1200" b="1"/>
                  <a:t>年份</a:t>
                </a:r>
                <a:endParaRPr lang="zh-CN" altLang="en-US" sz="1200" b="1"/>
              </a:p>
            </c:rich>
          </c:tx>
          <c:layout>
            <c:manualLayout>
              <c:xMode val="edge"/>
              <c:yMode val="edge"/>
              <c:x val="0.528375"/>
              <c:y val="0.775231481481481"/>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crossAx val="644563263"/>
        <c:crosses val="autoZero"/>
        <c:auto val="1"/>
        <c:lblAlgn val="ctr"/>
        <c:lblOffset val="100"/>
        <c:noMultiLvlLbl val="0"/>
      </c:catAx>
      <c:valAx>
        <c:axId val="6445632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0" vertOverflow="ellipsis" vert="horz" wrap="square" anchor="ctr" anchorCtr="1"/>
              <a:lstStyle/>
              <a:p>
                <a:pPr defTabSz="914400">
                  <a:defRPr lang="zh-CN" sz="1200" b="1" i="0" u="none" strike="noStrike" kern="1200" baseline="0">
                    <a:solidFill>
                      <a:schemeClr val="tx1">
                        <a:lumMod val="65000"/>
                        <a:lumOff val="35000"/>
                      </a:schemeClr>
                    </a:solidFill>
                    <a:latin typeface="+mn-lt"/>
                    <a:ea typeface="+mn-ea"/>
                    <a:cs typeface="+mn-cs"/>
                  </a:defRPr>
                </a:pPr>
                <a:r>
                  <a:rPr lang="zh-CN" altLang="en-US" sz="1200" b="1"/>
                  <a:t>产值</a:t>
                </a:r>
                <a:r>
                  <a:rPr lang="en-US" altLang="zh-CN" sz="1200" b="1"/>
                  <a:t>/</a:t>
                </a:r>
                <a:r>
                  <a:rPr lang="zh-CN" altLang="en-US" sz="1200" b="1"/>
                  <a:t>万元</a:t>
                </a:r>
                <a:endParaRPr lang="zh-CN" altLang="en-US" sz="1200" b="1"/>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crossAx val="937247560"/>
        <c:crosses val="autoZero"/>
        <c:crossBetween val="between"/>
        <c:majorUnit val="300000"/>
      </c:valAx>
      <c:spPr>
        <a:noFill/>
        <a:ln>
          <a:noFill/>
        </a:ln>
        <a:effectLst/>
      </c:spPr>
    </c:plotArea>
    <c:legend>
      <c:legendPos val="b"/>
      <c:legendEntry>
        <c:idx val="0"/>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ayout>
        <c:manualLayout>
          <c:xMode val="edge"/>
          <c:yMode val="edge"/>
          <c:x val="0.256458333333333"/>
          <c:y val="0.894675925925926"/>
        </c:manualLayout>
      </c:layout>
      <c:overlay val="0"/>
      <c:spPr>
        <a:noFill/>
        <a:ln>
          <a:noFill/>
        </a:ln>
        <a:effectLst/>
      </c:spPr>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e268923d-7bd0-40c5-8eb9-a92a44dda1ee}"/>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spc="0" baseline="0">
                <a:solidFill>
                  <a:schemeClr val="tx1">
                    <a:lumMod val="65000"/>
                    <a:lumOff val="35000"/>
                  </a:schemeClr>
                </a:solidFill>
                <a:latin typeface="+mn-lt"/>
                <a:ea typeface="+mn-ea"/>
                <a:cs typeface="+mn-cs"/>
              </a:defRPr>
            </a:pPr>
            <a:r>
              <a:rPr lang="zh-CN" altLang="en-US" sz="1200" b="1"/>
              <a:t>西区现状用水结构图</a:t>
            </a:r>
            <a:endParaRPr lang="zh-CN" altLang="en-US" sz="1200" b="1"/>
          </a:p>
        </c:rich>
      </c:tx>
      <c:layout/>
      <c:overlay val="0"/>
      <c:spPr>
        <a:noFill/>
        <a:ln>
          <a:noFill/>
        </a:ln>
        <a:effectLst/>
      </c:spPr>
    </c:title>
    <c:autoTitleDeleted val="0"/>
    <c:plotArea>
      <c:layout/>
      <c:pieChart>
        <c:varyColors val="1"/>
        <c:ser>
          <c:idx val="0"/>
          <c:order val="0"/>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0"/>
              <c:layout>
                <c:manualLayout>
                  <c:x val="-0.0343199100599928"/>
                  <c:y val="0.13406742038757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0172556695745016"/>
                  <c:y val="-0.199026833486361"/>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0.0711251625532892"/>
                  <c:y val="0.111264929370831"/>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[计算.xlsx]Sheet1!$J$20:$L$20</c:f>
              <c:strCache>
                <c:ptCount val="3"/>
                <c:pt idx="0">
                  <c:v>工业用水</c:v>
                </c:pt>
                <c:pt idx="1">
                  <c:v>生活用水</c:v>
                </c:pt>
                <c:pt idx="2">
                  <c:v>农业用水</c:v>
                </c:pt>
              </c:strCache>
            </c:strRef>
          </c:cat>
          <c:val>
            <c:numRef>
              <c:f>[计算.xlsx]Sheet1!$J$21:$L$21</c:f>
              <c:numCache>
                <c:formatCode>General</c:formatCode>
                <c:ptCount val="3"/>
                <c:pt idx="0">
                  <c:v>372</c:v>
                </c:pt>
                <c:pt idx="1">
                  <c:v>1936.4</c:v>
                </c:pt>
                <c:pt idx="2">
                  <c:v>550</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Entry>
      <c:layout>
        <c:manualLayout>
          <c:xMode val="edge"/>
          <c:yMode val="edge"/>
          <c:x val="0.233263888888889"/>
          <c:y val="0.855324074074074"/>
        </c:manualLayout>
      </c:layout>
      <c:overlay val="0"/>
      <c:spPr>
        <a:noFill/>
        <a:ln>
          <a:noFill/>
        </a:ln>
        <a:effectLst/>
      </c:spPr>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d4f6dadb-99d6-4f51-befc-d87a94ea42f9}"/>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89BA15-F0CB-4640-879E-5353E7F4F072}">
  <ds:schemaRefs/>
</ds:datastoreItem>
</file>

<file path=docProps/app.xml><?xml version="1.0" encoding="utf-8"?>
<Properties xmlns="http://schemas.openxmlformats.org/officeDocument/2006/extended-properties" xmlns:vt="http://schemas.openxmlformats.org/officeDocument/2006/docPropsVTypes">
  <Template>Normal</Template>
  <Company>Company</Company>
  <Pages>188</Pages>
  <Words>17791</Words>
  <Characters>101410</Characters>
  <Lines>845</Lines>
  <Paragraphs>237</Paragraphs>
  <TotalTime>5</TotalTime>
  <ScaleCrop>false</ScaleCrop>
  <LinksUpToDate>false</LinksUpToDate>
  <CharactersWithSpaces>118964</CharactersWithSpaces>
  <Application>WPS Office_12.8.2.18606_F1E327BC-269C-435d-A152-05C5408002CA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2018-01-03T12:03:00Z</dcterms:created>
  <dc:creator>YJ</dc:creator>
  <cp:lastModifiedBy>游颖仪</cp:lastModifiedBy>
  <cp:lastPrinted>2019-08-16T02:01:00Z</cp:lastPrinted>
  <dcterms:modified xsi:type="dcterms:W3CDTF">2026-01-22T07:57:05Z</dcterms:modified>
  <cp:revision>213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2052-12.8.2.18606</vt:lpwstr>
  </property>
  <property fmtid="{D5CDD505-2E9C-101B-9397-08002B2CF9AE}" pid="3" name="ICV">
    <vt:lpwstr>B99B969ABE784C63976C654077DEFD12_12</vt:lpwstr>
  </property>
</Properties>
</file>