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6838E">
      <w:pPr>
        <w:spacing w:line="556" w:lineRule="exact"/>
        <w:jc w:val="center"/>
        <w:rPr>
          <w:rFonts w:hint="eastAsia"/>
          <w:lang w:val="en-US" w:eastAsia="zh-CN"/>
        </w:rPr>
      </w:pPr>
      <w:r>
        <w:rPr>
          <w:rFonts w:hint="eastAsia" w:ascii="创艺简标宋" w:hAnsi="创艺简标宋" w:eastAsia="创艺简标宋" w:cs="创艺简标宋"/>
          <w:sz w:val="44"/>
        </w:rPr>
        <w:t>中山港航集团股份有限公司</w:t>
      </w:r>
      <w:r>
        <w:rPr>
          <w:rFonts w:hint="eastAsia" w:ascii="创艺简标宋" w:hAnsi="创艺简标宋" w:eastAsia="创艺简标宋" w:cs="创艺简标宋"/>
          <w:sz w:val="44"/>
          <w:lang w:val="en-US" w:eastAsia="zh-CN"/>
        </w:rPr>
        <w:t>先进事迹材料</w:t>
      </w:r>
    </w:p>
    <w:p w14:paraId="2EE278F2">
      <w:pPr>
        <w:spacing w:line="556" w:lineRule="exact"/>
        <w:rPr>
          <w:rFonts w:hint="eastAsia"/>
          <w:lang w:val="en-US" w:eastAsia="zh-CN"/>
        </w:rPr>
      </w:pPr>
    </w:p>
    <w:p w14:paraId="2C3A2866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山港航集团股份有限公司（下称中山港航集团）坚持以习近平新时代中国特色社会主义思想为指导，全面贯彻落实党的二十大和二十届二中、三中、四中全会精神，认真贯彻落实习近平总书记关于海洋强国建设的重要论述</w:t>
      </w:r>
      <w:bookmarkStart w:id="0" w:name="_GoBack"/>
      <w:bookmarkEnd w:id="0"/>
      <w:r>
        <w:rPr>
          <w:rFonts w:hint="eastAsia"/>
          <w:lang w:val="en-US" w:eastAsia="zh-CN"/>
        </w:rPr>
        <w:t>，坚决落实省委“1310”具体部署。中山港航历经70多年发展，已构建起以港口装卸为主业，航运、陆运高效协同，多元化发展的综合性物流服务体系，先后获评“国家AAAA级运型物流企业”和首批“中山市流通龙头企业”，并入选中山市2021年度现代服务业百企培育库名单，成为推动区域海洋经济发展的重要力量。</w:t>
      </w:r>
    </w:p>
    <w:p w14:paraId="31161E84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一、助力区域经济发展</w:t>
      </w:r>
    </w:p>
    <w:p w14:paraId="4F1413B0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lang w:val="en-US" w:eastAsia="zh-CN"/>
        </w:rPr>
        <w:t>（一）港口通过能力持续走高</w:t>
      </w:r>
    </w:p>
    <w:p w14:paraId="3027D748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山港航集团以实干担当激活海洋经济“蓝色引擎”，不断提升货运港口码头软硬件设施，充分发挥属地龙头作用，依托港口主业联动航运、仓储等六大板块，带动物流资源聚和产业链升级，释放港产城融合动能。2024年，中山港航集团港口货物吞吐量完成971万吨，同比增长14.2%，集装箱吞吐量完成86.1万TEU，其中重箱完成49.8万TEU，同比增长8.4%。</w:t>
      </w:r>
    </w:p>
    <w:p w14:paraId="12FAD781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lang w:val="en-US" w:eastAsia="zh-CN"/>
        </w:rPr>
        <w:t>（二）筑牢中山制造出海通道</w:t>
      </w:r>
    </w:p>
    <w:p w14:paraId="15B73DB7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山港航集团锚定湾区一流综合供应链服务商目标，通过深化与广州、深圳、香港枢纽港合作，大力发展“湾区一港通”、“组合港”模式，共开通10条组合港天天班线路，由江及海，通江达海，高效服务TCL、长虹、奥马、格兰仕等上千家中山腹地制造及进出口企业，跑好“中山制造”出海的第一棒，加速融入全球产业链供应链。</w:t>
      </w:r>
    </w:p>
    <w:p w14:paraId="552463D2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山港航集团致力于“通道”和“网络”建设，积极推动搭建“公水铁空”一体化联运网络体系，增强对枢纽港的“喂给”作用。2024年完成铁海联运量达到10.8万TEU，2025年预计完成铁海联运量达12万TEU，同比增长13%。</w:t>
      </w:r>
    </w:p>
    <w:p w14:paraId="2C027AA6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lang w:val="en-US" w:eastAsia="zh-CN"/>
        </w:rPr>
        <w:t>（三）链动湾区服务全球货运</w:t>
      </w:r>
    </w:p>
    <w:p w14:paraId="3BE16970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中山港航集团早于1992年在香港设立中航实业（集团）有限公司，将其打造为对接湾区、服务全球的战略支点，为广东海洋经济强省建设筑牢港航纽带。​</w:t>
      </w:r>
    </w:p>
    <w:p w14:paraId="6B89F3A0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山港航集团旗下香港公司聚焦港航物流核心领域，业务覆盖港口投资、船舶代理、石油销售等，尤其在船舶代理领域深耕多年，服务国内来往香港四分之一的船舶，为广东整合湾区海洋航运资源、提升海洋经济开放能级提供坚实支撑。</w:t>
      </w:r>
    </w:p>
    <w:p w14:paraId="5DA5DFDE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lang w:val="en-US" w:eastAsia="zh-CN"/>
        </w:rPr>
        <w:t>（四）持续推动地方经济发展</w:t>
      </w:r>
    </w:p>
    <w:p w14:paraId="26698097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为中山市重要的总部企业，中山港航集团及下属公司共有5家规上企业，2024年集团公司实现营业收入6.75亿元，同比增长4.8%，缴纳税费4411万元，并为社会稳定提供近1300个就业岗位，为地方经济稳步增长作出积极贡献。</w:t>
      </w:r>
    </w:p>
    <w:p w14:paraId="56533A17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二、海洋经济发展思路</w:t>
      </w:r>
    </w:p>
    <w:p w14:paraId="2388BC3C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下一步，中山港航集团将紧扣省、市行动方案部署，聚焦发力，为中山市海洋经济高质量发展赋能：</w:t>
      </w:r>
    </w:p>
    <w:p w14:paraId="51583DC7">
      <w:pPr>
        <w:spacing w:line="556" w:lineRule="exact"/>
        <w:ind w:firstLine="632" w:firstLineChars="200"/>
        <w:rPr>
          <w:rFonts w:hint="eastAsia" w:ascii="楷体_GB2312" w:hAnsi="楷体_GB2312" w:eastAsia="楷体_GB2312" w:cs="楷体_GB2312"/>
          <w:lang w:val="en-US" w:eastAsia="zh-CN"/>
        </w:rPr>
      </w:pPr>
      <w:r>
        <w:rPr>
          <w:rFonts w:hint="eastAsia" w:ascii="楷体_GB2312" w:hAnsi="楷体_GB2312" w:eastAsia="楷体_GB2312" w:cs="楷体_GB2312"/>
          <w:lang w:val="en-US" w:eastAsia="zh-CN"/>
        </w:rPr>
        <w:t>（一）转型升级发展，赋能海洋经济</w:t>
      </w:r>
    </w:p>
    <w:p w14:paraId="3B45C2F9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聚焦海洋经济高质量发展要求，中山港航集团“十五五”期间计划投资3~5亿元用于能级提升、运力优化、数字化转型和绿色转型升级。</w:t>
      </w:r>
    </w:p>
    <w:p w14:paraId="4799C3EB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在码头能级提升上，随着航道能级提升，逐步提升三个港区靠泊等级，适应内河船舶大型化发展趋势。</w:t>
      </w:r>
    </w:p>
    <w:p w14:paraId="508CEE99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在运力网络优化上，逐步更新大载重吨船舶和新能源货运车辆，提升海洋经济产业链的物流支撑能力。</w:t>
      </w:r>
    </w:p>
    <w:p w14:paraId="15189106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在数字化转型发展上，推进码头闸口自动化改造、龙门吊远控、业务平台可视化及口岸监管信息平台建设，推进智慧港口建设。</w:t>
      </w:r>
    </w:p>
    <w:p w14:paraId="61CD06B2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在绿色转型实践上，建设全市首家光储充一体化充电站，淘汰高耗能高排放老旧运输船舶和车辆，构建绿色港口运营体系。</w:t>
      </w:r>
    </w:p>
    <w:p w14:paraId="1AD6FCC5">
      <w:pPr>
        <w:spacing w:line="556" w:lineRule="exact"/>
        <w:ind w:firstLine="632" w:firstLineChars="200"/>
        <w:rPr>
          <w:rFonts w:hint="eastAsia" w:ascii="楷体_GB2312" w:hAnsi="楷体_GB2312" w:eastAsia="楷体_GB2312" w:cs="楷体_GB2312"/>
          <w:lang w:val="en-US" w:eastAsia="zh-CN"/>
        </w:rPr>
      </w:pPr>
      <w:r>
        <w:rPr>
          <w:rFonts w:hint="eastAsia" w:ascii="楷体_GB2312" w:hAnsi="楷体_GB2312" w:eastAsia="楷体_GB2312" w:cs="楷体_GB2312"/>
          <w:lang w:val="en-US" w:eastAsia="zh-CN"/>
        </w:rPr>
        <w:t>（二）强化协同联动，建强出海通道</w:t>
      </w:r>
    </w:p>
    <w:p w14:paraId="667D682A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中山港航集团立足中山，强化中山市货运口岸码头协同错位发展，深化组合港建设，赋能公路、铁路、空运多元联运模式，整合物流服务资源，建强出海通道和网络，促进湾区海洋经济可持续高质量发展。</w:t>
      </w:r>
    </w:p>
    <w:p w14:paraId="0B820126">
      <w:pPr>
        <w:spacing w:line="556" w:lineRule="exact"/>
        <w:ind w:firstLine="632" w:firstLineChars="200"/>
        <w:rPr>
          <w:rFonts w:hint="eastAsia" w:ascii="楷体_GB2312" w:hAnsi="楷体_GB2312" w:eastAsia="楷体_GB2312" w:cs="楷体_GB2312"/>
          <w:lang w:val="en-US" w:eastAsia="zh-CN"/>
        </w:rPr>
      </w:pPr>
      <w:r>
        <w:rPr>
          <w:rFonts w:hint="eastAsia" w:ascii="楷体_GB2312" w:hAnsi="楷体_GB2312" w:eastAsia="楷体_GB2312" w:cs="楷体_GB2312"/>
          <w:lang w:val="en-US" w:eastAsia="zh-CN"/>
        </w:rPr>
        <w:t>（三）拥抱新兴领域，助力港产城融合发展</w:t>
      </w:r>
    </w:p>
    <w:p w14:paraId="6A93BF2E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关注海洋牧场、海工产业等新兴海洋经济产业，充分发挥码头功能，发挥港口产业集聚效应，助力中山引入新兴海洋产业，进一步深化港产城融合发展。</w:t>
      </w:r>
    </w:p>
    <w:p w14:paraId="18A99D26"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中山港航集团将秉承国有控股企业的责任与担当，以服务地方经济发展为使命，与各方携手，向海图强，为广东省海洋经济高质量发展贡献港航力量。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633" w:bottom="1440" w:left="1746" w:header="851" w:footer="1400" w:gutter="0"/>
      <w:paperSrc/>
      <w:cols w:space="0" w:num="1"/>
      <w:rtlGutter w:val="0"/>
      <w:docGrid w:type="linesAndChars" w:linePitch="579" w:charSpace="-84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55A">
      <wne:acd wne:acdName="acd0"/>
    </wne:keymap>
    <wne:keymap wne:kcmPrimary="0553">
      <wne:acd wne:acdName="acd1"/>
    </wne:keymap>
  </wne:keymaps>
  <wne:acds>
    <wne:acd wne:argValue="AgBsUYdlOgBja4dl" wne:acdName="acd0" wne:fciIndexBasedOn="0065"/>
    <wne:acd wne:argValue="AgBsUYdlOgBja4dlKAApf9uPKQA=" wne:acdName="acd1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B841B5">
    <w:pPr>
      <w:pStyle w:val="2"/>
      <w:jc w:val="center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eastAsia="宋体" w:cs="宋体"/>
        <w:sz w:val="28"/>
        <w:lang w:eastAsia="zh-CN"/>
      </w:rPr>
      <w:t xml:space="preserve">— </w:t>
    </w:r>
    <w:r>
      <w:rPr>
        <w:rFonts w:hint="eastAsia" w:ascii="宋体" w:hAnsi="宋体" w:eastAsia="宋体" w:cs="宋体"/>
        <w:sz w:val="28"/>
        <w:lang w:eastAsia="zh-CN"/>
      </w:rPr>
      <w:fldChar w:fldCharType="begin"/>
    </w:r>
    <w:r>
      <w:rPr>
        <w:rFonts w:hint="eastAsia" w:ascii="宋体" w:hAnsi="宋体" w:eastAsia="宋体" w:cs="宋体"/>
        <w:sz w:val="28"/>
        <w:lang w:eastAsia="zh-CN"/>
      </w:rPr>
      <w:instrText xml:space="preserve"> PAGE \* Arabic \* MERGEFORMAT </w:instrText>
    </w:r>
    <w:r>
      <w:rPr>
        <w:rFonts w:hint="eastAsia" w:ascii="宋体" w:hAnsi="宋体" w:eastAsia="宋体" w:cs="宋体"/>
        <w:sz w:val="28"/>
        <w:lang w:eastAsia="zh-CN"/>
      </w:rPr>
      <w:fldChar w:fldCharType="separate"/>
    </w:r>
    <w:r>
      <w:rPr>
        <w:rFonts w:hint="eastAsia" w:ascii="宋体" w:hAnsi="宋体" w:eastAsia="宋体" w:cs="宋体"/>
        <w:sz w:val="28"/>
        <w:lang w:eastAsia="zh-CN"/>
      </w:rPr>
      <w:t>1</w:t>
    </w:r>
    <w:r>
      <w:rPr>
        <w:rFonts w:hint="eastAsia" w:ascii="宋体" w:hAnsi="宋体" w:eastAsia="宋体" w:cs="宋体"/>
        <w:sz w:val="28"/>
        <w:lang w:eastAsia="zh-CN"/>
      </w:rPr>
      <w:fldChar w:fldCharType="end"/>
    </w:r>
    <w:r>
      <w:rPr>
        <w:rFonts w:hint="eastAsia" w:ascii="宋体" w:hAnsi="宋体" w:eastAsia="宋体" w:cs="宋体"/>
        <w:sz w:val="28"/>
        <w:lang w:eastAsia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709C5C">
    <w:pPr>
      <w:pStyle w:val="2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76076F"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4FA1A5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9B62C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93AC4"/>
    <w:rsid w:val="00A3322B"/>
    <w:rsid w:val="00AD72E1"/>
    <w:rsid w:val="021D7789"/>
    <w:rsid w:val="02CE118C"/>
    <w:rsid w:val="04CF1651"/>
    <w:rsid w:val="07D66C9D"/>
    <w:rsid w:val="07DD08E9"/>
    <w:rsid w:val="096F3DAD"/>
    <w:rsid w:val="0DBF2181"/>
    <w:rsid w:val="0DF41401"/>
    <w:rsid w:val="0F357D2A"/>
    <w:rsid w:val="11BE42D7"/>
    <w:rsid w:val="12CE4450"/>
    <w:rsid w:val="1417235D"/>
    <w:rsid w:val="16881BF7"/>
    <w:rsid w:val="17D75278"/>
    <w:rsid w:val="18EA63CE"/>
    <w:rsid w:val="19413B62"/>
    <w:rsid w:val="1C121D65"/>
    <w:rsid w:val="1D8B28FF"/>
    <w:rsid w:val="1EBF7E6A"/>
    <w:rsid w:val="2042309C"/>
    <w:rsid w:val="23C4438A"/>
    <w:rsid w:val="26437257"/>
    <w:rsid w:val="27AB6C03"/>
    <w:rsid w:val="28AA0CE4"/>
    <w:rsid w:val="29D50F99"/>
    <w:rsid w:val="29EE2EED"/>
    <w:rsid w:val="2A63541A"/>
    <w:rsid w:val="2E0A3F8E"/>
    <w:rsid w:val="2EEC52F3"/>
    <w:rsid w:val="309A1108"/>
    <w:rsid w:val="30D56C5A"/>
    <w:rsid w:val="34D96B6E"/>
    <w:rsid w:val="36C23E2B"/>
    <w:rsid w:val="370C72C5"/>
    <w:rsid w:val="37E52585"/>
    <w:rsid w:val="395356D9"/>
    <w:rsid w:val="40AB5FC8"/>
    <w:rsid w:val="41BC2D26"/>
    <w:rsid w:val="42DE4155"/>
    <w:rsid w:val="431A3408"/>
    <w:rsid w:val="43EC3193"/>
    <w:rsid w:val="45B446F5"/>
    <w:rsid w:val="46403612"/>
    <w:rsid w:val="47EB4640"/>
    <w:rsid w:val="486326B5"/>
    <w:rsid w:val="48E94C8F"/>
    <w:rsid w:val="49714C57"/>
    <w:rsid w:val="4BF102BB"/>
    <w:rsid w:val="4BF83383"/>
    <w:rsid w:val="4D34692B"/>
    <w:rsid w:val="4D5A6A6F"/>
    <w:rsid w:val="4DA7713F"/>
    <w:rsid w:val="4DEB7267"/>
    <w:rsid w:val="4E795A61"/>
    <w:rsid w:val="4EA80B17"/>
    <w:rsid w:val="527A18AA"/>
    <w:rsid w:val="54705755"/>
    <w:rsid w:val="54B537E6"/>
    <w:rsid w:val="55115290"/>
    <w:rsid w:val="57370556"/>
    <w:rsid w:val="5FC51F63"/>
    <w:rsid w:val="612233A2"/>
    <w:rsid w:val="62C502A9"/>
    <w:rsid w:val="64E6103B"/>
    <w:rsid w:val="6558170C"/>
    <w:rsid w:val="658D5948"/>
    <w:rsid w:val="66416B6B"/>
    <w:rsid w:val="68B86AF1"/>
    <w:rsid w:val="68D81F3E"/>
    <w:rsid w:val="68FF659F"/>
    <w:rsid w:val="6ABB6C2A"/>
    <w:rsid w:val="6C69018A"/>
    <w:rsid w:val="6F4610AD"/>
    <w:rsid w:val="70AB5DB4"/>
    <w:rsid w:val="711F39BE"/>
    <w:rsid w:val="71C4110F"/>
    <w:rsid w:val="72EF0E97"/>
    <w:rsid w:val="758374BE"/>
    <w:rsid w:val="75DC7779"/>
    <w:rsid w:val="76A66219"/>
    <w:rsid w:val="76B4621D"/>
    <w:rsid w:val="777D7A5D"/>
    <w:rsid w:val="79921CCE"/>
    <w:rsid w:val="7A5C4435"/>
    <w:rsid w:val="7CED3864"/>
    <w:rsid w:val="7D296999"/>
    <w:rsid w:val="7FBB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6/relationships/keyMapCustomizations" Target="customizations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2023-06-27T03:39:00Z</dcterms:created>
  <dc:creator>Administrator</dc:creator>
  <cp:lastModifiedBy>刘倩秋</cp:lastModifiedBy>
  <cp:lastPrinted>2025-12-29T11:53:23Z</cp:lastPrinted>
  <dcterms:modified xsi:type="dcterms:W3CDTF">2025-12-29T11:57:17Z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FAA5B48758434248A14ED7B5799DD1E7</vt:lpwstr>
  </property>
</Properties>
</file>