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D036A2">
      <w:pPr>
        <w:keepNext w:val="0"/>
        <w:keepLines w:val="0"/>
        <w:pageBreakBefore w:val="0"/>
        <w:widowControl/>
        <w:kinsoku/>
        <w:wordWrap/>
        <w:overflowPunct/>
        <w:topLinePunct/>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b/>
          <w:bCs/>
          <w:color w:val="auto"/>
          <w:sz w:val="44"/>
          <w:szCs w:val="44"/>
          <w:highlight w:val="none"/>
          <w:lang w:val="en-US" w:eastAsia="zh-CN"/>
        </w:rPr>
      </w:pPr>
      <w:r>
        <w:rPr>
          <w:rFonts w:hint="eastAsia" w:ascii="方正小标宋简体" w:hAnsi="方正小标宋简体" w:eastAsia="方正小标宋简体" w:cs="方正小标宋简体"/>
          <w:b/>
          <w:bCs/>
          <w:sz w:val="44"/>
          <w:szCs w:val="44"/>
          <w:highlight w:val="none"/>
          <w:lang w:val="en-US" w:eastAsia="zh-CN"/>
        </w:rPr>
        <w:t>2026年东凤镇兴华中路</w:t>
      </w:r>
      <w:r>
        <w:rPr>
          <w:rFonts w:hint="eastAsia" w:ascii="方正小标宋简体" w:hAnsi="方正小标宋简体" w:eastAsia="方正小标宋简体" w:cs="方正小标宋简体"/>
          <w:b/>
          <w:bCs/>
          <w:color w:val="auto"/>
          <w:sz w:val="44"/>
          <w:szCs w:val="44"/>
          <w:highlight w:val="none"/>
          <w:lang w:val="en-US" w:eastAsia="zh-CN"/>
        </w:rPr>
        <w:t>灯光夜市步行街</w:t>
      </w:r>
    </w:p>
    <w:p w14:paraId="0639D4E7">
      <w:pPr>
        <w:keepNext w:val="0"/>
        <w:keepLines w:val="0"/>
        <w:pageBreakBefore w:val="0"/>
        <w:widowControl/>
        <w:kinsoku/>
        <w:wordWrap/>
        <w:overflowPunct/>
        <w:topLinePunct/>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bCs/>
          <w:color w:val="auto"/>
          <w:sz w:val="44"/>
          <w:szCs w:val="44"/>
          <w:highlight w:val="none"/>
        </w:rPr>
        <w:t>流</w:t>
      </w:r>
      <w:r>
        <w:rPr>
          <w:rFonts w:hint="eastAsia" w:ascii="方正小标宋简体" w:hAnsi="方正小标宋简体" w:eastAsia="方正小标宋简体" w:cs="方正小标宋简体"/>
          <w:b/>
          <w:bCs/>
          <w:sz w:val="44"/>
          <w:szCs w:val="44"/>
          <w:highlight w:val="none"/>
        </w:rPr>
        <w:t>动摊位</w:t>
      </w:r>
      <w:r>
        <w:rPr>
          <w:rFonts w:hint="eastAsia" w:ascii="方正小标宋简体" w:hAnsi="方正小标宋简体" w:eastAsia="方正小标宋简体" w:cs="方正小标宋简体"/>
          <w:b/>
          <w:bCs/>
          <w:sz w:val="44"/>
          <w:szCs w:val="44"/>
          <w:highlight w:val="none"/>
          <w:lang w:val="en-US" w:eastAsia="zh-CN"/>
        </w:rPr>
        <w:t>招商方案</w:t>
      </w:r>
    </w:p>
    <w:p w14:paraId="51B629B1">
      <w:pPr>
        <w:keepNext w:val="0"/>
        <w:keepLines w:val="0"/>
        <w:pageBreakBefore w:val="0"/>
        <w:kinsoku/>
        <w:wordWrap/>
        <w:overflowPunct/>
        <w:topLinePunct/>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p>
    <w:p w14:paraId="406C41AC">
      <w:pPr>
        <w:keepNext w:val="0"/>
        <w:keepLines w:val="0"/>
        <w:pageBreakBefore w:val="0"/>
        <w:kinsoku/>
        <w:wordWrap/>
        <w:overflowPunct/>
        <w:topLinePunct/>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为挖掘夜间消费动能，升级夜间消费场景，形成“</w:t>
      </w:r>
      <w:r>
        <w:rPr>
          <w:rFonts w:hint="eastAsia" w:ascii="仿宋_GB2312" w:hAnsi="仿宋_GB2312" w:eastAsia="仿宋_GB2312" w:cs="仿宋_GB2312"/>
          <w:b w:val="0"/>
          <w:bCs w:val="0"/>
          <w:color w:val="auto"/>
          <w:sz w:val="32"/>
          <w:szCs w:val="32"/>
          <w:highlight w:val="none"/>
        </w:rPr>
        <w:t>食、游、娱、购、体、展、演</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于一体的特色</w:t>
      </w:r>
      <w:r>
        <w:rPr>
          <w:rFonts w:hint="eastAsia" w:ascii="仿宋_GB2312" w:hAnsi="仿宋_GB2312" w:eastAsia="仿宋_GB2312" w:cs="仿宋_GB2312"/>
          <w:b w:val="0"/>
          <w:bCs w:val="0"/>
          <w:color w:val="auto"/>
          <w:sz w:val="32"/>
          <w:szCs w:val="32"/>
          <w:highlight w:val="none"/>
          <w:lang w:val="en-US" w:eastAsia="zh-CN"/>
        </w:rPr>
        <w:t>新业态，经镇政府相关主管部门同意，对兴华中路和兴华中路二街路段流动摊位进行对外公开招商，招商方案如下：</w:t>
      </w:r>
    </w:p>
    <w:p w14:paraId="36D9D9CD">
      <w:pPr>
        <w:pStyle w:val="2"/>
        <w:keepNext w:val="0"/>
        <w:keepLines w:val="0"/>
        <w:pageBreakBefore w:val="0"/>
        <w:widowControl w:val="0"/>
        <w:numPr>
          <w:ilvl w:val="0"/>
          <w:numId w:val="0"/>
        </w:numPr>
        <w:kinsoku/>
        <w:wordWrap/>
        <w:overflowPunct/>
        <w:topLinePunct/>
        <w:autoSpaceDE/>
        <w:autoSpaceDN/>
        <w:bidi w:val="0"/>
        <w:adjustRightInd/>
        <w:snapToGrid/>
        <w:spacing w:line="52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一、</w:t>
      </w:r>
      <w:r>
        <w:rPr>
          <w:rFonts w:hint="eastAsia" w:ascii="仿宋_GB2312" w:hAnsi="仿宋_GB2312" w:eastAsia="仿宋_GB2312" w:cs="仿宋_GB2312"/>
          <w:b/>
          <w:bCs/>
          <w:color w:val="auto"/>
          <w:sz w:val="32"/>
          <w:szCs w:val="32"/>
          <w:highlight w:val="none"/>
        </w:rPr>
        <w:t>招</w:t>
      </w:r>
      <w:r>
        <w:rPr>
          <w:rFonts w:hint="eastAsia" w:ascii="仿宋_GB2312" w:hAnsi="仿宋_GB2312" w:eastAsia="仿宋_GB2312" w:cs="仿宋_GB2312"/>
          <w:b/>
          <w:bCs/>
          <w:color w:val="auto"/>
          <w:sz w:val="32"/>
          <w:szCs w:val="32"/>
          <w:highlight w:val="none"/>
          <w:lang w:val="en-US" w:eastAsia="zh-CN"/>
        </w:rPr>
        <w:t>商</w:t>
      </w:r>
      <w:r>
        <w:rPr>
          <w:rFonts w:hint="eastAsia" w:ascii="仿宋_GB2312" w:hAnsi="仿宋_GB2312" w:eastAsia="仿宋_GB2312" w:cs="仿宋_GB2312"/>
          <w:b/>
          <w:bCs/>
          <w:color w:val="auto"/>
          <w:sz w:val="32"/>
          <w:szCs w:val="32"/>
          <w:highlight w:val="none"/>
        </w:rPr>
        <w:t>单位</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管理单位）</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val="0"/>
          <w:bCs w:val="0"/>
          <w:color w:val="auto"/>
          <w:sz w:val="32"/>
          <w:szCs w:val="32"/>
          <w:highlight w:val="none"/>
        </w:rPr>
        <w:t>中山市</w:t>
      </w:r>
      <w:r>
        <w:rPr>
          <w:rFonts w:hint="eastAsia" w:ascii="仿宋_GB2312" w:hAnsi="仿宋_GB2312" w:eastAsia="仿宋_GB2312" w:cs="仿宋_GB2312"/>
          <w:b w:val="0"/>
          <w:bCs w:val="0"/>
          <w:color w:val="auto"/>
          <w:sz w:val="32"/>
          <w:szCs w:val="32"/>
          <w:highlight w:val="none"/>
          <w:lang w:val="en-US" w:eastAsia="zh-CN"/>
        </w:rPr>
        <w:t>凤创企业管理</w:t>
      </w:r>
      <w:r>
        <w:rPr>
          <w:rFonts w:hint="eastAsia" w:ascii="仿宋_GB2312" w:hAnsi="仿宋_GB2312" w:eastAsia="仿宋_GB2312" w:cs="仿宋_GB2312"/>
          <w:b w:val="0"/>
          <w:bCs w:val="0"/>
          <w:color w:val="auto"/>
          <w:sz w:val="32"/>
          <w:szCs w:val="32"/>
          <w:highlight w:val="none"/>
        </w:rPr>
        <w:t>有限</w:t>
      </w:r>
      <w:r>
        <w:rPr>
          <w:rFonts w:hint="eastAsia" w:ascii="仿宋_GB2312" w:hAnsi="仿宋_GB2312" w:eastAsia="仿宋_GB2312" w:cs="仿宋_GB2312"/>
          <w:b w:val="0"/>
          <w:bCs w:val="0"/>
          <w:color w:val="auto"/>
          <w:sz w:val="32"/>
          <w:szCs w:val="32"/>
          <w:highlight w:val="none"/>
          <w:lang w:val="en-US" w:eastAsia="zh-CN"/>
        </w:rPr>
        <w:t>责任</w:t>
      </w:r>
      <w:r>
        <w:rPr>
          <w:rFonts w:hint="eastAsia" w:ascii="仿宋_GB2312" w:hAnsi="仿宋_GB2312" w:eastAsia="仿宋_GB2312" w:cs="仿宋_GB2312"/>
          <w:b w:val="0"/>
          <w:bCs w:val="0"/>
          <w:color w:val="auto"/>
          <w:sz w:val="32"/>
          <w:szCs w:val="32"/>
          <w:highlight w:val="none"/>
        </w:rPr>
        <w:t>公司</w:t>
      </w:r>
    </w:p>
    <w:p w14:paraId="1FE35840">
      <w:pPr>
        <w:pStyle w:val="2"/>
        <w:keepNext w:val="0"/>
        <w:keepLines w:val="0"/>
        <w:pageBreakBefore w:val="0"/>
        <w:numPr>
          <w:ilvl w:val="0"/>
          <w:numId w:val="0"/>
        </w:numPr>
        <w:kinsoku/>
        <w:wordWrap/>
        <w:overflowPunct/>
        <w:topLinePunct/>
        <w:autoSpaceDE/>
        <w:autoSpaceDN/>
        <w:bidi w:val="0"/>
        <w:adjustRightInd/>
        <w:snapToGrid/>
        <w:spacing w:line="520" w:lineRule="exact"/>
        <w:ind w:left="0" w:lef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二、经营期限及经营范围：</w:t>
      </w:r>
    </w:p>
    <w:p w14:paraId="26C4D24C">
      <w:pPr>
        <w:pStyle w:val="2"/>
        <w:keepNext w:val="0"/>
        <w:keepLines w:val="0"/>
        <w:pageBreakBefore w:val="0"/>
        <w:numPr>
          <w:ilvl w:val="0"/>
          <w:numId w:val="0"/>
        </w:numPr>
        <w:kinsoku/>
        <w:wordWrap/>
        <w:overflowPunct/>
        <w:topLinePunct/>
        <w:autoSpaceDE/>
        <w:autoSpaceDN/>
        <w:bidi w:val="0"/>
        <w:adjustRightInd/>
        <w:snapToGrid/>
        <w:spacing w:line="520" w:lineRule="exact"/>
        <w:ind w:left="0" w:leftChars="0" w:firstLine="643" w:firstLineChars="200"/>
        <w:jc w:val="both"/>
        <w:textAlignment w:val="auto"/>
        <w:outlineLvl w:val="9"/>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兴华中路二街</w:t>
      </w:r>
    </w:p>
    <w:p w14:paraId="29E2AF7F">
      <w:pPr>
        <w:pStyle w:val="2"/>
        <w:keepNext w:val="0"/>
        <w:keepLines w:val="0"/>
        <w:pageBreakBefore w:val="0"/>
        <w:widowControl w:val="0"/>
        <w:numPr>
          <w:ilvl w:val="0"/>
          <w:numId w:val="0"/>
        </w:numPr>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经营期限：</w:t>
      </w:r>
      <w:r>
        <w:rPr>
          <w:rFonts w:hint="eastAsia" w:ascii="仿宋_GB2312" w:hAnsi="仿宋_GB2312" w:eastAsia="仿宋_GB2312" w:cs="仿宋_GB2312"/>
          <w:b/>
          <w:bCs/>
          <w:color w:val="auto"/>
          <w:sz w:val="32"/>
          <w:szCs w:val="32"/>
          <w:highlight w:val="none"/>
        </w:rPr>
        <w:t>20</w:t>
      </w:r>
      <w:r>
        <w:rPr>
          <w:rFonts w:hint="eastAsia" w:ascii="仿宋_GB2312" w:hAnsi="仿宋_GB2312" w:eastAsia="仿宋_GB2312" w:cs="仿宋_GB2312"/>
          <w:b/>
          <w:bCs/>
          <w:color w:val="auto"/>
          <w:sz w:val="32"/>
          <w:szCs w:val="32"/>
          <w:highlight w:val="none"/>
          <w:lang w:val="en-US"/>
        </w:rPr>
        <w:t>2</w:t>
      </w:r>
      <w:r>
        <w:rPr>
          <w:rFonts w:hint="eastAsia" w:ascii="仿宋_GB2312" w:hAnsi="仿宋_GB2312" w:eastAsia="仿宋_GB2312" w:cs="仿宋_GB2312"/>
          <w:b/>
          <w:bCs/>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rPr>
        <w:t>年</w:t>
      </w: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rPr>
        <w:t>月</w:t>
      </w: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rPr>
        <w:t>日至20</w:t>
      </w:r>
      <w:r>
        <w:rPr>
          <w:rFonts w:hint="eastAsia" w:ascii="仿宋_GB2312" w:hAnsi="仿宋_GB2312" w:eastAsia="仿宋_GB2312" w:cs="仿宋_GB2312"/>
          <w:b/>
          <w:bCs/>
          <w:color w:val="auto"/>
          <w:sz w:val="32"/>
          <w:szCs w:val="32"/>
          <w:highlight w:val="none"/>
          <w:lang w:val="en-US"/>
        </w:rPr>
        <w:t>2</w:t>
      </w:r>
      <w:r>
        <w:rPr>
          <w:rFonts w:hint="eastAsia" w:ascii="仿宋_GB2312" w:hAnsi="仿宋_GB2312" w:eastAsia="仿宋_GB2312" w:cs="仿宋_GB2312"/>
          <w:b/>
          <w:bCs/>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rPr>
        <w:t>年</w:t>
      </w:r>
      <w:r>
        <w:rPr>
          <w:rFonts w:hint="eastAsia" w:ascii="仿宋_GB2312" w:hAnsi="仿宋_GB2312" w:eastAsia="仿宋_GB2312" w:cs="仿宋_GB2312"/>
          <w:b/>
          <w:bCs/>
          <w:color w:val="auto"/>
          <w:sz w:val="32"/>
          <w:szCs w:val="32"/>
          <w:highlight w:val="none"/>
          <w:lang w:val="en-US" w:eastAsia="zh-CN"/>
        </w:rPr>
        <w:t>12</w:t>
      </w:r>
      <w:r>
        <w:rPr>
          <w:rFonts w:hint="eastAsia" w:ascii="仿宋_GB2312" w:hAnsi="仿宋_GB2312" w:eastAsia="仿宋_GB2312" w:cs="仿宋_GB2312"/>
          <w:b/>
          <w:bCs/>
          <w:color w:val="auto"/>
          <w:sz w:val="32"/>
          <w:szCs w:val="32"/>
          <w:highlight w:val="none"/>
        </w:rPr>
        <w:t>月</w:t>
      </w:r>
      <w:r>
        <w:rPr>
          <w:rFonts w:hint="eastAsia" w:ascii="仿宋_GB2312" w:hAnsi="仿宋_GB2312" w:eastAsia="仿宋_GB2312" w:cs="仿宋_GB2312"/>
          <w:b/>
          <w:bCs/>
          <w:color w:val="auto"/>
          <w:sz w:val="32"/>
          <w:szCs w:val="32"/>
          <w:highlight w:val="none"/>
          <w:lang w:val="en-US" w:eastAsia="zh-CN"/>
        </w:rPr>
        <w:t>31</w:t>
      </w:r>
      <w:r>
        <w:rPr>
          <w:rFonts w:hint="eastAsia" w:ascii="仿宋_GB2312" w:hAnsi="仿宋_GB2312" w:eastAsia="仿宋_GB2312" w:cs="仿宋_GB2312"/>
          <w:b/>
          <w:bCs/>
          <w:color w:val="auto"/>
          <w:sz w:val="32"/>
          <w:szCs w:val="32"/>
          <w:highlight w:val="none"/>
        </w:rPr>
        <w:t>日</w:t>
      </w:r>
      <w:r>
        <w:rPr>
          <w:rFonts w:hint="eastAsia" w:ascii="仿宋_GB2312" w:hAnsi="仿宋_GB2312" w:eastAsia="仿宋_GB2312" w:cs="仿宋_GB2312"/>
          <w:b w:val="0"/>
          <w:bCs w:val="0"/>
          <w:color w:val="auto"/>
          <w:sz w:val="32"/>
          <w:szCs w:val="32"/>
          <w:highlight w:val="none"/>
          <w:lang w:eastAsia="zh-CN"/>
        </w:rPr>
        <w:t>。</w:t>
      </w:r>
    </w:p>
    <w:p w14:paraId="7A9B1586">
      <w:pPr>
        <w:keepNext w:val="0"/>
        <w:keepLines w:val="0"/>
        <w:pageBreakBefore w:val="0"/>
        <w:kinsoku/>
        <w:wordWrap/>
        <w:overflowPunct/>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经营范围：兴华中路二街为经营临时熟食、小吃、烧烤类等。经营时间为每天17:00至次日凌晨02:00。</w:t>
      </w:r>
    </w:p>
    <w:p w14:paraId="01B5E5CF">
      <w:pPr>
        <w:keepNext w:val="0"/>
        <w:keepLines w:val="0"/>
        <w:pageBreakBefore w:val="0"/>
        <w:kinsoku/>
        <w:wordWrap/>
        <w:overflowPunct/>
        <w:autoSpaceDE/>
        <w:autoSpaceDN/>
        <w:bidi w:val="0"/>
        <w:adjustRightInd/>
        <w:snapToGrid/>
        <w:spacing w:line="520"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highlight w:val="none"/>
          <w:lang w:val="en-US" w:eastAsia="zh-CN"/>
        </w:rPr>
        <w:t>兴华中路</w:t>
      </w:r>
    </w:p>
    <w:p w14:paraId="7BD21E7B">
      <w:pPr>
        <w:pStyle w:val="2"/>
        <w:keepNext w:val="0"/>
        <w:keepLines w:val="0"/>
        <w:pageBreakBefore w:val="0"/>
        <w:widowControl/>
        <w:numPr>
          <w:ilvl w:val="0"/>
          <w:numId w:val="0"/>
        </w:numPr>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经营期限：</w:t>
      </w:r>
      <w:r>
        <w:rPr>
          <w:rFonts w:hint="eastAsia" w:ascii="仿宋_GB2312" w:hAnsi="仿宋_GB2312" w:eastAsia="仿宋_GB2312" w:cs="仿宋_GB2312"/>
          <w:b/>
          <w:bCs/>
          <w:color w:val="auto"/>
          <w:sz w:val="32"/>
          <w:szCs w:val="32"/>
          <w:highlight w:val="none"/>
        </w:rPr>
        <w:t>20</w:t>
      </w:r>
      <w:r>
        <w:rPr>
          <w:rFonts w:hint="eastAsia" w:ascii="仿宋_GB2312" w:hAnsi="仿宋_GB2312" w:eastAsia="仿宋_GB2312" w:cs="仿宋_GB2312"/>
          <w:b/>
          <w:bCs/>
          <w:color w:val="auto"/>
          <w:sz w:val="32"/>
          <w:szCs w:val="32"/>
          <w:highlight w:val="none"/>
          <w:lang w:val="en-US"/>
        </w:rPr>
        <w:t>2</w:t>
      </w:r>
      <w:r>
        <w:rPr>
          <w:rFonts w:hint="eastAsia" w:ascii="仿宋_GB2312" w:hAnsi="仿宋_GB2312" w:eastAsia="仿宋_GB2312" w:cs="仿宋_GB2312"/>
          <w:b/>
          <w:bCs/>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rPr>
        <w:t>年</w:t>
      </w: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rPr>
        <w:t>月</w:t>
      </w: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rPr>
        <w:t>日至20</w:t>
      </w:r>
      <w:r>
        <w:rPr>
          <w:rFonts w:hint="eastAsia" w:ascii="仿宋_GB2312" w:hAnsi="仿宋_GB2312" w:eastAsia="仿宋_GB2312" w:cs="仿宋_GB2312"/>
          <w:b/>
          <w:bCs/>
          <w:color w:val="auto"/>
          <w:sz w:val="32"/>
          <w:szCs w:val="32"/>
          <w:highlight w:val="none"/>
          <w:lang w:val="en-US"/>
        </w:rPr>
        <w:t>2</w:t>
      </w:r>
      <w:r>
        <w:rPr>
          <w:rFonts w:hint="eastAsia" w:ascii="仿宋_GB2312" w:hAnsi="仿宋_GB2312" w:eastAsia="仿宋_GB2312" w:cs="仿宋_GB2312"/>
          <w:b/>
          <w:bCs/>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rPr>
        <w:t>年</w:t>
      </w:r>
      <w:r>
        <w:rPr>
          <w:rFonts w:hint="eastAsia" w:ascii="仿宋_GB2312" w:hAnsi="仿宋_GB2312" w:eastAsia="仿宋_GB2312" w:cs="仿宋_GB2312"/>
          <w:b/>
          <w:bCs/>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rPr>
        <w:t>月</w:t>
      </w:r>
      <w:r>
        <w:rPr>
          <w:rFonts w:hint="eastAsia" w:ascii="仿宋_GB2312" w:hAnsi="仿宋_GB2312" w:eastAsia="仿宋_GB2312" w:cs="仿宋_GB2312"/>
          <w:b/>
          <w:bCs/>
          <w:color w:val="auto"/>
          <w:sz w:val="32"/>
          <w:szCs w:val="32"/>
          <w:highlight w:val="none"/>
          <w:lang w:val="en-US" w:eastAsia="zh-CN"/>
        </w:rPr>
        <w:t>30</w:t>
      </w:r>
      <w:r>
        <w:rPr>
          <w:rFonts w:hint="eastAsia" w:ascii="仿宋_GB2312" w:hAnsi="仿宋_GB2312" w:eastAsia="仿宋_GB2312" w:cs="仿宋_GB2312"/>
          <w:b/>
          <w:bCs/>
          <w:color w:val="auto"/>
          <w:sz w:val="32"/>
          <w:szCs w:val="32"/>
          <w:highlight w:val="none"/>
        </w:rPr>
        <w:t>日</w:t>
      </w:r>
    </w:p>
    <w:p w14:paraId="0BF2AF47">
      <w:pPr>
        <w:keepNext w:val="0"/>
        <w:keepLines w:val="0"/>
        <w:pageBreakBefore w:val="0"/>
        <w:widowControl w:val="0"/>
        <w:numPr>
          <w:ilvl w:val="0"/>
          <w:numId w:val="0"/>
        </w:numPr>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经营范围：兴华中路为经营服装、日用小百货、小装饰品、茶饮、小商品等，严禁使用明火经营。经营时间为每天19:00至次日凌晨02:00。</w:t>
      </w:r>
    </w:p>
    <w:p w14:paraId="3ED3DF80">
      <w:pPr>
        <w:pStyle w:val="2"/>
        <w:keepNext w:val="0"/>
        <w:keepLines w:val="0"/>
        <w:pageBreakBefore w:val="0"/>
        <w:widowControl/>
        <w:numPr>
          <w:ilvl w:val="0"/>
          <w:numId w:val="0"/>
        </w:numPr>
        <w:kinsoku/>
        <w:wordWrap/>
        <w:overflowPunct/>
        <w:topLinePunct/>
        <w:autoSpaceDE/>
        <w:autoSpaceDN/>
        <w:bidi w:val="0"/>
        <w:adjustRightInd/>
        <w:snapToGrid/>
        <w:spacing w:line="520" w:lineRule="exact"/>
        <w:ind w:left="0" w:leftChars="0" w:right="0" w:rightChars="0" w:firstLine="643" w:firstLineChars="200"/>
        <w:jc w:val="both"/>
        <w:textAlignment w:val="auto"/>
        <w:outlineLvl w:val="9"/>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中标经营者需要使用商品秤的，由管理单位现场统一免费提供，经营者每天到管理处领取并归还</w:t>
      </w:r>
      <w:r>
        <w:rPr>
          <w:rFonts w:hint="eastAsia" w:ascii="仿宋_GB2312" w:hAnsi="仿宋_GB2312" w:eastAsia="仿宋_GB2312" w:cs="仿宋_GB2312"/>
          <w:b w:val="0"/>
          <w:bCs w:val="0"/>
          <w:color w:val="auto"/>
          <w:sz w:val="32"/>
          <w:szCs w:val="32"/>
          <w:highlight w:val="none"/>
          <w:lang w:val="en-US" w:eastAsia="zh-CN"/>
        </w:rPr>
        <w:t>。</w:t>
      </w:r>
    </w:p>
    <w:p w14:paraId="3AB589BD">
      <w:pPr>
        <w:pStyle w:val="2"/>
        <w:keepNext w:val="0"/>
        <w:keepLines w:val="0"/>
        <w:pageBreakBefore w:val="0"/>
        <w:numPr>
          <w:ilvl w:val="0"/>
          <w:numId w:val="5"/>
        </w:numPr>
        <w:kinsoku/>
        <w:wordWrap/>
        <w:overflowPunct/>
        <w:topLinePunct/>
        <w:autoSpaceDE/>
        <w:autoSpaceDN/>
        <w:bidi w:val="0"/>
        <w:adjustRightInd/>
        <w:snapToGrid/>
        <w:spacing w:line="520" w:lineRule="exact"/>
        <w:ind w:left="0" w:leftChars="0" w:firstLine="643" w:firstLineChars="200"/>
        <w:jc w:val="both"/>
        <w:textAlignment w:val="auto"/>
        <w:rPr>
          <w:rFonts w:hint="eastAsia"/>
          <w:lang w:val="en-US" w:eastAsia="zh-CN"/>
        </w:rPr>
      </w:pPr>
      <w:r>
        <w:rPr>
          <w:rFonts w:hint="eastAsia" w:ascii="仿宋_GB2312" w:hAnsi="仿宋_GB2312" w:eastAsia="仿宋_GB2312" w:cs="仿宋_GB2312"/>
          <w:b/>
          <w:bCs/>
          <w:color w:val="auto"/>
          <w:sz w:val="32"/>
          <w:szCs w:val="32"/>
          <w:highlight w:val="none"/>
          <w:lang w:val="en-US" w:eastAsia="zh-CN"/>
        </w:rPr>
        <w:t>摊位数量和规格：</w:t>
      </w:r>
      <w:r>
        <w:rPr>
          <w:rFonts w:hint="eastAsia" w:ascii="仿宋_GB2312" w:hAnsi="仿宋_GB2312" w:eastAsia="仿宋_GB2312" w:cs="仿宋_GB2312"/>
          <w:b w:val="0"/>
          <w:bCs w:val="0"/>
          <w:color w:val="auto"/>
          <w:sz w:val="32"/>
          <w:szCs w:val="32"/>
          <w:highlight w:val="none"/>
          <w:lang w:val="en-US" w:eastAsia="zh-CN"/>
        </w:rPr>
        <w:t>总摊位数77个，其中:兴华中路二街39个，兴华中路38个。</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98"/>
        <w:gridCol w:w="5362"/>
      </w:tblGrid>
      <w:tr w14:paraId="7174A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4298" w:type="dxa"/>
          </w:tcPr>
          <w:p w14:paraId="02A6D3C5">
            <w:pPr>
              <w:widowControl w:val="0"/>
              <w:numPr>
                <w:ilvl w:val="0"/>
                <w:numId w:val="0"/>
              </w:numPr>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经营区域</w:t>
            </w:r>
          </w:p>
        </w:tc>
        <w:tc>
          <w:tcPr>
            <w:tcW w:w="5362" w:type="dxa"/>
          </w:tcPr>
          <w:p w14:paraId="3E527C0A">
            <w:pPr>
              <w:widowControl w:val="0"/>
              <w:numPr>
                <w:ilvl w:val="0"/>
                <w:numId w:val="0"/>
              </w:num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摊位尺寸及数量</w:t>
            </w:r>
          </w:p>
        </w:tc>
      </w:tr>
      <w:tr w14:paraId="51C8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4298" w:type="dxa"/>
          </w:tcPr>
          <w:p w14:paraId="0A0790F0">
            <w:pPr>
              <w:widowControl w:val="0"/>
              <w:numPr>
                <w:ilvl w:val="0"/>
                <w:numId w:val="0"/>
              </w:numPr>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兴华中路二街</w:t>
            </w:r>
          </w:p>
        </w:tc>
        <w:tc>
          <w:tcPr>
            <w:tcW w:w="5362" w:type="dxa"/>
          </w:tcPr>
          <w:p w14:paraId="2F7D0A2F">
            <w:pPr>
              <w:keepNext w:val="0"/>
              <w:keepLines w:val="0"/>
              <w:pageBreakBefore w:val="0"/>
              <w:widowControl w:val="0"/>
              <w:kinsoku/>
              <w:wordWrap/>
              <w:overflowPunct/>
              <w:topLinePunct/>
              <w:autoSpaceDE/>
              <w:autoSpaceDN/>
              <w:bidi w:val="0"/>
              <w:adjustRightInd/>
              <w:snapToGrid/>
              <w:spacing w:line="520" w:lineRule="exact"/>
              <w:ind w:left="0" w:leftChars="0" w:firstLine="0" w:firstLineChars="0"/>
              <w:jc w:val="center"/>
              <w:textAlignment w:val="auto"/>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val="0"/>
                <w:bCs w:val="0"/>
                <w:color w:val="auto"/>
                <w:sz w:val="32"/>
                <w:szCs w:val="32"/>
                <w:highlight w:val="none"/>
                <w:lang w:val="en-US" w:eastAsia="zh-CN"/>
              </w:rPr>
              <w:t>尺寸：3米*2米（数量：39个）</w:t>
            </w:r>
          </w:p>
        </w:tc>
      </w:tr>
      <w:tr w14:paraId="66552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4298" w:type="dxa"/>
          </w:tcPr>
          <w:p w14:paraId="7884A5BF">
            <w:pPr>
              <w:widowControl w:val="0"/>
              <w:numPr>
                <w:ilvl w:val="0"/>
                <w:numId w:val="0"/>
              </w:numPr>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兴华中路</w:t>
            </w:r>
          </w:p>
        </w:tc>
        <w:tc>
          <w:tcPr>
            <w:tcW w:w="5362" w:type="dxa"/>
          </w:tcPr>
          <w:p w14:paraId="1D2B7E0C">
            <w:pPr>
              <w:keepNext w:val="0"/>
              <w:keepLines w:val="0"/>
              <w:pageBreakBefore w:val="0"/>
              <w:widowControl w:val="0"/>
              <w:kinsoku/>
              <w:wordWrap/>
              <w:overflowPunct/>
              <w:topLinePunct/>
              <w:autoSpaceDE/>
              <w:autoSpaceDN/>
              <w:bidi w:val="0"/>
              <w:adjustRightInd/>
              <w:snapToGrid/>
              <w:spacing w:line="520" w:lineRule="exact"/>
              <w:ind w:left="0" w:leftChars="0" w:firstLine="0" w:firstLineChars="0"/>
              <w:jc w:val="center"/>
              <w:textAlignment w:val="auto"/>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val="0"/>
                <w:bCs w:val="0"/>
                <w:color w:val="auto"/>
                <w:sz w:val="32"/>
                <w:szCs w:val="32"/>
                <w:highlight w:val="none"/>
                <w:lang w:val="en-US" w:eastAsia="zh-CN"/>
              </w:rPr>
              <w:t>尺寸：3米*2米（数量：38个）</w:t>
            </w:r>
          </w:p>
        </w:tc>
      </w:tr>
    </w:tbl>
    <w:p w14:paraId="1EDD6FD5">
      <w:pPr>
        <w:pStyle w:val="2"/>
        <w:keepNext w:val="0"/>
        <w:keepLines w:val="0"/>
        <w:pageBreakBefore w:val="0"/>
        <w:widowControl/>
        <w:numPr>
          <w:ilvl w:val="0"/>
          <w:numId w:val="0"/>
        </w:numPr>
        <w:kinsoku/>
        <w:wordWrap/>
        <w:overflowPunct/>
        <w:topLinePunct/>
        <w:autoSpaceDE/>
        <w:autoSpaceDN/>
        <w:bidi w:val="0"/>
        <w:adjustRightInd/>
        <w:snapToGrid/>
        <w:spacing w:line="52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四、</w:t>
      </w:r>
      <w:r>
        <w:rPr>
          <w:rFonts w:hint="eastAsia" w:ascii="仿宋_GB2312" w:hAnsi="仿宋_GB2312" w:eastAsia="仿宋_GB2312" w:cs="仿宋_GB2312"/>
          <w:b w:val="0"/>
          <w:bCs w:val="0"/>
          <w:color w:val="auto"/>
          <w:sz w:val="32"/>
          <w:szCs w:val="32"/>
          <w:highlight w:val="none"/>
          <w:lang w:val="en-US" w:eastAsia="zh-CN"/>
        </w:rPr>
        <w:t>租场费采取先支付，后使用原则，中标经营者需要在每月27日前支付次月租场费，若因经营者原因，导致租赁关系提前终止，管理单位将没收履约保证金并收回摊位。如因不能预见、不能避免并不能克服的客观情况（包括政府职能部门要求停止摆摊）导致协议无法继续履行的，协议自动终止，中标经营者须无条件配合撤离工作，相关履约保证金由</w:t>
      </w:r>
      <w:r>
        <w:rPr>
          <w:rFonts w:hint="eastAsia" w:ascii="仿宋_GB2312" w:hAnsi="仿宋_GB2312" w:eastAsia="仿宋_GB2312" w:cs="仿宋_GB2312"/>
          <w:b w:val="0"/>
          <w:bCs w:val="0"/>
          <w:color w:val="auto"/>
          <w:sz w:val="32"/>
          <w:szCs w:val="32"/>
          <w:highlight w:val="none"/>
          <w:shd w:val="clear" w:color="auto" w:fill="auto"/>
          <w:lang w:val="en-US" w:eastAsia="zh-CN"/>
        </w:rPr>
        <w:t>管理单位</w:t>
      </w:r>
      <w:r>
        <w:rPr>
          <w:rFonts w:hint="eastAsia" w:ascii="仿宋_GB2312" w:hAnsi="仿宋_GB2312" w:eastAsia="仿宋_GB2312" w:cs="仿宋_GB2312"/>
          <w:b w:val="0"/>
          <w:bCs w:val="0"/>
          <w:color w:val="auto"/>
          <w:sz w:val="32"/>
          <w:szCs w:val="32"/>
          <w:highlight w:val="none"/>
          <w:lang w:val="en-US" w:eastAsia="zh-CN"/>
        </w:rPr>
        <w:t>无息退还，</w:t>
      </w:r>
      <w:r>
        <w:rPr>
          <w:rFonts w:hint="eastAsia" w:ascii="仿宋_GB2312" w:hAnsi="仿宋_GB2312" w:eastAsia="仿宋_GB2312" w:cs="仿宋_GB2312"/>
          <w:b/>
          <w:bCs/>
          <w:color w:val="auto"/>
          <w:sz w:val="32"/>
          <w:szCs w:val="32"/>
          <w:highlight w:val="none"/>
          <w:lang w:val="en-US" w:eastAsia="zh-CN"/>
        </w:rPr>
        <w:t>（2026年2月14日至2026年2月23日夜市街休市10天，2026年1月1日至2月28日的租场费合计按1个月收取）</w:t>
      </w:r>
      <w:r>
        <w:rPr>
          <w:rFonts w:hint="eastAsia" w:ascii="仿宋_GB2312" w:hAnsi="仿宋_GB2312" w:eastAsia="仿宋_GB2312" w:cs="仿宋_GB2312"/>
          <w:b w:val="0"/>
          <w:bCs w:val="0"/>
          <w:color w:val="auto"/>
          <w:sz w:val="32"/>
          <w:szCs w:val="32"/>
          <w:highlight w:val="none"/>
          <w:lang w:val="en-US" w:eastAsia="zh-CN"/>
        </w:rPr>
        <w:t>。</w:t>
      </w:r>
    </w:p>
    <w:p w14:paraId="58AE5CDC">
      <w:pPr>
        <w:pStyle w:val="2"/>
        <w:keepNext w:val="0"/>
        <w:keepLines w:val="0"/>
        <w:pageBreakBefore w:val="0"/>
        <w:numPr>
          <w:ilvl w:val="0"/>
          <w:numId w:val="0"/>
        </w:numPr>
        <w:kinsoku/>
        <w:wordWrap/>
        <w:overflowPunct/>
        <w:topLinePunct w:val="0"/>
        <w:autoSpaceDE/>
        <w:autoSpaceDN/>
        <w:bidi w:val="0"/>
        <w:adjustRightInd/>
        <w:snapToGrid/>
        <w:spacing w:line="520" w:lineRule="exact"/>
        <w:ind w:left="0" w:lef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五、竞投底价：</w:t>
      </w:r>
    </w:p>
    <w:p w14:paraId="798B1572">
      <w:pPr>
        <w:pStyle w:val="2"/>
        <w:keepNext w:val="0"/>
        <w:keepLines w:val="0"/>
        <w:pageBreakBefore w:val="0"/>
        <w:numPr>
          <w:ilvl w:val="0"/>
          <w:numId w:val="0"/>
        </w:numPr>
        <w:kinsoku/>
        <w:wordWrap/>
        <w:overflowPunct/>
        <w:topLinePunct w:val="0"/>
        <w:autoSpaceDE/>
        <w:autoSpaceDN/>
        <w:bidi w:val="0"/>
        <w:adjustRightInd/>
        <w:snapToGrid/>
        <w:spacing w:line="520" w:lineRule="exact"/>
        <w:ind w:left="0" w:lef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意向经营者针对摊位的每月租场费进行竞投，设有竞投底价：</w:t>
      </w:r>
    </w:p>
    <w:p w14:paraId="412A5B53">
      <w:pPr>
        <w:pStyle w:val="2"/>
        <w:keepNext w:val="0"/>
        <w:keepLines w:val="0"/>
        <w:pageBreakBefore w:val="0"/>
        <w:numPr>
          <w:ilvl w:val="0"/>
          <w:numId w:val="0"/>
        </w:numPr>
        <w:kinsoku/>
        <w:wordWrap/>
        <w:overflowPunct/>
        <w:topLinePunct w:val="0"/>
        <w:autoSpaceDE/>
        <w:autoSpaceDN/>
        <w:bidi w:val="0"/>
        <w:adjustRightInd/>
        <w:snapToGrid/>
        <w:spacing w:line="520" w:lineRule="exact"/>
        <w:ind w:left="0" w:lef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兴华中路二街路段摊位竞投底价为1500元/卡/月。</w:t>
      </w:r>
    </w:p>
    <w:p w14:paraId="712738D2">
      <w:pPr>
        <w:keepNext w:val="0"/>
        <w:keepLines w:val="0"/>
        <w:pageBreakBefore w:val="0"/>
        <w:kinsoku/>
        <w:wordWrap/>
        <w:overflowPunct/>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highlight w:val="none"/>
          <w:lang w:val="en-US" w:eastAsia="zh-CN"/>
        </w:rPr>
        <w:t>兴华中路路段摊位竞投底价为1500元/卡/月。</w:t>
      </w:r>
    </w:p>
    <w:p w14:paraId="7953DC9D">
      <w:pPr>
        <w:pStyle w:val="2"/>
        <w:keepNext w:val="0"/>
        <w:keepLines w:val="0"/>
        <w:pageBreakBefore w:val="0"/>
        <w:widowControl/>
        <w:numPr>
          <w:ilvl w:val="0"/>
          <w:numId w:val="0"/>
        </w:numPr>
        <w:kinsoku/>
        <w:wordWrap/>
        <w:overflowPunct/>
        <w:topLinePunct/>
        <w:autoSpaceDE/>
        <w:autoSpaceDN/>
        <w:bidi w:val="0"/>
        <w:adjustRightInd/>
        <w:snapToGrid/>
        <w:spacing w:line="520" w:lineRule="exact"/>
        <w:ind w:left="0" w:leftChars="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六、</w:t>
      </w:r>
      <w:r>
        <w:rPr>
          <w:rFonts w:hint="eastAsia" w:ascii="仿宋_GB2312" w:hAnsi="仿宋_GB2312" w:eastAsia="仿宋_GB2312" w:cs="仿宋_GB2312"/>
          <w:b/>
          <w:bCs/>
          <w:color w:val="auto"/>
          <w:sz w:val="32"/>
          <w:szCs w:val="32"/>
          <w:highlight w:val="none"/>
          <w:lang w:eastAsia="zh-CN"/>
        </w:rPr>
        <w:t>竞投</w:t>
      </w:r>
      <w:r>
        <w:rPr>
          <w:rFonts w:hint="eastAsia" w:ascii="仿宋_GB2312" w:hAnsi="仿宋_GB2312" w:eastAsia="仿宋_GB2312" w:cs="仿宋_GB2312"/>
          <w:b/>
          <w:bCs/>
          <w:color w:val="auto"/>
          <w:sz w:val="32"/>
          <w:szCs w:val="32"/>
          <w:highlight w:val="none"/>
          <w:lang w:val="en-US" w:eastAsia="zh-CN"/>
        </w:rPr>
        <w:t>方式:</w:t>
      </w:r>
    </w:p>
    <w:p w14:paraId="1E6710C8">
      <w:pPr>
        <w:pStyle w:val="2"/>
        <w:keepNext w:val="0"/>
        <w:keepLines w:val="0"/>
        <w:pageBreakBefore w:val="0"/>
        <w:widowControl/>
        <w:numPr>
          <w:ilvl w:val="0"/>
          <w:numId w:val="0"/>
        </w:numPr>
        <w:kinsoku/>
        <w:wordWrap/>
        <w:overflowPunct/>
        <w:topLinePunct/>
        <w:autoSpaceDE/>
        <w:autoSpaceDN/>
        <w:bidi w:val="0"/>
        <w:adjustRightInd/>
        <w:snapToGrid/>
        <w:spacing w:line="520" w:lineRule="exact"/>
        <w:ind w:left="0" w:leftChars="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本次招商</w:t>
      </w:r>
      <w:r>
        <w:rPr>
          <w:rFonts w:hint="eastAsia" w:ascii="仿宋_GB2312" w:hAnsi="仿宋_GB2312" w:eastAsia="仿宋_GB2312" w:cs="仿宋_GB2312"/>
          <w:b/>
          <w:bCs/>
          <w:color w:val="auto"/>
          <w:sz w:val="32"/>
          <w:szCs w:val="32"/>
          <w:highlight w:val="none"/>
          <w:lang w:eastAsia="zh-CN"/>
        </w:rPr>
        <w:t>采取现场明标出价的方式</w:t>
      </w:r>
      <w:r>
        <w:rPr>
          <w:rFonts w:hint="eastAsia" w:ascii="仿宋_GB2312" w:hAnsi="仿宋_GB2312" w:eastAsia="仿宋_GB2312" w:cs="仿宋_GB2312"/>
          <w:b/>
          <w:bCs/>
          <w:color w:val="auto"/>
          <w:sz w:val="32"/>
          <w:szCs w:val="32"/>
          <w:highlight w:val="none"/>
          <w:lang w:val="en-US" w:eastAsia="zh-CN"/>
        </w:rPr>
        <w:t>进行</w:t>
      </w:r>
      <w:r>
        <w:rPr>
          <w:rFonts w:hint="eastAsia" w:ascii="仿宋_GB2312" w:hAnsi="仿宋_GB2312" w:eastAsia="仿宋_GB2312" w:cs="仿宋_GB2312"/>
          <w:b/>
          <w:bCs/>
          <w:color w:val="auto"/>
          <w:sz w:val="32"/>
          <w:szCs w:val="32"/>
          <w:highlight w:val="none"/>
          <w:lang w:eastAsia="zh-CN"/>
        </w:rPr>
        <w:t>竞投，</w:t>
      </w:r>
      <w:r>
        <w:rPr>
          <w:rFonts w:hint="eastAsia" w:ascii="仿宋_GB2312" w:hAnsi="仿宋_GB2312" w:eastAsia="仿宋_GB2312" w:cs="仿宋_GB2312"/>
          <w:b/>
          <w:bCs/>
          <w:color w:val="auto"/>
          <w:sz w:val="32"/>
          <w:szCs w:val="32"/>
          <w:highlight w:val="none"/>
          <w:lang w:val="en-US" w:eastAsia="zh-CN"/>
        </w:rPr>
        <w:t>具体竞投流程如下：</w:t>
      </w:r>
    </w:p>
    <w:p w14:paraId="457C0A44">
      <w:pPr>
        <w:pStyle w:val="2"/>
        <w:keepNext w:val="0"/>
        <w:keepLines w:val="0"/>
        <w:pageBreakBefore w:val="0"/>
        <w:widowControl/>
        <w:numPr>
          <w:ilvl w:val="0"/>
          <w:numId w:val="0"/>
        </w:numPr>
        <w:kinsoku/>
        <w:wordWrap/>
        <w:overflowPunct/>
        <w:topLinePunct/>
        <w:autoSpaceDE/>
        <w:autoSpaceDN/>
        <w:bidi w:val="0"/>
        <w:adjustRightInd/>
        <w:snapToGrid/>
        <w:spacing w:line="520" w:lineRule="exact"/>
        <w:ind w:left="0" w:leftChars="0"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lang w:val="en-US" w:eastAsia="zh-CN"/>
        </w:rPr>
        <w:t>现场明标出价，以价高者得的方式，</w:t>
      </w:r>
      <w:r>
        <w:rPr>
          <w:rFonts w:hint="eastAsia" w:ascii="仿宋_GB2312" w:hAnsi="仿宋_GB2312" w:eastAsia="仿宋_GB2312" w:cs="仿宋_GB2312"/>
          <w:b w:val="0"/>
          <w:bCs w:val="0"/>
          <w:color w:val="auto"/>
          <w:sz w:val="32"/>
          <w:szCs w:val="32"/>
          <w:highlight w:val="none"/>
        </w:rPr>
        <w:t>出价最高且</w:t>
      </w:r>
      <w:r>
        <w:rPr>
          <w:rFonts w:hint="eastAsia" w:ascii="仿宋_GB2312" w:hAnsi="仿宋_GB2312" w:eastAsia="仿宋_GB2312" w:cs="仿宋_GB2312"/>
          <w:b w:val="0"/>
          <w:bCs w:val="0"/>
          <w:color w:val="auto"/>
          <w:sz w:val="32"/>
          <w:szCs w:val="32"/>
          <w:highlight w:val="none"/>
          <w:lang w:val="en-US" w:eastAsia="zh-CN"/>
        </w:rPr>
        <w:t>不低于</w:t>
      </w:r>
      <w:r>
        <w:rPr>
          <w:rFonts w:hint="eastAsia" w:ascii="仿宋_GB2312" w:hAnsi="仿宋_GB2312" w:eastAsia="仿宋_GB2312" w:cs="仿宋_GB2312"/>
          <w:b w:val="0"/>
          <w:bCs w:val="0"/>
          <w:color w:val="auto"/>
          <w:sz w:val="32"/>
          <w:szCs w:val="32"/>
          <w:highlight w:val="none"/>
        </w:rPr>
        <w:t>底价</w:t>
      </w:r>
      <w:r>
        <w:rPr>
          <w:rFonts w:hint="eastAsia" w:ascii="仿宋_GB2312" w:hAnsi="仿宋_GB2312" w:eastAsia="仿宋_GB2312" w:cs="仿宋_GB2312"/>
          <w:b w:val="0"/>
          <w:bCs w:val="0"/>
          <w:color w:val="auto"/>
          <w:sz w:val="32"/>
          <w:szCs w:val="32"/>
          <w:highlight w:val="none"/>
          <w:lang w:val="en-US" w:eastAsia="zh-CN"/>
        </w:rPr>
        <w:t>的竞投人确认</w:t>
      </w:r>
      <w:r>
        <w:rPr>
          <w:rFonts w:hint="eastAsia" w:ascii="仿宋_GB2312" w:hAnsi="仿宋_GB2312" w:eastAsia="仿宋_GB2312" w:cs="仿宋_GB2312"/>
          <w:b w:val="0"/>
          <w:bCs w:val="0"/>
          <w:color w:val="auto"/>
          <w:sz w:val="32"/>
          <w:szCs w:val="32"/>
          <w:highlight w:val="none"/>
        </w:rPr>
        <w:t>中标</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 xml:space="preserve">第一次竞价可平价，之后每次竞价不少于50元或50元的整数倍。 </w:t>
      </w:r>
    </w:p>
    <w:p w14:paraId="777D8F9C">
      <w:pPr>
        <w:pStyle w:val="2"/>
        <w:keepNext w:val="0"/>
        <w:keepLines w:val="0"/>
        <w:pageBreakBefore w:val="0"/>
        <w:widowControl/>
        <w:numPr>
          <w:ilvl w:val="0"/>
          <w:numId w:val="0"/>
        </w:numPr>
        <w:kinsoku/>
        <w:wordWrap/>
        <w:overflowPunct/>
        <w:topLinePunct/>
        <w:autoSpaceDE/>
        <w:autoSpaceDN/>
        <w:bidi w:val="0"/>
        <w:adjustRightInd/>
        <w:snapToGrid/>
        <w:spacing w:line="520"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highlight w:val="none"/>
          <w:lang w:val="en-US" w:eastAsia="zh-CN"/>
        </w:rPr>
        <w:t>2、中</w:t>
      </w:r>
      <w:r>
        <w:rPr>
          <w:rFonts w:hint="eastAsia" w:ascii="仿宋_GB2312" w:hAnsi="仿宋_GB2312" w:eastAsia="仿宋_GB2312" w:cs="仿宋_GB2312"/>
          <w:b/>
          <w:bCs/>
          <w:color w:val="auto"/>
          <w:sz w:val="32"/>
          <w:szCs w:val="32"/>
          <w:lang w:val="en-US" w:eastAsia="zh-CN"/>
        </w:rPr>
        <w:t>标人在中标相关手续办理完毕后不得再进入会场。</w:t>
      </w:r>
    </w:p>
    <w:p w14:paraId="23C7E734">
      <w:pPr>
        <w:pStyle w:val="2"/>
        <w:keepNext w:val="0"/>
        <w:keepLines w:val="0"/>
        <w:pageBreakBefore w:val="0"/>
        <w:numPr>
          <w:ilvl w:val="0"/>
          <w:numId w:val="0"/>
        </w:numPr>
        <w:kinsoku/>
        <w:wordWrap/>
        <w:overflowPunct/>
        <w:topLinePunct/>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auto"/>
          <w:sz w:val="32"/>
          <w:szCs w:val="32"/>
          <w:highlight w:val="none"/>
          <w:lang w:val="en-US" w:eastAsia="zh-CN"/>
        </w:rPr>
        <w:t>3、竞投过程中</w:t>
      </w:r>
      <w:r>
        <w:rPr>
          <w:rFonts w:hint="eastAsia" w:ascii="仿宋_GB2312" w:hAnsi="仿宋_GB2312" w:eastAsia="仿宋_GB2312" w:cs="仿宋_GB2312"/>
          <w:b/>
          <w:bCs/>
          <w:color w:val="auto"/>
          <w:sz w:val="32"/>
          <w:szCs w:val="32"/>
          <w:lang w:val="en-US" w:eastAsia="zh-CN"/>
        </w:rPr>
        <w:t>出现竞投人弃标的，两年内不再接受该弃标人报名。</w:t>
      </w:r>
    </w:p>
    <w:p w14:paraId="023462DA">
      <w:pPr>
        <w:pStyle w:val="2"/>
        <w:keepNext w:val="0"/>
        <w:keepLines w:val="0"/>
        <w:pageBreakBefore w:val="0"/>
        <w:widowControl w:val="0"/>
        <w:numPr>
          <w:ilvl w:val="0"/>
          <w:numId w:val="0"/>
        </w:numPr>
        <w:kinsoku/>
        <w:wordWrap/>
        <w:overflowPunct/>
        <w:topLinePunct/>
        <w:autoSpaceDE/>
        <w:autoSpaceDN/>
        <w:bidi w:val="0"/>
        <w:adjustRightInd/>
        <w:snapToGrid/>
        <w:spacing w:line="520" w:lineRule="exact"/>
        <w:ind w:left="0" w:leftChars="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七、现场报名时间、地点：</w:t>
      </w:r>
    </w:p>
    <w:p w14:paraId="44AFB379">
      <w:pPr>
        <w:pStyle w:val="2"/>
        <w:keepNext w:val="0"/>
        <w:keepLines w:val="0"/>
        <w:pageBreakBefore w:val="0"/>
        <w:numPr>
          <w:ilvl w:val="-1"/>
          <w:numId w:val="0"/>
        </w:numPr>
        <w:kinsoku/>
        <w:wordWrap/>
        <w:overflowPunct/>
        <w:topLinePunct/>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color w:val="auto"/>
          <w:sz w:val="32"/>
          <w:szCs w:val="32"/>
          <w:highlight w:val="none"/>
          <w:lang w:val="en-US" w:eastAsia="zh-CN"/>
        </w:rPr>
        <w:t>（一）报名时间：</w:t>
      </w:r>
      <w:r>
        <w:rPr>
          <w:rFonts w:hint="eastAsia" w:ascii="仿宋_GB2312" w:hAnsi="仿宋_GB2312" w:eastAsia="仿宋_GB2312" w:cs="仿宋_GB2312"/>
          <w:b/>
          <w:bCs/>
          <w:color w:val="auto"/>
          <w:sz w:val="32"/>
          <w:szCs w:val="32"/>
          <w:highlight w:val="none"/>
          <w:lang w:val="en-US" w:eastAsia="zh-CN"/>
        </w:rPr>
        <w:t>2025年12月22日-2025年12月24日止（时间：18:30-21:00）</w:t>
      </w:r>
      <w:r>
        <w:rPr>
          <w:rFonts w:hint="eastAsia" w:ascii="仿宋_GB2312" w:hAnsi="仿宋_GB2312" w:eastAsia="仿宋_GB2312" w:cs="仿宋_GB2312"/>
          <w:b w:val="0"/>
          <w:bCs w:val="0"/>
          <w:color w:val="auto"/>
          <w:sz w:val="32"/>
          <w:szCs w:val="32"/>
          <w:highlight w:val="none"/>
          <w:lang w:val="en-US" w:eastAsia="zh-CN"/>
        </w:rPr>
        <w:t>；</w:t>
      </w:r>
    </w:p>
    <w:p w14:paraId="44529348">
      <w:pPr>
        <w:pStyle w:val="2"/>
        <w:keepNext w:val="0"/>
        <w:keepLines w:val="0"/>
        <w:pageBreakBefore w:val="0"/>
        <w:numPr>
          <w:ilvl w:val="0"/>
          <w:numId w:val="0"/>
        </w:numPr>
        <w:kinsoku/>
        <w:wordWrap/>
        <w:overflowPunct/>
        <w:topLinePunct/>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lang w:val="en-US" w:eastAsia="zh-CN"/>
        </w:rPr>
        <w:t>报名地点：</w:t>
      </w:r>
      <w:r>
        <w:rPr>
          <w:rFonts w:hint="eastAsia" w:ascii="仿宋_GB2312" w:hAnsi="仿宋_GB2312" w:eastAsia="仿宋_GB2312" w:cs="仿宋_GB2312"/>
          <w:b/>
          <w:bCs/>
          <w:color w:val="auto"/>
          <w:sz w:val="32"/>
          <w:szCs w:val="32"/>
          <w:highlight w:val="none"/>
          <w:lang w:val="en-US" w:eastAsia="zh-CN"/>
        </w:rPr>
        <w:t xml:space="preserve">中山市东凤镇兴华中路领丰汇广场综合执法岗亭旁（近公交站）   </w:t>
      </w:r>
      <w:r>
        <w:rPr>
          <w:rFonts w:hint="eastAsia" w:ascii="仿宋_GB2312" w:hAnsi="仿宋_GB2312" w:eastAsia="仿宋_GB2312" w:cs="仿宋_GB2312"/>
          <w:b w:val="0"/>
          <w:bCs w:val="0"/>
          <w:color w:val="auto"/>
          <w:sz w:val="32"/>
          <w:szCs w:val="32"/>
          <w:highlight w:val="none"/>
          <w:lang w:val="en-US" w:eastAsia="zh-CN"/>
        </w:rPr>
        <w:t>联系人：岑先生   联系电话：0760-88778805；</w:t>
      </w:r>
    </w:p>
    <w:p w14:paraId="76E195D5">
      <w:pPr>
        <w:pStyle w:val="2"/>
        <w:keepNext w:val="0"/>
        <w:keepLines w:val="0"/>
        <w:pageBreakBefore w:val="0"/>
        <w:numPr>
          <w:ilvl w:val="0"/>
          <w:numId w:val="0"/>
        </w:numPr>
        <w:kinsoku/>
        <w:wordWrap/>
        <w:overflowPunct/>
        <w:topLinePunct/>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color w:val="auto"/>
          <w:sz w:val="32"/>
          <w:szCs w:val="32"/>
          <w:highlight w:val="none"/>
          <w:lang w:val="en-US" w:eastAsia="zh-CN"/>
        </w:rPr>
        <w:t>（三）</w:t>
      </w:r>
      <w:r>
        <w:rPr>
          <w:rFonts w:hint="eastAsia" w:ascii="仿宋_GB2312" w:hAnsi="仿宋_GB2312" w:eastAsia="仿宋_GB2312" w:cs="仿宋_GB2312"/>
          <w:b w:val="0"/>
          <w:bCs w:val="0"/>
          <w:color w:val="auto"/>
          <w:sz w:val="32"/>
          <w:szCs w:val="32"/>
          <w:highlight w:val="none"/>
          <w:lang w:val="en-US" w:eastAsia="zh-CN"/>
        </w:rPr>
        <w:t>报名所需资料：</w:t>
      </w:r>
      <w:r>
        <w:rPr>
          <w:rFonts w:hint="eastAsia" w:ascii="仿宋_GB2312" w:hAnsi="仿宋_GB2312" w:eastAsia="仿宋_GB2312" w:cs="仿宋_GB2312"/>
          <w:b/>
          <w:bCs/>
          <w:color w:val="auto"/>
          <w:sz w:val="32"/>
          <w:szCs w:val="32"/>
          <w:highlight w:val="none"/>
          <w:lang w:val="en-US" w:eastAsia="zh-CN"/>
        </w:rPr>
        <w:t>竞投</w:t>
      </w:r>
      <w:r>
        <w:rPr>
          <w:rFonts w:hint="eastAsia" w:ascii="仿宋_GB2312" w:hAnsi="仿宋_GB2312" w:eastAsia="仿宋_GB2312" w:cs="仿宋_GB2312"/>
          <w:b/>
          <w:bCs/>
          <w:color w:val="auto"/>
          <w:sz w:val="32"/>
          <w:szCs w:val="32"/>
          <w:lang w:val="en-US" w:eastAsia="zh-CN"/>
        </w:rPr>
        <w:t>人本人身份证原件和复印件、经营食品类竞投人需持本人有效期内的健康证原件和复印件、报名现场缴纳</w:t>
      </w:r>
      <w:r>
        <w:rPr>
          <w:rFonts w:hint="eastAsia" w:ascii="仿宋_GB2312" w:hAnsi="仿宋_GB2312" w:eastAsia="仿宋_GB2312" w:cs="仿宋_GB2312"/>
          <w:b/>
          <w:bCs/>
          <w:color w:val="auto"/>
          <w:sz w:val="32"/>
          <w:szCs w:val="32"/>
          <w:highlight w:val="none"/>
          <w:lang w:val="en-US" w:eastAsia="zh-CN"/>
        </w:rPr>
        <w:t>1500元竞投保证金</w:t>
      </w:r>
      <w:r>
        <w:rPr>
          <w:rFonts w:hint="eastAsia" w:ascii="仿宋_GB2312" w:hAnsi="仿宋_GB2312" w:eastAsia="仿宋_GB2312" w:cs="仿宋_GB2312"/>
          <w:b/>
          <w:bCs/>
          <w:color w:val="auto"/>
          <w:sz w:val="32"/>
          <w:szCs w:val="32"/>
          <w:lang w:val="en-US" w:eastAsia="zh-CN"/>
        </w:rPr>
        <w:t>。</w:t>
      </w:r>
    </w:p>
    <w:p w14:paraId="06745003">
      <w:pPr>
        <w:keepNext w:val="0"/>
        <w:keepLines w:val="0"/>
        <w:pageBreakBefore w:val="0"/>
        <w:numPr>
          <w:ilvl w:val="-1"/>
          <w:numId w:val="0"/>
        </w:numPr>
        <w:kinsoku/>
        <w:wordWrap/>
        <w:overflowPunct/>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color w:val="auto"/>
          <w:sz w:val="32"/>
          <w:szCs w:val="32"/>
          <w:highlight w:val="none"/>
          <w:lang w:val="en-US" w:eastAsia="zh-CN"/>
        </w:rPr>
        <w:t>（四）</w:t>
      </w:r>
      <w:r>
        <w:rPr>
          <w:rFonts w:hint="eastAsia" w:ascii="仿宋_GB2312" w:hAnsi="仿宋_GB2312" w:eastAsia="仿宋_GB2312" w:cs="仿宋_GB2312"/>
          <w:b w:val="0"/>
          <w:bCs w:val="0"/>
          <w:color w:val="auto"/>
          <w:sz w:val="32"/>
          <w:szCs w:val="32"/>
          <w:highlight w:val="none"/>
          <w:lang w:val="en-US" w:eastAsia="zh-CN"/>
        </w:rPr>
        <w:t>管理单位不组织现场踏勘，竞投人可自行对现场进行踏勘，了解现状情况，竞投现场不作任何解答。</w:t>
      </w:r>
    </w:p>
    <w:p w14:paraId="0E6B4A37">
      <w:pPr>
        <w:keepNext w:val="0"/>
        <w:keepLines w:val="0"/>
        <w:pageBreakBefore w:val="0"/>
        <w:widowControl/>
        <w:numPr>
          <w:ilvl w:val="-1"/>
          <w:numId w:val="0"/>
        </w:numPr>
        <w:kinsoku/>
        <w:wordWrap/>
        <w:overflowPunct/>
        <w:autoSpaceDE/>
        <w:autoSpaceDN/>
        <w:bidi w:val="0"/>
        <w:adjustRightInd/>
        <w:snapToGrid/>
        <w:spacing w:line="520" w:lineRule="exact"/>
        <w:ind w:left="0" w:lef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（五）管理单位不接受2024年度、2025年度公开竞投弃标者的报名。</w:t>
      </w:r>
    </w:p>
    <w:p w14:paraId="1700A908">
      <w:pPr>
        <w:keepNext w:val="0"/>
        <w:keepLines w:val="0"/>
        <w:pageBreakBefore w:val="0"/>
        <w:numPr>
          <w:ilvl w:val="-1"/>
          <w:numId w:val="0"/>
        </w:numPr>
        <w:kinsoku/>
        <w:wordWrap/>
        <w:overflowPunct/>
        <w:autoSpaceDE/>
        <w:autoSpaceDN/>
        <w:bidi w:val="0"/>
        <w:adjustRightInd/>
        <w:snapToGrid/>
        <w:spacing w:line="520" w:lineRule="exact"/>
        <w:ind w:left="0" w:leftChars="0"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八、竞投保证金：</w:t>
      </w:r>
      <w:r>
        <w:rPr>
          <w:rFonts w:hint="eastAsia" w:ascii="仿宋_GB2312" w:hAnsi="仿宋_GB2312" w:eastAsia="仿宋_GB2312" w:cs="仿宋_GB2312"/>
          <w:b w:val="0"/>
          <w:bCs w:val="0"/>
          <w:color w:val="auto"/>
          <w:sz w:val="32"/>
          <w:szCs w:val="32"/>
          <w:highlight w:val="none"/>
          <w:lang w:val="en-US" w:eastAsia="zh-CN"/>
        </w:rPr>
        <w:t>本次竞投保证金为每摊位1500元整，竞投方未中标的，由管理单位现场全额退还给未中标竞投方（不计利息）；竞投方确定中标的，管理单位在收到竞投方缴纳的履约保证金后全额退还给中标竞投方，但竞投方中标后未缴纳履约保证金的，管理单位有权不予退还上述竞投保证金。</w:t>
      </w:r>
    </w:p>
    <w:p w14:paraId="75435974">
      <w:pPr>
        <w:keepNext w:val="0"/>
        <w:keepLines w:val="0"/>
        <w:pageBreakBefore w:val="0"/>
        <w:kinsoku/>
        <w:wordWrap/>
        <w:overflowPunct/>
        <w:autoSpaceDE/>
        <w:autoSpaceDN/>
        <w:bidi w:val="0"/>
        <w:adjustRightInd/>
        <w:snapToGrid/>
        <w:spacing w:line="520" w:lineRule="exact"/>
        <w:ind w:left="0" w:leftChars="0"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九、竞投时间地点</w:t>
      </w:r>
      <w:r>
        <w:rPr>
          <w:rFonts w:hint="eastAsia" w:ascii="仿宋_GB2312" w:hAnsi="仿宋_GB2312" w:eastAsia="仿宋_GB2312" w:cs="仿宋_GB2312"/>
          <w:b w:val="0"/>
          <w:bCs w:val="0"/>
          <w:color w:val="auto"/>
          <w:sz w:val="32"/>
          <w:szCs w:val="32"/>
          <w:highlight w:val="none"/>
          <w:lang w:val="en-US" w:eastAsia="zh-CN"/>
        </w:rPr>
        <w:t>：</w:t>
      </w:r>
    </w:p>
    <w:p w14:paraId="5CC375C8">
      <w:pPr>
        <w:keepNext w:val="0"/>
        <w:keepLines w:val="0"/>
        <w:pageBreakBefore w:val="0"/>
        <w:kinsoku/>
        <w:wordWrap/>
        <w:overflowPunct/>
        <w:autoSpaceDE/>
        <w:autoSpaceDN/>
        <w:bidi w:val="0"/>
        <w:adjustRightInd/>
        <w:snapToGrid/>
        <w:spacing w:line="520" w:lineRule="exact"/>
        <w:ind w:left="0" w:leftChars="0"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（一）集中竞投时间：兴华中路二街路段摊位竞投时间为2025年12月25日上午9:00；兴华中路路段摊位竞投时间为2025年12月25日下午3:00</w:t>
      </w:r>
      <w:r>
        <w:rPr>
          <w:rFonts w:hint="eastAsia" w:ascii="仿宋_GB2312" w:hAnsi="仿宋_GB2312" w:eastAsia="仿宋_GB2312" w:cs="仿宋_GB2312"/>
          <w:b w:val="0"/>
          <w:bCs w:val="0"/>
          <w:color w:val="auto"/>
          <w:sz w:val="32"/>
          <w:szCs w:val="32"/>
          <w:highlight w:val="none"/>
          <w:lang w:val="en-US" w:eastAsia="zh-CN"/>
        </w:rPr>
        <w:t>。请竞投人提前15分钟以上到达竞投现场签到。正式开标后迟到15分钟视作弃权处理，并只接受报名人本人参与竞投，不可委托竞投。</w:t>
      </w:r>
    </w:p>
    <w:p w14:paraId="1E9714A0">
      <w:pPr>
        <w:keepNext w:val="0"/>
        <w:keepLines w:val="0"/>
        <w:pageBreakBefore w:val="0"/>
        <w:kinsoku/>
        <w:wordWrap/>
        <w:overflowPunct/>
        <w:autoSpaceDE/>
        <w:autoSpaceDN/>
        <w:bidi w:val="0"/>
        <w:adjustRightInd/>
        <w:snapToGrid/>
        <w:spacing w:line="520" w:lineRule="exact"/>
        <w:ind w:left="0" w:leftChars="0"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（二）集中</w:t>
      </w:r>
      <w:r>
        <w:rPr>
          <w:rFonts w:hint="eastAsia" w:ascii="仿宋_GB2312" w:hAnsi="仿宋_GB2312" w:eastAsia="仿宋_GB2312" w:cs="仿宋_GB2312"/>
          <w:b/>
          <w:bCs/>
          <w:i w:val="0"/>
          <w:caps w:val="0"/>
          <w:color w:val="auto"/>
          <w:spacing w:val="0"/>
          <w:sz w:val="32"/>
          <w:szCs w:val="32"/>
          <w:highlight w:val="none"/>
          <w:shd w:val="clear" w:color="auto" w:fill="auto"/>
          <w:lang w:val="en-US" w:eastAsia="zh-CN"/>
        </w:rPr>
        <w:t>竞投地点：</w:t>
      </w:r>
      <w:r>
        <w:rPr>
          <w:rFonts w:hint="eastAsia" w:ascii="仿宋_GB2312" w:hAnsi="仿宋_GB2312" w:eastAsia="仿宋_GB2312" w:cs="仿宋_GB2312"/>
          <w:b/>
          <w:bCs/>
          <w:color w:val="auto"/>
          <w:sz w:val="32"/>
          <w:szCs w:val="32"/>
          <w:highlight w:val="none"/>
          <w:lang w:val="en-US" w:eastAsia="zh-CN"/>
        </w:rPr>
        <w:t>东凤镇凤翔大道126号（文体艺术中心二楼影剧院）（开标地点、时间如有变化另行通知）</w:t>
      </w:r>
      <w:r>
        <w:rPr>
          <w:rFonts w:hint="eastAsia" w:ascii="仿宋_GB2312" w:hAnsi="仿宋_GB2312" w:eastAsia="仿宋_GB2312" w:cs="仿宋_GB2312"/>
          <w:b w:val="0"/>
          <w:bCs w:val="0"/>
          <w:color w:val="auto"/>
          <w:sz w:val="32"/>
          <w:szCs w:val="32"/>
          <w:highlight w:val="none"/>
          <w:lang w:val="en-US" w:eastAsia="zh-CN"/>
        </w:rPr>
        <w:t>。</w:t>
      </w:r>
    </w:p>
    <w:p w14:paraId="7B06F883">
      <w:pPr>
        <w:keepNext w:val="0"/>
        <w:keepLines w:val="0"/>
        <w:pageBreakBefore w:val="0"/>
        <w:kinsoku/>
        <w:wordWrap/>
        <w:overflowPunct/>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集中公开竞投结束后，如2026年度内存在闲置的摊位或经营中出现租赁关系终止的摊位，由管理单位另行组织开展公开竞价招商，有意向者届时可自行到东凤镇兴华中路领丰汇广场综合执法岗亭旁（近公交站）进行现场咨询报名，管理单位将按照报名回执逐一通知开标时间、地点等事宜。</w:t>
      </w:r>
    </w:p>
    <w:p w14:paraId="6A5B8D80">
      <w:pPr>
        <w:keepNext w:val="0"/>
        <w:keepLines w:val="0"/>
        <w:pageBreakBefore w:val="0"/>
        <w:kinsoku/>
        <w:wordWrap/>
        <w:overflowPunct/>
        <w:autoSpaceDE/>
        <w:autoSpaceDN/>
        <w:bidi w:val="0"/>
        <w:adjustRightInd/>
        <w:snapToGrid/>
        <w:spacing w:line="520" w:lineRule="exact"/>
        <w:ind w:left="0" w:leftChars="0" w:firstLine="643" w:firstLineChars="200"/>
        <w:jc w:val="both"/>
        <w:textAlignment w:val="auto"/>
        <w:rPr>
          <w:rFonts w:hint="eastAsia" w:ascii="仿宋_GB2312" w:hAnsi="仿宋_GB2312" w:eastAsia="仿宋_GB2312" w:cs="仿宋_GB2312"/>
          <w:b/>
          <w:bCs/>
          <w:color w:val="auto"/>
          <w:sz w:val="32"/>
          <w:szCs w:val="32"/>
          <w:highlight w:val="none"/>
          <w:shd w:val="clear" w:color="auto" w:fill="FFFFFF"/>
          <w:lang w:val="en-US" w:eastAsia="zh-CN"/>
        </w:rPr>
      </w:pPr>
      <w:r>
        <w:rPr>
          <w:rFonts w:hint="eastAsia" w:ascii="仿宋_GB2312" w:hAnsi="仿宋_GB2312" w:eastAsia="仿宋_GB2312" w:cs="仿宋_GB2312"/>
          <w:b/>
          <w:bCs/>
          <w:color w:val="auto"/>
          <w:sz w:val="32"/>
          <w:szCs w:val="32"/>
          <w:highlight w:val="none"/>
          <w:shd w:val="clear" w:color="auto" w:fill="FFFFFF"/>
          <w:lang w:val="en-US" w:eastAsia="zh-CN"/>
        </w:rPr>
        <w:t>十、竞投所需资料：</w:t>
      </w:r>
    </w:p>
    <w:p w14:paraId="567B78A4">
      <w:pPr>
        <w:keepNext w:val="0"/>
        <w:keepLines w:val="0"/>
        <w:pageBreakBefore w:val="0"/>
        <w:kinsoku/>
        <w:wordWrap/>
        <w:overflowPunct/>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（一）报名回执；</w:t>
      </w:r>
    </w:p>
    <w:p w14:paraId="7C0170B5">
      <w:pPr>
        <w:keepNext w:val="0"/>
        <w:keepLines w:val="0"/>
        <w:pageBreakBefore w:val="0"/>
        <w:kinsoku/>
        <w:wordWrap/>
        <w:overflowPunct/>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（二）竞投人本人身份证原件和复印件；</w:t>
      </w:r>
    </w:p>
    <w:p w14:paraId="4F7EE9FE">
      <w:pPr>
        <w:keepNext w:val="0"/>
        <w:keepLines w:val="0"/>
        <w:pageBreakBefore w:val="0"/>
        <w:kinsoku/>
        <w:wordWrap/>
        <w:overflowPunct/>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（三）经营食品类摊主还需持竞投人本人有效期内的健康证原件和复印件。</w:t>
      </w:r>
    </w:p>
    <w:p w14:paraId="3B1A2A90">
      <w:pPr>
        <w:pStyle w:val="2"/>
        <w:keepNext w:val="0"/>
        <w:keepLines w:val="0"/>
        <w:pageBreakBefore w:val="0"/>
        <w:numPr>
          <w:ilvl w:val="-1"/>
          <w:numId w:val="0"/>
        </w:numPr>
        <w:kinsoku/>
        <w:wordWrap/>
        <w:overflowPunct/>
        <w:topLinePunct/>
        <w:autoSpaceDE/>
        <w:autoSpaceDN/>
        <w:bidi w:val="0"/>
        <w:adjustRightInd/>
        <w:snapToGrid/>
        <w:spacing w:line="520" w:lineRule="exact"/>
        <w:ind w:left="0" w:leftChars="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十一、</w:t>
      </w:r>
      <w:r>
        <w:rPr>
          <w:rFonts w:hint="eastAsia" w:ascii="仿宋_GB2312" w:hAnsi="仿宋_GB2312" w:eastAsia="仿宋_GB2312" w:cs="仿宋_GB2312"/>
          <w:b w:val="0"/>
          <w:bCs w:val="0"/>
          <w:color w:val="auto"/>
          <w:sz w:val="32"/>
          <w:szCs w:val="32"/>
          <w:highlight w:val="none"/>
          <w:lang w:val="en-US" w:eastAsia="zh-CN"/>
        </w:rPr>
        <w:t>确定中标人后，管理单位将现场公布中标人名单。中标人必须现场缴清履约保证金</w:t>
      </w:r>
      <w:r>
        <w:rPr>
          <w:rFonts w:hint="eastAsia" w:ascii="仿宋_GB2312" w:hAnsi="仿宋_GB2312" w:eastAsia="仿宋_GB2312" w:cs="仿宋_GB2312"/>
          <w:b/>
          <w:bCs/>
          <w:color w:val="auto"/>
          <w:sz w:val="32"/>
          <w:szCs w:val="32"/>
          <w:highlight w:val="none"/>
          <w:lang w:val="en-US" w:eastAsia="zh-CN"/>
        </w:rPr>
        <w:t>（保证金为一个月租场费）</w:t>
      </w:r>
      <w:r>
        <w:rPr>
          <w:rFonts w:hint="eastAsia" w:ascii="仿宋_GB2312" w:hAnsi="仿宋_GB2312" w:eastAsia="仿宋_GB2312" w:cs="仿宋_GB2312"/>
          <w:b w:val="0"/>
          <w:bCs w:val="0"/>
          <w:color w:val="auto"/>
          <w:sz w:val="32"/>
          <w:szCs w:val="32"/>
          <w:highlight w:val="none"/>
          <w:lang w:val="en-US" w:eastAsia="zh-CN"/>
        </w:rPr>
        <w:t>和一个月的摊位租场费。摊位用水、用电由中标人自行解决，禁止水电乱拉乱接及所有违法违规行为，同时必须服从政府、社区、现场管理单位的规定进行经营，一切安全责任均由中标人负责。</w:t>
      </w:r>
    </w:p>
    <w:p w14:paraId="68FB89D3">
      <w:pPr>
        <w:keepNext w:val="0"/>
        <w:keepLines w:val="0"/>
        <w:pageBreakBefore w:val="0"/>
        <w:numPr>
          <w:ilvl w:val="-1"/>
          <w:numId w:val="0"/>
        </w:numPr>
        <w:kinsoku/>
        <w:wordWrap/>
        <w:overflowPunct/>
        <w:autoSpaceDE/>
        <w:autoSpaceDN/>
        <w:bidi w:val="0"/>
        <w:adjustRightInd/>
        <w:snapToGrid/>
        <w:spacing w:line="520" w:lineRule="exact"/>
        <w:jc w:val="both"/>
        <w:textAlignment w:val="auto"/>
        <w:rPr>
          <w:rFonts w:hint="eastAsia" w:ascii="仿宋_GB2312" w:hAnsi="仿宋_GB2312" w:eastAsia="仿宋_GB2312" w:cs="仿宋_GB2312"/>
          <w:b w:val="0"/>
          <w:bCs w:val="0"/>
          <w:color w:val="auto"/>
          <w:sz w:val="32"/>
          <w:szCs w:val="32"/>
          <w:highlight w:val="none"/>
          <w:lang w:val="en-US" w:eastAsia="zh-CN"/>
        </w:rPr>
      </w:pPr>
    </w:p>
    <w:p w14:paraId="01A4539D">
      <w:pPr>
        <w:pStyle w:val="2"/>
        <w:keepNext w:val="0"/>
        <w:keepLines w:val="0"/>
        <w:pageBreakBefore w:val="0"/>
        <w:numPr>
          <w:ilvl w:val="-1"/>
          <w:numId w:val="0"/>
        </w:numPr>
        <w:kinsoku/>
        <w:wordWrap/>
        <w:overflowPunct/>
        <w:topLinePunct/>
        <w:autoSpaceDE/>
        <w:autoSpaceDN/>
        <w:bidi w:val="0"/>
        <w:adjustRightInd/>
        <w:snapToGrid/>
        <w:spacing w:line="520" w:lineRule="exact"/>
        <w:ind w:left="0" w:leftChars="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十二、本招商公告的最终解释权归招商单位所有。</w:t>
      </w:r>
    </w:p>
    <w:p w14:paraId="055B86C5">
      <w:pPr>
        <w:keepNext w:val="0"/>
        <w:keepLines w:val="0"/>
        <w:pageBreakBefore w:val="0"/>
        <w:kinsoku/>
        <w:wordWrap/>
        <w:overflowPunct/>
        <w:autoSpaceDE/>
        <w:autoSpaceDN/>
        <w:bidi w:val="0"/>
        <w:adjustRightInd/>
        <w:snapToGrid/>
        <w:spacing w:line="520" w:lineRule="exact"/>
        <w:textAlignment w:val="auto"/>
        <w:rPr>
          <w:rFonts w:hint="eastAsia" w:ascii="仿宋_GB2312" w:hAnsi="仿宋_GB2312" w:eastAsia="仿宋_GB2312" w:cs="仿宋_GB2312"/>
          <w:color w:val="auto"/>
          <w:sz w:val="32"/>
          <w:szCs w:val="32"/>
          <w:lang w:val="en-US" w:eastAsia="zh-CN"/>
        </w:rPr>
      </w:pPr>
    </w:p>
    <w:p w14:paraId="08E5011E">
      <w:pPr>
        <w:numPr>
          <w:ilvl w:val="0"/>
          <w:numId w:val="0"/>
        </w:numPr>
        <w:topLinePunct/>
        <w:ind w:firstLine="4160" w:firstLineChars="1300"/>
        <w:jc w:val="right"/>
        <w:rPr>
          <w:rFonts w:hint="eastAsia" w:ascii="仿宋_GB2312" w:hAnsi="仿宋_GB2312" w:eastAsia="仿宋_GB2312" w:cs="仿宋_GB2312"/>
          <w:b w:val="0"/>
          <w:bCs w:val="0"/>
          <w:color w:val="auto"/>
          <w:sz w:val="32"/>
          <w:szCs w:val="32"/>
          <w:highlight w:val="none"/>
          <w:lang w:val="en-US" w:eastAsia="zh-CN"/>
        </w:rPr>
      </w:pPr>
    </w:p>
    <w:p w14:paraId="3571C7BD">
      <w:pPr>
        <w:numPr>
          <w:ilvl w:val="0"/>
          <w:numId w:val="0"/>
        </w:numPr>
        <w:topLinePunct/>
        <w:jc w:val="right"/>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中山市凤创企业管理有限责任公司</w:t>
      </w:r>
    </w:p>
    <w:p w14:paraId="3F674E08">
      <w:pPr>
        <w:numPr>
          <w:ilvl w:val="0"/>
          <w:numId w:val="0"/>
        </w:numPr>
        <w:topLinePunct/>
        <w:ind w:firstLine="6080" w:firstLineChars="1900"/>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2025年12月16日</w:t>
      </w:r>
    </w:p>
    <w:p w14:paraId="077F401C">
      <w:pPr>
        <w:numPr>
          <w:ilvl w:val="0"/>
          <w:numId w:val="0"/>
        </w:numPr>
        <w:topLinePunct/>
        <w:jc w:val="left"/>
        <w:rPr>
          <w:rFonts w:hint="eastAsia" w:ascii="仿宋_GB2312" w:hAnsi="仿宋_GB2312" w:eastAsia="仿宋_GB2312" w:cs="仿宋_GB2312"/>
          <w:b w:val="0"/>
          <w:bCs w:val="0"/>
          <w:color w:val="auto"/>
          <w:sz w:val="32"/>
          <w:szCs w:val="32"/>
          <w:highlight w:val="none"/>
          <w:lang w:val="en-US" w:eastAsia="zh-CN"/>
        </w:rPr>
      </w:pPr>
    </w:p>
    <w:p w14:paraId="34CE032D">
      <w:pPr>
        <w:numPr>
          <w:ilvl w:val="0"/>
          <w:numId w:val="0"/>
        </w:numPr>
        <w:topLinePunct/>
        <w:jc w:val="left"/>
        <w:rPr>
          <w:rFonts w:hint="eastAsia" w:ascii="仿宋_GB2312" w:hAnsi="仿宋_GB2312" w:eastAsia="仿宋_GB2312" w:cs="仿宋_GB2312"/>
          <w:b w:val="0"/>
          <w:bCs w:val="0"/>
          <w:color w:val="auto"/>
          <w:sz w:val="32"/>
          <w:szCs w:val="32"/>
          <w:highlight w:val="none"/>
          <w:lang w:val="en-US" w:eastAsia="zh-CN"/>
        </w:rPr>
      </w:pPr>
    </w:p>
    <w:p w14:paraId="57A8804E">
      <w:pPr>
        <w:numPr>
          <w:ilvl w:val="0"/>
          <w:numId w:val="0"/>
        </w:numPr>
        <w:topLinePunct/>
        <w:jc w:val="left"/>
        <w:rPr>
          <w:rFonts w:hint="eastAsia" w:ascii="仿宋_GB2312" w:hAnsi="仿宋_GB2312" w:eastAsia="仿宋_GB2312" w:cs="仿宋_GB2312"/>
          <w:b w:val="0"/>
          <w:bCs w:val="0"/>
          <w:color w:val="auto"/>
          <w:sz w:val="32"/>
          <w:szCs w:val="32"/>
          <w:highlight w:val="none"/>
          <w:lang w:val="en-US" w:eastAsia="zh-CN"/>
        </w:rPr>
      </w:pPr>
    </w:p>
    <w:p w14:paraId="169B72BF">
      <w:pPr>
        <w:numPr>
          <w:ilvl w:val="0"/>
          <w:numId w:val="0"/>
        </w:numPr>
        <w:topLinePunct/>
        <w:jc w:val="left"/>
        <w:rPr>
          <w:rFonts w:hint="eastAsia" w:ascii="仿宋_GB2312" w:hAnsi="仿宋_GB2312" w:eastAsia="仿宋_GB2312" w:cs="仿宋_GB2312"/>
          <w:b w:val="0"/>
          <w:bCs w:val="0"/>
          <w:color w:val="auto"/>
          <w:sz w:val="32"/>
          <w:szCs w:val="32"/>
          <w:highlight w:val="none"/>
          <w:lang w:val="en-US" w:eastAsia="zh-CN"/>
        </w:rPr>
      </w:pPr>
    </w:p>
    <w:p w14:paraId="333D9DB6">
      <w:pPr>
        <w:numPr>
          <w:ilvl w:val="0"/>
          <w:numId w:val="0"/>
        </w:numPr>
        <w:topLinePunct/>
        <w:jc w:val="left"/>
        <w:rPr>
          <w:rFonts w:hint="eastAsia" w:ascii="仿宋_GB2312" w:hAnsi="仿宋_GB2312" w:eastAsia="仿宋_GB2312" w:cs="仿宋_GB2312"/>
          <w:b w:val="0"/>
          <w:bCs w:val="0"/>
          <w:color w:val="auto"/>
          <w:sz w:val="32"/>
          <w:szCs w:val="32"/>
          <w:highlight w:val="none"/>
          <w:lang w:val="en-US" w:eastAsia="zh-CN"/>
        </w:rPr>
      </w:pPr>
    </w:p>
    <w:p w14:paraId="05C879CB">
      <w:pPr>
        <w:numPr>
          <w:ilvl w:val="0"/>
          <w:numId w:val="0"/>
        </w:numPr>
        <w:topLinePunct/>
        <w:jc w:val="left"/>
        <w:rPr>
          <w:rFonts w:hint="eastAsia" w:ascii="仿宋_GB2312" w:hAnsi="仿宋_GB2312" w:eastAsia="仿宋_GB2312" w:cs="仿宋_GB2312"/>
          <w:b w:val="0"/>
          <w:bCs w:val="0"/>
          <w:color w:val="auto"/>
          <w:sz w:val="32"/>
          <w:szCs w:val="32"/>
          <w:highlight w:val="none"/>
          <w:lang w:val="en-US" w:eastAsia="zh-CN"/>
        </w:rPr>
      </w:pPr>
    </w:p>
    <w:p w14:paraId="68444993">
      <w:pPr>
        <w:numPr>
          <w:ilvl w:val="0"/>
          <w:numId w:val="0"/>
        </w:numPr>
        <w:topLinePunct/>
        <w:jc w:val="left"/>
        <w:rPr>
          <w:rFonts w:hint="eastAsia" w:ascii="仿宋_GB2312" w:hAnsi="仿宋_GB2312" w:eastAsia="仿宋_GB2312" w:cs="仿宋_GB2312"/>
          <w:b w:val="0"/>
          <w:bCs w:val="0"/>
          <w:color w:val="auto"/>
          <w:sz w:val="32"/>
          <w:szCs w:val="32"/>
          <w:highlight w:val="none"/>
          <w:lang w:val="en-US" w:eastAsia="zh-CN"/>
        </w:rPr>
      </w:pPr>
    </w:p>
    <w:p w14:paraId="167463D9">
      <w:pPr>
        <w:numPr>
          <w:ilvl w:val="0"/>
          <w:numId w:val="0"/>
        </w:numPr>
        <w:topLinePunct/>
        <w:jc w:val="left"/>
        <w:rPr>
          <w:rFonts w:hint="eastAsia" w:ascii="仿宋_GB2312" w:hAnsi="仿宋_GB2312" w:eastAsia="仿宋_GB2312" w:cs="仿宋_GB2312"/>
          <w:b w:val="0"/>
          <w:bCs w:val="0"/>
          <w:color w:val="auto"/>
          <w:sz w:val="32"/>
          <w:szCs w:val="32"/>
          <w:highlight w:val="none"/>
          <w:lang w:val="en-US" w:eastAsia="zh-CN"/>
        </w:rPr>
      </w:pPr>
    </w:p>
    <w:p w14:paraId="73B83CFB">
      <w:pPr>
        <w:jc w:val="right"/>
        <w:rPr>
          <w:rFonts w:hint="eastAsia" w:ascii="仿宋_GB2312" w:hAnsi="仿宋_GB2312" w:eastAsia="仿宋_GB2312" w:cs="仿宋_GB2312"/>
          <w:b w:val="0"/>
          <w:bCs w:val="0"/>
          <w:sz w:val="24"/>
          <w:szCs w:val="24"/>
          <w:lang w:val="en-US" w:eastAsia="zh-CN"/>
        </w:rPr>
      </w:pPr>
    </w:p>
    <w:p w14:paraId="1FBE56DB">
      <w:pPr>
        <w:jc w:val="right"/>
        <w:rPr>
          <w:rFonts w:hint="eastAsia" w:ascii="仿宋_GB2312" w:hAnsi="仿宋_GB2312" w:eastAsia="仿宋_GB2312" w:cs="仿宋_GB2312"/>
          <w:b w:val="0"/>
          <w:bCs w:val="0"/>
          <w:sz w:val="24"/>
          <w:szCs w:val="24"/>
          <w:lang w:val="en-US" w:eastAsia="zh-CN"/>
        </w:rPr>
      </w:pPr>
    </w:p>
    <w:p w14:paraId="39DD2A6D">
      <w:pPr>
        <w:jc w:val="right"/>
        <w:rPr>
          <w:rFonts w:hint="eastAsia" w:ascii="仿宋_GB2312" w:hAnsi="仿宋_GB2312" w:eastAsia="仿宋_GB2312" w:cs="仿宋_GB2312"/>
          <w:b w:val="0"/>
          <w:bCs w:val="0"/>
          <w:sz w:val="24"/>
          <w:szCs w:val="24"/>
          <w:lang w:val="en-US" w:eastAsia="zh-CN"/>
        </w:rPr>
      </w:pPr>
    </w:p>
    <w:p w14:paraId="10749D18">
      <w:pPr>
        <w:jc w:val="right"/>
        <w:rPr>
          <w:rFonts w:hint="eastAsia" w:ascii="仿宋_GB2312" w:hAnsi="仿宋_GB2312" w:eastAsia="仿宋_GB2312" w:cs="仿宋_GB2312"/>
          <w:b w:val="0"/>
          <w:bCs w:val="0"/>
          <w:sz w:val="24"/>
          <w:szCs w:val="24"/>
          <w:lang w:val="en-US" w:eastAsia="zh-CN"/>
        </w:rPr>
      </w:pPr>
    </w:p>
    <w:p w14:paraId="546F8A8D">
      <w:pPr>
        <w:jc w:val="righ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合同编号：夜市街合同【2025】</w:t>
      </w:r>
      <w:r>
        <w:rPr>
          <w:rFonts w:hint="eastAsia" w:ascii="仿宋_GB2312" w:hAnsi="仿宋_GB2312" w:eastAsia="仿宋_GB2312" w:cs="仿宋_GB2312"/>
          <w:b w:val="0"/>
          <w:bCs w:val="0"/>
          <w:sz w:val="24"/>
          <w:szCs w:val="24"/>
          <w:u w:val="single"/>
          <w:lang w:val="en-US" w:eastAsia="zh-CN"/>
        </w:rPr>
        <w:t xml:space="preserve">    </w:t>
      </w:r>
      <w:r>
        <w:rPr>
          <w:rFonts w:hint="eastAsia" w:ascii="仿宋_GB2312" w:hAnsi="仿宋_GB2312" w:eastAsia="仿宋_GB2312" w:cs="仿宋_GB2312"/>
          <w:b w:val="0"/>
          <w:bCs w:val="0"/>
          <w:sz w:val="24"/>
          <w:szCs w:val="24"/>
          <w:lang w:val="en-US" w:eastAsia="zh-CN"/>
        </w:rPr>
        <w:t xml:space="preserve"> 号</w:t>
      </w:r>
    </w:p>
    <w:p w14:paraId="7053B8F0">
      <w:pPr>
        <w:jc w:val="right"/>
        <w:rPr>
          <w:rFonts w:hint="eastAsia" w:ascii="仿宋_GB2312" w:hAnsi="仿宋_GB2312" w:eastAsia="仿宋_GB2312" w:cs="仿宋_GB2312"/>
          <w:b w:val="0"/>
          <w:bCs w:val="0"/>
          <w:sz w:val="28"/>
          <w:szCs w:val="28"/>
          <w:lang w:val="en-US" w:eastAsia="zh-CN"/>
        </w:rPr>
      </w:pPr>
    </w:p>
    <w:p w14:paraId="49E810B9">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b/>
          <w:bCs/>
          <w:sz w:val="44"/>
          <w:szCs w:val="44"/>
          <w:highlight w:val="none"/>
          <w:lang w:val="en-US" w:eastAsia="zh-CN"/>
        </w:rPr>
      </w:pPr>
      <w:r>
        <w:rPr>
          <w:rFonts w:hint="eastAsia" w:ascii="方正小标宋简体" w:hAnsi="方正小标宋简体" w:eastAsia="方正小标宋简体" w:cs="方正小标宋简体"/>
          <w:b/>
          <w:bCs/>
          <w:sz w:val="44"/>
          <w:szCs w:val="44"/>
          <w:lang w:val="en-US" w:eastAsia="zh-CN"/>
        </w:rPr>
        <w:t>东凤镇</w:t>
      </w:r>
      <w:r>
        <w:rPr>
          <w:rFonts w:hint="eastAsia" w:ascii="方正小标宋简体" w:hAnsi="方正小标宋简体" w:eastAsia="方正小标宋简体" w:cs="方正小标宋简体"/>
          <w:b/>
          <w:bCs/>
          <w:color w:val="auto"/>
          <w:sz w:val="44"/>
          <w:szCs w:val="44"/>
          <w:lang w:val="en-US" w:eastAsia="zh-CN"/>
        </w:rPr>
        <w:t>灯光夜市步行街流动</w:t>
      </w:r>
      <w:r>
        <w:rPr>
          <w:rFonts w:hint="eastAsia" w:ascii="方正小标宋简体" w:hAnsi="方正小标宋简体" w:eastAsia="方正小标宋简体" w:cs="方正小标宋简体"/>
          <w:b/>
          <w:bCs/>
          <w:sz w:val="44"/>
          <w:szCs w:val="44"/>
          <w:highlight w:val="none"/>
          <w:lang w:val="en-US" w:eastAsia="zh-CN"/>
        </w:rPr>
        <w:t>摊位商户协议书</w:t>
      </w:r>
    </w:p>
    <w:p w14:paraId="57B3F8F4">
      <w:pPr>
        <w:keepNext w:val="0"/>
        <w:keepLines w:val="0"/>
        <w:pageBreakBefore w:val="0"/>
        <w:widowControl/>
        <w:kinsoku/>
        <w:wordWrap/>
        <w:overflowPunct/>
        <w:topLinePunct w:val="0"/>
        <w:autoSpaceDE/>
        <w:autoSpaceDN/>
        <w:bidi w:val="0"/>
        <w:adjustRightInd/>
        <w:snapToGrid/>
        <w:spacing w:line="600" w:lineRule="exact"/>
        <w:ind w:firstLine="3534" w:firstLineChars="800"/>
        <w:jc w:val="both"/>
        <w:textAlignment w:val="auto"/>
        <w:rPr>
          <w:rFonts w:hint="eastAsia" w:ascii="方正小标宋简体" w:hAnsi="方正小标宋简体" w:eastAsia="方正小标宋简体" w:cs="方正小标宋简体"/>
          <w:b/>
          <w:bCs/>
          <w:sz w:val="44"/>
          <w:szCs w:val="44"/>
          <w:highlight w:val="none"/>
          <w:lang w:val="en-US" w:eastAsia="zh-CN"/>
        </w:rPr>
      </w:pPr>
      <w:r>
        <w:rPr>
          <w:rFonts w:hint="eastAsia" w:ascii="方正小标宋简体" w:hAnsi="方正小标宋简体" w:eastAsia="方正小标宋简体" w:cs="方正小标宋简体"/>
          <w:b/>
          <w:sz w:val="44"/>
          <w:szCs w:val="44"/>
        </w:rPr>
        <w:t>（</w:t>
      </w:r>
      <w:r>
        <w:rPr>
          <w:rFonts w:hint="eastAsia" w:ascii="方正小标宋简体" w:hAnsi="方正小标宋简体" w:eastAsia="方正小标宋简体" w:cs="方正小标宋简体"/>
          <w:b/>
          <w:sz w:val="44"/>
          <w:szCs w:val="44"/>
          <w:lang w:val="en-US" w:eastAsia="zh-CN"/>
        </w:rPr>
        <w:t>兴华中路</w:t>
      </w:r>
      <w:r>
        <w:rPr>
          <w:rFonts w:hint="eastAsia" w:ascii="方正小标宋简体" w:hAnsi="方正小标宋简体" w:eastAsia="方正小标宋简体" w:cs="方正小标宋简体"/>
          <w:b/>
          <w:sz w:val="44"/>
          <w:szCs w:val="44"/>
        </w:rPr>
        <w:t>）</w:t>
      </w:r>
    </w:p>
    <w:p w14:paraId="529D7FD0">
      <w:pPr>
        <w:jc w:val="center"/>
        <w:rPr>
          <w:rFonts w:hint="eastAsia" w:ascii="宋体" w:hAnsi="宋体" w:eastAsia="宋体" w:cs="宋体"/>
          <w:b/>
          <w:bCs/>
          <w:sz w:val="36"/>
          <w:szCs w:val="36"/>
          <w:highlight w:val="none"/>
          <w:lang w:val="en-US" w:eastAsia="zh-CN"/>
        </w:rPr>
      </w:pPr>
    </w:p>
    <w:p w14:paraId="4A85DC65">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甲方（招租人）：</w:t>
      </w:r>
      <w:r>
        <w:rPr>
          <w:rFonts w:hint="eastAsia" w:ascii="仿宋_GB2312" w:hAnsi="仿宋_GB2312" w:eastAsia="仿宋_GB2312" w:cs="仿宋_GB2312"/>
          <w:b/>
          <w:bCs/>
          <w:sz w:val="28"/>
          <w:szCs w:val="28"/>
        </w:rPr>
        <w:t>中山市</w:t>
      </w:r>
      <w:r>
        <w:rPr>
          <w:rFonts w:hint="eastAsia" w:ascii="仿宋_GB2312" w:hAnsi="仿宋_GB2312" w:eastAsia="仿宋_GB2312" w:cs="仿宋_GB2312"/>
          <w:b/>
          <w:bCs/>
          <w:sz w:val="28"/>
          <w:szCs w:val="28"/>
          <w:lang w:val="en-US" w:eastAsia="zh-CN"/>
        </w:rPr>
        <w:t>凤创企业管理</w:t>
      </w:r>
      <w:r>
        <w:rPr>
          <w:rFonts w:hint="eastAsia" w:ascii="仿宋_GB2312" w:hAnsi="仿宋_GB2312" w:eastAsia="仿宋_GB2312" w:cs="仿宋_GB2312"/>
          <w:b/>
          <w:bCs/>
          <w:sz w:val="28"/>
          <w:szCs w:val="28"/>
        </w:rPr>
        <w:t>有限</w:t>
      </w:r>
      <w:r>
        <w:rPr>
          <w:rFonts w:hint="eastAsia" w:ascii="仿宋_GB2312" w:hAnsi="仿宋_GB2312" w:eastAsia="仿宋_GB2312" w:cs="仿宋_GB2312"/>
          <w:b/>
          <w:bCs/>
          <w:sz w:val="28"/>
          <w:szCs w:val="28"/>
          <w:lang w:val="en-US" w:eastAsia="zh-CN"/>
        </w:rPr>
        <w:t>责任</w:t>
      </w:r>
      <w:r>
        <w:rPr>
          <w:rFonts w:hint="eastAsia" w:ascii="仿宋_GB2312" w:hAnsi="仿宋_GB2312" w:eastAsia="仿宋_GB2312" w:cs="仿宋_GB2312"/>
          <w:b/>
          <w:bCs/>
          <w:sz w:val="28"/>
          <w:szCs w:val="28"/>
        </w:rPr>
        <w:t>公司</w:t>
      </w:r>
    </w:p>
    <w:p w14:paraId="5F91BC80">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bCs/>
          <w:sz w:val="28"/>
          <w:szCs w:val="28"/>
          <w:u w:val="single"/>
          <w:lang w:val="en-US" w:eastAsia="zh-CN"/>
        </w:rPr>
      </w:pPr>
      <w:r>
        <w:rPr>
          <w:rFonts w:hint="eastAsia" w:ascii="仿宋_GB2312" w:hAnsi="仿宋_GB2312" w:eastAsia="仿宋_GB2312" w:cs="仿宋_GB2312"/>
          <w:b/>
          <w:bCs/>
          <w:sz w:val="28"/>
          <w:szCs w:val="28"/>
          <w:lang w:val="en-US" w:eastAsia="zh-CN"/>
        </w:rPr>
        <w:t>乙方（中标人）：</w:t>
      </w:r>
      <w:r>
        <w:rPr>
          <w:rFonts w:hint="eastAsia" w:ascii="仿宋_GB2312" w:hAnsi="仿宋_GB2312" w:eastAsia="仿宋_GB2312" w:cs="仿宋_GB2312"/>
          <w:b/>
          <w:bCs/>
          <w:sz w:val="28"/>
          <w:szCs w:val="28"/>
          <w:u w:val="single"/>
          <w:lang w:val="en-US" w:eastAsia="zh-CN"/>
        </w:rPr>
        <w:t xml:space="preserve">               </w:t>
      </w:r>
      <w:r>
        <w:rPr>
          <w:rFonts w:hint="eastAsia" w:ascii="仿宋_GB2312" w:hAnsi="仿宋_GB2312" w:eastAsia="仿宋_GB2312" w:cs="仿宋_GB2312"/>
          <w:b/>
          <w:bCs/>
          <w:sz w:val="28"/>
          <w:szCs w:val="28"/>
          <w:lang w:val="en-US" w:eastAsia="zh-CN"/>
        </w:rPr>
        <w:t>身份证号：</w:t>
      </w:r>
      <w:r>
        <w:rPr>
          <w:rFonts w:hint="eastAsia" w:ascii="仿宋_GB2312" w:hAnsi="仿宋_GB2312" w:eastAsia="仿宋_GB2312" w:cs="仿宋_GB2312"/>
          <w:b/>
          <w:bCs/>
          <w:sz w:val="28"/>
          <w:szCs w:val="28"/>
          <w:u w:val="single"/>
          <w:lang w:val="en-US" w:eastAsia="zh-CN"/>
        </w:rPr>
        <w:t xml:space="preserve">                </w:t>
      </w:r>
    </w:p>
    <w:p w14:paraId="69E2552D">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bCs/>
          <w:sz w:val="28"/>
          <w:szCs w:val="28"/>
          <w:u w:val="single"/>
          <w:lang w:val="en-US" w:eastAsia="zh-CN"/>
        </w:rPr>
      </w:pPr>
      <w:r>
        <w:rPr>
          <w:rFonts w:hint="eastAsia" w:ascii="仿宋_GB2312" w:hAnsi="仿宋_GB2312" w:eastAsia="仿宋_GB2312" w:cs="仿宋_GB2312"/>
          <w:b/>
          <w:bCs/>
          <w:sz w:val="28"/>
          <w:szCs w:val="28"/>
          <w:lang w:val="en-US" w:eastAsia="zh-CN"/>
        </w:rPr>
        <w:t xml:space="preserve">      联系电话：</w:t>
      </w:r>
      <w:r>
        <w:rPr>
          <w:rFonts w:hint="eastAsia" w:ascii="仿宋_GB2312" w:hAnsi="仿宋_GB2312" w:eastAsia="仿宋_GB2312" w:cs="仿宋_GB2312"/>
          <w:b/>
          <w:bCs/>
          <w:sz w:val="28"/>
          <w:szCs w:val="28"/>
          <w:u w:val="single"/>
          <w:lang w:val="en-US" w:eastAsia="zh-CN"/>
        </w:rPr>
        <w:t xml:space="preserve">              </w:t>
      </w:r>
    </w:p>
    <w:p w14:paraId="2001ED12">
      <w:pPr>
        <w:keepNext w:val="0"/>
        <w:keepLines w:val="0"/>
        <w:pageBreakBefore w:val="0"/>
        <w:widowControl/>
        <w:kinsoku/>
        <w:wordWrap/>
        <w:overflowPunct/>
        <w:topLinePunct w:val="0"/>
        <w:autoSpaceDE/>
        <w:autoSpaceDN/>
        <w:bidi w:val="0"/>
        <w:adjustRightInd/>
        <w:snapToGrid/>
        <w:spacing w:line="480" w:lineRule="exact"/>
        <w:ind w:left="0" w:leftChars="0"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甲方于</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年</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月</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日对东凤镇兴华中路灯光夜市步行街流动摊位进行公开招租，乙方通过竞投，获得东凤镇兴华中路流动摊位的临时经营权。</w:t>
      </w:r>
      <w:bookmarkStart w:id="0" w:name="_GoBack"/>
      <w:bookmarkEnd w:id="0"/>
      <w:r>
        <w:rPr>
          <w:rFonts w:hint="eastAsia" w:ascii="仿宋_GB2312" w:hAnsi="仿宋_GB2312" w:eastAsia="仿宋_GB2312" w:cs="仿宋_GB2312"/>
          <w:color w:val="auto"/>
          <w:sz w:val="30"/>
          <w:szCs w:val="30"/>
          <w:lang w:val="en-US" w:eastAsia="zh-CN"/>
        </w:rPr>
        <w:t>经双方友好协商，就摊位经营事宜，达成协议如下：</w:t>
      </w:r>
    </w:p>
    <w:p w14:paraId="75E11A4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420" w:firstLineChars="0"/>
        <w:jc w:val="left"/>
        <w:textAlignment w:val="auto"/>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一、摊位信息</w:t>
      </w:r>
    </w:p>
    <w:p w14:paraId="7D208F1D">
      <w:pPr>
        <w:keepNext w:val="0"/>
        <w:keepLines w:val="0"/>
        <w:pageBreakBefore w:val="0"/>
        <w:widowControl/>
        <w:numPr>
          <w:ilvl w:val="0"/>
          <w:numId w:val="6"/>
        </w:numPr>
        <w:kinsoku/>
        <w:wordWrap/>
        <w:overflowPunct/>
        <w:topLinePunct w:val="0"/>
        <w:autoSpaceDE/>
        <w:autoSpaceDN/>
        <w:bidi w:val="0"/>
        <w:adjustRightInd/>
        <w:snapToGrid/>
        <w:spacing w:line="480" w:lineRule="exact"/>
        <w:ind w:left="0" w:leftChars="0" w:firstLine="420" w:firstLineChars="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流动临时摊位编号：</w:t>
      </w:r>
      <w:r>
        <w:rPr>
          <w:rFonts w:hint="eastAsia" w:ascii="仿宋_GB2312" w:hAnsi="仿宋_GB2312" w:eastAsia="仿宋_GB2312" w:cs="仿宋_GB2312"/>
          <w:color w:val="auto"/>
          <w:sz w:val="30"/>
          <w:szCs w:val="30"/>
          <w:u w:val="single"/>
          <w:lang w:val="en-US" w:eastAsia="zh-CN"/>
        </w:rPr>
        <w:t xml:space="preserve">            </w:t>
      </w:r>
    </w:p>
    <w:p w14:paraId="2A4E7CAD">
      <w:pPr>
        <w:keepNext w:val="0"/>
        <w:keepLines w:val="0"/>
        <w:pageBreakBefore w:val="0"/>
        <w:widowControl/>
        <w:numPr>
          <w:ilvl w:val="0"/>
          <w:numId w:val="6"/>
        </w:numPr>
        <w:kinsoku/>
        <w:wordWrap/>
        <w:overflowPunct/>
        <w:topLinePunct w:val="0"/>
        <w:autoSpaceDE/>
        <w:autoSpaceDN/>
        <w:bidi w:val="0"/>
        <w:adjustRightInd/>
        <w:snapToGrid/>
        <w:spacing w:line="480" w:lineRule="exact"/>
        <w:ind w:left="0" w:leftChars="0" w:firstLine="420" w:firstLineChars="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摊位经营范围：</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 xml:space="preserve">        </w:t>
      </w:r>
    </w:p>
    <w:p w14:paraId="651759C0">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420" w:firstLineChars="0"/>
        <w:jc w:val="left"/>
        <w:textAlignment w:val="auto"/>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二、使用期限</w:t>
      </w:r>
    </w:p>
    <w:p w14:paraId="61678511">
      <w:pPr>
        <w:keepNext w:val="0"/>
        <w:keepLines w:val="0"/>
        <w:pageBreakBefore w:val="0"/>
        <w:widowControl/>
        <w:numPr>
          <w:ilvl w:val="0"/>
          <w:numId w:val="7"/>
        </w:numPr>
        <w:kinsoku/>
        <w:wordWrap/>
        <w:overflowPunct/>
        <w:topLinePunct w:val="0"/>
        <w:autoSpaceDE/>
        <w:autoSpaceDN/>
        <w:bidi w:val="0"/>
        <w:adjustRightInd/>
        <w:snapToGrid/>
        <w:spacing w:line="480" w:lineRule="exact"/>
        <w:ind w:left="0" w:leftChars="0" w:firstLine="420" w:firstLineChars="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摊位使用期限为</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年</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月</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日至</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年</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月</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日。</w:t>
      </w:r>
    </w:p>
    <w:p w14:paraId="2286251A">
      <w:pPr>
        <w:keepNext w:val="0"/>
        <w:keepLines w:val="0"/>
        <w:pageBreakBefore w:val="0"/>
        <w:widowControl/>
        <w:numPr>
          <w:ilvl w:val="0"/>
          <w:numId w:val="7"/>
        </w:numPr>
        <w:kinsoku/>
        <w:wordWrap/>
        <w:overflowPunct/>
        <w:topLinePunct w:val="0"/>
        <w:autoSpaceDE/>
        <w:autoSpaceDN/>
        <w:bidi w:val="0"/>
        <w:adjustRightInd/>
        <w:snapToGrid/>
        <w:spacing w:line="480" w:lineRule="exact"/>
        <w:ind w:left="0" w:leftChars="0" w:firstLine="420" w:firstLineChars="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摊位使用期限届满后，甲方有权在使用期限届满后重新进行公开招租。</w:t>
      </w:r>
    </w:p>
    <w:p w14:paraId="5FB0FD9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420" w:firstLineChars="0"/>
        <w:jc w:val="left"/>
        <w:textAlignment w:val="auto"/>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三、费用支付</w:t>
      </w:r>
    </w:p>
    <w:p w14:paraId="5F33F241">
      <w:pPr>
        <w:keepNext w:val="0"/>
        <w:keepLines w:val="0"/>
        <w:pageBreakBefore w:val="0"/>
        <w:widowControl/>
        <w:numPr>
          <w:ilvl w:val="0"/>
          <w:numId w:val="0"/>
        </w:numPr>
        <w:tabs>
          <w:tab w:val="left" w:pos="2702"/>
        </w:tabs>
        <w:kinsoku/>
        <w:wordWrap/>
        <w:overflowPunct/>
        <w:topLinePunct w:val="0"/>
        <w:autoSpaceDE/>
        <w:autoSpaceDN/>
        <w:bidi w:val="0"/>
        <w:adjustRightInd/>
        <w:snapToGrid/>
        <w:spacing w:line="480" w:lineRule="exact"/>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（一）履约保证金为人民币</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元，</w:t>
      </w:r>
      <w:r>
        <w:rPr>
          <w:rFonts w:hint="eastAsia" w:ascii="仿宋_GB2312" w:hAnsi="仿宋_GB2312" w:eastAsia="仿宋_GB2312" w:cs="仿宋_GB2312"/>
          <w:b w:val="0"/>
          <w:bCs w:val="0"/>
          <w:color w:val="auto"/>
          <w:sz w:val="30"/>
          <w:szCs w:val="30"/>
          <w:lang w:val="en-US" w:eastAsia="zh-CN"/>
        </w:rPr>
        <w:t>大写</w:t>
      </w:r>
      <w:r>
        <w:rPr>
          <w:rFonts w:hint="eastAsia" w:ascii="仿宋_GB2312" w:hAnsi="仿宋_GB2312" w:eastAsia="仿宋_GB2312" w:cs="仿宋_GB2312"/>
          <w:color w:val="auto"/>
          <w:sz w:val="30"/>
          <w:szCs w:val="30"/>
          <w:lang w:val="en-US" w:eastAsia="zh-CN"/>
        </w:rPr>
        <w:t>：</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 xml:space="preserve">元整。乙方已于 </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年</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月</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日缴纳。使用期限内乙方无违反经营承诺的行为的，使用期限届满或本协议因非乙方原因提前终止时，由甲方将保证金无息退还乙方。</w:t>
      </w:r>
    </w:p>
    <w:p w14:paraId="2D01601C">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600" w:firstLineChars="200"/>
        <w:jc w:val="left"/>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color w:val="auto"/>
          <w:sz w:val="30"/>
          <w:szCs w:val="30"/>
          <w:lang w:val="en-US" w:eastAsia="zh-CN"/>
        </w:rPr>
        <w:t xml:space="preserve">（二）租场费为每月人民币（¥ </w:t>
      </w:r>
      <w:r>
        <w:rPr>
          <w:rFonts w:hint="eastAsia" w:ascii="仿宋_GB2312" w:hAnsi="仿宋_GB2312" w:eastAsia="仿宋_GB2312" w:cs="仿宋_GB2312"/>
          <w:color w:val="auto"/>
          <w:sz w:val="30"/>
          <w:szCs w:val="30"/>
          <w:u w:val="single"/>
          <w:lang w:val="en-US" w:eastAsia="zh-CN"/>
        </w:rPr>
        <w:t xml:space="preserve">     元整</w:t>
      </w:r>
      <w:r>
        <w:rPr>
          <w:rFonts w:hint="eastAsia" w:ascii="仿宋_GB2312" w:hAnsi="仿宋_GB2312" w:eastAsia="仿宋_GB2312" w:cs="仿宋_GB2312"/>
          <w:color w:val="auto"/>
          <w:sz w:val="30"/>
          <w:szCs w:val="30"/>
          <w:lang w:val="en-US" w:eastAsia="zh-CN"/>
        </w:rPr>
        <w:t>）大写：</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 xml:space="preserve">，其中2026年1月1日至2月28日期间的租场费合计按1个月收取，乙方已于 </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年</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月</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日缴纳。乙方应按照先支付后使用原则，在每月27日前向甲方支付次月的租场费。</w:t>
      </w:r>
    </w:p>
    <w:p w14:paraId="0B70A85D">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420" w:firstLineChars="0"/>
        <w:jc w:val="left"/>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四、经营承诺</w:t>
      </w:r>
    </w:p>
    <w:p w14:paraId="132A6958">
      <w:pPr>
        <w:keepNext w:val="0"/>
        <w:keepLines w:val="0"/>
        <w:pageBreakBefore w:val="0"/>
        <w:widowControl/>
        <w:numPr>
          <w:ilvl w:val="0"/>
          <w:numId w:val="8"/>
        </w:numPr>
        <w:kinsoku/>
        <w:wordWrap/>
        <w:overflowPunct/>
        <w:topLinePunct w:val="0"/>
        <w:autoSpaceDE/>
        <w:autoSpaceDN/>
        <w:bidi w:val="0"/>
        <w:adjustRightInd/>
        <w:snapToGrid/>
        <w:spacing w:line="480" w:lineRule="exact"/>
        <w:ind w:left="0" w:leftChars="0" w:firstLine="420" w:firstLineChars="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乙方承诺</w:t>
      </w:r>
      <w:r>
        <w:rPr>
          <w:rFonts w:hint="eastAsia" w:ascii="仿宋_GB2312" w:hAnsi="仿宋_GB2312" w:eastAsia="仿宋_GB2312" w:cs="仿宋_GB2312"/>
          <w:sz w:val="30"/>
          <w:szCs w:val="30"/>
        </w:rPr>
        <w:t>该</w:t>
      </w:r>
      <w:r>
        <w:rPr>
          <w:rFonts w:hint="eastAsia" w:ascii="仿宋_GB2312" w:hAnsi="仿宋_GB2312" w:eastAsia="仿宋_GB2312" w:cs="仿宋_GB2312"/>
          <w:sz w:val="30"/>
          <w:szCs w:val="30"/>
          <w:lang w:val="en-US" w:eastAsia="zh-CN"/>
        </w:rPr>
        <w:t>摊位</w:t>
      </w:r>
      <w:r>
        <w:rPr>
          <w:rFonts w:hint="eastAsia" w:ascii="仿宋_GB2312" w:hAnsi="仿宋_GB2312" w:eastAsia="仿宋_GB2312" w:cs="仿宋_GB2312"/>
          <w:sz w:val="30"/>
          <w:szCs w:val="30"/>
        </w:rPr>
        <w:t>不</w:t>
      </w:r>
      <w:r>
        <w:rPr>
          <w:rFonts w:hint="eastAsia" w:ascii="仿宋_GB2312" w:hAnsi="仿宋_GB2312" w:eastAsia="仿宋_GB2312" w:cs="仿宋_GB2312"/>
          <w:sz w:val="30"/>
          <w:szCs w:val="30"/>
          <w:lang w:val="en-US" w:eastAsia="zh-CN"/>
        </w:rPr>
        <w:t>用作堆放易燃易爆、有毒有害、有污染环境等危险物品或违禁物品。</w:t>
      </w:r>
    </w:p>
    <w:p w14:paraId="1342713A">
      <w:pPr>
        <w:keepNext w:val="0"/>
        <w:keepLines w:val="0"/>
        <w:pageBreakBefore w:val="0"/>
        <w:widowControl/>
        <w:numPr>
          <w:ilvl w:val="0"/>
          <w:numId w:val="8"/>
        </w:numPr>
        <w:kinsoku/>
        <w:wordWrap/>
        <w:overflowPunct/>
        <w:topLinePunct w:val="0"/>
        <w:autoSpaceDE/>
        <w:autoSpaceDN/>
        <w:bidi w:val="0"/>
        <w:adjustRightInd/>
        <w:snapToGrid/>
        <w:spacing w:line="480" w:lineRule="exact"/>
        <w:ind w:left="0" w:leftChars="0" w:firstLine="420" w:firstLineChars="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乙方承诺摊位采用实名制摆摊，持夜市临时摊位卡入场进行交易，合法经营，按照指定地点和经营范围进行经营交易。</w:t>
      </w:r>
    </w:p>
    <w:p w14:paraId="142F7614">
      <w:pPr>
        <w:keepNext w:val="0"/>
        <w:keepLines w:val="0"/>
        <w:pageBreakBefore w:val="0"/>
        <w:widowControl/>
        <w:numPr>
          <w:ilvl w:val="0"/>
          <w:numId w:val="8"/>
        </w:numPr>
        <w:kinsoku/>
        <w:wordWrap/>
        <w:overflowPunct/>
        <w:topLinePunct w:val="0"/>
        <w:autoSpaceDE/>
        <w:autoSpaceDN/>
        <w:bidi w:val="0"/>
        <w:adjustRightInd/>
        <w:snapToGrid/>
        <w:spacing w:line="480" w:lineRule="exact"/>
        <w:ind w:left="0" w:leftChars="0" w:firstLine="420" w:firstLineChars="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乙方承诺在规定时间内进行经营，不提前进场，按时撤场（夜</w:t>
      </w:r>
      <w:r>
        <w:rPr>
          <w:rFonts w:hint="eastAsia" w:ascii="仿宋_GB2312" w:hAnsi="仿宋_GB2312" w:eastAsia="仿宋_GB2312" w:cs="仿宋_GB2312"/>
          <w:color w:val="auto"/>
          <w:sz w:val="30"/>
          <w:szCs w:val="30"/>
          <w:lang w:val="en-US" w:eastAsia="zh-CN"/>
        </w:rPr>
        <w:t>市时间每天19:00—次日凌晨02:00）。</w:t>
      </w:r>
    </w:p>
    <w:p w14:paraId="2991481E">
      <w:pPr>
        <w:keepNext w:val="0"/>
        <w:keepLines w:val="0"/>
        <w:pageBreakBefore w:val="0"/>
        <w:widowControl/>
        <w:numPr>
          <w:ilvl w:val="0"/>
          <w:numId w:val="8"/>
        </w:numPr>
        <w:kinsoku/>
        <w:wordWrap/>
        <w:overflowPunct/>
        <w:topLinePunct w:val="0"/>
        <w:autoSpaceDE/>
        <w:autoSpaceDN/>
        <w:bidi w:val="0"/>
        <w:adjustRightInd/>
        <w:snapToGrid/>
        <w:spacing w:line="480" w:lineRule="exact"/>
        <w:ind w:left="0" w:leftChars="0" w:firstLine="420" w:firstLineChars="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乙方承诺摊位按区域经营，固定摊位，统一编号管理，定点定位，不越线经营。</w:t>
      </w:r>
    </w:p>
    <w:p w14:paraId="5DC73363">
      <w:pPr>
        <w:keepNext w:val="0"/>
        <w:keepLines w:val="0"/>
        <w:pageBreakBefore w:val="0"/>
        <w:widowControl/>
        <w:numPr>
          <w:ilvl w:val="0"/>
          <w:numId w:val="8"/>
        </w:numPr>
        <w:kinsoku/>
        <w:wordWrap/>
        <w:overflowPunct/>
        <w:topLinePunct w:val="0"/>
        <w:autoSpaceDE/>
        <w:autoSpaceDN/>
        <w:bidi w:val="0"/>
        <w:adjustRightInd/>
        <w:snapToGrid/>
        <w:spacing w:line="480" w:lineRule="exact"/>
        <w:ind w:left="0" w:leftChars="0" w:firstLine="420" w:firstLineChars="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乙方承诺在摆摊期间不得擅自转让摊位，否则甲方有权取消经营资格。</w:t>
      </w:r>
    </w:p>
    <w:p w14:paraId="75CCF375">
      <w:pPr>
        <w:keepNext w:val="0"/>
        <w:keepLines w:val="0"/>
        <w:pageBreakBefore w:val="0"/>
        <w:widowControl/>
        <w:numPr>
          <w:ilvl w:val="0"/>
          <w:numId w:val="8"/>
        </w:numPr>
        <w:kinsoku/>
        <w:wordWrap/>
        <w:overflowPunct/>
        <w:topLinePunct w:val="0"/>
        <w:autoSpaceDE/>
        <w:autoSpaceDN/>
        <w:bidi w:val="0"/>
        <w:adjustRightInd/>
        <w:snapToGrid/>
        <w:spacing w:line="480" w:lineRule="exact"/>
        <w:ind w:left="0" w:leftChars="0" w:firstLine="420" w:firstLineChars="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乙方承诺不破坏场内公共设施（路灯、大理石路面等）如有破坏按价赔偿，在经营过程中无条件配合维修工作。</w:t>
      </w:r>
    </w:p>
    <w:p w14:paraId="78C27884">
      <w:pPr>
        <w:keepNext w:val="0"/>
        <w:keepLines w:val="0"/>
        <w:pageBreakBefore w:val="0"/>
        <w:widowControl/>
        <w:numPr>
          <w:ilvl w:val="0"/>
          <w:numId w:val="8"/>
        </w:numPr>
        <w:kinsoku/>
        <w:wordWrap/>
        <w:overflowPunct/>
        <w:topLinePunct w:val="0"/>
        <w:autoSpaceDE/>
        <w:autoSpaceDN/>
        <w:bidi w:val="0"/>
        <w:adjustRightInd/>
        <w:snapToGrid/>
        <w:spacing w:line="480" w:lineRule="exact"/>
        <w:ind w:left="0" w:leftChars="0" w:firstLine="420" w:firstLineChars="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乙方承诺文明经营，</w:t>
      </w:r>
      <w:r>
        <w:rPr>
          <w:rFonts w:hint="eastAsia" w:ascii="仿宋_GB2312" w:hAnsi="仿宋_GB2312" w:eastAsia="仿宋_GB2312" w:cs="仿宋_GB2312"/>
          <w:color w:val="auto"/>
          <w:sz w:val="30"/>
          <w:szCs w:val="30"/>
          <w:lang w:val="en-US" w:eastAsia="zh-CN"/>
        </w:rPr>
        <w:t>并做好门前三包工作，</w:t>
      </w:r>
      <w:r>
        <w:rPr>
          <w:rFonts w:hint="eastAsia" w:ascii="仿宋_GB2312" w:hAnsi="仿宋_GB2312" w:eastAsia="仿宋_GB2312" w:cs="仿宋_GB2312"/>
          <w:sz w:val="30"/>
          <w:szCs w:val="30"/>
          <w:lang w:val="en-US" w:eastAsia="zh-CN"/>
        </w:rPr>
        <w:t>做到衣着整齐、卫生；不妨碍道路交通、行人及消防安全；不影响市容和环境卫生；不影响周围居民的正常生活。</w:t>
      </w:r>
    </w:p>
    <w:p w14:paraId="4AFAE11B">
      <w:pPr>
        <w:keepNext w:val="0"/>
        <w:keepLines w:val="0"/>
        <w:pageBreakBefore w:val="0"/>
        <w:widowControl/>
        <w:numPr>
          <w:ilvl w:val="0"/>
          <w:numId w:val="8"/>
        </w:numPr>
        <w:kinsoku/>
        <w:wordWrap/>
        <w:overflowPunct/>
        <w:topLinePunct w:val="0"/>
        <w:autoSpaceDE/>
        <w:autoSpaceDN/>
        <w:bidi w:val="0"/>
        <w:adjustRightInd/>
        <w:snapToGrid/>
        <w:spacing w:line="480" w:lineRule="exact"/>
        <w:ind w:left="0" w:leftChars="0" w:firstLine="420" w:firstLineChars="0"/>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sz w:val="30"/>
          <w:szCs w:val="30"/>
          <w:lang w:val="en-US" w:eastAsia="zh-CN"/>
        </w:rPr>
        <w:t>乙方承诺在划定的区域内经营，严禁在非指定区域摆摊设点，否则甲方有权收回摊位另行招商。</w:t>
      </w:r>
    </w:p>
    <w:p w14:paraId="2259A628">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420" w:firstLineChars="0"/>
        <w:jc w:val="left"/>
        <w:textAlignment w:val="auto"/>
        <w:rPr>
          <w:rFonts w:hint="eastAsia" w:ascii="仿宋_GB2312" w:hAnsi="仿宋_GB2312" w:eastAsia="仿宋_GB2312" w:cs="仿宋_GB2312"/>
          <w:b/>
          <w:bCs/>
          <w:color w:val="auto"/>
          <w:sz w:val="30"/>
          <w:szCs w:val="30"/>
          <w:highlight w:val="none"/>
          <w:lang w:val="en-US" w:eastAsia="zh-CN"/>
        </w:rPr>
      </w:pPr>
      <w:r>
        <w:rPr>
          <w:rFonts w:hint="eastAsia" w:ascii="仿宋_GB2312" w:hAnsi="仿宋_GB2312" w:eastAsia="仿宋_GB2312" w:cs="仿宋_GB2312"/>
          <w:b/>
          <w:bCs/>
          <w:color w:val="auto"/>
          <w:sz w:val="30"/>
          <w:szCs w:val="30"/>
          <w:lang w:val="en-US" w:eastAsia="zh-CN"/>
        </w:rPr>
        <w:t>五、</w:t>
      </w:r>
      <w:r>
        <w:rPr>
          <w:rFonts w:hint="eastAsia" w:ascii="仿宋_GB2312" w:hAnsi="仿宋_GB2312" w:eastAsia="仿宋_GB2312" w:cs="仿宋_GB2312"/>
          <w:b/>
          <w:bCs/>
          <w:color w:val="auto"/>
          <w:sz w:val="30"/>
          <w:szCs w:val="30"/>
          <w:highlight w:val="none"/>
          <w:lang w:val="en-US" w:eastAsia="zh-CN"/>
        </w:rPr>
        <w:t>协议终止</w:t>
      </w:r>
    </w:p>
    <w:p w14:paraId="6421F02F">
      <w:pPr>
        <w:keepNext w:val="0"/>
        <w:keepLines w:val="0"/>
        <w:pageBreakBefore w:val="0"/>
        <w:widowControl/>
        <w:numPr>
          <w:ilvl w:val="0"/>
          <w:numId w:val="9"/>
        </w:numPr>
        <w:kinsoku/>
        <w:wordWrap/>
        <w:overflowPunct/>
        <w:topLinePunct w:val="0"/>
        <w:autoSpaceDE/>
        <w:autoSpaceDN/>
        <w:bidi w:val="0"/>
        <w:adjustRightInd/>
        <w:snapToGrid/>
        <w:spacing w:line="480" w:lineRule="exact"/>
        <w:ind w:left="0" w:leftChars="0" w:firstLine="420" w:firstLineChars="0"/>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乙方在使用期内中途不再使用摊位的，本协议终止，保证金不予退还。</w:t>
      </w:r>
    </w:p>
    <w:p w14:paraId="0ADA106F">
      <w:pPr>
        <w:keepNext w:val="0"/>
        <w:keepLines w:val="0"/>
        <w:pageBreakBefore w:val="0"/>
        <w:widowControl/>
        <w:numPr>
          <w:ilvl w:val="0"/>
          <w:numId w:val="9"/>
        </w:numPr>
        <w:kinsoku/>
        <w:wordWrap/>
        <w:overflowPunct/>
        <w:topLinePunct w:val="0"/>
        <w:autoSpaceDE/>
        <w:autoSpaceDN/>
        <w:bidi w:val="0"/>
        <w:adjustRightInd/>
        <w:snapToGrid/>
        <w:spacing w:line="480" w:lineRule="exact"/>
        <w:ind w:left="0" w:leftChars="0" w:firstLine="420" w:firstLineChars="0"/>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如因不能预见、不能避免并不能克服的客观情况（包括政府职能部门要求停止摆摊）导致本协议无法继续履行的，本协议自动终止，乙方须无条件配合撤离工作。</w:t>
      </w:r>
    </w:p>
    <w:p w14:paraId="6D16879D">
      <w:pPr>
        <w:keepNext w:val="0"/>
        <w:keepLines w:val="0"/>
        <w:pageBreakBefore w:val="0"/>
        <w:widowControl/>
        <w:numPr>
          <w:ilvl w:val="0"/>
          <w:numId w:val="9"/>
        </w:numPr>
        <w:kinsoku/>
        <w:wordWrap/>
        <w:overflowPunct/>
        <w:topLinePunct w:val="0"/>
        <w:autoSpaceDE/>
        <w:autoSpaceDN/>
        <w:bidi w:val="0"/>
        <w:adjustRightInd/>
        <w:snapToGrid/>
        <w:spacing w:line="480" w:lineRule="exact"/>
        <w:ind w:left="0" w:leftChars="0" w:firstLine="420" w:firstLineChars="0"/>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本协议因使用期限届满或提前终止而应当撤离摊位时，乙方应按照甲方要求的期限内撤离。乙方在撤离时限过后仍留存在摊位的所有物品（包含厨具及其他设施）将视作乙方遗弃物，甲方有权自行腾空或按甲方认为适当的办法处置。</w:t>
      </w:r>
    </w:p>
    <w:p w14:paraId="2AD011ED">
      <w:pPr>
        <w:keepNext w:val="0"/>
        <w:keepLines w:val="0"/>
        <w:pageBreakBefore w:val="0"/>
        <w:widowControl/>
        <w:numPr>
          <w:ilvl w:val="0"/>
          <w:numId w:val="9"/>
        </w:numPr>
        <w:kinsoku/>
        <w:wordWrap/>
        <w:overflowPunct/>
        <w:topLinePunct w:val="0"/>
        <w:autoSpaceDE/>
        <w:autoSpaceDN/>
        <w:bidi w:val="0"/>
        <w:adjustRightInd/>
        <w:snapToGrid/>
        <w:spacing w:line="480" w:lineRule="exact"/>
        <w:ind w:left="0" w:leftChars="0" w:firstLine="420" w:firstLineChars="0"/>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本协议因使用期限届满或提前终止的，甲方不对乙方作任何赔偿。</w:t>
      </w:r>
    </w:p>
    <w:p w14:paraId="5C9F4F79">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b/>
          <w:bCs/>
          <w:color w:val="auto"/>
          <w:sz w:val="30"/>
          <w:szCs w:val="30"/>
          <w:highlight w:val="none"/>
          <w:lang w:val="en-US" w:eastAsia="zh-CN"/>
        </w:rPr>
      </w:pPr>
      <w:r>
        <w:rPr>
          <w:rFonts w:hint="eastAsia" w:ascii="仿宋_GB2312" w:hAnsi="仿宋_GB2312" w:eastAsia="仿宋_GB2312" w:cs="仿宋_GB2312"/>
          <w:b/>
          <w:bCs/>
          <w:color w:val="auto"/>
          <w:sz w:val="30"/>
          <w:szCs w:val="30"/>
          <w:lang w:val="en-US" w:eastAsia="zh-CN"/>
        </w:rPr>
        <w:t>六、</w:t>
      </w:r>
      <w:r>
        <w:rPr>
          <w:rFonts w:hint="eastAsia" w:ascii="仿宋_GB2312" w:hAnsi="仿宋_GB2312" w:eastAsia="仿宋_GB2312" w:cs="仿宋_GB2312"/>
          <w:b/>
          <w:bCs/>
          <w:color w:val="auto"/>
          <w:sz w:val="30"/>
          <w:szCs w:val="30"/>
          <w:highlight w:val="none"/>
          <w:lang w:val="en-US" w:eastAsia="zh-CN"/>
        </w:rPr>
        <w:t>违约责任</w:t>
      </w:r>
    </w:p>
    <w:p w14:paraId="34B4AD8C">
      <w:pPr>
        <w:keepNext w:val="0"/>
        <w:keepLines w:val="0"/>
        <w:pageBreakBefore w:val="0"/>
        <w:widowControl/>
        <w:numPr>
          <w:ilvl w:val="0"/>
          <w:numId w:val="10"/>
        </w:numPr>
        <w:kinsoku/>
        <w:wordWrap/>
        <w:overflowPunct/>
        <w:topLinePunct w:val="0"/>
        <w:autoSpaceDE/>
        <w:autoSpaceDN/>
        <w:bidi w:val="0"/>
        <w:adjustRightInd/>
        <w:snapToGrid/>
        <w:spacing w:line="420" w:lineRule="exact"/>
        <w:ind w:left="0" w:leftChars="0" w:firstLine="420" w:firstLineChars="0"/>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若乙方未按本协议约定支付租场费的，经甲方催告后三日内仍未支付的，甲方有权收回摊位另行招商，并没收保证金，且不作任何补偿。</w:t>
      </w:r>
    </w:p>
    <w:p w14:paraId="775DB26D">
      <w:pPr>
        <w:keepNext w:val="0"/>
        <w:keepLines w:val="0"/>
        <w:pageBreakBefore w:val="0"/>
        <w:widowControl/>
        <w:numPr>
          <w:ilvl w:val="0"/>
          <w:numId w:val="10"/>
        </w:numPr>
        <w:kinsoku/>
        <w:wordWrap/>
        <w:overflowPunct/>
        <w:topLinePunct w:val="0"/>
        <w:autoSpaceDE/>
        <w:autoSpaceDN/>
        <w:bidi w:val="0"/>
        <w:adjustRightInd/>
        <w:snapToGrid/>
        <w:spacing w:line="420" w:lineRule="exact"/>
        <w:ind w:left="0" w:leftChars="0" w:firstLine="420" w:firstLineChars="0"/>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如乙方有违反本协议经营承诺的行为的，经甲方催告后三日内拒绝整改或不能达到甲方要求的，甲方有权收回摊位另行招商，并没收保证金，且不作任何补偿；由此造成甲方、乙方或第三方人身损害或经济损失的，由乙方承担相应法律责任；如甲方因此需要承担赔偿责任的，甲方有权向乙方追偿。</w:t>
      </w:r>
    </w:p>
    <w:p w14:paraId="373209CF">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420" w:firstLineChars="0"/>
        <w:jc w:val="left"/>
        <w:textAlignment w:val="auto"/>
        <w:rPr>
          <w:rFonts w:hint="eastAsia" w:ascii="仿宋_GB2312" w:hAnsi="仿宋_GB2312" w:eastAsia="仿宋_GB2312" w:cs="仿宋_GB2312"/>
          <w:b/>
          <w:bCs/>
          <w:color w:val="auto"/>
          <w:sz w:val="30"/>
          <w:szCs w:val="30"/>
          <w:highlight w:val="none"/>
          <w:lang w:val="en-US" w:eastAsia="zh-CN"/>
        </w:rPr>
      </w:pPr>
      <w:r>
        <w:rPr>
          <w:rFonts w:hint="eastAsia" w:ascii="仿宋_GB2312" w:hAnsi="仿宋_GB2312" w:eastAsia="仿宋_GB2312" w:cs="仿宋_GB2312"/>
          <w:b/>
          <w:bCs/>
          <w:color w:val="auto"/>
          <w:sz w:val="30"/>
          <w:szCs w:val="30"/>
          <w:lang w:val="en-US" w:eastAsia="zh-CN"/>
        </w:rPr>
        <w:t>七、</w:t>
      </w:r>
      <w:r>
        <w:rPr>
          <w:rFonts w:hint="eastAsia" w:ascii="仿宋_GB2312" w:hAnsi="仿宋_GB2312" w:eastAsia="仿宋_GB2312" w:cs="仿宋_GB2312"/>
          <w:b/>
          <w:bCs/>
          <w:color w:val="auto"/>
          <w:sz w:val="30"/>
          <w:szCs w:val="30"/>
          <w:highlight w:val="none"/>
          <w:lang w:val="en-US" w:eastAsia="zh-CN"/>
        </w:rPr>
        <w:t>送达</w:t>
      </w:r>
    </w:p>
    <w:p w14:paraId="1DAFCF18">
      <w:pPr>
        <w:keepNext w:val="0"/>
        <w:keepLines w:val="0"/>
        <w:pageBreakBefore w:val="0"/>
        <w:widowControl/>
        <w:numPr>
          <w:ilvl w:val="0"/>
          <w:numId w:val="11"/>
        </w:numPr>
        <w:kinsoku/>
        <w:wordWrap/>
        <w:overflowPunct/>
        <w:topLinePunct w:val="0"/>
        <w:autoSpaceDE/>
        <w:autoSpaceDN/>
        <w:bidi w:val="0"/>
        <w:adjustRightInd/>
        <w:snapToGrid/>
        <w:spacing w:line="420" w:lineRule="exact"/>
        <w:ind w:left="0" w:leftChars="0" w:firstLine="420" w:firstLineChars="0"/>
        <w:jc w:val="left"/>
        <w:textAlignment w:val="auto"/>
        <w:rPr>
          <w:rFonts w:hint="eastAsia" w:ascii="仿宋_GB2312" w:hAnsi="仿宋_GB2312" w:eastAsia="仿宋_GB2312" w:cs="仿宋_GB2312"/>
          <w:b w:val="0"/>
          <w:bCs w:val="0"/>
          <w:color w:val="auto"/>
          <w:sz w:val="30"/>
          <w:szCs w:val="30"/>
          <w:highlight w:val="none"/>
          <w:lang w:val="en-US" w:eastAsia="zh-CN"/>
        </w:rPr>
      </w:pPr>
      <w:r>
        <w:rPr>
          <w:rFonts w:hint="eastAsia" w:ascii="仿宋_GB2312" w:hAnsi="仿宋_GB2312" w:eastAsia="仿宋_GB2312" w:cs="仿宋_GB2312"/>
          <w:b w:val="0"/>
          <w:bCs w:val="0"/>
          <w:color w:val="auto"/>
          <w:sz w:val="30"/>
          <w:szCs w:val="30"/>
          <w:highlight w:val="none"/>
          <w:lang w:val="en-US" w:eastAsia="zh-CN"/>
        </w:rPr>
        <w:t>甲方向乙方发出的书面通知，按协议首部约定的地址发出视为有效送达，法律后果由乙方自行承担，无论书面通知以“查无此人”“无此地址”或“拒收”等原因退回。</w:t>
      </w:r>
    </w:p>
    <w:p w14:paraId="68557CDF">
      <w:pPr>
        <w:keepNext w:val="0"/>
        <w:keepLines w:val="0"/>
        <w:pageBreakBefore w:val="0"/>
        <w:widowControl/>
        <w:numPr>
          <w:ilvl w:val="0"/>
          <w:numId w:val="11"/>
        </w:numPr>
        <w:kinsoku/>
        <w:wordWrap/>
        <w:overflowPunct/>
        <w:topLinePunct w:val="0"/>
        <w:autoSpaceDE/>
        <w:autoSpaceDN/>
        <w:bidi w:val="0"/>
        <w:adjustRightInd/>
        <w:snapToGrid/>
        <w:spacing w:line="420" w:lineRule="exact"/>
        <w:ind w:left="0" w:leftChars="0" w:firstLine="420" w:firstLineChars="0"/>
        <w:jc w:val="left"/>
        <w:textAlignment w:val="auto"/>
        <w:rPr>
          <w:rFonts w:hint="eastAsia" w:ascii="仿宋_GB2312" w:hAnsi="仿宋_GB2312" w:eastAsia="仿宋_GB2312" w:cs="仿宋_GB2312"/>
          <w:b w:val="0"/>
          <w:bCs w:val="0"/>
          <w:color w:val="auto"/>
          <w:sz w:val="30"/>
          <w:szCs w:val="30"/>
          <w:highlight w:val="none"/>
          <w:lang w:val="en-US" w:eastAsia="zh-CN"/>
        </w:rPr>
      </w:pPr>
      <w:r>
        <w:rPr>
          <w:rFonts w:hint="eastAsia" w:ascii="仿宋_GB2312" w:hAnsi="仿宋_GB2312" w:eastAsia="仿宋_GB2312" w:cs="仿宋_GB2312"/>
          <w:b w:val="0"/>
          <w:bCs w:val="0"/>
          <w:color w:val="auto"/>
          <w:sz w:val="30"/>
          <w:szCs w:val="30"/>
          <w:highlight w:val="none"/>
          <w:lang w:val="en-US" w:eastAsia="zh-CN"/>
        </w:rPr>
        <w:t>甲方在东凤镇灯光夜市步行街区域或租赁摊位旁醒目位置张贴的通知或文件视为有效送达。</w:t>
      </w:r>
    </w:p>
    <w:p w14:paraId="714D8C34">
      <w:pPr>
        <w:keepNext w:val="0"/>
        <w:keepLines w:val="0"/>
        <w:pageBreakBefore w:val="0"/>
        <w:widowControl/>
        <w:numPr>
          <w:ilvl w:val="0"/>
          <w:numId w:val="11"/>
        </w:numPr>
        <w:kinsoku/>
        <w:wordWrap/>
        <w:overflowPunct/>
        <w:topLinePunct w:val="0"/>
        <w:autoSpaceDE/>
        <w:autoSpaceDN/>
        <w:bidi w:val="0"/>
        <w:adjustRightInd/>
        <w:snapToGrid/>
        <w:spacing w:line="420" w:lineRule="exact"/>
        <w:ind w:left="0" w:leftChars="0" w:firstLine="420" w:firstLineChars="0"/>
        <w:jc w:val="left"/>
        <w:textAlignment w:val="auto"/>
        <w:rPr>
          <w:rFonts w:hint="eastAsia" w:ascii="仿宋_GB2312" w:hAnsi="仿宋_GB2312" w:eastAsia="仿宋_GB2312" w:cs="仿宋_GB2312"/>
          <w:b w:val="0"/>
          <w:bCs w:val="0"/>
          <w:color w:val="auto"/>
          <w:sz w:val="30"/>
          <w:szCs w:val="30"/>
          <w:highlight w:val="none"/>
          <w:lang w:val="en-US" w:eastAsia="zh-CN"/>
        </w:rPr>
      </w:pPr>
      <w:r>
        <w:rPr>
          <w:rFonts w:hint="eastAsia" w:ascii="仿宋_GB2312" w:hAnsi="仿宋_GB2312" w:eastAsia="仿宋_GB2312" w:cs="仿宋_GB2312"/>
          <w:b w:val="0"/>
          <w:bCs w:val="0"/>
          <w:color w:val="auto"/>
          <w:sz w:val="30"/>
          <w:szCs w:val="30"/>
          <w:highlight w:val="none"/>
          <w:lang w:val="en-US" w:eastAsia="zh-CN"/>
        </w:rPr>
        <w:t>送达摊位内乙方工作人员或职员的通知视为有效送达。</w:t>
      </w:r>
    </w:p>
    <w:p w14:paraId="646834DE">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420" w:firstLineChars="0"/>
        <w:jc w:val="left"/>
        <w:textAlignment w:val="auto"/>
        <w:rPr>
          <w:rFonts w:hint="eastAsia" w:ascii="仿宋_GB2312" w:hAnsi="仿宋_GB2312" w:eastAsia="仿宋_GB2312" w:cs="仿宋_GB2312"/>
          <w:b/>
          <w:bCs/>
          <w:color w:val="auto"/>
          <w:sz w:val="30"/>
          <w:szCs w:val="30"/>
          <w:highlight w:val="none"/>
          <w:lang w:val="en-US" w:eastAsia="zh-CN"/>
        </w:rPr>
      </w:pPr>
      <w:r>
        <w:rPr>
          <w:rFonts w:hint="eastAsia" w:ascii="仿宋_GB2312" w:hAnsi="仿宋_GB2312" w:eastAsia="仿宋_GB2312" w:cs="仿宋_GB2312"/>
          <w:b/>
          <w:bCs/>
          <w:color w:val="auto"/>
          <w:sz w:val="30"/>
          <w:szCs w:val="30"/>
          <w:lang w:val="en-US" w:eastAsia="zh-CN"/>
        </w:rPr>
        <w:t>八、</w:t>
      </w:r>
      <w:r>
        <w:rPr>
          <w:rFonts w:hint="eastAsia" w:ascii="仿宋_GB2312" w:hAnsi="仿宋_GB2312" w:eastAsia="仿宋_GB2312" w:cs="仿宋_GB2312"/>
          <w:b/>
          <w:bCs/>
          <w:color w:val="auto"/>
          <w:sz w:val="30"/>
          <w:szCs w:val="30"/>
          <w:highlight w:val="none"/>
          <w:lang w:val="en-US" w:eastAsia="zh-CN"/>
        </w:rPr>
        <w:t>其他</w:t>
      </w:r>
    </w:p>
    <w:p w14:paraId="32464DC4">
      <w:pPr>
        <w:keepNext w:val="0"/>
        <w:keepLines w:val="0"/>
        <w:pageBreakBefore w:val="0"/>
        <w:widowControl/>
        <w:numPr>
          <w:ilvl w:val="0"/>
          <w:numId w:val="12"/>
        </w:numPr>
        <w:kinsoku/>
        <w:wordWrap/>
        <w:overflowPunct/>
        <w:topLinePunct w:val="0"/>
        <w:autoSpaceDE/>
        <w:autoSpaceDN/>
        <w:bidi w:val="0"/>
        <w:adjustRightInd/>
        <w:snapToGrid/>
        <w:spacing w:line="420" w:lineRule="exact"/>
        <w:ind w:left="0" w:leftChars="0" w:firstLine="420" w:firstLineChars="0"/>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因本协议引起的任何争议，由协议双方协商解决；协商不成的，应向甲方所在地有管辖权的人民法院起诉。</w:t>
      </w:r>
    </w:p>
    <w:p w14:paraId="6DE02DE4">
      <w:pPr>
        <w:keepNext w:val="0"/>
        <w:keepLines w:val="0"/>
        <w:pageBreakBefore w:val="0"/>
        <w:widowControl/>
        <w:numPr>
          <w:ilvl w:val="0"/>
          <w:numId w:val="12"/>
        </w:numPr>
        <w:kinsoku/>
        <w:wordWrap/>
        <w:overflowPunct/>
        <w:topLinePunct w:val="0"/>
        <w:autoSpaceDE/>
        <w:autoSpaceDN/>
        <w:bidi w:val="0"/>
        <w:adjustRightInd/>
        <w:snapToGrid/>
        <w:spacing w:line="420" w:lineRule="exact"/>
        <w:ind w:left="0" w:leftChars="0" w:firstLine="420" w:firstLineChars="0"/>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本协议一式叁份，甲方执贰份、乙方执壹份，经双方签字盖章后生效。</w:t>
      </w:r>
    </w:p>
    <w:p w14:paraId="6A1EF43A">
      <w:pPr>
        <w:numPr>
          <w:ilvl w:val="0"/>
          <w:numId w:val="0"/>
        </w:numPr>
        <w:jc w:val="left"/>
        <w:rPr>
          <w:rFonts w:hint="eastAsia" w:ascii="仿宋_GB2312" w:hAnsi="仿宋_GB2312" w:eastAsia="仿宋_GB2312" w:cs="仿宋_GB2312"/>
          <w:color w:val="auto"/>
          <w:sz w:val="30"/>
          <w:szCs w:val="30"/>
          <w:highlight w:val="none"/>
          <w:lang w:val="en-US" w:eastAsia="zh-CN"/>
        </w:rPr>
      </w:pPr>
    </w:p>
    <w:p w14:paraId="3682E3BA">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甲方（盖章）：</w:t>
      </w:r>
      <w:r>
        <w:rPr>
          <w:rFonts w:hint="eastAsia" w:ascii="仿宋_GB2312" w:hAnsi="仿宋_GB2312" w:eastAsia="仿宋_GB2312" w:cs="仿宋_GB2312"/>
          <w:sz w:val="30"/>
          <w:szCs w:val="30"/>
        </w:rPr>
        <w:t>中山市</w:t>
      </w:r>
      <w:r>
        <w:rPr>
          <w:rFonts w:hint="eastAsia" w:ascii="仿宋_GB2312" w:hAnsi="仿宋_GB2312" w:eastAsia="仿宋_GB2312" w:cs="仿宋_GB2312"/>
          <w:sz w:val="30"/>
          <w:szCs w:val="30"/>
          <w:lang w:val="en-US" w:eastAsia="zh-CN"/>
        </w:rPr>
        <w:t>凤创企业管理</w:t>
      </w:r>
      <w:r>
        <w:rPr>
          <w:rFonts w:hint="eastAsia" w:ascii="仿宋_GB2312" w:hAnsi="仿宋_GB2312" w:eastAsia="仿宋_GB2312" w:cs="仿宋_GB2312"/>
          <w:sz w:val="30"/>
          <w:szCs w:val="30"/>
        </w:rPr>
        <w:t>有限</w:t>
      </w:r>
      <w:r>
        <w:rPr>
          <w:rFonts w:hint="eastAsia" w:ascii="仿宋_GB2312" w:hAnsi="仿宋_GB2312" w:eastAsia="仿宋_GB2312" w:cs="仿宋_GB2312"/>
          <w:sz w:val="30"/>
          <w:szCs w:val="30"/>
          <w:lang w:val="en-US" w:eastAsia="zh-CN"/>
        </w:rPr>
        <w:t>责任</w:t>
      </w:r>
      <w:r>
        <w:rPr>
          <w:rFonts w:hint="eastAsia" w:ascii="仿宋_GB2312" w:hAnsi="仿宋_GB2312" w:eastAsia="仿宋_GB2312" w:cs="仿宋_GB2312"/>
          <w:sz w:val="30"/>
          <w:szCs w:val="30"/>
        </w:rPr>
        <w:t>公司</w:t>
      </w:r>
    </w:p>
    <w:p w14:paraId="2BFF9F9D">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日期：      年    月    日</w:t>
      </w:r>
    </w:p>
    <w:p w14:paraId="1E55CCA6">
      <w:pPr>
        <w:rPr>
          <w:rFonts w:hint="eastAsia" w:ascii="仿宋_GB2312" w:hAnsi="仿宋_GB2312" w:eastAsia="仿宋_GB2312" w:cs="仿宋_GB2312"/>
          <w:sz w:val="30"/>
          <w:szCs w:val="30"/>
          <w:lang w:val="en-US" w:eastAsia="zh-CN"/>
        </w:rPr>
      </w:pPr>
    </w:p>
    <w:p w14:paraId="3D1B84B0">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乙方（签字）：</w:t>
      </w:r>
    </w:p>
    <w:p w14:paraId="3A067139">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日期：      </w:t>
      </w:r>
      <w:r>
        <w:rPr>
          <w:rFonts w:hint="eastAsia" w:ascii="仿宋_GB2312" w:hAnsi="仿宋_GB2312" w:eastAsia="仿宋_GB2312" w:cs="仿宋_GB2312"/>
          <w:sz w:val="30"/>
          <w:szCs w:val="30"/>
        </w:rPr>
        <w:t>年    月    日</w:t>
      </w:r>
    </w:p>
    <w:p w14:paraId="140E3026">
      <w:pPr>
        <w:numPr>
          <w:ilvl w:val="0"/>
          <w:numId w:val="0"/>
        </w:numPr>
        <w:topLinePunct/>
        <w:jc w:val="left"/>
        <w:rPr>
          <w:rFonts w:hint="eastAsia" w:ascii="仿宋_GB2312" w:hAnsi="仿宋_GB2312" w:eastAsia="仿宋_GB2312" w:cs="仿宋_GB2312"/>
          <w:b w:val="0"/>
          <w:bCs w:val="0"/>
          <w:color w:val="auto"/>
          <w:sz w:val="32"/>
          <w:szCs w:val="32"/>
          <w:highlight w:val="none"/>
          <w:lang w:val="en-US" w:eastAsia="zh-CN"/>
        </w:rPr>
      </w:pPr>
    </w:p>
    <w:p w14:paraId="1D6B6F61">
      <w:pPr>
        <w:numPr>
          <w:ilvl w:val="0"/>
          <w:numId w:val="0"/>
        </w:numPr>
        <w:topLinePunct/>
        <w:jc w:val="left"/>
        <w:rPr>
          <w:rFonts w:hint="eastAsia" w:ascii="仿宋_GB2312" w:hAnsi="仿宋_GB2312" w:eastAsia="仿宋_GB2312" w:cs="仿宋_GB2312"/>
          <w:b w:val="0"/>
          <w:bCs w:val="0"/>
          <w:color w:val="auto"/>
          <w:sz w:val="32"/>
          <w:szCs w:val="32"/>
          <w:highlight w:val="none"/>
          <w:lang w:val="en-US" w:eastAsia="zh-CN"/>
        </w:rPr>
      </w:pPr>
    </w:p>
    <w:p w14:paraId="524515A0">
      <w:pPr>
        <w:numPr>
          <w:ilvl w:val="0"/>
          <w:numId w:val="0"/>
        </w:numPr>
        <w:topLinePunct/>
        <w:jc w:val="left"/>
        <w:rPr>
          <w:rFonts w:hint="eastAsia" w:ascii="仿宋_GB2312" w:hAnsi="仿宋_GB2312" w:eastAsia="仿宋_GB2312" w:cs="仿宋_GB2312"/>
          <w:b w:val="0"/>
          <w:bCs w:val="0"/>
          <w:color w:val="auto"/>
          <w:sz w:val="32"/>
          <w:szCs w:val="32"/>
          <w:highlight w:val="none"/>
          <w:lang w:val="en-US" w:eastAsia="zh-CN"/>
        </w:rPr>
      </w:pPr>
    </w:p>
    <w:p w14:paraId="670D293A">
      <w:pPr>
        <w:jc w:val="righ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4"/>
          <w:szCs w:val="24"/>
          <w:lang w:val="en-US" w:eastAsia="zh-CN"/>
        </w:rPr>
        <w:t>合同编号：夜市街合同【2025】</w:t>
      </w:r>
      <w:r>
        <w:rPr>
          <w:rFonts w:hint="eastAsia" w:ascii="仿宋_GB2312" w:hAnsi="仿宋_GB2312" w:eastAsia="仿宋_GB2312" w:cs="仿宋_GB2312"/>
          <w:b w:val="0"/>
          <w:bCs w:val="0"/>
          <w:sz w:val="24"/>
          <w:szCs w:val="24"/>
          <w:u w:val="single"/>
          <w:lang w:val="en-US" w:eastAsia="zh-CN"/>
        </w:rPr>
        <w:t xml:space="preserve">    </w:t>
      </w:r>
      <w:r>
        <w:rPr>
          <w:rFonts w:hint="eastAsia" w:ascii="仿宋_GB2312" w:hAnsi="仿宋_GB2312" w:eastAsia="仿宋_GB2312" w:cs="仿宋_GB2312"/>
          <w:b w:val="0"/>
          <w:bCs w:val="0"/>
          <w:sz w:val="24"/>
          <w:szCs w:val="24"/>
          <w:lang w:val="en-US" w:eastAsia="zh-CN"/>
        </w:rPr>
        <w:t xml:space="preserve"> 号</w:t>
      </w:r>
    </w:p>
    <w:p w14:paraId="5D5EA960">
      <w:pPr>
        <w:jc w:val="right"/>
        <w:rPr>
          <w:rFonts w:hint="eastAsia" w:ascii="仿宋_GB2312" w:hAnsi="仿宋_GB2312" w:eastAsia="仿宋_GB2312" w:cs="仿宋_GB2312"/>
          <w:b w:val="0"/>
          <w:bCs w:val="0"/>
          <w:sz w:val="28"/>
          <w:szCs w:val="28"/>
          <w:lang w:val="en-US" w:eastAsia="zh-CN"/>
        </w:rPr>
      </w:pPr>
    </w:p>
    <w:p w14:paraId="050D8043">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b/>
          <w:bCs/>
          <w:sz w:val="44"/>
          <w:szCs w:val="44"/>
          <w:highlight w:val="none"/>
          <w:lang w:val="en-US" w:eastAsia="zh-CN"/>
        </w:rPr>
      </w:pPr>
      <w:r>
        <w:rPr>
          <w:rFonts w:hint="eastAsia" w:ascii="方正小标宋简体" w:hAnsi="方正小标宋简体" w:eastAsia="方正小标宋简体" w:cs="方正小标宋简体"/>
          <w:b/>
          <w:bCs/>
          <w:sz w:val="44"/>
          <w:szCs w:val="44"/>
          <w:lang w:val="en-US" w:eastAsia="zh-CN"/>
        </w:rPr>
        <w:t>东凤镇</w:t>
      </w:r>
      <w:r>
        <w:rPr>
          <w:rFonts w:hint="eastAsia" w:ascii="方正小标宋简体" w:hAnsi="方正小标宋简体" w:eastAsia="方正小标宋简体" w:cs="方正小标宋简体"/>
          <w:b/>
          <w:bCs/>
          <w:color w:val="auto"/>
          <w:sz w:val="44"/>
          <w:szCs w:val="44"/>
          <w:lang w:val="en-US" w:eastAsia="zh-CN"/>
        </w:rPr>
        <w:t>灯光夜市步行街流动</w:t>
      </w:r>
      <w:r>
        <w:rPr>
          <w:rFonts w:hint="eastAsia" w:ascii="方正小标宋简体" w:hAnsi="方正小标宋简体" w:eastAsia="方正小标宋简体" w:cs="方正小标宋简体"/>
          <w:b/>
          <w:bCs/>
          <w:sz w:val="44"/>
          <w:szCs w:val="44"/>
          <w:highlight w:val="none"/>
          <w:lang w:val="en-US" w:eastAsia="zh-CN"/>
        </w:rPr>
        <w:t>摊位商户协议书</w:t>
      </w:r>
    </w:p>
    <w:p w14:paraId="7A156952">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highlight w:val="none"/>
          <w:lang w:val="en-US" w:eastAsia="zh-CN"/>
        </w:rPr>
      </w:pPr>
      <w:r>
        <w:rPr>
          <w:rFonts w:hint="eastAsia" w:ascii="方正小标宋简体" w:hAnsi="方正小标宋简体" w:eastAsia="方正小标宋简体" w:cs="方正小标宋简体"/>
          <w:b/>
          <w:sz w:val="44"/>
          <w:szCs w:val="44"/>
        </w:rPr>
        <w:t>（</w:t>
      </w:r>
      <w:r>
        <w:rPr>
          <w:rFonts w:hint="eastAsia" w:ascii="方正小标宋简体" w:hAnsi="方正小标宋简体" w:eastAsia="方正小标宋简体" w:cs="方正小标宋简体"/>
          <w:b/>
          <w:sz w:val="44"/>
          <w:szCs w:val="44"/>
          <w:lang w:val="en-US" w:eastAsia="zh-CN"/>
        </w:rPr>
        <w:t>兴华中路二街</w:t>
      </w:r>
      <w:r>
        <w:rPr>
          <w:rFonts w:hint="eastAsia" w:ascii="方正小标宋简体" w:hAnsi="方正小标宋简体" w:eastAsia="方正小标宋简体" w:cs="方正小标宋简体"/>
          <w:b/>
          <w:sz w:val="44"/>
          <w:szCs w:val="44"/>
        </w:rPr>
        <w:t>）</w:t>
      </w:r>
    </w:p>
    <w:p w14:paraId="64294A1E">
      <w:pPr>
        <w:jc w:val="center"/>
        <w:rPr>
          <w:rFonts w:hint="eastAsia" w:ascii="宋体" w:hAnsi="宋体" w:eastAsia="宋体" w:cs="宋体"/>
          <w:b/>
          <w:bCs/>
          <w:sz w:val="36"/>
          <w:szCs w:val="36"/>
          <w:highlight w:val="none"/>
          <w:lang w:val="en-US" w:eastAsia="zh-CN"/>
        </w:rPr>
      </w:pPr>
    </w:p>
    <w:p w14:paraId="2B0D4214">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甲方（招租人）：</w:t>
      </w:r>
      <w:r>
        <w:rPr>
          <w:rFonts w:hint="eastAsia" w:ascii="仿宋_GB2312" w:hAnsi="仿宋_GB2312" w:eastAsia="仿宋_GB2312" w:cs="仿宋_GB2312"/>
          <w:b/>
          <w:bCs/>
          <w:sz w:val="28"/>
          <w:szCs w:val="28"/>
        </w:rPr>
        <w:t>中山市</w:t>
      </w:r>
      <w:r>
        <w:rPr>
          <w:rFonts w:hint="eastAsia" w:ascii="仿宋_GB2312" w:hAnsi="仿宋_GB2312" w:eastAsia="仿宋_GB2312" w:cs="仿宋_GB2312"/>
          <w:b/>
          <w:bCs/>
          <w:sz w:val="28"/>
          <w:szCs w:val="28"/>
          <w:lang w:val="en-US" w:eastAsia="zh-CN"/>
        </w:rPr>
        <w:t>凤创企业管理</w:t>
      </w:r>
      <w:r>
        <w:rPr>
          <w:rFonts w:hint="eastAsia" w:ascii="仿宋_GB2312" w:hAnsi="仿宋_GB2312" w:eastAsia="仿宋_GB2312" w:cs="仿宋_GB2312"/>
          <w:b/>
          <w:bCs/>
          <w:sz w:val="28"/>
          <w:szCs w:val="28"/>
        </w:rPr>
        <w:t>有限</w:t>
      </w:r>
      <w:r>
        <w:rPr>
          <w:rFonts w:hint="eastAsia" w:ascii="仿宋_GB2312" w:hAnsi="仿宋_GB2312" w:eastAsia="仿宋_GB2312" w:cs="仿宋_GB2312"/>
          <w:b/>
          <w:bCs/>
          <w:sz w:val="28"/>
          <w:szCs w:val="28"/>
          <w:lang w:val="en-US" w:eastAsia="zh-CN"/>
        </w:rPr>
        <w:t>责任</w:t>
      </w:r>
      <w:r>
        <w:rPr>
          <w:rFonts w:hint="eastAsia" w:ascii="仿宋_GB2312" w:hAnsi="仿宋_GB2312" w:eastAsia="仿宋_GB2312" w:cs="仿宋_GB2312"/>
          <w:b/>
          <w:bCs/>
          <w:sz w:val="28"/>
          <w:szCs w:val="28"/>
        </w:rPr>
        <w:t>公司</w:t>
      </w:r>
    </w:p>
    <w:p w14:paraId="1D57BB71">
      <w:pPr>
        <w:keepNext w:val="0"/>
        <w:keepLines w:val="0"/>
        <w:pageBreakBefore w:val="0"/>
        <w:widowControl/>
        <w:kinsoku/>
        <w:wordWrap/>
        <w:overflowPunct/>
        <w:topLinePunct w:val="0"/>
        <w:autoSpaceDE/>
        <w:autoSpaceDN/>
        <w:bidi w:val="0"/>
        <w:adjustRightInd/>
        <w:snapToGrid/>
        <w:spacing w:line="560" w:lineRule="exact"/>
        <w:ind w:left="0" w:leftChars="0" w:firstLine="562" w:firstLineChars="200"/>
        <w:textAlignment w:val="auto"/>
        <w:rPr>
          <w:rFonts w:hint="eastAsia" w:ascii="仿宋_GB2312" w:hAnsi="仿宋_GB2312" w:eastAsia="仿宋_GB2312" w:cs="仿宋_GB2312"/>
          <w:b/>
          <w:bCs/>
          <w:sz w:val="28"/>
          <w:szCs w:val="28"/>
          <w:u w:val="single"/>
          <w:lang w:val="en-US" w:eastAsia="zh-CN"/>
        </w:rPr>
      </w:pPr>
      <w:r>
        <w:rPr>
          <w:rFonts w:hint="eastAsia" w:ascii="仿宋_GB2312" w:hAnsi="仿宋_GB2312" w:eastAsia="仿宋_GB2312" w:cs="仿宋_GB2312"/>
          <w:b/>
          <w:bCs/>
          <w:sz w:val="28"/>
          <w:szCs w:val="28"/>
          <w:lang w:val="en-US" w:eastAsia="zh-CN"/>
        </w:rPr>
        <w:t>乙方（中标人）：</w:t>
      </w:r>
      <w:r>
        <w:rPr>
          <w:rFonts w:hint="eastAsia" w:ascii="仿宋_GB2312" w:hAnsi="仿宋_GB2312" w:eastAsia="仿宋_GB2312" w:cs="仿宋_GB2312"/>
          <w:b/>
          <w:bCs/>
          <w:sz w:val="28"/>
          <w:szCs w:val="28"/>
          <w:u w:val="single"/>
          <w:lang w:val="en-US" w:eastAsia="zh-CN"/>
        </w:rPr>
        <w:t xml:space="preserve">               </w:t>
      </w:r>
      <w:r>
        <w:rPr>
          <w:rFonts w:hint="eastAsia" w:ascii="仿宋_GB2312" w:hAnsi="仿宋_GB2312" w:eastAsia="仿宋_GB2312" w:cs="仿宋_GB2312"/>
          <w:b/>
          <w:bCs/>
          <w:sz w:val="28"/>
          <w:szCs w:val="28"/>
          <w:lang w:val="en-US" w:eastAsia="zh-CN"/>
        </w:rPr>
        <w:t>身份证号：</w:t>
      </w:r>
      <w:r>
        <w:rPr>
          <w:rFonts w:hint="eastAsia" w:ascii="仿宋_GB2312" w:hAnsi="仿宋_GB2312" w:eastAsia="仿宋_GB2312" w:cs="仿宋_GB2312"/>
          <w:b/>
          <w:bCs/>
          <w:sz w:val="28"/>
          <w:szCs w:val="28"/>
          <w:u w:val="single"/>
          <w:lang w:val="en-US" w:eastAsia="zh-CN"/>
        </w:rPr>
        <w:t xml:space="preserve">                </w:t>
      </w:r>
    </w:p>
    <w:p w14:paraId="03C36D90">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28"/>
          <w:szCs w:val="28"/>
          <w:u w:val="single"/>
          <w:lang w:val="en-US" w:eastAsia="zh-CN"/>
        </w:rPr>
      </w:pPr>
      <w:r>
        <w:rPr>
          <w:rFonts w:hint="eastAsia" w:ascii="仿宋_GB2312" w:hAnsi="仿宋_GB2312" w:eastAsia="仿宋_GB2312" w:cs="仿宋_GB2312"/>
          <w:b/>
          <w:bCs/>
          <w:sz w:val="28"/>
          <w:szCs w:val="28"/>
          <w:lang w:val="en-US" w:eastAsia="zh-CN"/>
        </w:rPr>
        <w:t xml:space="preserve">      联系电话：</w:t>
      </w:r>
      <w:r>
        <w:rPr>
          <w:rFonts w:hint="eastAsia" w:ascii="仿宋_GB2312" w:hAnsi="仿宋_GB2312" w:eastAsia="仿宋_GB2312" w:cs="仿宋_GB2312"/>
          <w:b/>
          <w:bCs/>
          <w:sz w:val="28"/>
          <w:szCs w:val="28"/>
          <w:u w:val="single"/>
          <w:lang w:val="en-US" w:eastAsia="zh-CN"/>
        </w:rPr>
        <w:t xml:space="preserve">              </w:t>
      </w:r>
    </w:p>
    <w:p w14:paraId="667D94A8">
      <w:pPr>
        <w:keepNext w:val="0"/>
        <w:keepLines w:val="0"/>
        <w:pageBreakBefore w:val="0"/>
        <w:widowControl/>
        <w:kinsoku/>
        <w:wordWrap/>
        <w:overflowPunct/>
        <w:topLinePunct w:val="0"/>
        <w:autoSpaceDE/>
        <w:autoSpaceDN/>
        <w:bidi w:val="0"/>
        <w:adjustRightInd/>
        <w:snapToGrid/>
        <w:spacing w:line="480" w:lineRule="exact"/>
        <w:ind w:left="0" w:leftChars="0"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甲方于</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年</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月</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日对东凤镇兴华中路灯光夜市步行街流动摊位进行公开招租，乙方通过竞投，获得东凤镇兴华中路流动摊位的临时经营权。经双方友好协商，就摊位经营事宜，达成协议如下：</w:t>
      </w:r>
    </w:p>
    <w:p w14:paraId="5C8BFCD7">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420" w:firstLineChars="0"/>
        <w:jc w:val="left"/>
        <w:textAlignment w:val="auto"/>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一、摊位信息</w:t>
      </w:r>
    </w:p>
    <w:p w14:paraId="3B8E0CD9">
      <w:pPr>
        <w:keepNext w:val="0"/>
        <w:keepLines w:val="0"/>
        <w:pageBreakBefore w:val="0"/>
        <w:widowControl/>
        <w:numPr>
          <w:ilvl w:val="0"/>
          <w:numId w:val="13"/>
        </w:numPr>
        <w:kinsoku/>
        <w:wordWrap/>
        <w:overflowPunct/>
        <w:topLinePunct w:val="0"/>
        <w:autoSpaceDE/>
        <w:autoSpaceDN/>
        <w:bidi w:val="0"/>
        <w:adjustRightInd/>
        <w:snapToGrid/>
        <w:spacing w:line="480" w:lineRule="exact"/>
        <w:ind w:left="0" w:leftChars="0" w:firstLine="420" w:firstLineChars="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流动临时摊位编号：</w:t>
      </w:r>
      <w:r>
        <w:rPr>
          <w:rFonts w:hint="eastAsia" w:ascii="仿宋_GB2312" w:hAnsi="仿宋_GB2312" w:eastAsia="仿宋_GB2312" w:cs="仿宋_GB2312"/>
          <w:color w:val="auto"/>
          <w:sz w:val="30"/>
          <w:szCs w:val="30"/>
          <w:u w:val="single"/>
          <w:lang w:val="en-US" w:eastAsia="zh-CN"/>
        </w:rPr>
        <w:t xml:space="preserve">            </w:t>
      </w:r>
    </w:p>
    <w:p w14:paraId="25852764">
      <w:pPr>
        <w:keepNext w:val="0"/>
        <w:keepLines w:val="0"/>
        <w:pageBreakBefore w:val="0"/>
        <w:widowControl/>
        <w:numPr>
          <w:ilvl w:val="0"/>
          <w:numId w:val="13"/>
        </w:numPr>
        <w:kinsoku/>
        <w:wordWrap/>
        <w:overflowPunct/>
        <w:topLinePunct w:val="0"/>
        <w:autoSpaceDE/>
        <w:autoSpaceDN/>
        <w:bidi w:val="0"/>
        <w:adjustRightInd/>
        <w:snapToGrid/>
        <w:spacing w:line="480" w:lineRule="exact"/>
        <w:ind w:left="0" w:leftChars="0" w:firstLine="420" w:firstLineChars="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摊位经营范围：</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 xml:space="preserve">        </w:t>
      </w:r>
    </w:p>
    <w:p w14:paraId="46862A56">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420" w:firstLineChars="0"/>
        <w:jc w:val="left"/>
        <w:textAlignment w:val="auto"/>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二、使用期限</w:t>
      </w:r>
    </w:p>
    <w:p w14:paraId="574E9E98">
      <w:pPr>
        <w:keepNext w:val="0"/>
        <w:keepLines w:val="0"/>
        <w:pageBreakBefore w:val="0"/>
        <w:widowControl/>
        <w:numPr>
          <w:ilvl w:val="0"/>
          <w:numId w:val="14"/>
        </w:numPr>
        <w:kinsoku/>
        <w:wordWrap/>
        <w:overflowPunct/>
        <w:topLinePunct w:val="0"/>
        <w:autoSpaceDE/>
        <w:autoSpaceDN/>
        <w:bidi w:val="0"/>
        <w:adjustRightInd/>
        <w:snapToGrid/>
        <w:spacing w:line="480" w:lineRule="exact"/>
        <w:ind w:left="0" w:leftChars="0" w:firstLine="420" w:firstLineChars="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摊位使用期限为</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年</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月</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日至</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年</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月</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日。</w:t>
      </w:r>
    </w:p>
    <w:p w14:paraId="572DF97B">
      <w:pPr>
        <w:keepNext w:val="0"/>
        <w:keepLines w:val="0"/>
        <w:pageBreakBefore w:val="0"/>
        <w:widowControl/>
        <w:numPr>
          <w:ilvl w:val="0"/>
          <w:numId w:val="14"/>
        </w:numPr>
        <w:kinsoku/>
        <w:wordWrap/>
        <w:overflowPunct/>
        <w:topLinePunct w:val="0"/>
        <w:autoSpaceDE/>
        <w:autoSpaceDN/>
        <w:bidi w:val="0"/>
        <w:adjustRightInd/>
        <w:snapToGrid/>
        <w:spacing w:line="480" w:lineRule="exact"/>
        <w:ind w:left="0" w:leftChars="0" w:firstLine="420" w:firstLineChars="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摊位使用期限届满后，甲方有权在使用期限届满后重新进行公开招租。</w:t>
      </w:r>
    </w:p>
    <w:p w14:paraId="1A0B4849">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420" w:firstLineChars="0"/>
        <w:jc w:val="left"/>
        <w:textAlignment w:val="auto"/>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三、费用支付</w:t>
      </w:r>
    </w:p>
    <w:p w14:paraId="7DA22D78">
      <w:pPr>
        <w:keepNext w:val="0"/>
        <w:keepLines w:val="0"/>
        <w:pageBreakBefore w:val="0"/>
        <w:widowControl/>
        <w:numPr>
          <w:ilvl w:val="0"/>
          <w:numId w:val="0"/>
        </w:numPr>
        <w:tabs>
          <w:tab w:val="left" w:pos="2702"/>
        </w:tabs>
        <w:kinsoku/>
        <w:wordWrap/>
        <w:overflowPunct/>
        <w:topLinePunct w:val="0"/>
        <w:autoSpaceDE/>
        <w:autoSpaceDN/>
        <w:bidi w:val="0"/>
        <w:adjustRightInd/>
        <w:snapToGrid/>
        <w:spacing w:line="480" w:lineRule="exact"/>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（一）履约保证金为人民币</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元，</w:t>
      </w:r>
      <w:r>
        <w:rPr>
          <w:rFonts w:hint="eastAsia" w:ascii="仿宋_GB2312" w:hAnsi="仿宋_GB2312" w:eastAsia="仿宋_GB2312" w:cs="仿宋_GB2312"/>
          <w:b w:val="0"/>
          <w:bCs w:val="0"/>
          <w:color w:val="auto"/>
          <w:sz w:val="30"/>
          <w:szCs w:val="30"/>
          <w:lang w:val="en-US" w:eastAsia="zh-CN"/>
        </w:rPr>
        <w:t>大写</w:t>
      </w:r>
      <w:r>
        <w:rPr>
          <w:rFonts w:hint="eastAsia" w:ascii="仿宋_GB2312" w:hAnsi="仿宋_GB2312" w:eastAsia="仿宋_GB2312" w:cs="仿宋_GB2312"/>
          <w:color w:val="auto"/>
          <w:sz w:val="30"/>
          <w:szCs w:val="30"/>
          <w:lang w:val="en-US" w:eastAsia="zh-CN"/>
        </w:rPr>
        <w:t>：</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 xml:space="preserve">元整。乙方已于 </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年</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月</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日缴纳。使用期限内乙方无违反经营承诺的行为的，使用期限届满或本协议因非乙方原因提前终止时，由甲方将保证金无息退还乙方。</w:t>
      </w:r>
    </w:p>
    <w:p w14:paraId="1C89B5AC">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00" w:firstLineChars="200"/>
        <w:jc w:val="lef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color w:val="auto"/>
          <w:sz w:val="30"/>
          <w:szCs w:val="30"/>
          <w:lang w:val="en-US" w:eastAsia="zh-CN"/>
        </w:rPr>
        <w:t xml:space="preserve">（二）租场费为每月人民币（¥ </w:t>
      </w:r>
      <w:r>
        <w:rPr>
          <w:rFonts w:hint="eastAsia" w:ascii="仿宋_GB2312" w:hAnsi="仿宋_GB2312" w:eastAsia="仿宋_GB2312" w:cs="仿宋_GB2312"/>
          <w:color w:val="auto"/>
          <w:sz w:val="30"/>
          <w:szCs w:val="30"/>
          <w:u w:val="single"/>
          <w:lang w:val="en-US" w:eastAsia="zh-CN"/>
        </w:rPr>
        <w:t xml:space="preserve">     元整</w:t>
      </w:r>
      <w:r>
        <w:rPr>
          <w:rFonts w:hint="eastAsia" w:ascii="仿宋_GB2312" w:hAnsi="仿宋_GB2312" w:eastAsia="仿宋_GB2312" w:cs="仿宋_GB2312"/>
          <w:color w:val="auto"/>
          <w:sz w:val="30"/>
          <w:szCs w:val="30"/>
          <w:lang w:val="en-US" w:eastAsia="zh-CN"/>
        </w:rPr>
        <w:t>）大写：</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 xml:space="preserve">，其中2026年1月1日至2月28日期间的租场费合计按1个月收取，乙方已于 </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年</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月</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日缴纳。乙方应按照先支付后使用原则，在每月27日前向甲方支付次月的租场费。</w:t>
      </w:r>
    </w:p>
    <w:p w14:paraId="6E0D54BC">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420" w:firstLineChars="0"/>
        <w:jc w:val="lef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四、经营承诺</w:t>
      </w:r>
    </w:p>
    <w:p w14:paraId="557C78E2">
      <w:pPr>
        <w:keepNext w:val="0"/>
        <w:keepLines w:val="0"/>
        <w:pageBreakBefore w:val="0"/>
        <w:widowControl/>
        <w:numPr>
          <w:ilvl w:val="0"/>
          <w:numId w:val="15"/>
        </w:numPr>
        <w:kinsoku/>
        <w:wordWrap/>
        <w:overflowPunct/>
        <w:topLinePunct w:val="0"/>
        <w:autoSpaceDE/>
        <w:autoSpaceDN/>
        <w:bidi w:val="0"/>
        <w:adjustRightInd/>
        <w:snapToGrid/>
        <w:spacing w:line="500" w:lineRule="exact"/>
        <w:ind w:left="0" w:leftChars="0" w:firstLine="420" w:firstLineChars="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乙方承诺</w:t>
      </w:r>
      <w:r>
        <w:rPr>
          <w:rFonts w:hint="eastAsia" w:ascii="仿宋_GB2312" w:hAnsi="仿宋_GB2312" w:eastAsia="仿宋_GB2312" w:cs="仿宋_GB2312"/>
          <w:sz w:val="28"/>
          <w:szCs w:val="28"/>
        </w:rPr>
        <w:t>该</w:t>
      </w:r>
      <w:r>
        <w:rPr>
          <w:rFonts w:hint="eastAsia" w:ascii="仿宋_GB2312" w:hAnsi="仿宋_GB2312" w:eastAsia="仿宋_GB2312" w:cs="仿宋_GB2312"/>
          <w:sz w:val="28"/>
          <w:szCs w:val="28"/>
          <w:lang w:val="en-US" w:eastAsia="zh-CN"/>
        </w:rPr>
        <w:t>摊位</w:t>
      </w:r>
      <w:r>
        <w:rPr>
          <w:rFonts w:hint="eastAsia" w:ascii="仿宋_GB2312" w:hAnsi="仿宋_GB2312" w:eastAsia="仿宋_GB2312" w:cs="仿宋_GB2312"/>
          <w:sz w:val="28"/>
          <w:szCs w:val="28"/>
        </w:rPr>
        <w:t>不</w:t>
      </w:r>
      <w:r>
        <w:rPr>
          <w:rFonts w:hint="eastAsia" w:ascii="仿宋_GB2312" w:hAnsi="仿宋_GB2312" w:eastAsia="仿宋_GB2312" w:cs="仿宋_GB2312"/>
          <w:sz w:val="28"/>
          <w:szCs w:val="28"/>
          <w:lang w:val="en-US" w:eastAsia="zh-CN"/>
        </w:rPr>
        <w:t>用作堆放易燃易爆、有毒有害、有污染环境等危险物品或违禁物品。</w:t>
      </w:r>
    </w:p>
    <w:p w14:paraId="12E54D52">
      <w:pPr>
        <w:keepNext w:val="0"/>
        <w:keepLines w:val="0"/>
        <w:pageBreakBefore w:val="0"/>
        <w:widowControl/>
        <w:numPr>
          <w:ilvl w:val="0"/>
          <w:numId w:val="15"/>
        </w:numPr>
        <w:kinsoku/>
        <w:wordWrap/>
        <w:overflowPunct/>
        <w:topLinePunct w:val="0"/>
        <w:autoSpaceDE/>
        <w:autoSpaceDN/>
        <w:bidi w:val="0"/>
        <w:adjustRightInd/>
        <w:snapToGrid/>
        <w:spacing w:line="500" w:lineRule="exact"/>
        <w:ind w:left="0" w:leftChars="0" w:firstLine="420" w:firstLineChars="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乙方承诺摊位采用实名制摆摊，持夜市临时摊位卡入场进行交易，合法经营，按照指定地点和经营范围进行经营交易。</w:t>
      </w:r>
    </w:p>
    <w:p w14:paraId="53838C8A">
      <w:pPr>
        <w:keepNext w:val="0"/>
        <w:keepLines w:val="0"/>
        <w:pageBreakBefore w:val="0"/>
        <w:widowControl/>
        <w:numPr>
          <w:ilvl w:val="0"/>
          <w:numId w:val="15"/>
        </w:numPr>
        <w:kinsoku/>
        <w:wordWrap/>
        <w:overflowPunct/>
        <w:topLinePunct w:val="0"/>
        <w:autoSpaceDE/>
        <w:autoSpaceDN/>
        <w:bidi w:val="0"/>
        <w:adjustRightInd/>
        <w:snapToGrid/>
        <w:spacing w:line="500" w:lineRule="exact"/>
        <w:ind w:left="0" w:leftChars="0" w:firstLine="420" w:firstLineChars="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乙方承诺在规定时间内进行经营，不提前进场，按时撤场（经营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时间每天17:00—次日凌晨02:00</w:t>
      </w:r>
      <w:r>
        <w:rPr>
          <w:rFonts w:hint="eastAsia" w:ascii="仿宋_GB2312" w:hAnsi="仿宋_GB2312" w:eastAsia="仿宋_GB2312" w:cs="仿宋_GB2312"/>
          <w:sz w:val="28"/>
          <w:szCs w:val="28"/>
          <w:lang w:val="en-US" w:eastAsia="zh-CN"/>
        </w:rPr>
        <w:t>）。</w:t>
      </w:r>
    </w:p>
    <w:p w14:paraId="4901979B">
      <w:pPr>
        <w:keepNext w:val="0"/>
        <w:keepLines w:val="0"/>
        <w:pageBreakBefore w:val="0"/>
        <w:widowControl/>
        <w:numPr>
          <w:ilvl w:val="0"/>
          <w:numId w:val="15"/>
        </w:numPr>
        <w:kinsoku/>
        <w:wordWrap/>
        <w:overflowPunct/>
        <w:topLinePunct w:val="0"/>
        <w:autoSpaceDE/>
        <w:autoSpaceDN/>
        <w:bidi w:val="0"/>
        <w:adjustRightInd/>
        <w:snapToGrid/>
        <w:spacing w:line="500" w:lineRule="exact"/>
        <w:ind w:left="0" w:leftChars="0" w:firstLine="420" w:firstLineChars="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乙方承诺摊位按区域经营，固定摊位，统一编号管理，定点定位，不越线经营。</w:t>
      </w:r>
    </w:p>
    <w:p w14:paraId="0435EE18">
      <w:pPr>
        <w:keepNext w:val="0"/>
        <w:keepLines w:val="0"/>
        <w:pageBreakBefore w:val="0"/>
        <w:widowControl/>
        <w:numPr>
          <w:ilvl w:val="0"/>
          <w:numId w:val="15"/>
        </w:numPr>
        <w:kinsoku/>
        <w:wordWrap/>
        <w:overflowPunct/>
        <w:topLinePunct w:val="0"/>
        <w:autoSpaceDE/>
        <w:autoSpaceDN/>
        <w:bidi w:val="0"/>
        <w:adjustRightInd/>
        <w:snapToGrid/>
        <w:spacing w:line="500" w:lineRule="exact"/>
        <w:ind w:left="0" w:leftChars="0" w:firstLine="420" w:firstLineChars="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乙方承诺在摆摊期间不得擅自转让摊位，否则甲方有权取消经营资格。</w:t>
      </w:r>
    </w:p>
    <w:p w14:paraId="29495C72">
      <w:pPr>
        <w:keepNext w:val="0"/>
        <w:keepLines w:val="0"/>
        <w:pageBreakBefore w:val="0"/>
        <w:widowControl/>
        <w:numPr>
          <w:ilvl w:val="0"/>
          <w:numId w:val="15"/>
        </w:numPr>
        <w:kinsoku/>
        <w:wordWrap/>
        <w:overflowPunct/>
        <w:topLinePunct w:val="0"/>
        <w:autoSpaceDE/>
        <w:autoSpaceDN/>
        <w:bidi w:val="0"/>
        <w:adjustRightInd/>
        <w:snapToGrid/>
        <w:spacing w:line="500" w:lineRule="exact"/>
        <w:ind w:left="0" w:leftChars="0" w:firstLine="420" w:firstLineChars="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乙方承诺不破坏场内公共设施（路灯、大理石路面等）如有破坏按价赔偿，在经营过程中无条件配合维修工作。</w:t>
      </w:r>
    </w:p>
    <w:p w14:paraId="3C14640B">
      <w:pPr>
        <w:keepNext w:val="0"/>
        <w:keepLines w:val="0"/>
        <w:pageBreakBefore w:val="0"/>
        <w:widowControl/>
        <w:numPr>
          <w:ilvl w:val="0"/>
          <w:numId w:val="15"/>
        </w:numPr>
        <w:kinsoku/>
        <w:wordWrap/>
        <w:overflowPunct/>
        <w:topLinePunct w:val="0"/>
        <w:autoSpaceDE/>
        <w:autoSpaceDN/>
        <w:bidi w:val="0"/>
        <w:adjustRightInd/>
        <w:snapToGrid/>
        <w:spacing w:line="500" w:lineRule="exact"/>
        <w:ind w:left="0" w:leftChars="0" w:firstLine="420" w:firstLineChars="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乙方承诺文明经营，并做好门前三包工作。做到衣着整齐、卫生；不妨碍道路交通、行人及消防安全；不影响市容和环境卫生；不影响周围居民的正常生活。</w:t>
      </w:r>
    </w:p>
    <w:p w14:paraId="555AF274">
      <w:pPr>
        <w:keepNext w:val="0"/>
        <w:keepLines w:val="0"/>
        <w:pageBreakBefore w:val="0"/>
        <w:widowControl/>
        <w:numPr>
          <w:ilvl w:val="0"/>
          <w:numId w:val="15"/>
        </w:numPr>
        <w:kinsoku/>
        <w:wordWrap/>
        <w:overflowPunct/>
        <w:topLinePunct w:val="0"/>
        <w:autoSpaceDE/>
        <w:autoSpaceDN/>
        <w:bidi w:val="0"/>
        <w:adjustRightInd/>
        <w:snapToGrid/>
        <w:spacing w:line="500" w:lineRule="exact"/>
        <w:ind w:left="0" w:leftChars="0" w:firstLine="420" w:firstLine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sz w:val="28"/>
          <w:szCs w:val="28"/>
          <w:lang w:val="en-US" w:eastAsia="zh-CN"/>
        </w:rPr>
        <w:t>乙方承诺在划定的区域内经营，严禁在非指定区域摆摊设点，否则甲方有权收回摊位另行招商。</w:t>
      </w:r>
    </w:p>
    <w:p w14:paraId="5E719FFE">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420" w:firstLineChars="0"/>
        <w:jc w:val="left"/>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lang w:val="en-US" w:eastAsia="zh-CN"/>
        </w:rPr>
        <w:t>五、</w:t>
      </w:r>
      <w:r>
        <w:rPr>
          <w:rFonts w:hint="eastAsia" w:ascii="仿宋_GB2312" w:hAnsi="仿宋_GB2312" w:eastAsia="仿宋_GB2312" w:cs="仿宋_GB2312"/>
          <w:b/>
          <w:bCs/>
          <w:color w:val="auto"/>
          <w:sz w:val="28"/>
          <w:szCs w:val="28"/>
          <w:highlight w:val="none"/>
          <w:lang w:val="en-US" w:eastAsia="zh-CN"/>
        </w:rPr>
        <w:t>协议终止</w:t>
      </w:r>
    </w:p>
    <w:p w14:paraId="7A20F855">
      <w:pPr>
        <w:keepNext w:val="0"/>
        <w:keepLines w:val="0"/>
        <w:pageBreakBefore w:val="0"/>
        <w:widowControl/>
        <w:numPr>
          <w:ilvl w:val="0"/>
          <w:numId w:val="16"/>
        </w:numPr>
        <w:kinsoku/>
        <w:wordWrap/>
        <w:overflowPunct/>
        <w:topLinePunct w:val="0"/>
        <w:autoSpaceDE/>
        <w:autoSpaceDN/>
        <w:bidi w:val="0"/>
        <w:adjustRightInd/>
        <w:snapToGrid/>
        <w:spacing w:line="500" w:lineRule="exact"/>
        <w:ind w:left="0" w:leftChars="0" w:firstLine="420" w:firstLine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乙方在使用期内中途不再使用摊位的，本协议终止，保证金不予退还。</w:t>
      </w:r>
    </w:p>
    <w:p w14:paraId="11E99479">
      <w:pPr>
        <w:keepNext w:val="0"/>
        <w:keepLines w:val="0"/>
        <w:pageBreakBefore w:val="0"/>
        <w:widowControl/>
        <w:numPr>
          <w:ilvl w:val="0"/>
          <w:numId w:val="16"/>
        </w:numPr>
        <w:kinsoku/>
        <w:wordWrap/>
        <w:overflowPunct/>
        <w:topLinePunct w:val="0"/>
        <w:autoSpaceDE/>
        <w:autoSpaceDN/>
        <w:bidi w:val="0"/>
        <w:adjustRightInd/>
        <w:snapToGrid/>
        <w:spacing w:line="500" w:lineRule="exact"/>
        <w:ind w:left="0" w:leftChars="0" w:firstLine="420" w:firstLine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如因不能预见、不能避免并不能克服的客观情况（包括政府职能部门要求停止摆摊）导致本协议无法继续履行的，本协议自动终止，乙方须无条件配合撤离工作。</w:t>
      </w:r>
    </w:p>
    <w:p w14:paraId="17B0A073">
      <w:pPr>
        <w:keepNext w:val="0"/>
        <w:keepLines w:val="0"/>
        <w:pageBreakBefore w:val="0"/>
        <w:widowControl/>
        <w:numPr>
          <w:ilvl w:val="0"/>
          <w:numId w:val="16"/>
        </w:numPr>
        <w:kinsoku/>
        <w:wordWrap/>
        <w:overflowPunct/>
        <w:topLinePunct w:val="0"/>
        <w:autoSpaceDE/>
        <w:autoSpaceDN/>
        <w:bidi w:val="0"/>
        <w:adjustRightInd/>
        <w:snapToGrid/>
        <w:spacing w:line="500" w:lineRule="exact"/>
        <w:ind w:left="0" w:leftChars="0" w:firstLine="420" w:firstLine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本协议因使用期限届满或提前终止而应当撤离摊位时，乙方应按照甲方要求的期限内撤离。乙方在撤离时限过后仍留存在摊位的所有物品（包含厨具及其他设施）将视作乙方遗弃物，甲方有权自行腾空或按甲方认为适当的办法处置。</w:t>
      </w:r>
    </w:p>
    <w:p w14:paraId="7BC7753E">
      <w:pPr>
        <w:keepNext w:val="0"/>
        <w:keepLines w:val="0"/>
        <w:pageBreakBefore w:val="0"/>
        <w:widowControl/>
        <w:numPr>
          <w:ilvl w:val="0"/>
          <w:numId w:val="16"/>
        </w:numPr>
        <w:kinsoku/>
        <w:wordWrap/>
        <w:overflowPunct/>
        <w:topLinePunct w:val="0"/>
        <w:autoSpaceDE/>
        <w:autoSpaceDN/>
        <w:bidi w:val="0"/>
        <w:adjustRightInd/>
        <w:snapToGrid/>
        <w:spacing w:line="500" w:lineRule="exact"/>
        <w:ind w:left="0" w:leftChars="0" w:firstLine="420" w:firstLine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本协议因使用期限届满或提前终止的，甲方不对乙方作任何赔偿。</w:t>
      </w:r>
    </w:p>
    <w:p w14:paraId="4F53C73D">
      <w:pPr>
        <w:keepNext w:val="0"/>
        <w:keepLines w:val="0"/>
        <w:pageBreakBefore w:val="0"/>
        <w:numPr>
          <w:ilvl w:val="0"/>
          <w:numId w:val="0"/>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lang w:val="en-US" w:eastAsia="zh-CN"/>
        </w:rPr>
        <w:t>六、</w:t>
      </w:r>
      <w:r>
        <w:rPr>
          <w:rFonts w:hint="eastAsia" w:ascii="仿宋_GB2312" w:hAnsi="仿宋_GB2312" w:eastAsia="仿宋_GB2312" w:cs="仿宋_GB2312"/>
          <w:b/>
          <w:bCs/>
          <w:color w:val="auto"/>
          <w:sz w:val="28"/>
          <w:szCs w:val="28"/>
          <w:highlight w:val="none"/>
          <w:lang w:val="en-US" w:eastAsia="zh-CN"/>
        </w:rPr>
        <w:t>违约责任</w:t>
      </w:r>
    </w:p>
    <w:p w14:paraId="3262BAA1">
      <w:pPr>
        <w:keepNext w:val="0"/>
        <w:keepLines w:val="0"/>
        <w:pageBreakBefore w:val="0"/>
        <w:numPr>
          <w:ilvl w:val="0"/>
          <w:numId w:val="17"/>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若乙方未按本协议约定支付租场费的，经甲方催告后三日内仍未支付的，甲方有权收回摊位另行招商，并没收保证金，且不作任何补偿。</w:t>
      </w:r>
    </w:p>
    <w:p w14:paraId="4A4EB898">
      <w:pPr>
        <w:keepNext w:val="0"/>
        <w:keepLines w:val="0"/>
        <w:pageBreakBefore w:val="0"/>
        <w:numPr>
          <w:ilvl w:val="0"/>
          <w:numId w:val="17"/>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如乙方有违反本协议经营承诺的行为的，经甲方催告后三日内拒绝整改或不能达到甲方要求的，甲方有权收回摊位另行招商，并没收保证金，且不作任何补偿；由此造成甲方、乙方或第三方人身损害或经济损失的，由乙方承担相应法律责任；如甲方因此需要承担赔偿责任的，甲方有权向乙方追偿。</w:t>
      </w:r>
    </w:p>
    <w:p w14:paraId="2CFB386B">
      <w:pPr>
        <w:keepNext w:val="0"/>
        <w:keepLines w:val="0"/>
        <w:pageBreakBefore w:val="0"/>
        <w:numPr>
          <w:ilvl w:val="0"/>
          <w:numId w:val="0"/>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lang w:val="en-US" w:eastAsia="zh-CN"/>
        </w:rPr>
        <w:t>七、</w:t>
      </w:r>
      <w:r>
        <w:rPr>
          <w:rFonts w:hint="eastAsia" w:ascii="仿宋_GB2312" w:hAnsi="仿宋_GB2312" w:eastAsia="仿宋_GB2312" w:cs="仿宋_GB2312"/>
          <w:b/>
          <w:bCs/>
          <w:color w:val="auto"/>
          <w:sz w:val="28"/>
          <w:szCs w:val="28"/>
          <w:highlight w:val="none"/>
          <w:lang w:val="en-US" w:eastAsia="zh-CN"/>
        </w:rPr>
        <w:t>送达</w:t>
      </w:r>
    </w:p>
    <w:p w14:paraId="69CEF24B">
      <w:pPr>
        <w:keepNext w:val="0"/>
        <w:keepLines w:val="0"/>
        <w:pageBreakBefore w:val="0"/>
        <w:numPr>
          <w:ilvl w:val="0"/>
          <w:numId w:val="18"/>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甲方向乙方发出的书面通知，按协议首部约定的地址发出视为有效送达，法律后果由乙方自行承担，无论书面通知以“查无此人”“无此地址”或“拒收”等原因退回。</w:t>
      </w:r>
    </w:p>
    <w:p w14:paraId="552F7D3F">
      <w:pPr>
        <w:keepNext w:val="0"/>
        <w:keepLines w:val="0"/>
        <w:pageBreakBefore w:val="0"/>
        <w:numPr>
          <w:ilvl w:val="0"/>
          <w:numId w:val="18"/>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甲方在东凤镇兴华中路灯光夜市步行街区域或租赁摊位旁醒目位置张贴的通知或文件视为有效送达。</w:t>
      </w:r>
    </w:p>
    <w:p w14:paraId="0CA69CAE">
      <w:pPr>
        <w:keepNext w:val="0"/>
        <w:keepLines w:val="0"/>
        <w:pageBreakBefore w:val="0"/>
        <w:numPr>
          <w:ilvl w:val="0"/>
          <w:numId w:val="18"/>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送达摊位内乙方工作人员或职员的通知视为有效送达。</w:t>
      </w:r>
    </w:p>
    <w:p w14:paraId="5D8EEEAD">
      <w:pPr>
        <w:keepNext w:val="0"/>
        <w:keepLines w:val="0"/>
        <w:pageBreakBefore w:val="0"/>
        <w:numPr>
          <w:ilvl w:val="0"/>
          <w:numId w:val="0"/>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lang w:val="en-US" w:eastAsia="zh-CN"/>
        </w:rPr>
        <w:t>八、</w:t>
      </w:r>
      <w:r>
        <w:rPr>
          <w:rFonts w:hint="eastAsia" w:ascii="仿宋_GB2312" w:hAnsi="仿宋_GB2312" w:eastAsia="仿宋_GB2312" w:cs="仿宋_GB2312"/>
          <w:b/>
          <w:bCs/>
          <w:color w:val="auto"/>
          <w:sz w:val="28"/>
          <w:szCs w:val="28"/>
          <w:highlight w:val="none"/>
          <w:lang w:val="en-US" w:eastAsia="zh-CN"/>
        </w:rPr>
        <w:t>其他</w:t>
      </w:r>
    </w:p>
    <w:p w14:paraId="4B3DC479">
      <w:pPr>
        <w:keepNext w:val="0"/>
        <w:keepLines w:val="0"/>
        <w:pageBreakBefore w:val="0"/>
        <w:numPr>
          <w:ilvl w:val="0"/>
          <w:numId w:val="19"/>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因本协议引起的任何争议，由协议双方协商解决；协商不成的，应向甲方所在地有管辖权的人民法院起诉。</w:t>
      </w:r>
    </w:p>
    <w:p w14:paraId="037911AA">
      <w:pPr>
        <w:keepNext w:val="0"/>
        <w:keepLines w:val="0"/>
        <w:pageBreakBefore w:val="0"/>
        <w:numPr>
          <w:ilvl w:val="0"/>
          <w:numId w:val="19"/>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本协议一式叁份，甲方执贰份、乙方执壹份，经双方签字盖章后生效。</w:t>
      </w:r>
    </w:p>
    <w:p w14:paraId="3C60425F">
      <w:pPr>
        <w:numPr>
          <w:ilvl w:val="0"/>
          <w:numId w:val="0"/>
        </w:numPr>
        <w:jc w:val="left"/>
        <w:rPr>
          <w:rFonts w:hint="eastAsia" w:ascii="仿宋_GB2312" w:hAnsi="仿宋_GB2312" w:eastAsia="仿宋_GB2312" w:cs="仿宋_GB2312"/>
          <w:color w:val="auto"/>
          <w:sz w:val="28"/>
          <w:szCs w:val="28"/>
          <w:highlight w:val="none"/>
          <w:lang w:val="en-US" w:eastAsia="zh-CN"/>
        </w:rPr>
      </w:pPr>
    </w:p>
    <w:p w14:paraId="11F2321A">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甲方（盖章）：</w:t>
      </w:r>
      <w:r>
        <w:rPr>
          <w:rFonts w:hint="eastAsia" w:ascii="仿宋_GB2312" w:hAnsi="仿宋_GB2312" w:eastAsia="仿宋_GB2312" w:cs="仿宋_GB2312"/>
          <w:sz w:val="28"/>
          <w:szCs w:val="28"/>
        </w:rPr>
        <w:t>中山市</w:t>
      </w:r>
      <w:r>
        <w:rPr>
          <w:rFonts w:hint="eastAsia" w:ascii="仿宋_GB2312" w:hAnsi="仿宋_GB2312" w:eastAsia="仿宋_GB2312" w:cs="仿宋_GB2312"/>
          <w:sz w:val="28"/>
          <w:szCs w:val="28"/>
          <w:lang w:val="en-US" w:eastAsia="zh-CN"/>
        </w:rPr>
        <w:t>凤创企业管理</w:t>
      </w:r>
      <w:r>
        <w:rPr>
          <w:rFonts w:hint="eastAsia" w:ascii="仿宋_GB2312" w:hAnsi="仿宋_GB2312" w:eastAsia="仿宋_GB2312" w:cs="仿宋_GB2312"/>
          <w:sz w:val="28"/>
          <w:szCs w:val="28"/>
        </w:rPr>
        <w:t>有限</w:t>
      </w:r>
      <w:r>
        <w:rPr>
          <w:rFonts w:hint="eastAsia" w:ascii="仿宋_GB2312" w:hAnsi="仿宋_GB2312" w:eastAsia="仿宋_GB2312" w:cs="仿宋_GB2312"/>
          <w:sz w:val="28"/>
          <w:szCs w:val="28"/>
          <w:lang w:val="en-US" w:eastAsia="zh-CN"/>
        </w:rPr>
        <w:t>责任</w:t>
      </w:r>
      <w:r>
        <w:rPr>
          <w:rFonts w:hint="eastAsia" w:ascii="仿宋_GB2312" w:hAnsi="仿宋_GB2312" w:eastAsia="仿宋_GB2312" w:cs="仿宋_GB2312"/>
          <w:sz w:val="28"/>
          <w:szCs w:val="28"/>
        </w:rPr>
        <w:t>公司</w:t>
      </w:r>
    </w:p>
    <w:p w14:paraId="04779174">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日期：      年    月    日</w:t>
      </w:r>
    </w:p>
    <w:p w14:paraId="3DE977A9">
      <w:pPr>
        <w:rPr>
          <w:rFonts w:hint="eastAsia" w:ascii="仿宋_GB2312" w:hAnsi="仿宋_GB2312" w:eastAsia="仿宋_GB2312" w:cs="仿宋_GB2312"/>
          <w:sz w:val="28"/>
          <w:szCs w:val="28"/>
          <w:lang w:val="en-US" w:eastAsia="zh-CN"/>
        </w:rPr>
      </w:pPr>
    </w:p>
    <w:p w14:paraId="160F2563">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乙方（签字）：</w:t>
      </w:r>
    </w:p>
    <w:p w14:paraId="7C597B9C">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日期：      </w:t>
      </w:r>
      <w:r>
        <w:rPr>
          <w:rFonts w:hint="eastAsia" w:ascii="仿宋_GB2312" w:hAnsi="仿宋_GB2312" w:eastAsia="仿宋_GB2312" w:cs="仿宋_GB2312"/>
          <w:sz w:val="28"/>
          <w:szCs w:val="28"/>
        </w:rPr>
        <w:t>年    月    日</w:t>
      </w:r>
    </w:p>
    <w:p w14:paraId="419E3318">
      <w:pPr>
        <w:rPr>
          <w:rFonts w:hint="eastAsia"/>
          <w:lang w:val="en-US" w:eastAsia="zh-CN"/>
        </w:rPr>
      </w:pPr>
    </w:p>
    <w:p w14:paraId="2D70F7AB">
      <w:pPr>
        <w:numPr>
          <w:ilvl w:val="0"/>
          <w:numId w:val="0"/>
        </w:numPr>
        <w:topLinePunct/>
        <w:jc w:val="left"/>
        <w:rPr>
          <w:rFonts w:hint="eastAsia" w:ascii="仿宋_GB2312" w:hAnsi="仿宋_GB2312" w:eastAsia="仿宋_GB2312" w:cs="仿宋_GB2312"/>
          <w:b w:val="0"/>
          <w:bCs w:val="0"/>
          <w:color w:val="auto"/>
          <w:sz w:val="32"/>
          <w:szCs w:val="32"/>
          <w:highlight w:val="none"/>
          <w:lang w:val="en-US" w:eastAsia="zh-CN"/>
        </w:rPr>
      </w:pPr>
    </w:p>
    <w:p w14:paraId="013CBBEC">
      <w:pPr>
        <w:numPr>
          <w:ilvl w:val="0"/>
          <w:numId w:val="0"/>
        </w:numPr>
        <w:topLinePunct/>
        <w:jc w:val="left"/>
        <w:rPr>
          <w:rFonts w:hint="eastAsia" w:ascii="仿宋_GB2312" w:hAnsi="仿宋_GB2312" w:eastAsia="仿宋_GB2312" w:cs="仿宋_GB2312"/>
          <w:b w:val="0"/>
          <w:bCs w:val="0"/>
          <w:color w:val="auto"/>
          <w:sz w:val="32"/>
          <w:szCs w:val="32"/>
          <w:highlight w:val="none"/>
          <w:lang w:val="en-US" w:eastAsia="zh-CN"/>
        </w:rPr>
      </w:pPr>
    </w:p>
    <w:sectPr>
      <w:footerReference r:id="rId5" w:type="default"/>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简标宋">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56C08">
    <w:pPr>
      <w:pStyle w:val="9"/>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9BD7A18">
                          <w:pPr>
                            <w:pStyle w:val="9"/>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49BD7A18">
                    <w:pPr>
                      <w:pStyle w:val="9"/>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DA1DCC"/>
    <w:multiLevelType w:val="singleLevel"/>
    <w:tmpl w:val="9EDA1DCC"/>
    <w:lvl w:ilvl="0" w:tentative="0">
      <w:start w:val="1"/>
      <w:numFmt w:val="chineseCounting"/>
      <w:suff w:val="nothing"/>
      <w:lvlText w:val="（%1）"/>
      <w:lvlJc w:val="left"/>
      <w:pPr>
        <w:ind w:left="0" w:firstLine="420"/>
      </w:pPr>
      <w:rPr>
        <w:rFonts w:hint="eastAsia"/>
        <w:b w:val="0"/>
        <w:bCs w:val="0"/>
      </w:rPr>
    </w:lvl>
  </w:abstractNum>
  <w:abstractNum w:abstractNumId="1">
    <w:nsid w:val="ADC9464C"/>
    <w:multiLevelType w:val="singleLevel"/>
    <w:tmpl w:val="ADC9464C"/>
    <w:lvl w:ilvl="0" w:tentative="0">
      <w:start w:val="1"/>
      <w:numFmt w:val="chineseCounting"/>
      <w:suff w:val="nothing"/>
      <w:lvlText w:val="（%1）"/>
      <w:lvlJc w:val="left"/>
      <w:pPr>
        <w:ind w:left="0" w:firstLine="420"/>
      </w:pPr>
      <w:rPr>
        <w:rFonts w:hint="eastAsia"/>
      </w:rPr>
    </w:lvl>
  </w:abstractNum>
  <w:abstractNum w:abstractNumId="2">
    <w:nsid w:val="AE401562"/>
    <w:multiLevelType w:val="singleLevel"/>
    <w:tmpl w:val="AE401562"/>
    <w:lvl w:ilvl="0" w:tentative="0">
      <w:start w:val="1"/>
      <w:numFmt w:val="chineseCounting"/>
      <w:suff w:val="nothing"/>
      <w:lvlText w:val="（%1）"/>
      <w:lvlJc w:val="left"/>
      <w:pPr>
        <w:ind w:left="0" w:firstLine="420"/>
      </w:pPr>
      <w:rPr>
        <w:rFonts w:hint="eastAsia"/>
      </w:rPr>
    </w:lvl>
  </w:abstractNum>
  <w:abstractNum w:abstractNumId="3">
    <w:nsid w:val="B1F6D215"/>
    <w:multiLevelType w:val="singleLevel"/>
    <w:tmpl w:val="B1F6D215"/>
    <w:lvl w:ilvl="0" w:tentative="0">
      <w:start w:val="1"/>
      <w:numFmt w:val="chineseCounting"/>
      <w:suff w:val="nothing"/>
      <w:lvlText w:val="（%1）"/>
      <w:lvlJc w:val="left"/>
      <w:pPr>
        <w:ind w:left="0" w:firstLine="420"/>
      </w:pPr>
      <w:rPr>
        <w:rFonts w:hint="eastAsia"/>
      </w:rPr>
    </w:lvl>
  </w:abstractNum>
  <w:abstractNum w:abstractNumId="4">
    <w:nsid w:val="CC8D0142"/>
    <w:multiLevelType w:val="singleLevel"/>
    <w:tmpl w:val="CC8D0142"/>
    <w:lvl w:ilvl="0" w:tentative="0">
      <w:start w:val="3"/>
      <w:numFmt w:val="chineseCounting"/>
      <w:suff w:val="nothing"/>
      <w:lvlText w:val="%1、"/>
      <w:lvlJc w:val="left"/>
      <w:rPr>
        <w:rFonts w:hint="eastAsia"/>
      </w:rPr>
    </w:lvl>
  </w:abstractNum>
  <w:abstractNum w:abstractNumId="5">
    <w:nsid w:val="D1642AB2"/>
    <w:multiLevelType w:val="singleLevel"/>
    <w:tmpl w:val="D1642AB2"/>
    <w:lvl w:ilvl="0" w:tentative="0">
      <w:start w:val="1"/>
      <w:numFmt w:val="chineseCounting"/>
      <w:suff w:val="nothing"/>
      <w:lvlText w:val="（%1）"/>
      <w:lvlJc w:val="left"/>
      <w:pPr>
        <w:ind w:left="0" w:firstLine="420"/>
      </w:pPr>
      <w:rPr>
        <w:rFonts w:hint="eastAsia"/>
      </w:rPr>
    </w:lvl>
  </w:abstractNum>
  <w:abstractNum w:abstractNumId="6">
    <w:nsid w:val="D5A806C5"/>
    <w:multiLevelType w:val="singleLevel"/>
    <w:tmpl w:val="D5A806C5"/>
    <w:lvl w:ilvl="0" w:tentative="0">
      <w:start w:val="1"/>
      <w:numFmt w:val="chineseCounting"/>
      <w:suff w:val="nothing"/>
      <w:lvlText w:val="（%1）"/>
      <w:lvlJc w:val="left"/>
      <w:pPr>
        <w:ind w:left="0" w:firstLine="420"/>
      </w:pPr>
      <w:rPr>
        <w:rFonts w:hint="eastAsia"/>
      </w:rPr>
    </w:lvl>
  </w:abstractNum>
  <w:abstractNum w:abstractNumId="7">
    <w:nsid w:val="E65BD089"/>
    <w:multiLevelType w:val="singleLevel"/>
    <w:tmpl w:val="E65BD089"/>
    <w:lvl w:ilvl="0" w:tentative="0">
      <w:start w:val="1"/>
      <w:numFmt w:val="chineseCounting"/>
      <w:suff w:val="nothing"/>
      <w:lvlText w:val="（%1）"/>
      <w:lvlJc w:val="left"/>
      <w:pPr>
        <w:ind w:left="0" w:firstLine="420"/>
      </w:pPr>
      <w:rPr>
        <w:rFonts w:hint="eastAsia"/>
      </w:rPr>
    </w:lvl>
  </w:abstractNum>
  <w:abstractNum w:abstractNumId="8">
    <w:nsid w:val="E8469587"/>
    <w:multiLevelType w:val="singleLevel"/>
    <w:tmpl w:val="E8469587"/>
    <w:lvl w:ilvl="0" w:tentative="0">
      <w:start w:val="1"/>
      <w:numFmt w:val="decimal"/>
      <w:pStyle w:val="5"/>
      <w:lvlText w:val="(%1)"/>
      <w:lvlJc w:val="left"/>
      <w:pPr>
        <w:ind w:left="425" w:hanging="425"/>
      </w:pPr>
      <w:rPr>
        <w:rFonts w:hint="default"/>
      </w:rPr>
    </w:lvl>
  </w:abstractNum>
  <w:abstractNum w:abstractNumId="9">
    <w:nsid w:val="1C54B855"/>
    <w:multiLevelType w:val="singleLevel"/>
    <w:tmpl w:val="1C54B855"/>
    <w:lvl w:ilvl="0" w:tentative="0">
      <w:start w:val="1"/>
      <w:numFmt w:val="chineseCounting"/>
      <w:suff w:val="nothing"/>
      <w:lvlText w:val="（%1）"/>
      <w:lvlJc w:val="left"/>
      <w:pPr>
        <w:ind w:left="0" w:firstLine="420"/>
      </w:pPr>
      <w:rPr>
        <w:rFonts w:hint="eastAsia"/>
      </w:rPr>
    </w:lvl>
  </w:abstractNum>
  <w:abstractNum w:abstractNumId="10">
    <w:nsid w:val="21421347"/>
    <w:multiLevelType w:val="singleLevel"/>
    <w:tmpl w:val="21421347"/>
    <w:lvl w:ilvl="0" w:tentative="0">
      <w:start w:val="1"/>
      <w:numFmt w:val="chineseCounting"/>
      <w:pStyle w:val="2"/>
      <w:suff w:val="nothing"/>
      <w:lvlText w:val="%1、"/>
      <w:lvlJc w:val="left"/>
      <w:pPr>
        <w:ind w:left="0" w:firstLine="420"/>
      </w:pPr>
      <w:rPr>
        <w:rFonts w:hint="eastAsia"/>
      </w:rPr>
    </w:lvl>
  </w:abstractNum>
  <w:abstractNum w:abstractNumId="11">
    <w:nsid w:val="31A8407F"/>
    <w:multiLevelType w:val="singleLevel"/>
    <w:tmpl w:val="31A8407F"/>
    <w:lvl w:ilvl="0" w:tentative="0">
      <w:start w:val="1"/>
      <w:numFmt w:val="chineseCounting"/>
      <w:suff w:val="nothing"/>
      <w:lvlText w:val="（%1）"/>
      <w:lvlJc w:val="left"/>
      <w:pPr>
        <w:ind w:left="0" w:firstLine="420"/>
      </w:pPr>
      <w:rPr>
        <w:rFonts w:hint="eastAsia"/>
      </w:rPr>
    </w:lvl>
  </w:abstractNum>
  <w:abstractNum w:abstractNumId="12">
    <w:nsid w:val="366A0F1F"/>
    <w:multiLevelType w:val="singleLevel"/>
    <w:tmpl w:val="366A0F1F"/>
    <w:lvl w:ilvl="0" w:tentative="0">
      <w:start w:val="1"/>
      <w:numFmt w:val="chineseCounting"/>
      <w:suff w:val="nothing"/>
      <w:lvlText w:val="（%1）"/>
      <w:lvlJc w:val="left"/>
      <w:pPr>
        <w:ind w:left="0" w:firstLine="420"/>
      </w:pPr>
      <w:rPr>
        <w:rFonts w:hint="eastAsia"/>
        <w:b w:val="0"/>
        <w:bCs w:val="0"/>
      </w:rPr>
    </w:lvl>
  </w:abstractNum>
  <w:abstractNum w:abstractNumId="13">
    <w:nsid w:val="3D36DCC9"/>
    <w:multiLevelType w:val="singleLevel"/>
    <w:tmpl w:val="3D36DCC9"/>
    <w:lvl w:ilvl="0" w:tentative="0">
      <w:start w:val="1"/>
      <w:numFmt w:val="decimal"/>
      <w:pStyle w:val="4"/>
      <w:suff w:val="nothing"/>
      <w:lvlText w:val="%1．"/>
      <w:lvlJc w:val="left"/>
      <w:pPr>
        <w:ind w:left="0" w:firstLine="400"/>
      </w:pPr>
      <w:rPr>
        <w:rFonts w:hint="default"/>
      </w:rPr>
    </w:lvl>
  </w:abstractNum>
  <w:abstractNum w:abstractNumId="14">
    <w:nsid w:val="48E7775D"/>
    <w:multiLevelType w:val="singleLevel"/>
    <w:tmpl w:val="48E7775D"/>
    <w:lvl w:ilvl="0" w:tentative="0">
      <w:start w:val="1"/>
      <w:numFmt w:val="chineseCounting"/>
      <w:suff w:val="nothing"/>
      <w:lvlText w:val="（%1）"/>
      <w:lvlJc w:val="left"/>
      <w:pPr>
        <w:ind w:left="0" w:firstLine="420"/>
      </w:pPr>
      <w:rPr>
        <w:rFonts w:hint="eastAsia"/>
        <w:b w:val="0"/>
        <w:bCs w:val="0"/>
      </w:rPr>
    </w:lvl>
  </w:abstractNum>
  <w:abstractNum w:abstractNumId="15">
    <w:nsid w:val="4CA20FA8"/>
    <w:multiLevelType w:val="singleLevel"/>
    <w:tmpl w:val="4CA20FA8"/>
    <w:lvl w:ilvl="0" w:tentative="0">
      <w:start w:val="1"/>
      <w:numFmt w:val="chineseCounting"/>
      <w:suff w:val="nothing"/>
      <w:lvlText w:val="（%1）"/>
      <w:lvlJc w:val="left"/>
      <w:pPr>
        <w:ind w:left="0" w:firstLine="420"/>
      </w:pPr>
      <w:rPr>
        <w:rFonts w:hint="eastAsia"/>
      </w:rPr>
    </w:lvl>
  </w:abstractNum>
  <w:abstractNum w:abstractNumId="16">
    <w:nsid w:val="583D7365"/>
    <w:multiLevelType w:val="singleLevel"/>
    <w:tmpl w:val="583D7365"/>
    <w:lvl w:ilvl="0" w:tentative="0">
      <w:start w:val="1"/>
      <w:numFmt w:val="chineseCounting"/>
      <w:pStyle w:val="3"/>
      <w:suff w:val="nothing"/>
      <w:lvlText w:val="（%1）"/>
      <w:lvlJc w:val="left"/>
      <w:pPr>
        <w:tabs>
          <w:tab w:val="left" w:pos="0"/>
        </w:tabs>
        <w:ind w:left="0" w:firstLine="0"/>
      </w:pPr>
      <w:rPr>
        <w:rFonts w:hint="eastAsia"/>
      </w:rPr>
    </w:lvl>
  </w:abstractNum>
  <w:abstractNum w:abstractNumId="17">
    <w:nsid w:val="66FFF614"/>
    <w:multiLevelType w:val="singleLevel"/>
    <w:tmpl w:val="66FFF614"/>
    <w:lvl w:ilvl="0" w:tentative="0">
      <w:start w:val="1"/>
      <w:numFmt w:val="chineseCounting"/>
      <w:suff w:val="nothing"/>
      <w:lvlText w:val="（%1）"/>
      <w:lvlJc w:val="left"/>
      <w:pPr>
        <w:ind w:left="0" w:firstLine="420"/>
      </w:pPr>
      <w:rPr>
        <w:rFonts w:hint="eastAsia"/>
        <w:b w:val="0"/>
        <w:bCs w:val="0"/>
      </w:rPr>
    </w:lvl>
  </w:abstractNum>
  <w:abstractNum w:abstractNumId="18">
    <w:nsid w:val="7728FE19"/>
    <w:multiLevelType w:val="singleLevel"/>
    <w:tmpl w:val="7728FE19"/>
    <w:lvl w:ilvl="0" w:tentative="0">
      <w:start w:val="1"/>
      <w:numFmt w:val="chineseCounting"/>
      <w:suff w:val="nothing"/>
      <w:lvlText w:val="（%1）"/>
      <w:lvlJc w:val="left"/>
      <w:pPr>
        <w:ind w:left="0" w:firstLine="420"/>
      </w:pPr>
      <w:rPr>
        <w:rFonts w:hint="eastAsia"/>
      </w:rPr>
    </w:lvl>
  </w:abstractNum>
  <w:num w:numId="1">
    <w:abstractNumId w:val="10"/>
  </w:num>
  <w:num w:numId="2">
    <w:abstractNumId w:val="16"/>
  </w:num>
  <w:num w:numId="3">
    <w:abstractNumId w:val="13"/>
  </w:num>
  <w:num w:numId="4">
    <w:abstractNumId w:val="8"/>
  </w:num>
  <w:num w:numId="5">
    <w:abstractNumId w:val="4"/>
  </w:num>
  <w:num w:numId="6">
    <w:abstractNumId w:val="6"/>
  </w:num>
  <w:num w:numId="7">
    <w:abstractNumId w:val="15"/>
  </w:num>
  <w:num w:numId="8">
    <w:abstractNumId w:val="11"/>
  </w:num>
  <w:num w:numId="9">
    <w:abstractNumId w:val="5"/>
  </w:num>
  <w:num w:numId="10">
    <w:abstractNumId w:val="14"/>
  </w:num>
  <w:num w:numId="11">
    <w:abstractNumId w:val="17"/>
  </w:num>
  <w:num w:numId="12">
    <w:abstractNumId w:val="3"/>
  </w:num>
  <w:num w:numId="13">
    <w:abstractNumId w:val="2"/>
  </w:num>
  <w:num w:numId="14">
    <w:abstractNumId w:val="18"/>
  </w:num>
  <w:num w:numId="15">
    <w:abstractNumId w:val="9"/>
  </w:num>
  <w:num w:numId="16">
    <w:abstractNumId w:val="7"/>
  </w:num>
  <w:num w:numId="17">
    <w:abstractNumId w:val="0"/>
  </w:num>
  <w:num w:numId="18">
    <w:abstractNumId w:val="1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lNGY1MTYwMzcxY2JiY2E2OGZlMTgwNTc1ODFlNmEifQ=="/>
  </w:docVars>
  <w:rsids>
    <w:rsidRoot w:val="00000000"/>
    <w:rsid w:val="013F0579"/>
    <w:rsid w:val="01F73E24"/>
    <w:rsid w:val="021B6F48"/>
    <w:rsid w:val="02250BE5"/>
    <w:rsid w:val="02572AE5"/>
    <w:rsid w:val="02BE378E"/>
    <w:rsid w:val="0304067F"/>
    <w:rsid w:val="03327ECA"/>
    <w:rsid w:val="037C4E46"/>
    <w:rsid w:val="03B96EA9"/>
    <w:rsid w:val="040905D4"/>
    <w:rsid w:val="043A06FC"/>
    <w:rsid w:val="043C0B25"/>
    <w:rsid w:val="063855C3"/>
    <w:rsid w:val="064674D8"/>
    <w:rsid w:val="065C6433"/>
    <w:rsid w:val="06942E5A"/>
    <w:rsid w:val="070613C8"/>
    <w:rsid w:val="07272049"/>
    <w:rsid w:val="07DE24CD"/>
    <w:rsid w:val="086F3665"/>
    <w:rsid w:val="08E85CFE"/>
    <w:rsid w:val="093A6335"/>
    <w:rsid w:val="09AD2157"/>
    <w:rsid w:val="09C26E58"/>
    <w:rsid w:val="0A0C748C"/>
    <w:rsid w:val="0A5A7DC8"/>
    <w:rsid w:val="0A825391"/>
    <w:rsid w:val="0C39369B"/>
    <w:rsid w:val="0C4607B2"/>
    <w:rsid w:val="0D284A5B"/>
    <w:rsid w:val="0DBA3AA3"/>
    <w:rsid w:val="0E3B3DF2"/>
    <w:rsid w:val="0EA24D8E"/>
    <w:rsid w:val="0F1258B4"/>
    <w:rsid w:val="0F92607B"/>
    <w:rsid w:val="0FA62D14"/>
    <w:rsid w:val="0FC74A84"/>
    <w:rsid w:val="10126854"/>
    <w:rsid w:val="10275C22"/>
    <w:rsid w:val="10E77F01"/>
    <w:rsid w:val="114806D2"/>
    <w:rsid w:val="11CE4977"/>
    <w:rsid w:val="1208759E"/>
    <w:rsid w:val="12AE23B5"/>
    <w:rsid w:val="12B057FA"/>
    <w:rsid w:val="12C909E1"/>
    <w:rsid w:val="12CA5B28"/>
    <w:rsid w:val="13953CCC"/>
    <w:rsid w:val="13EC0AE9"/>
    <w:rsid w:val="141C038E"/>
    <w:rsid w:val="14880003"/>
    <w:rsid w:val="149A47B4"/>
    <w:rsid w:val="14AF537E"/>
    <w:rsid w:val="14B81B79"/>
    <w:rsid w:val="15037006"/>
    <w:rsid w:val="15A825A5"/>
    <w:rsid w:val="15C27FB5"/>
    <w:rsid w:val="16442610"/>
    <w:rsid w:val="16E520D8"/>
    <w:rsid w:val="17233A58"/>
    <w:rsid w:val="18553EFB"/>
    <w:rsid w:val="18B30A11"/>
    <w:rsid w:val="193F18FA"/>
    <w:rsid w:val="196C13D6"/>
    <w:rsid w:val="19AA6DAB"/>
    <w:rsid w:val="19CE2462"/>
    <w:rsid w:val="19EC1A12"/>
    <w:rsid w:val="19EF621A"/>
    <w:rsid w:val="1A173E2C"/>
    <w:rsid w:val="1A6A7A24"/>
    <w:rsid w:val="1A772C7B"/>
    <w:rsid w:val="1ADA30B8"/>
    <w:rsid w:val="1AFC6A40"/>
    <w:rsid w:val="1B8B7514"/>
    <w:rsid w:val="1CC16242"/>
    <w:rsid w:val="1D3D4708"/>
    <w:rsid w:val="1D746DE1"/>
    <w:rsid w:val="1DBD79A7"/>
    <w:rsid w:val="1E740739"/>
    <w:rsid w:val="1E8F2A30"/>
    <w:rsid w:val="1EB356FC"/>
    <w:rsid w:val="1EB91676"/>
    <w:rsid w:val="1EDB2EB0"/>
    <w:rsid w:val="1F784F2C"/>
    <w:rsid w:val="1FB2297B"/>
    <w:rsid w:val="20F31943"/>
    <w:rsid w:val="211514D5"/>
    <w:rsid w:val="21C85928"/>
    <w:rsid w:val="222C6A9F"/>
    <w:rsid w:val="22923EC5"/>
    <w:rsid w:val="233319BA"/>
    <w:rsid w:val="23356F51"/>
    <w:rsid w:val="234D6533"/>
    <w:rsid w:val="23C408C7"/>
    <w:rsid w:val="23F454BE"/>
    <w:rsid w:val="2490547B"/>
    <w:rsid w:val="24ED62A3"/>
    <w:rsid w:val="253832E3"/>
    <w:rsid w:val="26247424"/>
    <w:rsid w:val="271B01B1"/>
    <w:rsid w:val="27432E54"/>
    <w:rsid w:val="275029B3"/>
    <w:rsid w:val="27983C83"/>
    <w:rsid w:val="284D6B87"/>
    <w:rsid w:val="286E7732"/>
    <w:rsid w:val="28894890"/>
    <w:rsid w:val="288E2F16"/>
    <w:rsid w:val="290B5D62"/>
    <w:rsid w:val="29486A84"/>
    <w:rsid w:val="29A63597"/>
    <w:rsid w:val="29BE5B01"/>
    <w:rsid w:val="29D02628"/>
    <w:rsid w:val="29DA4258"/>
    <w:rsid w:val="2AA52D76"/>
    <w:rsid w:val="2B505F9D"/>
    <w:rsid w:val="2B623CB8"/>
    <w:rsid w:val="2BC1061E"/>
    <w:rsid w:val="2CEC3BA4"/>
    <w:rsid w:val="2D531605"/>
    <w:rsid w:val="2DB35787"/>
    <w:rsid w:val="2DD405F8"/>
    <w:rsid w:val="2E603972"/>
    <w:rsid w:val="2EAD1222"/>
    <w:rsid w:val="2F0F6197"/>
    <w:rsid w:val="2F331AEA"/>
    <w:rsid w:val="2F797671"/>
    <w:rsid w:val="2FC349CE"/>
    <w:rsid w:val="30293421"/>
    <w:rsid w:val="311961A0"/>
    <w:rsid w:val="3148491A"/>
    <w:rsid w:val="32354F6B"/>
    <w:rsid w:val="32A36F03"/>
    <w:rsid w:val="32D528F6"/>
    <w:rsid w:val="32E80292"/>
    <w:rsid w:val="32EA3795"/>
    <w:rsid w:val="334A7032"/>
    <w:rsid w:val="335F5B6D"/>
    <w:rsid w:val="33C4477D"/>
    <w:rsid w:val="33FC0EBD"/>
    <w:rsid w:val="343B467F"/>
    <w:rsid w:val="35375D57"/>
    <w:rsid w:val="35650626"/>
    <w:rsid w:val="367F722F"/>
    <w:rsid w:val="36946B19"/>
    <w:rsid w:val="36AB4524"/>
    <w:rsid w:val="36B54EF6"/>
    <w:rsid w:val="36BC445A"/>
    <w:rsid w:val="370B2328"/>
    <w:rsid w:val="373179B0"/>
    <w:rsid w:val="37633007"/>
    <w:rsid w:val="376C0D7B"/>
    <w:rsid w:val="37CD7B1B"/>
    <w:rsid w:val="37E34B4B"/>
    <w:rsid w:val="381476C1"/>
    <w:rsid w:val="38527D74"/>
    <w:rsid w:val="3A157721"/>
    <w:rsid w:val="3A303492"/>
    <w:rsid w:val="3A35120E"/>
    <w:rsid w:val="3ABF0579"/>
    <w:rsid w:val="3AC03371"/>
    <w:rsid w:val="3ACF6EDE"/>
    <w:rsid w:val="3B1B5373"/>
    <w:rsid w:val="3B2F4CA9"/>
    <w:rsid w:val="3B3F4F44"/>
    <w:rsid w:val="3B94244F"/>
    <w:rsid w:val="3BF30CEA"/>
    <w:rsid w:val="3C317D4F"/>
    <w:rsid w:val="3C930CED"/>
    <w:rsid w:val="3D026DA3"/>
    <w:rsid w:val="3D635B43"/>
    <w:rsid w:val="3D757028"/>
    <w:rsid w:val="3DCE3E6E"/>
    <w:rsid w:val="3DE35197"/>
    <w:rsid w:val="3DEE6DAB"/>
    <w:rsid w:val="3E026F8E"/>
    <w:rsid w:val="3E8F55A1"/>
    <w:rsid w:val="3F2521E1"/>
    <w:rsid w:val="40413BF0"/>
    <w:rsid w:val="407676CF"/>
    <w:rsid w:val="40F44274"/>
    <w:rsid w:val="41CB669E"/>
    <w:rsid w:val="41F10240"/>
    <w:rsid w:val="41F42242"/>
    <w:rsid w:val="42124EF1"/>
    <w:rsid w:val="42702D0D"/>
    <w:rsid w:val="42AC50F0"/>
    <w:rsid w:val="442B6866"/>
    <w:rsid w:val="44501024"/>
    <w:rsid w:val="44767BDF"/>
    <w:rsid w:val="447A3E15"/>
    <w:rsid w:val="4492750F"/>
    <w:rsid w:val="45595C53"/>
    <w:rsid w:val="460637BA"/>
    <w:rsid w:val="463C4891"/>
    <w:rsid w:val="46596E7B"/>
    <w:rsid w:val="467D02D2"/>
    <w:rsid w:val="46962DFE"/>
    <w:rsid w:val="48086763"/>
    <w:rsid w:val="48444AE2"/>
    <w:rsid w:val="487061E5"/>
    <w:rsid w:val="48C15969"/>
    <w:rsid w:val="497850AD"/>
    <w:rsid w:val="499E20C5"/>
    <w:rsid w:val="49BB4F03"/>
    <w:rsid w:val="4A19035B"/>
    <w:rsid w:val="4A6766A0"/>
    <w:rsid w:val="4A6E3AAD"/>
    <w:rsid w:val="4B0E655E"/>
    <w:rsid w:val="4B2139E9"/>
    <w:rsid w:val="4B656696"/>
    <w:rsid w:val="4BA007F5"/>
    <w:rsid w:val="4BBA244A"/>
    <w:rsid w:val="4C997F20"/>
    <w:rsid w:val="4CA67B29"/>
    <w:rsid w:val="4CAF1A5D"/>
    <w:rsid w:val="4CC13896"/>
    <w:rsid w:val="4CD8739E"/>
    <w:rsid w:val="4D9B0780"/>
    <w:rsid w:val="4EF53E96"/>
    <w:rsid w:val="50250358"/>
    <w:rsid w:val="508323A3"/>
    <w:rsid w:val="51523EFE"/>
    <w:rsid w:val="517F4BC4"/>
    <w:rsid w:val="5193037A"/>
    <w:rsid w:val="51BA08C9"/>
    <w:rsid w:val="52260855"/>
    <w:rsid w:val="52470D8A"/>
    <w:rsid w:val="529945FA"/>
    <w:rsid w:val="533C2C8E"/>
    <w:rsid w:val="53DE01A1"/>
    <w:rsid w:val="53E00EAB"/>
    <w:rsid w:val="54495057"/>
    <w:rsid w:val="55303CD0"/>
    <w:rsid w:val="55AF7E22"/>
    <w:rsid w:val="55BE1F0D"/>
    <w:rsid w:val="55FC469E"/>
    <w:rsid w:val="56024028"/>
    <w:rsid w:val="56490020"/>
    <w:rsid w:val="5665084A"/>
    <w:rsid w:val="56FB7E82"/>
    <w:rsid w:val="570A54BE"/>
    <w:rsid w:val="571873F4"/>
    <w:rsid w:val="574A7800"/>
    <w:rsid w:val="579A2E45"/>
    <w:rsid w:val="58150CB7"/>
    <w:rsid w:val="581C5673"/>
    <w:rsid w:val="587E693B"/>
    <w:rsid w:val="58840844"/>
    <w:rsid w:val="58F94086"/>
    <w:rsid w:val="596A5729"/>
    <w:rsid w:val="5A964DAC"/>
    <w:rsid w:val="5AC83D25"/>
    <w:rsid w:val="5AE2742A"/>
    <w:rsid w:val="5AEE6633"/>
    <w:rsid w:val="5AFB2552"/>
    <w:rsid w:val="5BFB20F5"/>
    <w:rsid w:val="5BFD0D86"/>
    <w:rsid w:val="5C056287"/>
    <w:rsid w:val="5C152C9F"/>
    <w:rsid w:val="5CD838F5"/>
    <w:rsid w:val="5CEA3F7C"/>
    <w:rsid w:val="5D893E85"/>
    <w:rsid w:val="5DA73435"/>
    <w:rsid w:val="5DF32230"/>
    <w:rsid w:val="5E2E1E09"/>
    <w:rsid w:val="5E4B1086"/>
    <w:rsid w:val="5EFA4FE0"/>
    <w:rsid w:val="5F310053"/>
    <w:rsid w:val="5FED10F1"/>
    <w:rsid w:val="609008FA"/>
    <w:rsid w:val="60EA7D0F"/>
    <w:rsid w:val="60F577E0"/>
    <w:rsid w:val="614538A0"/>
    <w:rsid w:val="61C72F76"/>
    <w:rsid w:val="61F71146"/>
    <w:rsid w:val="623C1227"/>
    <w:rsid w:val="62617A97"/>
    <w:rsid w:val="62E97699"/>
    <w:rsid w:val="631E55CD"/>
    <w:rsid w:val="632750BB"/>
    <w:rsid w:val="63AD180A"/>
    <w:rsid w:val="6478481F"/>
    <w:rsid w:val="651313E3"/>
    <w:rsid w:val="65351350"/>
    <w:rsid w:val="65452FB6"/>
    <w:rsid w:val="660B5E3C"/>
    <w:rsid w:val="66E421E5"/>
    <w:rsid w:val="67224BE3"/>
    <w:rsid w:val="67352362"/>
    <w:rsid w:val="67903975"/>
    <w:rsid w:val="689C6793"/>
    <w:rsid w:val="68E542A7"/>
    <w:rsid w:val="695B05FC"/>
    <w:rsid w:val="69AB74E8"/>
    <w:rsid w:val="6A104C8E"/>
    <w:rsid w:val="6A21622D"/>
    <w:rsid w:val="6A690A45"/>
    <w:rsid w:val="6A942CE9"/>
    <w:rsid w:val="6ADC30DD"/>
    <w:rsid w:val="6C6178BC"/>
    <w:rsid w:val="6CB5651C"/>
    <w:rsid w:val="6D036DE1"/>
    <w:rsid w:val="6D997ADE"/>
    <w:rsid w:val="6DA51372"/>
    <w:rsid w:val="6F345300"/>
    <w:rsid w:val="6F7B5A75"/>
    <w:rsid w:val="6FE078AE"/>
    <w:rsid w:val="7092523D"/>
    <w:rsid w:val="70FA3967"/>
    <w:rsid w:val="71BB3A25"/>
    <w:rsid w:val="71EB4607"/>
    <w:rsid w:val="72064D9E"/>
    <w:rsid w:val="72565E22"/>
    <w:rsid w:val="74671085"/>
    <w:rsid w:val="74884E3D"/>
    <w:rsid w:val="74BF0D4B"/>
    <w:rsid w:val="75AB1CB3"/>
    <w:rsid w:val="75FF3725"/>
    <w:rsid w:val="76F0487A"/>
    <w:rsid w:val="77303A97"/>
    <w:rsid w:val="77A47D9D"/>
    <w:rsid w:val="77D86D30"/>
    <w:rsid w:val="780A4923"/>
    <w:rsid w:val="7813790D"/>
    <w:rsid w:val="783458C3"/>
    <w:rsid w:val="78911667"/>
    <w:rsid w:val="79326568"/>
    <w:rsid w:val="79A62969"/>
    <w:rsid w:val="79AE5130"/>
    <w:rsid w:val="7A5977C7"/>
    <w:rsid w:val="7AF44899"/>
    <w:rsid w:val="7B3307AF"/>
    <w:rsid w:val="7B946C9F"/>
    <w:rsid w:val="7C031D81"/>
    <w:rsid w:val="7CA25266"/>
    <w:rsid w:val="7CB02F3A"/>
    <w:rsid w:val="7CD662C0"/>
    <w:rsid w:val="7CFD581C"/>
    <w:rsid w:val="7D2840E2"/>
    <w:rsid w:val="7D395681"/>
    <w:rsid w:val="7D7E6D6F"/>
    <w:rsid w:val="7DA71C19"/>
    <w:rsid w:val="7DB8039A"/>
    <w:rsid w:val="7E254385"/>
    <w:rsid w:val="7E5512D0"/>
    <w:rsid w:val="7E716AD1"/>
    <w:rsid w:val="7F415EE0"/>
    <w:rsid w:val="7F9B5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723" w:firstLineChars="200"/>
    </w:pPr>
    <w:rPr>
      <w:rFonts w:ascii="Times New Roman" w:hAnsi="Times New Roman" w:eastAsia="仿宋" w:cs="Times New Roman"/>
      <w:sz w:val="28"/>
    </w:rPr>
  </w:style>
  <w:style w:type="paragraph" w:styleId="2">
    <w:name w:val="heading 1"/>
    <w:basedOn w:val="1"/>
    <w:next w:val="1"/>
    <w:link w:val="18"/>
    <w:qFormat/>
    <w:uiPriority w:val="9"/>
    <w:pPr>
      <w:keepLines w:val="0"/>
      <w:widowControl w:val="0"/>
      <w:numPr>
        <w:ilvl w:val="0"/>
        <w:numId w:val="1"/>
      </w:numPr>
      <w:spacing w:beforeAutospacing="0" w:afterAutospacing="0"/>
      <w:jc w:val="left"/>
      <w:outlineLvl w:val="0"/>
    </w:pPr>
    <w:rPr>
      <w:b/>
      <w:color w:val="000000"/>
    </w:rPr>
  </w:style>
  <w:style w:type="paragraph" w:styleId="3">
    <w:name w:val="heading 2"/>
    <w:basedOn w:val="1"/>
    <w:next w:val="1"/>
    <w:link w:val="17"/>
    <w:unhideWhenUsed/>
    <w:qFormat/>
    <w:uiPriority w:val="0"/>
    <w:pPr>
      <w:numPr>
        <w:ilvl w:val="0"/>
        <w:numId w:val="2"/>
      </w:numPr>
      <w:spacing w:before="0" w:beforeAutospacing="0" w:after="0" w:afterAutospacing="0"/>
      <w:ind w:firstLine="622" w:firstLineChars="172"/>
      <w:jc w:val="left"/>
      <w:outlineLvl w:val="1"/>
    </w:pPr>
    <w:rPr>
      <w:rFonts w:hint="eastAsia" w:ascii="Times New Roman" w:hAnsi="Times New Roman" w:cs="宋体"/>
      <w:bCs/>
      <w:szCs w:val="36"/>
      <w:lang w:bidi="ar"/>
    </w:rPr>
  </w:style>
  <w:style w:type="paragraph" w:styleId="4">
    <w:name w:val="heading 3"/>
    <w:basedOn w:val="1"/>
    <w:next w:val="1"/>
    <w:qFormat/>
    <w:uiPriority w:val="9"/>
    <w:pPr>
      <w:keepLines/>
      <w:numPr>
        <w:ilvl w:val="0"/>
        <w:numId w:val="3"/>
      </w:numPr>
      <w:spacing w:beforeAutospacing="0" w:afterAutospacing="0"/>
      <w:outlineLvl w:val="2"/>
    </w:pPr>
    <w:rPr>
      <w:color w:val="000000"/>
    </w:rPr>
  </w:style>
  <w:style w:type="paragraph" w:styleId="5">
    <w:name w:val="heading 4"/>
    <w:basedOn w:val="1"/>
    <w:next w:val="1"/>
    <w:semiHidden/>
    <w:unhideWhenUsed/>
    <w:qFormat/>
    <w:uiPriority w:val="0"/>
    <w:pPr>
      <w:keepNext/>
      <w:keepLines/>
      <w:numPr>
        <w:ilvl w:val="0"/>
        <w:numId w:val="4"/>
      </w:numPr>
      <w:bidi/>
      <w:spacing w:beforeLines="0" w:beforeAutospacing="0" w:afterLines="0" w:afterAutospacing="0" w:line="360" w:lineRule="auto"/>
      <w:ind w:left="0" w:firstLine="1134"/>
      <w:jc w:val="right"/>
      <w:outlineLvl w:val="3"/>
    </w:pPr>
    <w:rPr>
      <w:rFonts w:cstheme="minorBidi"/>
      <w:sz w:val="28"/>
      <w:szCs w:val="22"/>
    </w:rPr>
  </w:style>
  <w:style w:type="character" w:default="1" w:styleId="14">
    <w:name w:val="Default Paragraph Font"/>
    <w:semiHidden/>
    <w:qFormat/>
    <w:uiPriority w:val="0"/>
  </w:style>
  <w:style w:type="table" w:default="1" w:styleId="12">
    <w:name w:val="Normal Table"/>
    <w:qFormat/>
    <w:uiPriority w:val="0"/>
    <w:tblPr>
      <w:tblCellMar>
        <w:top w:w="0" w:type="dxa"/>
        <w:left w:w="108" w:type="dxa"/>
        <w:bottom w:w="0" w:type="dxa"/>
        <w:right w:w="108" w:type="dxa"/>
      </w:tblCellMar>
    </w:tblPr>
  </w:style>
  <w:style w:type="paragraph" w:styleId="6">
    <w:name w:val="Normal Indent"/>
    <w:qFormat/>
    <w:uiPriority w:val="0"/>
    <w:pPr>
      <w:widowControl w:val="0"/>
      <w:adjustRightInd w:val="0"/>
      <w:spacing w:line="360" w:lineRule="auto"/>
      <w:ind w:firstLine="880" w:firstLineChars="200"/>
      <w:textAlignment w:val="baseline"/>
    </w:pPr>
    <w:rPr>
      <w:rFonts w:ascii="Times New Roman" w:hAnsi="Times New Roman" w:eastAsia="仿宋" w:cs="Times New Roman"/>
      <w:snapToGrid w:val="0"/>
      <w:color w:val="000000"/>
      <w:sz w:val="28"/>
      <w:szCs w:val="21"/>
      <w:lang w:val="en-US" w:eastAsia="zh-CN" w:bidi="ar-SA"/>
    </w:rPr>
  </w:style>
  <w:style w:type="paragraph" w:styleId="7">
    <w:name w:val="toa heading"/>
    <w:basedOn w:val="1"/>
    <w:next w:val="1"/>
    <w:qFormat/>
    <w:uiPriority w:val="0"/>
    <w:pPr>
      <w:spacing w:before="120" w:beforeLines="0" w:beforeAutospacing="0"/>
    </w:pPr>
    <w:rPr>
      <w:rFonts w:ascii="Arial" w:hAnsi="Arial"/>
      <w:sz w:val="24"/>
    </w:rPr>
  </w:style>
  <w:style w:type="paragraph" w:styleId="8">
    <w:name w:val="Plain Text"/>
    <w:basedOn w:val="1"/>
    <w:qFormat/>
    <w:uiPriority w:val="0"/>
    <w:rPr>
      <w:rFonts w:ascii="宋体" w:hAnsi="Courier New"/>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rPr>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标题 1 Char"/>
    <w:link w:val="2"/>
    <w:qFormat/>
    <w:uiPriority w:val="0"/>
    <w:rPr>
      <w:b/>
      <w:color w:val="000000"/>
    </w:rPr>
  </w:style>
  <w:style w:type="paragraph" w:customStyle="1" w:styleId="16">
    <w:name w:val="大标题"/>
    <w:basedOn w:val="1"/>
    <w:next w:val="1"/>
    <w:qFormat/>
    <w:uiPriority w:val="0"/>
    <w:pPr>
      <w:widowControl/>
      <w:jc w:val="center"/>
      <w:outlineLvl w:val="0"/>
    </w:pPr>
    <w:rPr>
      <w:rFonts w:hint="eastAsia" w:ascii="宋体" w:hAnsi="宋体" w:eastAsia="宋体" w:cs="宋体"/>
      <w:b/>
      <w:bCs/>
      <w:color w:val="000000"/>
      <w:kern w:val="44"/>
      <w:sz w:val="30"/>
      <w:szCs w:val="40"/>
      <w:lang w:bidi="ar"/>
    </w:rPr>
  </w:style>
  <w:style w:type="character" w:customStyle="1" w:styleId="17">
    <w:name w:val="标题 2 Char1"/>
    <w:link w:val="3"/>
    <w:qFormat/>
    <w:uiPriority w:val="0"/>
    <w:rPr>
      <w:rFonts w:hint="eastAsia" w:ascii="Times New Roman" w:hAnsi="Times New Roman" w:cs="宋体"/>
      <w:bCs/>
      <w:szCs w:val="36"/>
      <w:lang w:bidi="ar"/>
    </w:rPr>
  </w:style>
  <w:style w:type="character" w:customStyle="1" w:styleId="18">
    <w:name w:val="标题 1 Char1"/>
    <w:link w:val="2"/>
    <w:qFormat/>
    <w:uiPriority w:val="0"/>
    <w:rPr>
      <w:b/>
      <w:color w:val="000000"/>
    </w:rPr>
  </w:style>
  <w:style w:type="table" w:customStyle="1" w:styleId="19">
    <w:name w:val="Table Normal"/>
    <w:qFormat/>
    <w:uiPriority w:val="59"/>
    <w:tblPr>
      <w:tblCellMar>
        <w:top w:w="0" w:type="dxa"/>
        <w:left w:w="108" w:type="dxa"/>
        <w:bottom w:w="0" w:type="dxa"/>
        <w:right w:w="108" w:type="dxa"/>
      </w:tblCellMar>
    </w:tblPr>
  </w:style>
  <w:style w:type="paragraph" w:customStyle="1" w:styleId="20">
    <w:name w:val="居中标题"/>
    <w:basedOn w:val="1"/>
    <w:next w:val="1"/>
    <w:qFormat/>
    <w:uiPriority w:val="0"/>
    <w:pPr>
      <w:widowControl w:val="0"/>
      <w:numPr>
        <w:ilvl w:val="0"/>
        <w:numId w:val="0"/>
      </w:numPr>
      <w:kinsoku w:val="0"/>
      <w:ind w:firstLine="0" w:firstLineChars="0"/>
      <w:outlineLvl w:val="0"/>
    </w:pPr>
    <w:rPr>
      <w:rFonts w:ascii="宋体" w:hAnsi="宋体" w:eastAsia="宋体" w:cs="宋体"/>
      <w:b/>
      <w:color w:val="000000"/>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中山市横栏镇人民政府</Company>
  <Pages>10</Pages>
  <Words>5278</Words>
  <Characters>5483</Characters>
  <Paragraphs>114</Paragraphs>
  <TotalTime>30</TotalTime>
  <ScaleCrop>false</ScaleCrop>
  <LinksUpToDate>false</LinksUpToDate>
  <CharactersWithSpaces>5941</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2023-06-19T01:38:00Z</dcterms:created>
  <dc:creator>Lenovo</dc:creator>
  <cp:lastModifiedBy>Aga</cp:lastModifiedBy>
  <cp:lastPrinted>2025-09-19T08:14:00Z</cp:lastPrinted>
  <dcterms:modified xsi:type="dcterms:W3CDTF">2025-12-18T10:14:16Z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B30F0A3B9466447D987413B47694819E_13</vt:lpwstr>
  </property>
  <property fmtid="{D5CDD505-2E9C-101B-9397-08002B2CF9AE}" pid="4" name="KSOTemplateDocerSaveRecord">
    <vt:lpwstr>eyJoZGlkIjoiNzllNGY1MTYwMzcxY2JiY2E2OGZlMTgwNTc1ODFlNmEiLCJ1c2VySWQiOiIxMzUyMTkwMTI2In0=</vt:lpwstr>
  </property>
</Properties>
</file>