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B9" w:rsidRDefault="00C84811">
      <w:pPr>
        <w:jc w:val="center"/>
      </w:pPr>
      <w:r>
        <w:rPr>
          <w:rFonts w:hint="eastAsia"/>
        </w:rPr>
        <w:t>评分标准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72"/>
        <w:gridCol w:w="1162"/>
        <w:gridCol w:w="895"/>
        <w:gridCol w:w="5335"/>
      </w:tblGrid>
      <w:tr w:rsidR="000559B9">
        <w:trPr>
          <w:jc w:val="center"/>
        </w:trPr>
        <w:tc>
          <w:tcPr>
            <w:tcW w:w="1072" w:type="dxa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评审因素</w:t>
            </w:r>
          </w:p>
        </w:tc>
        <w:tc>
          <w:tcPr>
            <w:tcW w:w="7392" w:type="dxa"/>
            <w:gridSpan w:val="3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评审标准</w:t>
            </w:r>
          </w:p>
        </w:tc>
      </w:tr>
      <w:tr w:rsidR="000559B9">
        <w:trPr>
          <w:jc w:val="center"/>
        </w:trPr>
        <w:tc>
          <w:tcPr>
            <w:tcW w:w="1072" w:type="dxa"/>
            <w:vMerge w:val="restart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技术部分（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162" w:type="dxa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项目熟悉情况</w:t>
            </w:r>
          </w:p>
        </w:tc>
        <w:tc>
          <w:tcPr>
            <w:tcW w:w="895" w:type="dxa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  <w:tc>
          <w:tcPr>
            <w:tcW w:w="5335" w:type="dxa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sz w:val="24"/>
                <w:szCs w:val="24"/>
              </w:rPr>
              <w:t>准确理解项目目标、项目实施、具体要求等内容，对项目需求的分析全面深入、详细分析现状、准确把握需求的，得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sz w:val="24"/>
                <w:szCs w:val="24"/>
              </w:rPr>
              <w:t>理解项目目标、项目实施、具体要求等内容，对项目需求的分析较全面深入、较详细分析现状、较准确基本把握需求的，得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sz w:val="24"/>
                <w:szCs w:val="24"/>
              </w:rPr>
              <w:t>基本理解项目目标、项目实施、具体要求等内容，对项目需求的分析基本全面深入、基本详细分析现状、基本准确把握需求的，得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</w:t>
            </w:r>
            <w:r>
              <w:rPr>
                <w:rFonts w:ascii="宋体" w:hAnsi="宋体" w:cs="宋体" w:hint="eastAsia"/>
                <w:sz w:val="24"/>
                <w:szCs w:val="24"/>
              </w:rPr>
              <w:t>其他情况或不提供不得分。</w:t>
            </w:r>
          </w:p>
        </w:tc>
      </w:tr>
      <w:tr w:rsidR="000559B9">
        <w:trPr>
          <w:jc w:val="center"/>
        </w:trPr>
        <w:tc>
          <w:tcPr>
            <w:tcW w:w="1072" w:type="dxa"/>
            <w:vMerge/>
            <w:noWrap/>
            <w:vAlign w:val="center"/>
          </w:tcPr>
          <w:p w:rsidR="000559B9" w:rsidRDefault="000559B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2" w:type="dxa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地质灾害防御区核查</w:t>
            </w:r>
            <w:r>
              <w:rPr>
                <w:rFonts w:ascii="宋体" w:hAnsi="宋体" w:cs="宋体" w:hint="eastAsia"/>
                <w:sz w:val="24"/>
                <w:szCs w:val="24"/>
              </w:rPr>
              <w:t>方案</w:t>
            </w:r>
          </w:p>
        </w:tc>
        <w:tc>
          <w:tcPr>
            <w:tcW w:w="895" w:type="dxa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  <w:tc>
          <w:tcPr>
            <w:tcW w:w="5335" w:type="dxa"/>
            <w:noWrap/>
            <w:vAlign w:val="center"/>
          </w:tcPr>
          <w:p w:rsidR="000559B9" w:rsidRDefault="00C84811">
            <w:pPr>
              <w:pStyle w:val="2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.</w:t>
            </w:r>
            <w:r>
              <w:rPr>
                <w:rFonts w:cs="宋体" w:hint="eastAsia"/>
                <w:sz w:val="24"/>
                <w:szCs w:val="24"/>
              </w:rPr>
              <w:t>地质灾害防御区核查</w:t>
            </w:r>
            <w:r>
              <w:rPr>
                <w:rFonts w:cs="宋体" w:hint="eastAsia"/>
                <w:sz w:val="24"/>
                <w:szCs w:val="24"/>
              </w:rPr>
              <w:t>工作方案内容全面，</w:t>
            </w:r>
            <w:r>
              <w:rPr>
                <w:rFonts w:cs="宋体" w:hint="eastAsia"/>
                <w:sz w:val="24"/>
                <w:szCs w:val="24"/>
              </w:rPr>
              <w:t>工作</w:t>
            </w:r>
            <w:r>
              <w:rPr>
                <w:rFonts w:cs="宋体" w:hint="eastAsia"/>
                <w:sz w:val="24"/>
                <w:szCs w:val="24"/>
              </w:rPr>
              <w:t>方法准确、方案合理、可操作性强得</w:t>
            </w:r>
            <w:r>
              <w:rPr>
                <w:rFonts w:cs="宋体" w:hint="eastAsia"/>
                <w:sz w:val="24"/>
                <w:szCs w:val="24"/>
              </w:rPr>
              <w:t>15</w:t>
            </w:r>
            <w:r>
              <w:rPr>
                <w:rFonts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pStyle w:val="2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.</w:t>
            </w:r>
            <w:r>
              <w:rPr>
                <w:rFonts w:cs="宋体" w:hint="eastAsia"/>
                <w:sz w:val="24"/>
                <w:szCs w:val="24"/>
              </w:rPr>
              <w:t>地质灾害防御区核查</w:t>
            </w:r>
            <w:r>
              <w:rPr>
                <w:rFonts w:cs="宋体" w:hint="eastAsia"/>
                <w:sz w:val="24"/>
                <w:szCs w:val="24"/>
              </w:rPr>
              <w:t>工作方案内容基本全面，</w:t>
            </w:r>
            <w:r>
              <w:rPr>
                <w:rFonts w:cs="宋体" w:hint="eastAsia"/>
                <w:sz w:val="24"/>
                <w:szCs w:val="24"/>
              </w:rPr>
              <w:t>工作</w:t>
            </w:r>
            <w:r>
              <w:rPr>
                <w:rFonts w:cs="宋体" w:hint="eastAsia"/>
                <w:sz w:val="24"/>
                <w:szCs w:val="24"/>
              </w:rPr>
              <w:t>方法</w:t>
            </w:r>
            <w:r>
              <w:rPr>
                <w:rFonts w:cs="宋体" w:hint="eastAsia"/>
                <w:sz w:val="24"/>
                <w:szCs w:val="24"/>
              </w:rPr>
              <w:t>基本</w:t>
            </w:r>
            <w:r>
              <w:rPr>
                <w:rFonts w:cs="宋体" w:hint="eastAsia"/>
                <w:sz w:val="24"/>
                <w:szCs w:val="24"/>
              </w:rPr>
              <w:t>准确、方案</w:t>
            </w:r>
            <w:r>
              <w:rPr>
                <w:rFonts w:cs="宋体" w:hint="eastAsia"/>
                <w:sz w:val="24"/>
                <w:szCs w:val="24"/>
              </w:rPr>
              <w:t>基本</w:t>
            </w:r>
            <w:r>
              <w:rPr>
                <w:rFonts w:cs="宋体" w:hint="eastAsia"/>
                <w:sz w:val="24"/>
                <w:szCs w:val="24"/>
              </w:rPr>
              <w:t>合理、可操作性较强得</w:t>
            </w:r>
            <w:r>
              <w:rPr>
                <w:rFonts w:cs="宋体" w:hint="eastAsia"/>
                <w:sz w:val="24"/>
                <w:szCs w:val="24"/>
              </w:rPr>
              <w:t>11</w:t>
            </w:r>
            <w:r>
              <w:rPr>
                <w:rFonts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pStyle w:val="2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.</w:t>
            </w:r>
            <w:r>
              <w:rPr>
                <w:rFonts w:cs="宋体" w:hint="eastAsia"/>
                <w:sz w:val="24"/>
                <w:szCs w:val="24"/>
              </w:rPr>
              <w:t>地质灾害防御区核查</w:t>
            </w:r>
            <w:r>
              <w:rPr>
                <w:rFonts w:cs="宋体" w:hint="eastAsia"/>
                <w:sz w:val="24"/>
                <w:szCs w:val="24"/>
              </w:rPr>
              <w:t>工作方案内容不全面，</w:t>
            </w:r>
            <w:r>
              <w:rPr>
                <w:rFonts w:cs="宋体" w:hint="eastAsia"/>
                <w:sz w:val="24"/>
                <w:szCs w:val="24"/>
              </w:rPr>
              <w:t>工作</w:t>
            </w:r>
            <w:r>
              <w:rPr>
                <w:rFonts w:cs="宋体" w:hint="eastAsia"/>
                <w:sz w:val="24"/>
                <w:szCs w:val="24"/>
              </w:rPr>
              <w:t>方法</w:t>
            </w:r>
            <w:r>
              <w:rPr>
                <w:rFonts w:cs="宋体" w:hint="eastAsia"/>
                <w:sz w:val="24"/>
                <w:szCs w:val="24"/>
              </w:rPr>
              <w:t>不</w:t>
            </w:r>
            <w:r>
              <w:rPr>
                <w:rFonts w:cs="宋体" w:hint="eastAsia"/>
                <w:sz w:val="24"/>
                <w:szCs w:val="24"/>
              </w:rPr>
              <w:t>准确、方案</w:t>
            </w:r>
            <w:r>
              <w:rPr>
                <w:rFonts w:cs="宋体" w:hint="eastAsia"/>
                <w:sz w:val="24"/>
                <w:szCs w:val="24"/>
              </w:rPr>
              <w:t>不</w:t>
            </w:r>
            <w:r>
              <w:rPr>
                <w:rFonts w:cs="宋体" w:hint="eastAsia"/>
                <w:sz w:val="24"/>
                <w:szCs w:val="24"/>
              </w:rPr>
              <w:t>合理、可操作性一般或差得</w:t>
            </w:r>
            <w:r>
              <w:rPr>
                <w:rFonts w:cs="宋体" w:hint="eastAsia"/>
                <w:sz w:val="24"/>
                <w:szCs w:val="24"/>
              </w:rPr>
              <w:t>7</w:t>
            </w:r>
            <w:r>
              <w:rPr>
                <w:rFonts w:cs="宋体" w:hint="eastAsia"/>
                <w:sz w:val="24"/>
                <w:szCs w:val="24"/>
              </w:rPr>
              <w:t>分。</w:t>
            </w:r>
          </w:p>
          <w:p w:rsidR="000559B9" w:rsidRDefault="00C84811">
            <w:pPr>
              <w:pStyle w:val="2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.</w:t>
            </w:r>
            <w:r>
              <w:rPr>
                <w:rFonts w:cs="宋体" w:hint="eastAsia"/>
                <w:sz w:val="24"/>
                <w:szCs w:val="24"/>
              </w:rPr>
              <w:t>其他情况或不提供不得分。</w:t>
            </w:r>
          </w:p>
        </w:tc>
      </w:tr>
      <w:tr w:rsidR="000559B9">
        <w:trPr>
          <w:jc w:val="center"/>
        </w:trPr>
        <w:tc>
          <w:tcPr>
            <w:tcW w:w="1072" w:type="dxa"/>
            <w:vMerge/>
            <w:noWrap/>
            <w:vAlign w:val="center"/>
          </w:tcPr>
          <w:p w:rsidR="000559B9" w:rsidRDefault="000559B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2" w:type="dxa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项目重点难点分析</w:t>
            </w:r>
          </w:p>
        </w:tc>
        <w:tc>
          <w:tcPr>
            <w:tcW w:w="895" w:type="dxa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  <w:tc>
          <w:tcPr>
            <w:tcW w:w="5335" w:type="dxa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sz w:val="24"/>
                <w:szCs w:val="24"/>
              </w:rPr>
              <w:t>对项目实施重点、难点理解分析准确到位，设计对策有效、可行，能给本项目工作实施提出有效建议，满足且优于采购需求的，得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sz w:val="24"/>
                <w:szCs w:val="24"/>
              </w:rPr>
              <w:t>对项目实施重点、难点理解及分析较准确，设计对策基本有效、可行，能给本项目工作实施提出建议，满足采购需求的，得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numPr>
                <w:ilvl w:val="0"/>
                <w:numId w:val="1"/>
              </w:num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对项目实施重点、难点理解</w:t>
            </w:r>
            <w:r>
              <w:rPr>
                <w:rFonts w:ascii="宋体" w:hAnsi="宋体" w:cs="宋体" w:hint="eastAsia"/>
                <w:sz w:val="24"/>
                <w:szCs w:val="24"/>
              </w:rPr>
              <w:t>一般</w:t>
            </w:r>
            <w:r>
              <w:rPr>
                <w:rFonts w:ascii="宋体" w:hAnsi="宋体" w:cs="宋体" w:hint="eastAsia"/>
                <w:sz w:val="24"/>
                <w:szCs w:val="24"/>
              </w:rPr>
              <w:t>，设计对策具有一定有效性和可行性，能给本项目工作实施提出建议，基本满足采购需求，得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sz w:val="24"/>
                <w:szCs w:val="24"/>
              </w:rPr>
              <w:t>其他情况或不提供不得分。</w:t>
            </w:r>
          </w:p>
        </w:tc>
      </w:tr>
      <w:tr w:rsidR="000559B9">
        <w:trPr>
          <w:jc w:val="center"/>
        </w:trPr>
        <w:tc>
          <w:tcPr>
            <w:tcW w:w="1072" w:type="dxa"/>
            <w:vMerge/>
            <w:noWrap/>
            <w:vAlign w:val="center"/>
          </w:tcPr>
          <w:p w:rsidR="000559B9" w:rsidRDefault="000559B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2" w:type="dxa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工作时间与进度安排方案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  <w:tc>
          <w:tcPr>
            <w:tcW w:w="5335" w:type="dxa"/>
            <w:noWrap/>
            <w:vAlign w:val="center"/>
          </w:tcPr>
          <w:p w:rsidR="000559B9" w:rsidRDefault="00C84811">
            <w:pPr>
              <w:numPr>
                <w:ilvl w:val="0"/>
                <w:numId w:val="2"/>
              </w:numPr>
              <w:ind w:left="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工作计划详细合理，可操作性强，工作时间与进度计划安排合理的，得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numPr>
                <w:ilvl w:val="0"/>
                <w:numId w:val="2"/>
              </w:numPr>
              <w:ind w:left="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工作计划较详细合理，可操作性较强，工作时间与进度计划安排较合理的，得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numPr>
                <w:ilvl w:val="0"/>
                <w:numId w:val="2"/>
              </w:numPr>
              <w:ind w:left="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工作计划基本详细合理，可操作性一般，工作时间与进度计划安排基本合理的，得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ind w:left="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</w:t>
            </w:r>
            <w:r>
              <w:rPr>
                <w:rFonts w:ascii="宋体" w:hAnsi="宋体" w:cs="宋体" w:hint="eastAsia"/>
                <w:sz w:val="24"/>
                <w:szCs w:val="24"/>
              </w:rPr>
              <w:t>其他情况或不提供不得分。</w:t>
            </w:r>
          </w:p>
        </w:tc>
      </w:tr>
      <w:tr w:rsidR="000559B9">
        <w:trPr>
          <w:jc w:val="center"/>
        </w:trPr>
        <w:tc>
          <w:tcPr>
            <w:tcW w:w="1072" w:type="dxa"/>
            <w:vMerge w:val="restart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商务部分（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拟投入本项目得服务团队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  <w:tc>
          <w:tcPr>
            <w:tcW w:w="5335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拟投入本项目</w:t>
            </w:r>
            <w:r>
              <w:rPr>
                <w:rFonts w:ascii="宋体" w:hAnsi="宋体" w:cs="宋体" w:hint="eastAsia"/>
                <w:sz w:val="24"/>
                <w:szCs w:val="24"/>
              </w:rPr>
              <w:t>的</w:t>
            </w:r>
            <w:r>
              <w:rPr>
                <w:rFonts w:ascii="宋体" w:hAnsi="宋体" w:cs="宋体" w:hint="eastAsia"/>
                <w:sz w:val="24"/>
                <w:szCs w:val="24"/>
              </w:rPr>
              <w:t>服务团队技术人员数量（包括项目技术负责人）：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、投入具备水工环地质、岩土工程、地质矿产勘查等相关专业技术人员</w:t>
            </w:r>
            <w:r>
              <w:rPr>
                <w:rFonts w:ascii="宋体" w:hAnsi="宋体" w:cs="宋体" w:hint="eastAsia"/>
                <w:sz w:val="24"/>
                <w:szCs w:val="24"/>
              </w:rPr>
              <w:t>不少于</w:t>
            </w: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sz w:val="24"/>
                <w:szCs w:val="24"/>
              </w:rPr>
              <w:t>人，</w:t>
            </w:r>
            <w:r>
              <w:rPr>
                <w:rFonts w:ascii="宋体" w:hAnsi="宋体" w:cs="宋体" w:hint="eastAsia"/>
                <w:sz w:val="24"/>
                <w:szCs w:val="24"/>
              </w:rPr>
              <w:t>得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分。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其中，</w:t>
            </w:r>
            <w:r>
              <w:rPr>
                <w:rFonts w:ascii="宋体" w:hAnsi="宋体" w:cs="宋体" w:hint="eastAsia"/>
                <w:sz w:val="24"/>
                <w:szCs w:val="24"/>
              </w:rPr>
              <w:t>每有一名高级职称人员额外加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</w:t>
            </w:r>
            <w:r>
              <w:rPr>
                <w:rFonts w:ascii="宋体" w:hAnsi="宋体" w:cs="宋体" w:hint="eastAsia"/>
                <w:sz w:val="24"/>
                <w:szCs w:val="24"/>
              </w:rPr>
              <w:t>每有一名</w:t>
            </w:r>
            <w:r>
              <w:rPr>
                <w:rFonts w:ascii="宋体" w:hAnsi="宋体" w:cs="宋体" w:hint="eastAsia"/>
                <w:sz w:val="24"/>
                <w:szCs w:val="24"/>
              </w:rPr>
              <w:t>中级职称人员额外加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分，最高</w:t>
            </w:r>
            <w:r>
              <w:rPr>
                <w:rFonts w:ascii="宋体" w:hAnsi="宋体" w:cs="宋体" w:hint="eastAsia"/>
                <w:sz w:val="24"/>
                <w:szCs w:val="24"/>
              </w:rPr>
              <w:t>得</w:t>
            </w: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、投入具备水工环地质、岩土工程、地质矿产勘查等相关专业技术人员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-14</w:t>
            </w:r>
            <w:r>
              <w:rPr>
                <w:rFonts w:ascii="宋体" w:hAnsi="宋体" w:cs="宋体" w:hint="eastAsia"/>
                <w:sz w:val="24"/>
                <w:szCs w:val="24"/>
              </w:rPr>
              <w:t>人，</w:t>
            </w:r>
            <w:r>
              <w:rPr>
                <w:rFonts w:ascii="宋体" w:hAnsi="宋体" w:cs="宋体" w:hint="eastAsia"/>
                <w:sz w:val="24"/>
                <w:szCs w:val="24"/>
              </w:rPr>
              <w:t>得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sz w:val="24"/>
                <w:szCs w:val="24"/>
              </w:rPr>
              <w:t>。其中，每有一名高级职称人员额</w:t>
            </w:r>
            <w:r>
              <w:rPr>
                <w:rFonts w:ascii="宋体" w:hAnsi="宋体" w:cs="宋体" w:hint="eastAsia"/>
                <w:sz w:val="24"/>
                <w:szCs w:val="24"/>
              </w:rPr>
              <w:t>外加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</w:t>
            </w:r>
            <w:r>
              <w:rPr>
                <w:rFonts w:ascii="宋体" w:hAnsi="宋体" w:cs="宋体" w:hint="eastAsia"/>
                <w:sz w:val="24"/>
                <w:szCs w:val="24"/>
              </w:rPr>
              <w:t>每有一名</w:t>
            </w:r>
            <w:r>
              <w:rPr>
                <w:rFonts w:ascii="宋体" w:hAnsi="宋体" w:cs="宋体" w:hint="eastAsia"/>
                <w:sz w:val="24"/>
                <w:szCs w:val="24"/>
              </w:rPr>
              <w:t>中级职称人员往外加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分，最高</w:t>
            </w:r>
            <w:r>
              <w:rPr>
                <w:rFonts w:ascii="宋体" w:hAnsi="宋体" w:cs="宋体" w:hint="eastAsia"/>
                <w:sz w:val="24"/>
                <w:szCs w:val="24"/>
              </w:rPr>
              <w:t>得</w:t>
            </w: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、投入具备水工环地质、岩土工程、地质矿产勘查等相关专业技术人员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-9</w:t>
            </w:r>
            <w:r>
              <w:rPr>
                <w:rFonts w:ascii="宋体" w:hAnsi="宋体" w:cs="宋体" w:hint="eastAsia"/>
                <w:sz w:val="24"/>
                <w:szCs w:val="24"/>
              </w:rPr>
              <w:t>人，</w:t>
            </w:r>
            <w:r>
              <w:rPr>
                <w:rFonts w:ascii="宋体" w:hAnsi="宋体" w:cs="宋体" w:hint="eastAsia"/>
                <w:sz w:val="24"/>
                <w:szCs w:val="24"/>
              </w:rPr>
              <w:t>得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分。其中，</w:t>
            </w:r>
            <w:r>
              <w:rPr>
                <w:rFonts w:ascii="宋体" w:hAnsi="宋体" w:cs="宋体" w:hint="eastAsia"/>
                <w:sz w:val="24"/>
                <w:szCs w:val="24"/>
              </w:rPr>
              <w:t>每有一名高级职称人员额外加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</w:t>
            </w:r>
            <w:r>
              <w:rPr>
                <w:rFonts w:ascii="宋体" w:hAnsi="宋体" w:cs="宋体" w:hint="eastAsia"/>
                <w:sz w:val="24"/>
                <w:szCs w:val="24"/>
              </w:rPr>
              <w:t>每有一名</w:t>
            </w:r>
            <w:r>
              <w:rPr>
                <w:rFonts w:ascii="宋体" w:hAnsi="宋体" w:cs="宋体" w:hint="eastAsia"/>
                <w:sz w:val="24"/>
                <w:szCs w:val="24"/>
              </w:rPr>
              <w:t>中级职称人员往外加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分，最高</w:t>
            </w:r>
            <w:r>
              <w:rPr>
                <w:rFonts w:ascii="宋体" w:hAnsi="宋体" w:cs="宋体" w:hint="eastAsia"/>
                <w:sz w:val="24"/>
                <w:szCs w:val="24"/>
              </w:rPr>
              <w:t>得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</w:t>
            </w:r>
            <w:r>
              <w:rPr>
                <w:rFonts w:ascii="宋体" w:hAnsi="宋体" w:cs="宋体" w:hint="eastAsia"/>
                <w:sz w:val="24"/>
                <w:szCs w:val="24"/>
              </w:rPr>
              <w:t>其他情况或不提供不得分。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备注：本项目投标截止之日前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个月连续在供应商单位购买社保的社保证明材料</w:t>
            </w:r>
            <w:r>
              <w:rPr>
                <w:rFonts w:ascii="宋体" w:hAnsi="宋体" w:cs="宋体" w:hint="eastAsia"/>
                <w:sz w:val="24"/>
                <w:szCs w:val="24"/>
              </w:rPr>
              <w:t>，以及职称证书，并加盖公章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；无或缺项或未按要求递交证明材料的不得分。</w:t>
            </w:r>
          </w:p>
        </w:tc>
      </w:tr>
      <w:tr w:rsidR="000559B9">
        <w:trPr>
          <w:jc w:val="center"/>
        </w:trPr>
        <w:tc>
          <w:tcPr>
            <w:tcW w:w="1072" w:type="dxa"/>
            <w:vMerge/>
            <w:noWrap/>
            <w:vAlign w:val="center"/>
          </w:tcPr>
          <w:p w:rsidR="000559B9" w:rsidRDefault="000559B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同类项目业绩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  <w:tc>
          <w:tcPr>
            <w:tcW w:w="5335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sz w:val="24"/>
                <w:szCs w:val="24"/>
              </w:rPr>
              <w:t>自</w:t>
            </w:r>
            <w:r>
              <w:rPr>
                <w:rFonts w:ascii="宋体" w:hAnsi="宋体" w:cs="宋体" w:hint="eastAsia"/>
                <w:sz w:val="24"/>
                <w:szCs w:val="24"/>
              </w:rPr>
              <w:t>2020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日以来，承担过县（市）地质灾害技术服务项目（包含地质灾害应急调查、巡（排）查工作）的，广东省重点地区防御区核查、</w:t>
            </w:r>
            <w:r>
              <w:rPr>
                <w:rFonts w:ascii="宋体" w:hAnsi="宋体" w:cs="宋体" w:hint="eastAsia"/>
                <w:sz w:val="24"/>
                <w:szCs w:val="24"/>
              </w:rPr>
              <w:t>1:1</w:t>
            </w:r>
            <w:r>
              <w:rPr>
                <w:rFonts w:ascii="宋体" w:hAnsi="宋体" w:cs="宋体" w:hint="eastAsia"/>
                <w:sz w:val="24"/>
                <w:szCs w:val="24"/>
              </w:rPr>
              <w:t>万地质灾害风险调查评价每项得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分，本项最多得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分。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备注：提供项目任务书或合同关键页（含合同双方的单位名称、合同项目名称与含签订合同双方的落款盖章、签订日期的关键页或任务书）扫描件，不提供不得分。</w:t>
            </w:r>
          </w:p>
        </w:tc>
      </w:tr>
      <w:tr w:rsidR="000559B9">
        <w:trPr>
          <w:jc w:val="center"/>
        </w:trPr>
        <w:tc>
          <w:tcPr>
            <w:tcW w:w="1072" w:type="dxa"/>
            <w:vMerge/>
            <w:noWrap/>
            <w:vAlign w:val="center"/>
          </w:tcPr>
          <w:p w:rsidR="000559B9" w:rsidRDefault="000559B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组织管理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  <w:tc>
          <w:tcPr>
            <w:tcW w:w="5335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sz w:val="24"/>
                <w:szCs w:val="24"/>
              </w:rPr>
              <w:t>组织管理符合行业规范，质量保证体系完善、职责明确，相关保障措施具体、可操作性强的，得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sz w:val="24"/>
                <w:szCs w:val="24"/>
              </w:rPr>
              <w:t>组织管理符合行业规范，质量保证体系较完善、职责较明确，有相关保障措施、可操作性一般的，得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</w:rPr>
              <w:t>分；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sz w:val="24"/>
                <w:szCs w:val="24"/>
              </w:rPr>
              <w:t>组织管理基本符合行业规范，质量保证体系一般、职责不明确，有相关保障措施、可操作性差的，得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分。</w:t>
            </w:r>
          </w:p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</w:t>
            </w:r>
            <w:r>
              <w:rPr>
                <w:rFonts w:ascii="宋体" w:hAnsi="宋体" w:cs="宋体" w:hint="eastAsia"/>
                <w:sz w:val="24"/>
                <w:szCs w:val="24"/>
              </w:rPr>
              <w:t>其他情况或不提供不得分。</w:t>
            </w:r>
          </w:p>
        </w:tc>
      </w:tr>
      <w:tr w:rsidR="000559B9">
        <w:trPr>
          <w:jc w:val="center"/>
        </w:trPr>
        <w:tc>
          <w:tcPr>
            <w:tcW w:w="1072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价格部分（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价格分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  <w:tc>
          <w:tcPr>
            <w:tcW w:w="5335" w:type="dxa"/>
            <w:shd w:val="clear" w:color="auto" w:fill="auto"/>
            <w:noWrap/>
            <w:vAlign w:val="center"/>
          </w:tcPr>
          <w:p w:rsidR="000559B9" w:rsidRDefault="00C8481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根据参选项目中最低报价与项目报价比值关系计算得分，报价得分</w:t>
            </w:r>
            <w:r>
              <w:rPr>
                <w:rFonts w:ascii="宋体" w:hAnsi="宋体" w:cs="宋体" w:hint="eastAsia"/>
                <w:sz w:val="24"/>
                <w:szCs w:val="24"/>
              </w:rPr>
              <w:t>=</w:t>
            </w:r>
            <w:r>
              <w:rPr>
                <w:rFonts w:ascii="宋体" w:hAnsi="宋体" w:cs="宋体" w:hint="eastAsia"/>
                <w:sz w:val="24"/>
                <w:szCs w:val="24"/>
              </w:rPr>
              <w:t>（最低报价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项目报价）</w:t>
            </w:r>
            <w:r>
              <w:rPr>
                <w:rFonts w:ascii="宋体" w:hAnsi="宋体" w:cs="宋体" w:hint="eastAsia"/>
                <w:sz w:val="24"/>
                <w:szCs w:val="24"/>
              </w:rPr>
              <w:t>*</w:t>
            </w:r>
            <w:r>
              <w:rPr>
                <w:rFonts w:ascii="宋体" w:hAnsi="宋体" w:cs="宋体" w:hint="eastAsia"/>
                <w:sz w:val="24"/>
                <w:szCs w:val="24"/>
              </w:rPr>
              <w:t>分值，该得分保留两位小数。</w:t>
            </w:r>
          </w:p>
        </w:tc>
      </w:tr>
    </w:tbl>
    <w:p w:rsidR="000559B9" w:rsidRDefault="000559B9"/>
    <w:sectPr w:rsidR="000559B9" w:rsidSect="00055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811" w:rsidRDefault="00C84811" w:rsidP="00C84811">
      <w:r>
        <w:separator/>
      </w:r>
    </w:p>
  </w:endnote>
  <w:endnote w:type="continuationSeparator" w:id="1">
    <w:p w:rsidR="00C84811" w:rsidRDefault="00C84811" w:rsidP="00C84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811" w:rsidRDefault="00C84811" w:rsidP="00C84811">
      <w:r>
        <w:separator/>
      </w:r>
    </w:p>
  </w:footnote>
  <w:footnote w:type="continuationSeparator" w:id="1">
    <w:p w:rsidR="00C84811" w:rsidRDefault="00C84811" w:rsidP="00C84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11ED7A"/>
    <w:multiLevelType w:val="singleLevel"/>
    <w:tmpl w:val="9611ED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FED7DB"/>
    <w:multiLevelType w:val="singleLevel"/>
    <w:tmpl w:val="59FED7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732D48"/>
    <w:rsid w:val="000559B9"/>
    <w:rsid w:val="00C84811"/>
    <w:rsid w:val="0ED15914"/>
    <w:rsid w:val="12AF5BD1"/>
    <w:rsid w:val="2CC7489B"/>
    <w:rsid w:val="34044515"/>
    <w:rsid w:val="3F284DFE"/>
    <w:rsid w:val="481D14C6"/>
    <w:rsid w:val="4C3B4559"/>
    <w:rsid w:val="533D2A0F"/>
    <w:rsid w:val="64E105C6"/>
    <w:rsid w:val="698A13AB"/>
    <w:rsid w:val="6C732D48"/>
    <w:rsid w:val="71974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9B9"/>
    <w:pPr>
      <w:widowControl w:val="0"/>
      <w:jc w:val="both"/>
    </w:pPr>
    <w:rPr>
      <w:rFonts w:ascii="Calibri" w:eastAsia="宋体" w:hAnsi="Calibri" w:cs="微软雅黑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rsid w:val="000559B9"/>
    <w:pPr>
      <w:jc w:val="center"/>
    </w:pPr>
    <w:rPr>
      <w:rFonts w:ascii="宋体" w:hAnsi="宋体"/>
      <w:szCs w:val="20"/>
    </w:rPr>
  </w:style>
  <w:style w:type="table" w:styleId="a3">
    <w:name w:val="Table Grid"/>
    <w:basedOn w:val="a1"/>
    <w:qFormat/>
    <w:rsid w:val="000559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84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84811"/>
    <w:rPr>
      <w:rFonts w:ascii="Calibri" w:eastAsia="宋体" w:hAnsi="Calibri" w:cs="微软雅黑"/>
      <w:kern w:val="2"/>
      <w:sz w:val="18"/>
      <w:szCs w:val="18"/>
    </w:rPr>
  </w:style>
  <w:style w:type="paragraph" w:styleId="a5">
    <w:name w:val="footer"/>
    <w:basedOn w:val="a"/>
    <w:link w:val="Char0"/>
    <w:rsid w:val="00C84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84811"/>
    <w:rPr>
      <w:rFonts w:ascii="Calibri" w:eastAsia="宋体" w:hAnsi="Calibri" w:cs="微软雅黑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1487</Words>
  <Characters>116</Characters>
  <Application>Microsoft Office Word</Application>
  <DocSecurity>0</DocSecurity>
  <Lines>1</Lines>
  <Paragraphs>3</Paragraphs>
  <ScaleCrop>false</ScaleCrop>
  <Company>中山市自然资源局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</dc:creator>
  <cp:lastModifiedBy>hurrican</cp:lastModifiedBy>
  <cp:revision>2</cp:revision>
  <cp:lastPrinted>2025-11-25T01:07:00Z</cp:lastPrinted>
  <dcterms:created xsi:type="dcterms:W3CDTF">2025-12-02T01:42:00Z</dcterms:created>
  <dcterms:modified xsi:type="dcterms:W3CDTF">2025-12-02T01:42:00Z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30B24161E95B45B29BACFEB2C33A95F3_13</vt:lpwstr>
  </property>
  <property fmtid="{D5CDD505-2E9C-101B-9397-08002B2CF9AE}" pid="4" name="KSOTemplateDocerSaveRecord">
    <vt:lpwstr>eyJoZGlkIjoiNzZkODM3ZjNlZTVmN2JjMmU0ZWE4OTcwMDEwMmI4YzIiLCJ1c2VySWQiOiI0MTYwODk4OTkifQ==</vt:lpwstr>
  </property>
</Properties>
</file>