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F4B35">
      <w:pPr>
        <w:snapToGrid w:val="0"/>
        <w:spacing w:line="574" w:lineRule="exact"/>
        <w:jc w:val="center"/>
        <w:rPr>
          <w:rFonts w:hint="eastAsia" w:ascii="创艺简标宋" w:hAnsi="创艺简标宋" w:eastAsia="创艺简标宋" w:cs="创艺简标宋"/>
          <w:sz w:val="44"/>
          <w:szCs w:val="44"/>
        </w:rPr>
      </w:pPr>
      <w:bookmarkStart w:id="3" w:name="_GoBack"/>
      <w:bookmarkEnd w:id="3"/>
      <w:r>
        <w:rPr>
          <w:rFonts w:hint="eastAsia" w:ascii="创艺简标宋" w:hAnsi="创艺简标宋" w:eastAsia="创艺简标宋" w:cs="创艺简标宋"/>
          <w:spacing w:val="-6"/>
          <w:sz w:val="44"/>
          <w:szCs w:val="44"/>
        </w:rPr>
        <w:t>翠亨新区中山市会友汽车配件有限责任公司“工改工”</w:t>
      </w:r>
      <w:r>
        <w:rPr>
          <w:rFonts w:hint="eastAsia" w:ascii="创艺简标宋" w:hAnsi="创艺简标宋" w:eastAsia="创艺简标宋" w:cs="创艺简标宋"/>
          <w:sz w:val="44"/>
          <w:szCs w:val="44"/>
        </w:rPr>
        <w:t>宗地项目“三旧”改造方案</w:t>
      </w:r>
    </w:p>
    <w:p w14:paraId="28448CFE">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w:t>
      </w:r>
    </w:p>
    <w:p w14:paraId="6B28080F">
      <w:pPr>
        <w:widowControl/>
        <w:snapToGrid w:val="0"/>
        <w:spacing w:line="574"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根据</w:t>
      </w:r>
      <w:r>
        <w:rPr>
          <w:rFonts w:hint="default" w:ascii="Times New Roman" w:hAnsi="Times New Roman" w:eastAsia="仿宋_GB2312" w:cs="Times New Roman"/>
          <w:sz w:val="32"/>
          <w:szCs w:val="40"/>
        </w:rPr>
        <w:t>中山市城市更新（“三旧”改造）专项规划</w:t>
      </w:r>
      <w:r>
        <w:rPr>
          <w:rFonts w:hint="default" w:ascii="Times New Roman" w:hAnsi="Times New Roman" w:eastAsia="仿宋_GB2312" w:cs="Times New Roman"/>
          <w:kern w:val="0"/>
          <w:sz w:val="32"/>
          <w:szCs w:val="32"/>
          <w:lang w:bidi="ar"/>
        </w:rPr>
        <w:t>和现行控制性规划，翠亨新区管委会拟对位于中山市翠亨新区中准道25号的中山市会友汽车配件有限责任公司旧厂房用地进行改造，</w:t>
      </w:r>
      <w:r>
        <w:rPr>
          <w:rFonts w:hint="default" w:ascii="Times New Roman" w:hAnsi="Times New Roman" w:eastAsia="仿宋_GB2312" w:cs="Times New Roman"/>
          <w:kern w:val="0"/>
          <w:sz w:val="32"/>
          <w:szCs w:val="32"/>
        </w:rPr>
        <w:t>由</w:t>
      </w:r>
      <w:r>
        <w:rPr>
          <w:rFonts w:hint="default" w:ascii="Times New Roman" w:hAnsi="Times New Roman" w:eastAsia="仿宋_GB2312" w:cs="Times New Roman"/>
          <w:kern w:val="0"/>
          <w:sz w:val="32"/>
          <w:szCs w:val="32"/>
          <w:lang w:bidi="ar"/>
        </w:rPr>
        <w:t>中山市会友汽车配件有限责任公司</w:t>
      </w:r>
      <w:r>
        <w:rPr>
          <w:rFonts w:hint="default" w:ascii="Times New Roman" w:hAnsi="Times New Roman" w:eastAsia="仿宋_GB2312" w:cs="Times New Roman"/>
          <w:kern w:val="0"/>
          <w:sz w:val="32"/>
          <w:szCs w:val="32"/>
        </w:rPr>
        <w:t>自主改造，采取全面改造</w:t>
      </w:r>
      <w:r>
        <w:rPr>
          <w:rFonts w:hint="default" w:ascii="Times New Roman" w:hAnsi="Times New Roman" w:eastAsia="仿宋_GB2312" w:cs="Times New Roman"/>
          <w:kern w:val="0"/>
          <w:sz w:val="32"/>
          <w:szCs w:val="32"/>
          <w:lang w:bidi="ar"/>
        </w:rPr>
        <w:t>的改造方式。改造方案如下：</w:t>
      </w:r>
    </w:p>
    <w:p w14:paraId="4074EAD8">
      <w:pPr>
        <w:widowControl/>
        <w:snapToGrid w:val="0"/>
        <w:spacing w:line="574" w:lineRule="exact"/>
        <w:rPr>
          <w:rFonts w:hint="default" w:ascii="Times New Roman" w:hAnsi="Times New Roman" w:eastAsia="Yu Mincho" w:cs="Times New Roman"/>
          <w:sz w:val="32"/>
          <w:szCs w:val="32"/>
        </w:rPr>
      </w:pPr>
      <w:r>
        <w:rPr>
          <w:rFonts w:hint="default" w:ascii="Times New Roman" w:hAnsi="Times New Roman" w:eastAsia="黑体" w:cs="Times New Roman"/>
          <w:kern w:val="0"/>
          <w:sz w:val="32"/>
          <w:szCs w:val="32"/>
          <w:lang w:bidi="ar"/>
        </w:rPr>
        <w:t xml:space="preserve">　　一、改造地块基本情况 </w:t>
      </w:r>
    </w:p>
    <w:p w14:paraId="36C33EA2">
      <w:pPr>
        <w:widowControl/>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（一）总体情况</w:t>
      </w:r>
    </w:p>
    <w:p w14:paraId="501BAE86">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改造地块位于中山市翠亨新区中准道25号，东至中准道，南至广东新优威印刷装备科技有限公司用地，西至中山市森宝电业有限公司用地，北至中山市森宝电业有限公司用地，用地面积1.5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w:t>
      </w:r>
    </w:p>
    <w:p w14:paraId="4BCC8F21">
      <w:pPr>
        <w:widowControl/>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（二）标图入库情况</w:t>
      </w:r>
    </w:p>
    <w:p w14:paraId="39458194">
      <w:pPr>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改造地块于2025年8月纳入“三旧”标图入库，图斑编号44200069090，图斑面积1.5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20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亩）纳入本次改造范围。</w:t>
      </w:r>
    </w:p>
    <w:p w14:paraId="6C682918">
      <w:pPr>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（三）权属情况</w:t>
      </w:r>
      <w:bookmarkStart w:id="0" w:name="_Hlk71565134"/>
    </w:p>
    <w:p w14:paraId="01D1CFB6">
      <w:pPr>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改造地块属</w:t>
      </w:r>
      <w:bookmarkEnd w:id="0"/>
      <w:r>
        <w:rPr>
          <w:rFonts w:hint="default" w:ascii="Times New Roman" w:hAnsi="Times New Roman" w:eastAsia="仿宋_GB2312" w:cs="Times New Roman"/>
          <w:kern w:val="0"/>
          <w:sz w:val="32"/>
          <w:szCs w:val="32"/>
          <w:lang w:bidi="ar"/>
        </w:rPr>
        <w:t>国有建设用地，土地用途为工业，</w:t>
      </w:r>
      <w:r>
        <w:rPr>
          <w:rFonts w:hint="default" w:ascii="Times New Roman" w:hAnsi="Times New Roman" w:eastAsia="仿宋_GB2312" w:cs="Times New Roman"/>
          <w:kern w:val="0"/>
          <w:sz w:val="32"/>
          <w:szCs w:val="32"/>
        </w:rPr>
        <w:t>改造涉及的土地已经确权、登记，</w:t>
      </w:r>
      <w:r>
        <w:rPr>
          <w:rFonts w:hint="default" w:ascii="Times New Roman" w:hAnsi="Times New Roman" w:eastAsia="仿宋_GB2312" w:cs="Times New Roman"/>
          <w:kern w:val="0"/>
          <w:sz w:val="32"/>
          <w:szCs w:val="32"/>
          <w:lang w:bidi="ar"/>
        </w:rPr>
        <w:t>自</w:t>
      </w:r>
      <w:r>
        <w:rPr>
          <w:rFonts w:hint="default" w:ascii="Times New Roman" w:hAnsi="Times New Roman" w:eastAsia="仿宋_GB2312" w:cs="Times New Roman"/>
          <w:kern w:val="0"/>
          <w:sz w:val="32"/>
          <w:szCs w:val="32"/>
        </w:rPr>
        <w:t>2006年</w:t>
      </w:r>
      <w:r>
        <w:rPr>
          <w:rFonts w:hint="default" w:ascii="Times New Roman" w:hAnsi="Times New Roman" w:eastAsia="仿宋_GB2312" w:cs="Times New Roman"/>
          <w:kern w:val="0"/>
          <w:sz w:val="32"/>
          <w:szCs w:val="32"/>
          <w:lang w:bidi="ar"/>
        </w:rPr>
        <w:t>12月</w:t>
      </w:r>
      <w:r>
        <w:rPr>
          <w:rFonts w:hint="default" w:ascii="Times New Roman" w:hAnsi="Times New Roman" w:eastAsia="仿宋_GB2312" w:cs="Times New Roman"/>
          <w:kern w:val="0"/>
          <w:sz w:val="32"/>
          <w:szCs w:val="32"/>
        </w:rPr>
        <w:t>开始使用，原产权人为池田汽车配件（中山）有限公司，原土地证号为中府国用（2009）第150580号，用地面积为</w:t>
      </w:r>
      <w:r>
        <w:rPr>
          <w:rFonts w:hint="default" w:ascii="Times New Roman" w:hAnsi="Times New Roman" w:eastAsia="仿宋_GB2312" w:cs="Times New Roman"/>
          <w:kern w:val="0"/>
          <w:sz w:val="32"/>
          <w:szCs w:val="32"/>
          <w:lang w:bidi="ar"/>
        </w:rPr>
        <w:t>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w:t>
      </w:r>
      <w:r>
        <w:rPr>
          <w:rFonts w:hint="default" w:ascii="Times New Roman" w:hAnsi="Times New Roman" w:eastAsia="仿宋_GB2312" w:cs="Times New Roman"/>
          <w:kern w:val="0"/>
          <w:sz w:val="32"/>
          <w:szCs w:val="32"/>
        </w:rPr>
        <w:t>现产权人为</w:t>
      </w:r>
      <w:r>
        <w:rPr>
          <w:rFonts w:hint="default" w:ascii="Times New Roman" w:hAnsi="Times New Roman" w:eastAsia="仿宋_GB2312" w:cs="Times New Roman"/>
          <w:kern w:val="0"/>
          <w:sz w:val="32"/>
          <w:szCs w:val="32"/>
          <w:lang w:bidi="ar"/>
        </w:rPr>
        <w:t>中山市会友汽车配件有限责任公司，</w:t>
      </w:r>
      <w:r>
        <w:rPr>
          <w:rFonts w:hint="default" w:ascii="Times New Roman" w:hAnsi="Times New Roman" w:eastAsia="仿宋_GB2312" w:cs="Times New Roman"/>
          <w:kern w:val="0"/>
          <w:sz w:val="32"/>
          <w:szCs w:val="32"/>
        </w:rPr>
        <w:t>不动产证号为粤（2025）中山市不动产权第0364163号。</w:t>
      </w:r>
    </w:p>
    <w:p w14:paraId="5798D647">
      <w:pPr>
        <w:widowControl/>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（四）土地利用现状情况</w:t>
      </w:r>
    </w:p>
    <w:p w14:paraId="312D8AB6">
      <w:pPr>
        <w:widowControl/>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bidi="ar"/>
        </w:rPr>
        <w:t>　　改造范围内现</w:t>
      </w:r>
      <w:r>
        <w:rPr>
          <w:rFonts w:hint="default" w:ascii="Times New Roman" w:hAnsi="Times New Roman" w:eastAsia="仿宋_GB2312" w:cs="Times New Roman"/>
          <w:kern w:val="0"/>
          <w:sz w:val="32"/>
          <w:szCs w:val="32"/>
          <w:highlight w:val="none"/>
        </w:rPr>
        <w:t>有3栋建筑物，</w:t>
      </w:r>
      <w:r>
        <w:rPr>
          <w:rFonts w:hint="default" w:ascii="Times New Roman" w:hAnsi="Times New Roman" w:eastAsia="仿宋_GB2312" w:cs="Times New Roman"/>
          <w:kern w:val="0"/>
          <w:sz w:val="32"/>
          <w:szCs w:val="32"/>
          <w:highlight w:val="none"/>
          <w:lang w:bidi="ar"/>
        </w:rPr>
        <w:t>自200</w:t>
      </w:r>
      <w:r>
        <w:rPr>
          <w:rFonts w:hint="default" w:ascii="Times New Roman" w:hAnsi="Times New Roman" w:eastAsia="Yu Mincho" w:cs="Times New Roman"/>
          <w:kern w:val="0"/>
          <w:sz w:val="32"/>
          <w:szCs w:val="32"/>
          <w:highlight w:val="none"/>
          <w:lang w:bidi="ar"/>
        </w:rPr>
        <w:t>7</w:t>
      </w:r>
      <w:r>
        <w:rPr>
          <w:rFonts w:hint="default" w:ascii="Times New Roman" w:hAnsi="Times New Roman" w:eastAsia="仿宋_GB2312" w:cs="Times New Roman"/>
          <w:kern w:val="0"/>
          <w:sz w:val="32"/>
          <w:szCs w:val="32"/>
          <w:highlight w:val="none"/>
          <w:lang w:bidi="ar"/>
        </w:rPr>
        <w:t>年1</w:t>
      </w:r>
      <w:r>
        <w:rPr>
          <w:rFonts w:hint="default" w:ascii="Times New Roman" w:hAnsi="Times New Roman" w:eastAsia="Yu Mincho" w:cs="Times New Roman"/>
          <w:kern w:val="0"/>
          <w:sz w:val="32"/>
          <w:szCs w:val="32"/>
          <w:highlight w:val="none"/>
          <w:lang w:bidi="ar"/>
        </w:rPr>
        <w:t>1</w:t>
      </w:r>
      <w:r>
        <w:rPr>
          <w:rFonts w:hint="default" w:ascii="Times New Roman" w:hAnsi="Times New Roman" w:eastAsia="仿宋_GB2312" w:cs="Times New Roman"/>
          <w:kern w:val="0"/>
          <w:sz w:val="32"/>
          <w:szCs w:val="32"/>
          <w:highlight w:val="none"/>
          <w:lang w:bidi="ar"/>
        </w:rPr>
        <w:t>月开始陆续投入使用，</w:t>
      </w:r>
      <w:r>
        <w:rPr>
          <w:rFonts w:hint="default" w:ascii="Times New Roman" w:hAnsi="Times New Roman" w:eastAsia="仿宋_GB2312" w:cs="Times New Roman"/>
          <w:kern w:val="0"/>
          <w:sz w:val="32"/>
          <w:szCs w:val="32"/>
          <w:highlight w:val="none"/>
        </w:rPr>
        <w:t>现有建筑面积3564.25平方米，其中已办理确权登记手续建筑面积3564.25平方米，现状容积率</w:t>
      </w:r>
      <w:r>
        <w:rPr>
          <w:rFonts w:hint="eastAsia" w:eastAsia="仿宋_GB2312" w:cs="Times New Roman"/>
          <w:kern w:val="0"/>
          <w:sz w:val="32"/>
          <w:szCs w:val="32"/>
          <w:highlight w:val="none"/>
          <w:lang w:val="en-US" w:eastAsia="zh-CN"/>
        </w:rPr>
        <w:t>0.4</w:t>
      </w:r>
      <w:r>
        <w:rPr>
          <w:rFonts w:hint="default" w:ascii="Times New Roman" w:hAnsi="Times New Roman" w:eastAsia="仿宋_GB2312" w:cs="Times New Roman"/>
          <w:kern w:val="0"/>
          <w:sz w:val="32"/>
          <w:szCs w:val="32"/>
          <w:highlight w:val="none"/>
        </w:rPr>
        <w:t>，作工业厂房和配套办公用房所用。该地块改造前年产值为</w:t>
      </w:r>
      <w:r>
        <w:rPr>
          <w:rFonts w:hint="default" w:ascii="Times New Roman" w:hAnsi="Times New Roman" w:eastAsia="Yu Mincho" w:cs="Times New Roman"/>
          <w:kern w:val="0"/>
          <w:sz w:val="32"/>
          <w:szCs w:val="32"/>
          <w:highlight w:val="none"/>
        </w:rPr>
        <w:t>1651</w:t>
      </w:r>
      <w:r>
        <w:rPr>
          <w:rFonts w:hint="default" w:ascii="Times New Roman" w:hAnsi="Times New Roman" w:eastAsia="仿宋_GB2312" w:cs="Times New Roman"/>
          <w:kern w:val="0"/>
          <w:sz w:val="32"/>
          <w:szCs w:val="32"/>
          <w:highlight w:val="none"/>
        </w:rPr>
        <w:t>万元</w:t>
      </w:r>
      <w:r>
        <w:rPr>
          <w:rFonts w:hint="default" w:ascii="Times New Roman" w:hAnsi="Times New Roman" w:eastAsia="仿宋_GB2312" w:cs="Times New Roman"/>
          <w:sz w:val="32"/>
          <w:szCs w:val="40"/>
          <w:highlight w:val="none"/>
        </w:rPr>
        <w:t>（</w:t>
      </w:r>
      <w:r>
        <w:rPr>
          <w:rFonts w:hint="default" w:ascii="Times New Roman" w:hAnsi="Times New Roman" w:eastAsia="Yu Mincho" w:cs="Times New Roman"/>
          <w:sz w:val="32"/>
          <w:szCs w:val="40"/>
          <w:highlight w:val="none"/>
        </w:rPr>
        <w:t>73</w:t>
      </w:r>
      <w:r>
        <w:rPr>
          <w:rFonts w:hint="default" w:ascii="Times New Roman" w:hAnsi="Times New Roman" w:cs="Times New Roman"/>
          <w:sz w:val="32"/>
          <w:szCs w:val="40"/>
          <w:highlight w:val="none"/>
          <w:lang w:val="en-US" w:eastAsia="zh-CN"/>
        </w:rPr>
        <w:t>.3</w:t>
      </w:r>
      <w:r>
        <w:rPr>
          <w:rFonts w:hint="default" w:ascii="Times New Roman" w:hAnsi="Times New Roman" w:eastAsia="仿宋_GB2312" w:cs="Times New Roman"/>
          <w:sz w:val="32"/>
          <w:szCs w:val="40"/>
          <w:highlight w:val="none"/>
        </w:rPr>
        <w:t>万</w:t>
      </w:r>
      <w:r>
        <w:rPr>
          <w:rFonts w:hint="default" w:ascii="Times New Roman" w:hAnsi="Times New Roman" w:eastAsia="仿宋_GB2312" w:cs="Times New Roman"/>
          <w:sz w:val="32"/>
          <w:szCs w:val="40"/>
          <w:highlight w:val="none"/>
          <w:lang w:eastAsia="zh-CN"/>
        </w:rPr>
        <w:t>元</w:t>
      </w:r>
      <w:r>
        <w:rPr>
          <w:rFonts w:hint="default" w:ascii="Times New Roman" w:hAnsi="Times New Roman" w:eastAsia="仿宋_GB2312" w:cs="Times New Roman"/>
          <w:sz w:val="32"/>
          <w:szCs w:val="40"/>
          <w:highlight w:val="none"/>
        </w:rPr>
        <w:t>/亩）</w:t>
      </w:r>
      <w:r>
        <w:rPr>
          <w:rFonts w:hint="default" w:ascii="Times New Roman" w:hAnsi="Times New Roman" w:eastAsia="仿宋_GB2312" w:cs="Times New Roman"/>
          <w:kern w:val="0"/>
          <w:sz w:val="32"/>
          <w:szCs w:val="32"/>
          <w:highlight w:val="none"/>
        </w:rPr>
        <w:t>，年税收为</w:t>
      </w:r>
      <w:r>
        <w:rPr>
          <w:rFonts w:hint="default" w:ascii="Times New Roman" w:hAnsi="Times New Roman" w:eastAsia="Yu Mincho" w:cs="Times New Roman"/>
          <w:kern w:val="0"/>
          <w:sz w:val="32"/>
          <w:szCs w:val="32"/>
          <w:highlight w:val="none"/>
        </w:rPr>
        <w:t>99</w:t>
      </w:r>
      <w:r>
        <w:rPr>
          <w:rFonts w:hint="default" w:ascii="Times New Roman" w:hAnsi="Times New Roman" w:eastAsia="仿宋_GB2312" w:cs="Times New Roman"/>
          <w:kern w:val="0"/>
          <w:sz w:val="32"/>
          <w:szCs w:val="32"/>
          <w:highlight w:val="none"/>
        </w:rPr>
        <w:t>万元</w:t>
      </w:r>
      <w:r>
        <w:rPr>
          <w:rFonts w:hint="default" w:ascii="Times New Roman" w:hAnsi="Times New Roman" w:eastAsia="仿宋_GB2312" w:cs="Times New Roman"/>
          <w:sz w:val="32"/>
          <w:szCs w:val="40"/>
          <w:highlight w:val="none"/>
        </w:rPr>
        <w:t>（</w:t>
      </w:r>
      <w:r>
        <w:rPr>
          <w:rFonts w:hint="default" w:ascii="Times New Roman" w:hAnsi="Times New Roman" w:eastAsia="Yu Mincho" w:cs="Times New Roman"/>
          <w:sz w:val="32"/>
          <w:szCs w:val="40"/>
          <w:highlight w:val="none"/>
        </w:rPr>
        <w:t>4</w:t>
      </w:r>
      <w:r>
        <w:rPr>
          <w:rFonts w:hint="default" w:ascii="Times New Roman" w:hAnsi="Times New Roman" w:eastAsia="仿宋_GB2312" w:cs="Times New Roman"/>
          <w:sz w:val="32"/>
          <w:szCs w:val="40"/>
          <w:highlight w:val="none"/>
        </w:rPr>
        <w:t>.</w:t>
      </w:r>
      <w:r>
        <w:rPr>
          <w:rFonts w:hint="default" w:ascii="Times New Roman" w:hAnsi="Times New Roman" w:eastAsia="Yu Mincho" w:cs="Times New Roman"/>
          <w:sz w:val="32"/>
          <w:szCs w:val="40"/>
          <w:highlight w:val="none"/>
        </w:rPr>
        <w:t>4</w:t>
      </w:r>
      <w:r>
        <w:rPr>
          <w:rFonts w:hint="default" w:ascii="Times New Roman" w:hAnsi="Times New Roman" w:eastAsia="仿宋_GB2312" w:cs="Times New Roman"/>
          <w:sz w:val="32"/>
          <w:szCs w:val="40"/>
          <w:highlight w:val="none"/>
        </w:rPr>
        <w:t>万</w:t>
      </w:r>
      <w:r>
        <w:rPr>
          <w:rFonts w:hint="default" w:ascii="Times New Roman" w:hAnsi="Times New Roman" w:eastAsia="仿宋_GB2312" w:cs="Times New Roman"/>
          <w:sz w:val="32"/>
          <w:szCs w:val="40"/>
          <w:highlight w:val="none"/>
          <w:lang w:eastAsia="zh-CN"/>
        </w:rPr>
        <w:t>元</w:t>
      </w:r>
      <w:r>
        <w:rPr>
          <w:rFonts w:hint="default" w:ascii="Times New Roman" w:hAnsi="Times New Roman" w:eastAsia="仿宋_GB2312" w:cs="Times New Roman"/>
          <w:sz w:val="32"/>
          <w:szCs w:val="40"/>
          <w:highlight w:val="none"/>
        </w:rPr>
        <w:t>/亩）</w:t>
      </w:r>
      <w:r>
        <w:rPr>
          <w:rFonts w:hint="default" w:ascii="Times New Roman" w:hAnsi="Times New Roman" w:eastAsia="仿宋_GB2312" w:cs="Times New Roman"/>
          <w:kern w:val="0"/>
          <w:sz w:val="32"/>
          <w:szCs w:val="32"/>
          <w:highlight w:val="none"/>
        </w:rPr>
        <w:t>。</w:t>
      </w:r>
    </w:p>
    <w:p w14:paraId="3FE06EDE">
      <w:pPr>
        <w:widowControl/>
        <w:snapToGrid w:val="0"/>
        <w:spacing w:line="574" w:lineRule="exact"/>
        <w:rPr>
          <w:rFonts w:hint="default" w:ascii="Times New Roman" w:hAnsi="Times New Roman" w:eastAsia="Yu Mincho" w:cs="Times New Roman"/>
          <w:kern w:val="0"/>
          <w:sz w:val="32"/>
          <w:szCs w:val="32"/>
          <w:highlight w:val="none"/>
        </w:rPr>
      </w:pPr>
      <w:r>
        <w:rPr>
          <w:rFonts w:hint="default" w:ascii="Times New Roman" w:hAnsi="Times New Roman" w:eastAsia="仿宋_GB2312" w:cs="Times New Roman"/>
          <w:color w:val="7030A0"/>
          <w:kern w:val="0"/>
          <w:sz w:val="32"/>
          <w:szCs w:val="32"/>
          <w:highlight w:val="none"/>
        </w:rPr>
        <w:t>　　</w:t>
      </w:r>
      <w:r>
        <w:rPr>
          <w:rFonts w:hint="default" w:ascii="Times New Roman" w:hAnsi="Times New Roman" w:eastAsia="仿宋_GB2312" w:cs="Times New Roman"/>
          <w:kern w:val="0"/>
          <w:sz w:val="32"/>
          <w:szCs w:val="32"/>
          <w:highlight w:val="none"/>
        </w:rPr>
        <w:t>改造地块不涉及闲置、及历史文化资源要素等情况</w:t>
      </w:r>
      <w:r>
        <w:rPr>
          <w:rFonts w:hint="default" w:ascii="Times New Roman" w:hAnsi="Times New Roman" w:eastAsia="仿宋_GB2312" w:cs="Times New Roman"/>
          <w:sz w:val="32"/>
          <w:szCs w:val="40"/>
          <w:highlight w:val="none"/>
        </w:rPr>
        <w:t>，不属于土壤环境潜在监管地块范围</w:t>
      </w:r>
      <w:r>
        <w:rPr>
          <w:rFonts w:hint="default" w:ascii="Times New Roman" w:hAnsi="Times New Roman" w:eastAsia="仿宋_GB2312" w:cs="Times New Roman"/>
          <w:kern w:val="0"/>
          <w:sz w:val="32"/>
          <w:szCs w:val="32"/>
          <w:highlight w:val="none"/>
        </w:rPr>
        <w:t>。改造地块目前在中国工商银行股份有限公司中山翠亨新区支行办理了抵押手续，已征得抵押权人同意改造。</w:t>
      </w:r>
    </w:p>
    <w:p w14:paraId="6633E458">
      <w:pPr>
        <w:widowControl/>
        <w:snapToGrid w:val="0"/>
        <w:spacing w:line="574" w:lineRule="exact"/>
        <w:rPr>
          <w:rFonts w:hint="default" w:ascii="Times New Roman" w:hAnsi="Times New Roman" w:eastAsia="Yu Mincho" w:cs="Times New Roman"/>
          <w:kern w:val="0"/>
          <w:sz w:val="32"/>
          <w:szCs w:val="32"/>
          <w:lang w:eastAsia="ja-JP" w:bidi="ar"/>
        </w:rPr>
      </w:pPr>
      <w:r>
        <w:rPr>
          <w:rFonts w:hint="default" w:ascii="Times New Roman" w:hAnsi="Times New Roman" w:eastAsia="楷体" w:cs="Times New Roman"/>
          <w:kern w:val="0"/>
          <w:sz w:val="32"/>
          <w:szCs w:val="32"/>
          <w:lang w:bidi="ar"/>
        </w:rPr>
        <w:t>　　（五）规划情况</w:t>
      </w:r>
    </w:p>
    <w:p w14:paraId="1274FC47">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改造地块符合</w:t>
      </w:r>
      <w:r>
        <w:rPr>
          <w:rFonts w:hint="default" w:ascii="Times New Roman" w:hAnsi="Times New Roman" w:eastAsia="仿宋_GB2312" w:cs="Times New Roman"/>
          <w:kern w:val="0"/>
          <w:sz w:val="32"/>
          <w:szCs w:val="32"/>
        </w:rPr>
        <w:t>国土空间总体规划、</w:t>
      </w:r>
      <w:r>
        <w:rPr>
          <w:rFonts w:hint="default" w:ascii="Times New Roman" w:hAnsi="Times New Roman" w:eastAsia="仿宋_GB2312" w:cs="Times New Roman"/>
          <w:spacing w:val="-6"/>
          <w:sz w:val="32"/>
          <w:szCs w:val="32"/>
          <w:lang w:eastAsia="zh-CN"/>
        </w:rPr>
        <w:t>经批复规划条件论证</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z w:val="32"/>
          <w:szCs w:val="32"/>
        </w:rPr>
        <w:t>已纳入《中山市城市更新（“三旧”改造）专项规划（2020-2035年）》，位于城镇开发边界内。</w:t>
      </w:r>
      <w:r>
        <w:rPr>
          <w:rFonts w:hint="default" w:ascii="Times New Roman" w:hAnsi="Times New Roman" w:eastAsia="仿宋_GB2312" w:cs="Times New Roman"/>
          <w:kern w:val="0"/>
          <w:sz w:val="32"/>
          <w:szCs w:val="32"/>
          <w:lang w:bidi="ar"/>
        </w:rPr>
        <w:t>其中，在</w:t>
      </w:r>
      <w:r>
        <w:rPr>
          <w:rFonts w:hint="default" w:ascii="Times New Roman" w:hAnsi="Times New Roman" w:eastAsia="仿宋_GB2312" w:cs="Times New Roman"/>
          <w:sz w:val="32"/>
          <w:szCs w:val="32"/>
        </w:rPr>
        <w:t>《中山市国土空间总体规划（2021-2035年）》</w:t>
      </w:r>
      <w:r>
        <w:rPr>
          <w:rFonts w:hint="default" w:ascii="Times New Roman" w:hAnsi="Times New Roman" w:eastAsia="仿宋_GB2312" w:cs="Times New Roman"/>
          <w:kern w:val="0"/>
          <w:sz w:val="32"/>
          <w:szCs w:val="32"/>
          <w:lang w:bidi="ar"/>
        </w:rPr>
        <w:t>中，</w:t>
      </w:r>
      <w:r>
        <w:rPr>
          <w:rFonts w:hint="default" w:ascii="Times New Roman" w:hAnsi="Times New Roman" w:eastAsia="仿宋_GB2312" w:cs="Times New Roman"/>
          <w:sz w:val="32"/>
          <w:szCs w:val="32"/>
        </w:rPr>
        <w:t>均为城乡建设用地，面积</w:t>
      </w:r>
      <w:r>
        <w:rPr>
          <w:rFonts w:hint="default" w:ascii="Times New Roman" w:hAnsi="Times New Roman" w:eastAsia="仿宋_GB2312" w:cs="Times New Roman"/>
          <w:kern w:val="0"/>
          <w:sz w:val="32"/>
          <w:szCs w:val="32"/>
          <w:lang w:bidi="ar"/>
        </w:rPr>
        <w:t>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亩）。在《中山翠亨新区工业用地调整规划条件论证》</w:t>
      </w:r>
      <w:r>
        <w:rPr>
          <w:rFonts w:hint="default" w:ascii="Times New Roman" w:hAnsi="Times New Roman" w:eastAsia="仿宋_GB2312" w:cs="Times New Roman"/>
          <w:sz w:val="32"/>
          <w:szCs w:val="40"/>
        </w:rPr>
        <w:t>（中府函[2022]281号）</w:t>
      </w:r>
      <w:r>
        <w:rPr>
          <w:rFonts w:hint="default" w:ascii="Times New Roman" w:hAnsi="Times New Roman" w:eastAsia="仿宋_GB2312" w:cs="Times New Roman"/>
          <w:kern w:val="0"/>
          <w:sz w:val="32"/>
          <w:szCs w:val="32"/>
        </w:rPr>
        <w:t>中，一类工业用地</w:t>
      </w:r>
      <w:r>
        <w:rPr>
          <w:rFonts w:hint="default" w:ascii="Times New Roman" w:hAnsi="Times New Roman" w:eastAsia="仿宋_GB2312" w:cs="Times New Roman"/>
          <w:kern w:val="0"/>
          <w:sz w:val="32"/>
          <w:szCs w:val="32"/>
          <w:lang w:bidi="ar"/>
        </w:rPr>
        <w:t>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w:t>
      </w:r>
      <w:r>
        <w:rPr>
          <w:rFonts w:hint="default" w:ascii="Times New Roman" w:hAnsi="Times New Roman" w:eastAsia="仿宋_GB2312" w:cs="Times New Roman"/>
          <w:kern w:val="0"/>
          <w:sz w:val="32"/>
          <w:szCs w:val="32"/>
        </w:rPr>
        <w:t>，规划容积率1.0-3.5，绿地率</w:t>
      </w:r>
      <w:r>
        <w:rPr>
          <w:rFonts w:hint="default" w:ascii="Times New Roman" w:hAnsi="Times New Roman" w:eastAsia="仿宋_GB2312" w:cs="Times New Roman"/>
          <w:kern w:val="0"/>
          <w:sz w:val="32"/>
          <w:szCs w:val="32"/>
          <w:lang w:bidi="ar"/>
        </w:rPr>
        <w:t>10%-15%</w:t>
      </w:r>
      <w:r>
        <w:rPr>
          <w:rFonts w:hint="default" w:ascii="Times New Roman" w:hAnsi="Times New Roman" w:eastAsia="仿宋_GB2312" w:cs="Times New Roman"/>
          <w:sz w:val="32"/>
          <w:szCs w:val="40"/>
        </w:rPr>
        <w:t>，</w:t>
      </w:r>
      <w:r>
        <w:rPr>
          <w:rFonts w:hint="default" w:ascii="Times New Roman" w:hAnsi="Times New Roman" w:eastAsia="仿宋_GB2312" w:cs="Times New Roman"/>
          <w:kern w:val="0"/>
          <w:sz w:val="32"/>
          <w:szCs w:val="32"/>
          <w:lang w:bidi="ar"/>
        </w:rPr>
        <w:t>建筑密度：35%-60%，建筑限高：≤3层，且≤24米；配套生产性服务设施按100米；建筑密度：35%-45%，建筑限高：≤9层，且≤50米；配套生产性服务设施按100米。</w:t>
      </w:r>
    </w:p>
    <w:p w14:paraId="3E467F59">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sz w:val="32"/>
          <w:szCs w:val="32"/>
        </w:rPr>
        <w:t>改造地块位于“三区三线”的城镇开发边界内，不涉及永久基本农田、生态保护红线、耕地保护目标、自然保护地以及林业资源等管控要求。</w:t>
      </w:r>
    </w:p>
    <w:p w14:paraId="2EF4792B">
      <w:pPr>
        <w:widowControl/>
        <w:snapToGrid w:val="0"/>
        <w:spacing w:line="574" w:lineRule="exact"/>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　　二、改造意愿情况</w:t>
      </w:r>
    </w:p>
    <w:p w14:paraId="3B47EA6D">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改造范围涉及中山市会友汽车配件有限责任公司1个权利主体，翠亨新区管委会</w:t>
      </w:r>
      <w:r>
        <w:rPr>
          <w:rFonts w:hint="default" w:ascii="Times New Roman" w:hAnsi="Times New Roman" w:eastAsia="仿宋_GB2312" w:cs="Times New Roman"/>
          <w:kern w:val="0"/>
          <w:sz w:val="32"/>
          <w:szCs w:val="32"/>
        </w:rPr>
        <w:t>已按照法律法规，就改造范围、土地现状、改造主体及拟改造情况等事项</w:t>
      </w:r>
      <w:r>
        <w:rPr>
          <w:rFonts w:hint="default" w:ascii="Times New Roman" w:hAnsi="Times New Roman" w:eastAsia="仿宋_GB2312" w:cs="Times New Roman"/>
          <w:kern w:val="0"/>
          <w:sz w:val="32"/>
          <w:szCs w:val="32"/>
          <w:lang w:bidi="ar"/>
        </w:rPr>
        <w:t>征询其改造意愿，改造主体同意将涉及土地、房屋纳入改造范围。</w:t>
      </w:r>
    </w:p>
    <w:p w14:paraId="1D4B748B">
      <w:pPr>
        <w:widowControl/>
        <w:snapToGrid w:val="0"/>
        <w:spacing w:line="574" w:lineRule="exact"/>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 xml:space="preserve">　　三、改造主体及拟改造情况 </w:t>
      </w:r>
    </w:p>
    <w:p w14:paraId="0AD30FC8">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根据有关规划要求，改造项目严格按照</w:t>
      </w:r>
      <w:r>
        <w:rPr>
          <w:rFonts w:hint="default" w:ascii="Times New Roman" w:hAnsi="Times New Roman" w:eastAsia="仿宋_GB2312" w:cs="Times New Roman"/>
          <w:kern w:val="0"/>
          <w:sz w:val="32"/>
          <w:szCs w:val="32"/>
        </w:rPr>
        <w:t>国土空间规划、</w:t>
      </w:r>
      <w:r>
        <w:rPr>
          <w:rFonts w:hint="default" w:ascii="Times New Roman" w:hAnsi="Times New Roman" w:eastAsia="仿宋_GB2312" w:cs="Times New Roman"/>
          <w:kern w:val="0"/>
          <w:sz w:val="32"/>
          <w:szCs w:val="32"/>
          <w:lang w:eastAsia="zh-CN" w:bidi="ar"/>
        </w:rPr>
        <w:t>经批复规划条件论证管控</w:t>
      </w:r>
      <w:r>
        <w:rPr>
          <w:rFonts w:hint="default" w:ascii="Times New Roman" w:hAnsi="Times New Roman" w:eastAsia="仿宋_GB2312" w:cs="Times New Roman"/>
          <w:kern w:val="0"/>
          <w:sz w:val="32"/>
          <w:szCs w:val="32"/>
          <w:lang w:bidi="ar"/>
        </w:rPr>
        <w:t>要求实施建设</w:t>
      </w:r>
      <w:r>
        <w:rPr>
          <w:rFonts w:hint="default" w:ascii="Times New Roman" w:hAnsi="Times New Roman" w:eastAsia="仿宋_GB2312" w:cs="Times New Roman"/>
          <w:sz w:val="32"/>
          <w:szCs w:val="32"/>
        </w:rPr>
        <w:t>。</w:t>
      </w:r>
    </w:p>
    <w:p w14:paraId="7C4694B5">
      <w:pPr>
        <w:snapToGrid w:val="0"/>
        <w:spacing w:line="574" w:lineRule="exact"/>
        <w:ind w:firstLine="636"/>
        <w:rPr>
          <w:rFonts w:hint="default" w:ascii="Times New Roman" w:hAnsi="Times New Roman" w:eastAsia="仿宋_GB2312" w:cs="Times New Roman"/>
          <w:kern w:val="0"/>
          <w:sz w:val="32"/>
          <w:szCs w:val="32"/>
          <w:highlight w:val="yellow"/>
          <w:lang w:bidi="ar"/>
        </w:rPr>
      </w:pPr>
      <w:r>
        <w:rPr>
          <w:rFonts w:hint="default" w:ascii="Times New Roman" w:hAnsi="Times New Roman" w:eastAsia="仿宋_GB2312" w:cs="Times New Roman"/>
          <w:kern w:val="0"/>
          <w:sz w:val="32"/>
          <w:szCs w:val="32"/>
          <w:lang w:bidi="ar"/>
        </w:rPr>
        <w:t>改造项目拟采取权利人自主改造方式，由中山市会友汽车配件有限责任公司作为改造主体实施全面改造。</w:t>
      </w:r>
      <w:r>
        <w:rPr>
          <w:rFonts w:hint="default" w:ascii="Times New Roman" w:hAnsi="Times New Roman" w:eastAsia="仿宋_GB2312" w:cs="Times New Roman"/>
          <w:kern w:val="0"/>
          <w:sz w:val="32"/>
          <w:szCs w:val="32"/>
          <w:highlight w:val="none"/>
          <w:lang w:bidi="ar"/>
        </w:rPr>
        <w:t>改造后将引入人工智能安防监控产品研发，生产，</w:t>
      </w:r>
      <w:bookmarkStart w:id="1" w:name="OLE_LINK2"/>
      <w:r>
        <w:rPr>
          <w:rFonts w:hint="default" w:ascii="Times New Roman" w:hAnsi="Times New Roman" w:eastAsia="仿宋_GB2312" w:cs="Times New Roman"/>
          <w:kern w:val="0"/>
          <w:sz w:val="32"/>
          <w:szCs w:val="32"/>
          <w:highlight w:val="none"/>
          <w:lang w:bidi="ar"/>
        </w:rPr>
        <w:t>销售产业链上下游企业</w:t>
      </w:r>
      <w:bookmarkEnd w:id="1"/>
      <w:r>
        <w:rPr>
          <w:rFonts w:hint="default" w:ascii="Times New Roman" w:hAnsi="Times New Roman" w:eastAsia="仿宋_GB2312" w:cs="Times New Roman"/>
          <w:spacing w:val="-4"/>
          <w:sz w:val="32"/>
          <w:szCs w:val="32"/>
        </w:rPr>
        <w:t>及其他符合《中山市优先发展产业目录</w:t>
      </w:r>
      <w:r>
        <w:rPr>
          <w:rFonts w:hint="default" w:ascii="Times New Roman" w:hAnsi="Times New Roman" w:eastAsia="仿宋_GB2312" w:cs="Times New Roman"/>
          <w:spacing w:val="-5"/>
          <w:sz w:val="32"/>
          <w:szCs w:val="32"/>
        </w:rPr>
        <w:t>(2019年</w:t>
      </w:r>
      <w:r>
        <w:rPr>
          <w:rFonts w:hint="default" w:ascii="Times New Roman" w:hAnsi="Times New Roman" w:eastAsia="仿宋_GB2312" w:cs="Times New Roman"/>
          <w:spacing w:val="1"/>
          <w:sz w:val="32"/>
          <w:szCs w:val="32"/>
        </w:rPr>
        <w:t>版)》的项目</w:t>
      </w:r>
      <w:r>
        <w:rPr>
          <w:rFonts w:hint="default" w:ascii="Times New Roman" w:hAnsi="Times New Roman" w:eastAsia="仿宋_GB2312" w:cs="Times New Roman"/>
          <w:kern w:val="0"/>
          <w:sz w:val="32"/>
          <w:szCs w:val="32"/>
          <w:lang w:bidi="ar"/>
        </w:rPr>
        <w:t>。在符合</w:t>
      </w:r>
      <w:r>
        <w:rPr>
          <w:rFonts w:hint="default" w:ascii="Times New Roman" w:hAnsi="Times New Roman" w:eastAsia="仿宋_GB2312" w:cs="Times New Roman"/>
          <w:kern w:val="0"/>
          <w:sz w:val="32"/>
          <w:szCs w:val="32"/>
          <w:lang w:eastAsia="zh-CN" w:bidi="ar"/>
        </w:rPr>
        <w:t>经批复规划条件论证</w:t>
      </w:r>
      <w:r>
        <w:rPr>
          <w:rFonts w:hint="default" w:ascii="Times New Roman" w:hAnsi="Times New Roman" w:eastAsia="仿宋_GB2312" w:cs="Times New Roman"/>
          <w:kern w:val="0"/>
          <w:sz w:val="32"/>
          <w:szCs w:val="32"/>
          <w:lang w:bidi="ar"/>
        </w:rPr>
        <w:t>的基础上，</w:t>
      </w:r>
      <w:r>
        <w:rPr>
          <w:rFonts w:hint="default" w:ascii="Times New Roman" w:hAnsi="Times New Roman" w:eastAsia="仿宋_GB2312" w:cs="Times New Roman"/>
          <w:kern w:val="0"/>
          <w:sz w:val="32"/>
          <w:szCs w:val="32"/>
          <w:highlight w:val="none"/>
          <w:lang w:bidi="ar"/>
        </w:rPr>
        <w:t>容积率不小于</w:t>
      </w:r>
      <w:r>
        <w:rPr>
          <w:rFonts w:hint="eastAsia" w:eastAsia="仿宋_GB2312" w:cs="Times New Roman"/>
          <w:kern w:val="0"/>
          <w:sz w:val="32"/>
          <w:szCs w:val="32"/>
          <w:highlight w:val="none"/>
          <w:lang w:val="en-US" w:eastAsia="zh-CN" w:bidi="ar"/>
        </w:rPr>
        <w:t>3.0</w:t>
      </w:r>
      <w:r>
        <w:rPr>
          <w:rFonts w:hint="default" w:ascii="Times New Roman" w:hAnsi="Times New Roman" w:eastAsia="仿宋_GB2312" w:cs="Times New Roman"/>
          <w:kern w:val="0"/>
          <w:sz w:val="32"/>
          <w:szCs w:val="32"/>
          <w:highlight w:val="none"/>
          <w:lang w:bidi="ar"/>
        </w:rPr>
        <w:t>，新建建筑面积不少于</w:t>
      </w:r>
      <w:r>
        <w:rPr>
          <w:rFonts w:hint="eastAsia" w:eastAsia="仿宋_GB2312" w:cs="Times New Roman"/>
          <w:kern w:val="0"/>
          <w:sz w:val="32"/>
          <w:szCs w:val="32"/>
          <w:highlight w:val="none"/>
          <w:lang w:val="en-US" w:eastAsia="zh-CN" w:bidi="ar"/>
        </w:rPr>
        <w:t>50000.00</w:t>
      </w:r>
      <w:r>
        <w:rPr>
          <w:rFonts w:hint="default" w:ascii="Times New Roman" w:hAnsi="Times New Roman" w:eastAsia="仿宋_GB2312" w:cs="Times New Roman"/>
          <w:kern w:val="0"/>
          <w:sz w:val="32"/>
          <w:szCs w:val="32"/>
          <w:highlight w:val="none"/>
          <w:lang w:bidi="ar"/>
        </w:rPr>
        <w:t>平方米（含不计容建筑面积</w:t>
      </w:r>
      <w:r>
        <w:rPr>
          <w:rFonts w:hint="default" w:ascii="Times New Roman" w:hAnsi="Times New Roman" w:eastAsia="仿宋_GB2312" w:cs="Times New Roman"/>
          <w:kern w:val="0"/>
          <w:sz w:val="32"/>
          <w:szCs w:val="32"/>
          <w:highlight w:val="none"/>
          <w:lang w:val="en-US" w:eastAsia="zh-CN" w:bidi="ar"/>
        </w:rPr>
        <w:t>5000</w:t>
      </w:r>
      <w:r>
        <w:rPr>
          <w:rFonts w:hint="eastAsia" w:eastAsia="仿宋_GB2312" w:cs="Times New Roman"/>
          <w:kern w:val="0"/>
          <w:sz w:val="32"/>
          <w:szCs w:val="32"/>
          <w:highlight w:val="none"/>
          <w:lang w:val="en-US" w:eastAsia="zh-CN" w:bidi="ar"/>
        </w:rPr>
        <w:t>.00</w:t>
      </w:r>
      <w:r>
        <w:rPr>
          <w:rFonts w:hint="default" w:ascii="Times New Roman" w:hAnsi="Times New Roman" w:eastAsia="仿宋_GB2312" w:cs="Times New Roman"/>
          <w:kern w:val="0"/>
          <w:sz w:val="32"/>
          <w:szCs w:val="32"/>
          <w:highlight w:val="none"/>
          <w:lang w:val="en-US" w:eastAsia="zh-CN" w:bidi="ar"/>
        </w:rPr>
        <w:t>平方米</w:t>
      </w:r>
      <w:r>
        <w:rPr>
          <w:rFonts w:hint="default" w:ascii="Times New Roman" w:hAnsi="Times New Roman" w:eastAsia="仿宋_GB2312" w:cs="Times New Roman"/>
          <w:kern w:val="0"/>
          <w:sz w:val="32"/>
          <w:szCs w:val="32"/>
          <w:highlight w:val="none"/>
          <w:lang w:bidi="ar"/>
        </w:rPr>
        <w:t>）（具体以实际规划报建为准）</w:t>
      </w:r>
      <w:r>
        <w:rPr>
          <w:rFonts w:hint="eastAsia" w:eastAsia="仿宋_GB2312" w:cs="Times New Roman"/>
          <w:kern w:val="0"/>
          <w:sz w:val="32"/>
          <w:szCs w:val="32"/>
          <w:highlight w:val="none"/>
          <w:lang w:val="en-US" w:eastAsia="zh-CN" w:bidi="ar"/>
        </w:rPr>
        <w:t>,不保留原有建筑面积</w:t>
      </w:r>
      <w:r>
        <w:rPr>
          <w:rFonts w:hint="default" w:ascii="Times New Roman" w:hAnsi="Times New Roman" w:eastAsia="仿宋_GB2312" w:cs="Times New Roman"/>
          <w:kern w:val="0"/>
          <w:sz w:val="32"/>
          <w:szCs w:val="32"/>
          <w:highlight w:val="none"/>
          <w:lang w:bidi="ar"/>
        </w:rPr>
        <w:t>。项目申请分割销售，自持比例为不少于</w:t>
      </w:r>
      <w:r>
        <w:rPr>
          <w:rFonts w:hint="eastAsia" w:eastAsia="仿宋_GB2312" w:cs="Times New Roman"/>
          <w:kern w:val="0"/>
          <w:sz w:val="32"/>
          <w:szCs w:val="32"/>
          <w:highlight w:val="none"/>
          <w:lang w:val="en-US" w:eastAsia="zh-CN" w:bidi="ar"/>
        </w:rPr>
        <w:t>30</w:t>
      </w:r>
      <w:r>
        <w:rPr>
          <w:rFonts w:hint="default" w:ascii="Times New Roman" w:hAnsi="Times New Roman" w:eastAsia="仿宋_GB2312" w:cs="Times New Roman"/>
          <w:kern w:val="0"/>
          <w:sz w:val="32"/>
          <w:szCs w:val="32"/>
          <w:highlight w:val="none"/>
          <w:lang w:bidi="ar"/>
        </w:rPr>
        <w:t>%。</w:t>
      </w:r>
    </w:p>
    <w:p w14:paraId="29E1F5D7">
      <w:pPr>
        <w:widowControl/>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　　项目相关情况符合国家《产业结构调整指导目录》《中山市“三线一单”生态环境分区管控方案》《中山市涉挥发性有机物项</w:t>
      </w:r>
      <w:r>
        <w:rPr>
          <w:rFonts w:hint="default" w:ascii="Times New Roman" w:hAnsi="Times New Roman" w:eastAsia="仿宋_GB2312" w:cs="Times New Roman"/>
          <w:kern w:val="0"/>
          <w:sz w:val="32"/>
          <w:szCs w:val="32"/>
          <w:highlight w:val="none"/>
        </w:rPr>
        <w:t>目环保准入管理规定》。改造后年产值将达到</w:t>
      </w:r>
      <w:r>
        <w:rPr>
          <w:rFonts w:hint="eastAsia" w:eastAsia="仿宋_GB2312" w:cs="Times New Roman"/>
          <w:kern w:val="0"/>
          <w:sz w:val="32"/>
          <w:szCs w:val="32"/>
          <w:highlight w:val="none"/>
          <w:lang w:val="en-US" w:eastAsia="zh-CN"/>
        </w:rPr>
        <w:t>18900</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val="en-US" w:eastAsia="zh-CN"/>
        </w:rPr>
        <w:t>840万元/亩</w:t>
      </w:r>
      <w:r>
        <w:rPr>
          <w:rFonts w:hint="default" w:ascii="Times New Roman" w:hAnsi="Times New Roman" w:eastAsia="仿宋_GB2312" w:cs="Times New Roman"/>
          <w:kern w:val="0"/>
          <w:sz w:val="32"/>
          <w:szCs w:val="32"/>
          <w:highlight w:val="none"/>
        </w:rPr>
        <w:t>），年税收将达到</w:t>
      </w:r>
      <w:r>
        <w:rPr>
          <w:rFonts w:hint="eastAsia" w:eastAsia="仿宋_GB2312" w:cs="Times New Roman"/>
          <w:kern w:val="0"/>
          <w:sz w:val="32"/>
          <w:szCs w:val="32"/>
          <w:highlight w:val="none"/>
          <w:lang w:val="en-US" w:eastAsia="zh-CN"/>
        </w:rPr>
        <w:t>900</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0万</w:t>
      </w:r>
      <w:r>
        <w:rPr>
          <w:rFonts w:hint="default" w:ascii="Times New Roman" w:hAnsi="Times New Roman" w:eastAsia="仿宋_GB2312" w:cs="Times New Roman"/>
          <w:kern w:val="0"/>
          <w:sz w:val="32"/>
          <w:szCs w:val="32"/>
          <w:highlight w:val="none"/>
          <w:lang w:eastAsia="zh-CN"/>
        </w:rPr>
        <w:t>元</w:t>
      </w:r>
      <w:r>
        <w:rPr>
          <w:rFonts w:hint="default" w:ascii="Times New Roman" w:hAnsi="Times New Roman" w:eastAsia="仿宋_GB2312" w:cs="Times New Roman"/>
          <w:kern w:val="0"/>
          <w:sz w:val="32"/>
          <w:szCs w:val="32"/>
          <w:highlight w:val="none"/>
        </w:rPr>
        <w:t>/亩）。</w:t>
      </w:r>
    </w:p>
    <w:p w14:paraId="4A24E4E0">
      <w:pPr>
        <w:widowControl/>
        <w:snapToGrid w:val="0"/>
        <w:spacing w:line="574" w:lineRule="exact"/>
        <w:rPr>
          <w:rFonts w:hint="default" w:ascii="Times New Roman" w:hAnsi="Times New Roman" w:eastAsia="Yu Mincho" w:cs="Times New Roman"/>
          <w:kern w:val="0"/>
          <w:sz w:val="32"/>
          <w:szCs w:val="32"/>
          <w:highlight w:val="none"/>
          <w:lang w:bidi="ar"/>
        </w:rPr>
      </w:pPr>
      <w:r>
        <w:rPr>
          <w:rFonts w:hint="default" w:ascii="Times New Roman" w:hAnsi="Times New Roman" w:eastAsia="黑体" w:cs="Times New Roman"/>
          <w:kern w:val="0"/>
          <w:sz w:val="32"/>
          <w:szCs w:val="32"/>
          <w:highlight w:val="none"/>
          <w:lang w:bidi="ar"/>
        </w:rPr>
        <w:t xml:space="preserve">　　四、资金筹措 </w:t>
      </w:r>
    </w:p>
    <w:p w14:paraId="1DF08151">
      <w:pPr>
        <w:widowControl/>
        <w:snapToGrid w:val="0"/>
        <w:spacing w:line="574"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改造主体拟</w:t>
      </w:r>
      <w:r>
        <w:rPr>
          <w:rFonts w:hint="eastAsia" w:eastAsia="仿宋_GB2312" w:cs="Times New Roman"/>
          <w:kern w:val="0"/>
          <w:sz w:val="32"/>
          <w:szCs w:val="32"/>
          <w:highlight w:val="none"/>
          <w:lang w:val="en-US" w:eastAsia="zh-CN"/>
        </w:rPr>
        <w:t>投资17000万元</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40"/>
          <w:highlight w:val="none"/>
        </w:rPr>
        <w:t>部分为自有资金，部分为银行贷款</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40"/>
          <w:highlight w:val="none"/>
        </w:rPr>
        <w:t>具体以资金筹措的实际情况为准。</w:t>
      </w:r>
    </w:p>
    <w:p w14:paraId="3A5C7644">
      <w:pPr>
        <w:widowControl/>
        <w:snapToGrid w:val="0"/>
        <w:spacing w:line="574" w:lineRule="exact"/>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bidi="ar"/>
        </w:rPr>
        <w:t xml:space="preserve">　　五、开发时序 </w:t>
      </w:r>
    </w:p>
    <w:p w14:paraId="7708F1A5">
      <w:pPr>
        <w:widowControl/>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bookmarkStart w:id="2" w:name="_Hlk168645536"/>
      <w:r>
        <w:rPr>
          <w:rFonts w:hint="eastAsia" w:ascii="仿宋_GB2312" w:eastAsia="仿宋_GB2312"/>
          <w:sz w:val="32"/>
          <w:szCs w:val="32"/>
        </w:rPr>
        <w:t>项目自改造方案批复后</w:t>
      </w:r>
      <w:r>
        <w:rPr>
          <w:rFonts w:hint="eastAsia" w:ascii="Times New Roman" w:hAnsi="Times New Roman" w:eastAsia="仿宋_GB2312" w:cs="Times New Roman"/>
          <w:sz w:val="32"/>
          <w:szCs w:val="32"/>
          <w:lang w:val="en-US" w:eastAsia="zh-CN"/>
        </w:rPr>
        <w:t>365日</w:t>
      </w:r>
      <w:r>
        <w:rPr>
          <w:rFonts w:hint="eastAsia" w:eastAsia="仿宋_GB2312" w:cs="Times New Roman"/>
          <w:sz w:val="32"/>
          <w:szCs w:val="32"/>
          <w:lang w:val="en-US" w:eastAsia="zh-CN"/>
        </w:rPr>
        <w:t>开工</w:t>
      </w:r>
      <w:r>
        <w:rPr>
          <w:rFonts w:hint="eastAsia" w:ascii="仿宋_GB2312" w:eastAsia="仿宋_GB2312"/>
          <w:sz w:val="32"/>
          <w:szCs w:val="32"/>
        </w:rPr>
        <w:t>，自</w:t>
      </w:r>
      <w:r>
        <w:rPr>
          <w:rFonts w:hint="eastAsia" w:eastAsia="仿宋_GB2312" w:cs="Times New Roman"/>
          <w:sz w:val="32"/>
          <w:szCs w:val="32"/>
          <w:lang w:val="en-US" w:eastAsia="zh-CN"/>
        </w:rPr>
        <w:t>开工</w:t>
      </w:r>
      <w:r>
        <w:rPr>
          <w:rFonts w:hint="eastAsia" w:ascii="仿宋_GB2312" w:eastAsia="仿宋_GB2312"/>
          <w:sz w:val="32"/>
          <w:szCs w:val="32"/>
        </w:rPr>
        <w:t>之日起</w:t>
      </w:r>
      <w:r>
        <w:rPr>
          <w:rFonts w:hint="eastAsia" w:ascii="Times New Roman" w:hAnsi="Times New Roman" w:eastAsia="仿宋_GB2312" w:cs="Times New Roman"/>
          <w:sz w:val="32"/>
          <w:szCs w:val="32"/>
          <w:lang w:val="en-US" w:eastAsia="zh-CN"/>
        </w:rPr>
        <w:t>365</w:t>
      </w:r>
      <w:r>
        <w:rPr>
          <w:rFonts w:hint="eastAsia" w:ascii="仿宋_GB2312" w:eastAsia="仿宋_GB2312"/>
          <w:sz w:val="32"/>
          <w:szCs w:val="32"/>
          <w:lang w:val="en-US" w:eastAsia="zh-CN"/>
        </w:rPr>
        <w:t>日</w:t>
      </w:r>
      <w:r>
        <w:rPr>
          <w:rFonts w:hint="eastAsia" w:ascii="仿宋_GB2312" w:eastAsia="仿宋_GB2312"/>
          <w:sz w:val="32"/>
          <w:szCs w:val="32"/>
        </w:rPr>
        <w:t>竣工。</w:t>
      </w:r>
      <w:bookmarkEnd w:id="2"/>
    </w:p>
    <w:p w14:paraId="09A51410">
      <w:pPr>
        <w:snapToGrid w:val="0"/>
        <w:spacing w:line="574" w:lineRule="exac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　　六、实施监管</w:t>
      </w:r>
    </w:p>
    <w:p w14:paraId="2F975F7D">
      <w:pPr>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改造主体应当按规定与翠亨新区签订项目实施监管协议，并按监管协议约定实施改造。改造主体未依约依规实施改造的，按监管协议约定承担相应责任。</w:t>
      </w:r>
    </w:p>
    <w:sectPr>
      <w:footerReference r:id="rId3" w:type="default"/>
      <w:pgSz w:w="11906" w:h="16838"/>
      <w:pgMar w:top="1871" w:right="1531" w:bottom="1701" w:left="1531" w:header="851" w:footer="147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Yu Mincho">
    <w:altName w:val="MS PMincho"/>
    <w:panose1 w:val="02020400000000000000"/>
    <w:charset w:val="80"/>
    <w:family w:val="roman"/>
    <w:pitch w:val="default"/>
    <w:sig w:usb0="00000000" w:usb1="00000000" w:usb2="00000012" w:usb3="00000000" w:csb0="0002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A0C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67385" cy="247015"/>
              <wp:effectExtent l="0" t="0" r="0" b="0"/>
              <wp:wrapNone/>
              <wp:docPr id="110669427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67385" cy="247015"/>
                      </a:xfrm>
                      <a:prstGeom prst="rect">
                        <a:avLst/>
                      </a:prstGeom>
                      <a:noFill/>
                      <a:ln>
                        <a:noFill/>
                      </a:ln>
                    </wps:spPr>
                    <wps:txbx>
                      <w:txbxContent>
                        <w:p w14:paraId="280A2D0C">
                          <w:pPr>
                            <w:snapToGrid w:val="0"/>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1</w:t>
                          </w:r>
                          <w:r>
                            <w:rPr>
                              <w:rFonts w:hint="eastAsia"/>
                              <w:sz w:val="30"/>
                              <w:szCs w:val="30"/>
                            </w:rPr>
                            <w:fldChar w:fldCharType="end"/>
                          </w:r>
                          <w:r>
                            <w:rPr>
                              <w:rFonts w:hint="eastAsia"/>
                              <w:sz w:val="30"/>
                              <w:szCs w:val="30"/>
                            </w:rPr>
                            <w:t xml:space="preserve"> —</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9.45pt;width:52.55pt;mso-position-horizontal:outside;mso-position-horizontal-relative:margin;mso-wrap-style:none;z-index:251659264;mso-width-relative:page;mso-height-relative:page;" filled="f" stroked="f" coordsize="21600,21600" o:gfxdata="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0rzDHSAAAABAEAAA8AAAAAAAAAAQAgAAAA&#10;IgAAAGRycy9kb3ducmV2LnhtbFBLAQIUABQAAAAIAIdO4kBshhAEEQIAAAsEAAAOAAAAAAAAAAEA&#10;IAAAACEBAABkcnMvZTJvRG9jLnhtbFBLBQYAAAAABgAGAFkBAACkBQAAAAA=&#10;">
              <v:fill on="f" focussize="0,0"/>
              <v:stroke on="f"/>
              <v:imagedata o:title=""/>
              <o:lock v:ext="edit" aspectratio="f"/>
              <v:textbox inset="0mm,0mm,0mm,0mm" style="mso-fit-shape-to-text:t;">
                <w:txbxContent>
                  <w:p w14:paraId="280A2D0C">
                    <w:pPr>
                      <w:snapToGrid w:val="0"/>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1</w:t>
                    </w:r>
                    <w:r>
                      <w:rPr>
                        <w:rFonts w:hint="eastAsia"/>
                        <w:sz w:val="30"/>
                        <w:szCs w:val="30"/>
                      </w:rPr>
                      <w:fldChar w:fldCharType="end"/>
                    </w:r>
                    <w:r>
                      <w:rPr>
                        <w:rFonts w:hint="eastAsia"/>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E3"/>
    <w:rsid w:val="00002051"/>
    <w:rsid w:val="00005933"/>
    <w:rsid w:val="00020EC7"/>
    <w:rsid w:val="00076756"/>
    <w:rsid w:val="000B0D06"/>
    <w:rsid w:val="000B4438"/>
    <w:rsid w:val="000F04FD"/>
    <w:rsid w:val="0012743F"/>
    <w:rsid w:val="001577FD"/>
    <w:rsid w:val="001728F5"/>
    <w:rsid w:val="00185123"/>
    <w:rsid w:val="001967B3"/>
    <w:rsid w:val="001A53CD"/>
    <w:rsid w:val="001C3791"/>
    <w:rsid w:val="001D4E9D"/>
    <w:rsid w:val="001F3FFA"/>
    <w:rsid w:val="00211EC5"/>
    <w:rsid w:val="002206FD"/>
    <w:rsid w:val="00221927"/>
    <w:rsid w:val="0024055C"/>
    <w:rsid w:val="00241FDB"/>
    <w:rsid w:val="002466AD"/>
    <w:rsid w:val="00256685"/>
    <w:rsid w:val="00263746"/>
    <w:rsid w:val="00272050"/>
    <w:rsid w:val="002801DF"/>
    <w:rsid w:val="00293024"/>
    <w:rsid w:val="002D4D0A"/>
    <w:rsid w:val="002D5F78"/>
    <w:rsid w:val="002E1EB7"/>
    <w:rsid w:val="002E4A82"/>
    <w:rsid w:val="00304702"/>
    <w:rsid w:val="00326ACB"/>
    <w:rsid w:val="00342002"/>
    <w:rsid w:val="003638D9"/>
    <w:rsid w:val="003658B6"/>
    <w:rsid w:val="003A6710"/>
    <w:rsid w:val="003B433D"/>
    <w:rsid w:val="0042504E"/>
    <w:rsid w:val="004303CE"/>
    <w:rsid w:val="0043263E"/>
    <w:rsid w:val="004352A9"/>
    <w:rsid w:val="00455E09"/>
    <w:rsid w:val="004628C1"/>
    <w:rsid w:val="0047498A"/>
    <w:rsid w:val="004770A0"/>
    <w:rsid w:val="004843D3"/>
    <w:rsid w:val="004A206D"/>
    <w:rsid w:val="004A7658"/>
    <w:rsid w:val="005832A4"/>
    <w:rsid w:val="00601E56"/>
    <w:rsid w:val="00605878"/>
    <w:rsid w:val="00611915"/>
    <w:rsid w:val="006243E3"/>
    <w:rsid w:val="0063298B"/>
    <w:rsid w:val="00641DD0"/>
    <w:rsid w:val="00661D07"/>
    <w:rsid w:val="00673CE0"/>
    <w:rsid w:val="0067796F"/>
    <w:rsid w:val="00697310"/>
    <w:rsid w:val="006C0EAA"/>
    <w:rsid w:val="006D04D3"/>
    <w:rsid w:val="006F07A6"/>
    <w:rsid w:val="00727B4E"/>
    <w:rsid w:val="00730A06"/>
    <w:rsid w:val="00731900"/>
    <w:rsid w:val="00735850"/>
    <w:rsid w:val="00753063"/>
    <w:rsid w:val="00792270"/>
    <w:rsid w:val="00792538"/>
    <w:rsid w:val="007D5A5D"/>
    <w:rsid w:val="007E052F"/>
    <w:rsid w:val="00822E76"/>
    <w:rsid w:val="00843C6D"/>
    <w:rsid w:val="00844A79"/>
    <w:rsid w:val="00882ECB"/>
    <w:rsid w:val="008955E8"/>
    <w:rsid w:val="008B53F9"/>
    <w:rsid w:val="008E34A0"/>
    <w:rsid w:val="00906E5B"/>
    <w:rsid w:val="0092736A"/>
    <w:rsid w:val="00940965"/>
    <w:rsid w:val="0094282D"/>
    <w:rsid w:val="0094669A"/>
    <w:rsid w:val="0096103A"/>
    <w:rsid w:val="00972868"/>
    <w:rsid w:val="009A1075"/>
    <w:rsid w:val="009E02A2"/>
    <w:rsid w:val="009F769E"/>
    <w:rsid w:val="00A01265"/>
    <w:rsid w:val="00A210A1"/>
    <w:rsid w:val="00A53DC7"/>
    <w:rsid w:val="00B014A3"/>
    <w:rsid w:val="00B333DE"/>
    <w:rsid w:val="00B33B4C"/>
    <w:rsid w:val="00B67140"/>
    <w:rsid w:val="00B71EBB"/>
    <w:rsid w:val="00B82328"/>
    <w:rsid w:val="00B84741"/>
    <w:rsid w:val="00B971DA"/>
    <w:rsid w:val="00BA456A"/>
    <w:rsid w:val="00BD2447"/>
    <w:rsid w:val="00BD53DC"/>
    <w:rsid w:val="00BF0D85"/>
    <w:rsid w:val="00C41D56"/>
    <w:rsid w:val="00C56941"/>
    <w:rsid w:val="00C85AF5"/>
    <w:rsid w:val="00C90912"/>
    <w:rsid w:val="00CA649C"/>
    <w:rsid w:val="00D15C61"/>
    <w:rsid w:val="00D3094F"/>
    <w:rsid w:val="00D32643"/>
    <w:rsid w:val="00D40ECC"/>
    <w:rsid w:val="00D64403"/>
    <w:rsid w:val="00D669A5"/>
    <w:rsid w:val="00D819A6"/>
    <w:rsid w:val="00E00284"/>
    <w:rsid w:val="00E3066F"/>
    <w:rsid w:val="00E52F03"/>
    <w:rsid w:val="00E619F8"/>
    <w:rsid w:val="00E829AA"/>
    <w:rsid w:val="00EB2DF0"/>
    <w:rsid w:val="00F12CA5"/>
    <w:rsid w:val="00F31C20"/>
    <w:rsid w:val="00F4043E"/>
    <w:rsid w:val="00F405FD"/>
    <w:rsid w:val="00F541E3"/>
    <w:rsid w:val="00F81B88"/>
    <w:rsid w:val="00F92B59"/>
    <w:rsid w:val="00FC203C"/>
    <w:rsid w:val="00FC471F"/>
    <w:rsid w:val="00FD2EDD"/>
    <w:rsid w:val="00FD4082"/>
    <w:rsid w:val="00FE6585"/>
    <w:rsid w:val="00FF1B78"/>
    <w:rsid w:val="00FF57F6"/>
    <w:rsid w:val="01403F29"/>
    <w:rsid w:val="04C9492B"/>
    <w:rsid w:val="07B64E3A"/>
    <w:rsid w:val="0D556D8D"/>
    <w:rsid w:val="0E4705D1"/>
    <w:rsid w:val="11386B3A"/>
    <w:rsid w:val="119C228C"/>
    <w:rsid w:val="12B8762D"/>
    <w:rsid w:val="170F5572"/>
    <w:rsid w:val="17160896"/>
    <w:rsid w:val="1D0D1038"/>
    <w:rsid w:val="1F0147C7"/>
    <w:rsid w:val="22803EEA"/>
    <w:rsid w:val="2504136D"/>
    <w:rsid w:val="2BC41869"/>
    <w:rsid w:val="2D31482C"/>
    <w:rsid w:val="2F807B2C"/>
    <w:rsid w:val="31775D77"/>
    <w:rsid w:val="31CB65EE"/>
    <w:rsid w:val="34477E59"/>
    <w:rsid w:val="372011E2"/>
    <w:rsid w:val="3AF8598E"/>
    <w:rsid w:val="3C2C6865"/>
    <w:rsid w:val="42B147F2"/>
    <w:rsid w:val="44070836"/>
    <w:rsid w:val="45132091"/>
    <w:rsid w:val="46EE732F"/>
    <w:rsid w:val="48643D4D"/>
    <w:rsid w:val="49C715D6"/>
    <w:rsid w:val="50203C86"/>
    <w:rsid w:val="50EE6E86"/>
    <w:rsid w:val="540D108A"/>
    <w:rsid w:val="56101A10"/>
    <w:rsid w:val="5FD25191"/>
    <w:rsid w:val="61D5736B"/>
    <w:rsid w:val="622F79DB"/>
    <w:rsid w:val="642D103F"/>
    <w:rsid w:val="6A773014"/>
    <w:rsid w:val="6C975BF0"/>
    <w:rsid w:val="6ECD6CE1"/>
    <w:rsid w:val="72AF5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customStyle="1" w:styleId="6">
    <w:name w:val="页脚 字符"/>
    <w:basedOn w:val="5"/>
    <w:semiHidden/>
    <w:qFormat/>
    <w:uiPriority w:val="99"/>
    <w:rPr>
      <w:rFonts w:ascii="Times New Roman" w:hAnsi="Times New Roman" w:eastAsia="宋体" w:cs="Times New Roman"/>
      <w:sz w:val="18"/>
      <w:szCs w:val="18"/>
      <w14:ligatures w14:val="none"/>
    </w:rPr>
  </w:style>
  <w:style w:type="character" w:customStyle="1" w:styleId="7">
    <w:name w:val="页脚 字符1"/>
    <w:link w:val="2"/>
    <w:qFormat/>
    <w:uiPriority w:val="0"/>
    <w:rPr>
      <w:rFonts w:ascii="Times New Roman" w:hAnsi="Times New Roman" w:eastAsia="宋体" w:cs="Times New Roman"/>
      <w:sz w:val="18"/>
      <w:szCs w:val="18"/>
      <w14:ligatures w14:val="none"/>
    </w:rPr>
  </w:style>
  <w:style w:type="character" w:customStyle="1" w:styleId="8">
    <w:name w:val="页眉 字符"/>
    <w:basedOn w:val="5"/>
    <w:link w:val="3"/>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1635</Words>
  <Characters>1835</Characters>
  <Lines>45</Lines>
  <Paragraphs>29</Paragraphs>
  <TotalTime>13</TotalTime>
  <ScaleCrop>false</ScaleCrop>
  <LinksUpToDate>false</LinksUpToDate>
  <CharactersWithSpaces>1887</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2024-04-09T03:33:00Z</dcterms:created>
  <dc:creator>Tissue Cheng</dc:creator>
  <cp:lastModifiedBy>李杰峰</cp:lastModifiedBy>
  <dcterms:modified xsi:type="dcterms:W3CDTF">2025-12-01T01:03:34Z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eyJoZGlkIjoiNTMyZGU5MTJjYThiNjYwNjRmYWEyMDg1YzRlMTk1N2UiLCJ1c2VySWQiOiIyMTI5OTM3MjAifQ==</vt:lpwstr>
  </property>
  <property fmtid="{D5CDD505-2E9C-101B-9397-08002B2CF9AE}" pid="3" name="KSOProductBuildVer">
    <vt:lpwstr>2052-12.9.0.21300</vt:lpwstr>
  </property>
  <property fmtid="{D5CDD505-2E9C-101B-9397-08002B2CF9AE}" pid="4" name="ICV">
    <vt:lpwstr>0993A9D06D894945AAE0361F1DCD107C_12</vt:lpwstr>
  </property>
</Properties>
</file>