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0AE0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中山市小榄镇联丰股份合作经济联合</w:t>
      </w:r>
    </w:p>
    <w:p w14:paraId="69FC1A9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社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聚新片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乐丰南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路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“工改工”政府</w:t>
      </w:r>
    </w:p>
    <w:p w14:paraId="160AA3F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整备项目“三旧”改造方案</w:t>
      </w:r>
    </w:p>
    <w:p w14:paraId="7A052F6C">
      <w:pPr>
        <w:spacing w:line="560" w:lineRule="exact"/>
        <w:jc w:val="center"/>
        <w:rPr>
          <w:rFonts w:hint="eastAsia"/>
          <w:b/>
          <w:bCs/>
          <w:sz w:val="40"/>
          <w:szCs w:val="40"/>
        </w:rPr>
      </w:pPr>
    </w:p>
    <w:p w14:paraId="336E9AD9">
      <w:pPr>
        <w:spacing w:line="574" w:lineRule="exact"/>
        <w:ind w:firstLine="616" w:firstLineChars="200"/>
        <w:jc w:val="left"/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根据中山市城市更新（“三旧”改造）专项规划和</w:t>
      </w: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>现行</w:t>
      </w:r>
      <w:r>
        <w:rPr>
          <w:rFonts w:ascii="Times New Roman" w:hAnsi="Times New Roman" w:cs="Times New Roman"/>
          <w:spacing w:val="-6"/>
          <w:sz w:val="32"/>
          <w:szCs w:val="32"/>
        </w:rPr>
        <w:t>《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中山市西部产业园小榄镇联丰聚新片区A单元规划）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（中府函〔202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147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号）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，小榄镇人民政府拟对中山市小榄镇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联丰股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份合作经济联合社（下称“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联丰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股联社”）的旧厂房用地进行改造，</w:t>
      </w:r>
      <w:r>
        <w:rPr>
          <w:rFonts w:hint="default" w:ascii="Times New Roman" w:hAnsi="Times New Roman" w:cs="Times New Roman"/>
          <w:spacing w:val="0"/>
          <w:kern w:val="32"/>
          <w:sz w:val="32"/>
          <w:szCs w:val="32"/>
        </w:rPr>
        <w:t>由政府整备改造（</w:t>
      </w:r>
      <w:r>
        <w:rPr>
          <w:rFonts w:hint="default" w:ascii="Times New Roman" w:hAnsi="Times New Roman" w:cs="Times New Roman"/>
          <w:spacing w:val="0"/>
          <w:kern w:val="32"/>
          <w:sz w:val="32"/>
          <w:szCs w:val="32"/>
          <w:lang w:val="en-US" w:eastAsia="zh-CN"/>
        </w:rPr>
        <w:t>征收</w:t>
      </w:r>
      <w:r>
        <w:rPr>
          <w:rFonts w:hint="default" w:ascii="Times New Roman" w:hAnsi="Times New Roman" w:cs="Times New Roman"/>
          <w:spacing w:val="0"/>
          <w:kern w:val="32"/>
          <w:sz w:val="32"/>
          <w:szCs w:val="32"/>
        </w:rPr>
        <w:t>），采取全面改造的改造方式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。改造方案如下：</w:t>
      </w:r>
      <w:bookmarkStart w:id="0" w:name="_GoBack"/>
      <w:bookmarkEnd w:id="0"/>
    </w:p>
    <w:p w14:paraId="1E6C6A0A">
      <w:pPr>
        <w:adjustRightInd w:val="0"/>
        <w:spacing w:line="574" w:lineRule="exact"/>
        <w:ind w:firstLine="664" w:firstLineChars="200"/>
        <w:rPr>
          <w:rFonts w:ascii="Times New Roman" w:hAnsi="Times New Roman" w:eastAsia="黑体" w:cs="Times New Roman"/>
          <w:snapToGrid w:val="0"/>
          <w:color w:val="000000" w:themeColor="text1"/>
          <w:spacing w:val="6"/>
          <w:kern w:val="3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snapToGrid w:val="0"/>
          <w:color w:val="000000" w:themeColor="text1"/>
          <w:spacing w:val="6"/>
          <w:kern w:val="32"/>
          <w:sz w:val="32"/>
          <w:szCs w:val="32"/>
          <w14:textFill>
            <w14:solidFill>
              <w14:schemeClr w14:val="tx1"/>
            </w14:solidFill>
          </w14:textFill>
        </w:rPr>
        <w:t>一、改造地块基本情况</w:t>
      </w:r>
    </w:p>
    <w:p w14:paraId="0AA01827">
      <w:pPr>
        <w:numPr>
          <w:ilvl w:val="0"/>
          <w:numId w:val="1"/>
        </w:numPr>
        <w:adjustRightInd w:val="0"/>
        <w:spacing w:line="574" w:lineRule="exact"/>
        <w:ind w:left="0" w:firstLine="640" w:firstLineChars="200"/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总体情况</w:t>
      </w:r>
    </w:p>
    <w:p w14:paraId="7F43F61D">
      <w:pPr>
        <w:spacing w:line="574" w:lineRule="exact"/>
        <w:ind w:firstLine="616" w:firstLineChars="200"/>
        <w:jc w:val="left"/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改造地块位于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乐丰南路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，东至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无名路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，南至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沿河路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西至私人工业地块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，北至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聚新路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，用地面积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743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公顷（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137430.62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平方米，折合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206.1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亩）。</w:t>
      </w:r>
    </w:p>
    <w:p w14:paraId="69D6E0F9">
      <w:pPr>
        <w:numPr>
          <w:ilvl w:val="0"/>
          <w:numId w:val="1"/>
        </w:numPr>
        <w:adjustRightInd w:val="0"/>
        <w:spacing w:line="574" w:lineRule="exact"/>
        <w:ind w:left="0" w:firstLine="640" w:firstLineChars="200"/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标图入库情况</w:t>
      </w:r>
    </w:p>
    <w:p w14:paraId="034EF811">
      <w:pPr>
        <w:spacing w:line="574" w:lineRule="exact"/>
        <w:ind w:firstLine="616" w:firstLineChars="200"/>
        <w:jc w:val="left"/>
        <w:rPr>
          <w:rFonts w:hint="default" w:ascii="Times New Roman" w:hAnsi="Times New Roman" w:eastAsia="仿宋_GB2312" w:cs="Times New Roman"/>
          <w:color w:val="FF0000"/>
          <w:spacing w:val="-6"/>
          <w:kern w:val="0"/>
          <w:sz w:val="32"/>
          <w:szCs w:val="32"/>
          <w:lang w:eastAsia="zh-CN"/>
        </w:rPr>
      </w:pP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改造地块于20</w:t>
      </w:r>
      <w:r>
        <w:rPr>
          <w:rFonts w:hint="eastAsia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月纳入“三旧”标图入库，图斑编号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44200001402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，图斑面积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 w:themeColor="text1"/>
          <w:spacing w:val="-6"/>
          <w:kern w:val="0"/>
          <w:sz w:val="32"/>
          <w:szCs w:val="32"/>
          <w:shd w:val="clear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-6"/>
          <w:kern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 w:themeColor="text1"/>
          <w:spacing w:val="-6"/>
          <w:kern w:val="0"/>
          <w:sz w:val="32"/>
          <w:szCs w:val="32"/>
          <w:shd w:val="clear"/>
          <w14:textFill>
            <w14:solidFill>
              <w14:schemeClr w14:val="tx1"/>
            </w14:solidFill>
          </w14:textFill>
        </w:rPr>
        <w:t>3016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公顷（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 w:themeColor="text1"/>
          <w:spacing w:val="-6"/>
          <w:ker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183016.4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平方米，折合</w:t>
      </w:r>
      <w:r>
        <w:rPr>
          <w:rFonts w:hint="eastAsia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74.52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亩）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改造地块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中的</w:t>
      </w:r>
      <w:r>
        <w:rPr>
          <w:rFonts w:hint="eastAsia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11.6533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公顷（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116533.0</w:t>
      </w:r>
      <w:r>
        <w:rPr>
          <w:rFonts w:hint="eastAsia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平方米，折合</w:t>
      </w:r>
      <w:r>
        <w:rPr>
          <w:rFonts w:hint="eastAsia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174.8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亩）纳入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图斑范围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改造地块中的</w:t>
      </w:r>
      <w:r>
        <w:rPr>
          <w:rFonts w:hint="eastAsia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2.0898公顷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20897.6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平方米，折合</w:t>
      </w:r>
      <w:r>
        <w:rPr>
          <w:rFonts w:hint="eastAsia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31.35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亩）未纳入图斑范围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B808ACB">
      <w:pPr>
        <w:numPr>
          <w:ilvl w:val="0"/>
          <w:numId w:val="1"/>
        </w:numPr>
        <w:adjustRightInd w:val="0"/>
        <w:spacing w:line="574" w:lineRule="exact"/>
        <w:ind w:left="0" w:firstLine="640" w:firstLineChars="200"/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权属情况</w:t>
      </w:r>
    </w:p>
    <w:p w14:paraId="0B47B07C">
      <w:pPr>
        <w:autoSpaceDE w:val="0"/>
        <w:spacing w:line="560" w:lineRule="exact"/>
        <w:ind w:firstLine="592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改造地块范围内涉3宗集体土地，其中2宗已确权、登记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。</w:t>
      </w:r>
    </w:p>
    <w:p w14:paraId="2779E6FE">
      <w:pPr>
        <w:autoSpaceDE w:val="0"/>
        <w:spacing w:line="560" w:lineRule="exact"/>
        <w:ind w:firstLine="592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地块一为集体土地1.9公顷（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19390.1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平方米，折合29.0852亩），已办集体土地使用证，证号为粤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（2020）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中山市不动产权第0377971号,为土地使用人联丰股联社自2013年12月陆续开始使用，土地现状用途为工业。</w:t>
      </w:r>
    </w:p>
    <w:p w14:paraId="3E9EB19F">
      <w:pPr>
        <w:autoSpaceDE w:val="0"/>
        <w:spacing w:line="560" w:lineRule="exact"/>
        <w:ind w:firstLine="592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地块二为集体土地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1.4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公顷（14362.2平方米，折合21.5433亩），已办集体土地使用证，证号为中府集用（2014）</w:t>
      </w:r>
      <w:r>
        <w:rPr>
          <w:rFonts w:hint="eastAsia" w:ascii="Times New Roman" w:hAnsi="Times New Roman" w:cs="Times New Roman"/>
          <w:color w:val="auto"/>
          <w:spacing w:val="-6"/>
          <w:kern w:val="0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0501021号,为土地使用人联丰股联社自2004年6月陆续开始使用，土地现状用途为工业。</w:t>
      </w:r>
    </w:p>
    <w:p w14:paraId="7B22A13F">
      <w:pPr>
        <w:autoSpaceDE w:val="0"/>
        <w:spacing w:line="560" w:lineRule="exact"/>
        <w:ind w:firstLine="592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地块三已确权登记但未办理土地使用证，土地所有权证号为粤（2025）中山市不动产权第0330992号，纳入改造范围用地面积为10.37公顷（103678.32平方米，折合约155.5175亩），为土地所有权人联丰股联社自2006年10月陆续开始使用，土地现状用途为工业。</w:t>
      </w:r>
    </w:p>
    <w:p w14:paraId="59712844">
      <w:pPr>
        <w:pStyle w:val="2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029710" cy="3138805"/>
            <wp:effectExtent l="0" t="0" r="8890" b="4445"/>
            <wp:docPr id="6" name="图片 6" descr="c1d2fa7e-045b-4ad9-ae55-c1a35dd11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1d2fa7e-045b-4ad9-ae55-c1a35dd114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9710" cy="313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2E125">
      <w:pPr>
        <w:numPr>
          <w:ilvl w:val="0"/>
          <w:numId w:val="1"/>
        </w:numPr>
        <w:adjustRightInd w:val="0"/>
        <w:spacing w:line="574" w:lineRule="exact"/>
        <w:ind w:left="0" w:firstLine="640" w:firstLineChars="200"/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土地现状情况</w:t>
      </w:r>
    </w:p>
    <w:p w14:paraId="13667394">
      <w:pPr>
        <w:spacing w:line="574" w:lineRule="exact"/>
        <w:ind w:firstLine="616" w:firstLineChars="200"/>
        <w:jc w:val="left"/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改造涉及地块“二调”土地利用现状地类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属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建设用地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94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公顷（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37294.43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平方米，折合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05.94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亩），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属非建设用地0.0136公顷（136.19平方米，折合0.2亩）；涉及地块最新土地利用现状地类属建设用地13.7325公顷（137325.08平方米，折合205.99亩），属非建设用地0.0105公顷（105.22平方米，折合0.16亩）。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不涉及边角地、夹心地、插花地、其他用地、征地留用地、与原“三旧”用地置换的“三旧”用地或其他存量建设用地、使用原“三旧”用地复垦产生的规模等。</w:t>
      </w:r>
    </w:p>
    <w:p w14:paraId="74B9C30B">
      <w:pPr>
        <w:spacing w:line="574" w:lineRule="exact"/>
        <w:ind w:firstLine="616" w:firstLineChars="200"/>
        <w:jc w:val="left"/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改造范围内约有60栋建筑物，建筑面积约</w:t>
      </w:r>
      <w:r>
        <w:rPr>
          <w:rFonts w:hint="eastAsia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8万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平方米，容积率为 0.37，均未办理规划报建手续，作工业厂房用途所用。改造前年产值约为6000万元（折合约40万元/亩），年税收约为240万元（折合约1.6万元/亩）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6EFFD48">
      <w:pPr>
        <w:spacing w:line="574" w:lineRule="exact"/>
        <w:ind w:firstLine="616" w:firstLineChars="200"/>
        <w:jc w:val="left"/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该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项目地块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未被认定为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闲置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不涉及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抵押、历史文化资源要素等情况，不属于土壤环境潜在监管地块范围。</w:t>
      </w:r>
    </w:p>
    <w:p w14:paraId="7543D330">
      <w:pPr>
        <w:spacing w:line="574" w:lineRule="exact"/>
        <w:ind w:firstLine="616" w:firstLineChars="200"/>
        <w:jc w:val="left"/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改造地块涉及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历史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违法使用土地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10.3679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公顷（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103678.62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平方米,折合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155.52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亩），已按规定落实违法用地处罚。</w:t>
      </w:r>
    </w:p>
    <w:p w14:paraId="2D02A78E">
      <w:pPr>
        <w:numPr>
          <w:ilvl w:val="0"/>
          <w:numId w:val="1"/>
        </w:numPr>
        <w:adjustRightInd w:val="0"/>
        <w:spacing w:line="574" w:lineRule="exact"/>
        <w:ind w:left="0" w:firstLine="640" w:firstLineChars="200"/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规划情况</w:t>
      </w:r>
    </w:p>
    <w:p w14:paraId="29C0B834">
      <w:pPr>
        <w:spacing w:line="574" w:lineRule="exact"/>
        <w:ind w:firstLine="616" w:firstLineChars="200"/>
        <w:jc w:val="left"/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改造地块符合国土空间总体规划、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控制性详细规划</w:t>
      </w: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，已纳入现行《中山市城市更新（“三旧”改造）专项规划（2020-2035）》。其中，在国土空间总体规划中，属城乡建设用地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743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公顷（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137430.62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平方米，折合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206.1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亩）。在</w:t>
      </w:r>
      <w:r>
        <w:rPr>
          <w:rFonts w:ascii="Times New Roman" w:hAnsi="Times New Roman" w:cs="Times New Roman"/>
          <w:spacing w:val="-6"/>
          <w:sz w:val="32"/>
          <w:szCs w:val="32"/>
        </w:rPr>
        <w:t>《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中山市西部产业园小榄镇联丰聚新片区A单元规划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（中府函〔202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147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号）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中，改造地块用地性质为一类工业用地、城镇道路用地和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公园绿地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，其中一类工业用地面积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9.9658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公顷（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99657.56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平方米，折合约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149.49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亩）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城镇道路用地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.9435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公顷（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29435.39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平方米，折合约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4.15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公园绿地0.8338（8337.67平方米，折合约12.51亩）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，规划容积率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2.0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-3.5，绿地率10-15%，建筑密度35-60%，</w:t>
      </w:r>
      <w:r>
        <w:rPr>
          <w:rFonts w:hint="default" w:ascii="Times New Roman" w:hAnsi="Times New Roman" w:cs="Times New Roman"/>
          <w:spacing w:val="0"/>
          <w:kern w:val="32"/>
          <w:sz w:val="32"/>
          <w:szCs w:val="32"/>
        </w:rPr>
        <w:t>生产性建筑高度≤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50米，配套设施建筑高度</w:t>
      </w:r>
      <w:r>
        <w:rPr>
          <w:rFonts w:hint="default" w:ascii="Times New Roman" w:hAnsi="Times New Roman" w:cs="Times New Roman"/>
          <w:spacing w:val="0"/>
          <w:kern w:val="32"/>
          <w:sz w:val="32"/>
          <w:szCs w:val="32"/>
        </w:rPr>
        <w:t>≤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100米。（以实际审批情况为准）</w:t>
      </w:r>
    </w:p>
    <w:p w14:paraId="46D7BDA6">
      <w:pPr>
        <w:pStyle w:val="4"/>
        <w:autoSpaceDE/>
        <w:autoSpaceDN/>
        <w:spacing w:line="574" w:lineRule="exact"/>
        <w:ind w:firstLine="616" w:firstLineChars="200"/>
        <w:jc w:val="left"/>
        <w:rPr>
          <w:rFonts w:ascii="Times New Roman" w:hAnsi="Times New Roman" w:eastAsia="仿宋_GB2312" w:cs="Times New Roman"/>
          <w:bCs w:val="0"/>
          <w:spacing w:val="-6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 w:val="0"/>
          <w:spacing w:val="-6"/>
          <w:kern w:val="0"/>
          <w:sz w:val="32"/>
          <w:szCs w:val="32"/>
        </w:rPr>
        <w:t>改造项目地块全部位于“三区三线”城镇开发边界内，符合工业用地保护线管控要求，且不涉及永久基本农田和生态保护红线、森林资源等管控要求。</w:t>
      </w:r>
    </w:p>
    <w:p w14:paraId="177F09F8">
      <w:pPr>
        <w:adjustRightInd w:val="0"/>
        <w:spacing w:line="574" w:lineRule="exact"/>
        <w:ind w:firstLine="664" w:firstLineChars="200"/>
        <w:rPr>
          <w:rFonts w:ascii="Times New Roman" w:hAnsi="Times New Roman" w:eastAsia="黑体" w:cs="Times New Roman"/>
          <w:snapToGrid w:val="0"/>
          <w:color w:val="000000" w:themeColor="text1"/>
          <w:spacing w:val="6"/>
          <w:kern w:val="3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snapToGrid w:val="0"/>
          <w:color w:val="000000" w:themeColor="text1"/>
          <w:spacing w:val="6"/>
          <w:kern w:val="32"/>
          <w:sz w:val="32"/>
          <w:szCs w:val="32"/>
          <w14:textFill>
            <w14:solidFill>
              <w14:schemeClr w14:val="tx1"/>
            </w14:solidFill>
          </w14:textFill>
        </w:rPr>
        <w:t>二、改造意愿及安置补偿情况</w:t>
      </w:r>
    </w:p>
    <w:p w14:paraId="693C6382">
      <w:pPr>
        <w:spacing w:line="574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（一）改造意愿情况</w:t>
      </w:r>
    </w:p>
    <w:p w14:paraId="7EFC42B7">
      <w:pPr>
        <w:spacing w:line="574" w:lineRule="exact"/>
        <w:ind w:firstLine="616" w:firstLineChars="200"/>
        <w:rPr>
          <w:rFonts w:ascii="Times New Roman" w:hAnsi="Times New Roman" w:cs="Times New Roman"/>
          <w:spacing w:val="-6"/>
          <w:kern w:val="0"/>
          <w:sz w:val="32"/>
          <w:szCs w:val="32"/>
        </w:rPr>
      </w:pP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改造范围涉及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联丰</w:t>
      </w: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股联社1个权利主体，小榄镇人民政府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已</w:t>
      </w: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按照法律法规，就改造范围、土地现状、改造主体及拟改造情况等事项征询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联丰</w:t>
      </w: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股联社及农民集体意愿，并召开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联丰</w:t>
      </w: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联社股东代表会议进行表决，经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联丰</w:t>
      </w: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股联社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</w:rPr>
        <w:t>股东</w:t>
      </w: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代表会议三分之二以上股东代表表决，同意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将</w:t>
      </w: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改造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地块由小榄镇人民政府征收集体土地</w:t>
      </w: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，并将涉及土地、房屋纳入改造范围。</w:t>
      </w:r>
    </w:p>
    <w:p w14:paraId="64BA43FE">
      <w:pPr>
        <w:spacing w:line="574" w:lineRule="exact"/>
        <w:ind w:left="730" w:leftChars="304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（二）补偿安置情况</w:t>
      </w:r>
    </w:p>
    <w:p w14:paraId="21D6C603"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改造项目范围内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743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公顷（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137430.62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平方米,折合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206.1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亩）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集体土地拟办理征收手续，</w:t>
      </w:r>
      <w:r>
        <w:rPr>
          <w:rFonts w:hint="eastAsia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拟采取现金方式补偿。总价值22423.5万元，其中包含土地所有权征收补偿费8013.59万元、土地使用权征收补偿款4617.32万元、地上建筑物补偿9792.59万元。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具体补偿内容以实际审批的征收方案为准。</w:t>
      </w:r>
    </w:p>
    <w:p w14:paraId="65DBE45C">
      <w:pPr>
        <w:spacing w:line="574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（三）开展社会稳定风险评估情况</w:t>
      </w:r>
    </w:p>
    <w:p w14:paraId="5E4427F1">
      <w:pPr>
        <w:spacing w:line="574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改造地块涉及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743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公顷（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137430.62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平方米,折合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206.1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由小榄镇人民政府征收</w:t>
      </w:r>
      <w:r>
        <w:rPr>
          <w:rFonts w:ascii="Times New Roman" w:hAnsi="Times New Roman" w:cs="Times New Roman"/>
          <w:sz w:val="32"/>
          <w:szCs w:val="32"/>
        </w:rPr>
        <w:t>，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已开展社会稳定风险评估，评估结果为低风险，由小榄镇人民政府、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联丰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股联社负责落实风险防范及化解措施。</w:t>
      </w:r>
    </w:p>
    <w:p w14:paraId="2310A78B">
      <w:pPr>
        <w:adjustRightInd w:val="0"/>
        <w:spacing w:line="574" w:lineRule="exact"/>
        <w:ind w:firstLine="664" w:firstLineChars="200"/>
        <w:rPr>
          <w:rFonts w:ascii="Times New Roman" w:hAnsi="Times New Roman" w:eastAsia="黑体" w:cs="Times New Roman"/>
          <w:snapToGrid w:val="0"/>
          <w:color w:val="000000" w:themeColor="text1"/>
          <w:spacing w:val="6"/>
          <w:kern w:val="3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snapToGrid w:val="0"/>
          <w:color w:val="000000" w:themeColor="text1"/>
          <w:spacing w:val="6"/>
          <w:kern w:val="32"/>
          <w:sz w:val="32"/>
          <w:szCs w:val="32"/>
          <w14:textFill>
            <w14:solidFill>
              <w14:schemeClr w14:val="tx1"/>
            </w14:solidFill>
          </w14:textFill>
        </w:rPr>
        <w:t>三、改造主体及拟改造情况</w:t>
      </w:r>
    </w:p>
    <w:p w14:paraId="03E18DE4">
      <w:pPr>
        <w:spacing w:line="574" w:lineRule="exact"/>
        <w:ind w:firstLine="640" w:firstLineChars="200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根据有关规划要求，改造项目严格按照国土空间总体规划（2020-2035）、控制性详细规划管控要求实施建设。</w:t>
      </w:r>
    </w:p>
    <w:p w14:paraId="3680009C">
      <w:pPr>
        <w:numPr>
          <w:ilvl w:val="255"/>
          <w:numId w:val="0"/>
        </w:numPr>
        <w:spacing w:line="574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改造项目属“工改工”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政府整备</w:t>
      </w:r>
      <w:r>
        <w:rPr>
          <w:rFonts w:ascii="Times New Roman" w:hAnsi="Times New Roman" w:cs="Times New Roman"/>
          <w:sz w:val="32"/>
          <w:szCs w:val="32"/>
        </w:rPr>
        <w:t>项目，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拟采取政府整备改造方式，拟实施全面改造</w:t>
      </w:r>
      <w:r>
        <w:rPr>
          <w:rFonts w:ascii="Times New Roman" w:hAnsi="Times New Roman" w:cs="Times New Roman"/>
          <w:sz w:val="32"/>
          <w:szCs w:val="32"/>
        </w:rPr>
        <w:t>。改造后将用于工业用途，拟引入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智能家电、高端装备、光电光学、灯饰照明等相关产品研发和生产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产业</w:t>
      </w:r>
      <w:r>
        <w:rPr>
          <w:rFonts w:ascii="Times New Roman" w:hAnsi="Times New Roman" w:cs="Times New Roman"/>
          <w:sz w:val="32"/>
          <w:szCs w:val="32"/>
        </w:rPr>
        <w:t>为主的智能家居等产业。在符合规划条件论证的基础上，改造后项目的容积率不小于2.</w:t>
      </w:r>
      <w:r>
        <w:rPr>
          <w:rFonts w:hint="default"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，总建筑面积不小于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199315.12</w:t>
      </w:r>
      <w:r>
        <w:rPr>
          <w:rFonts w:ascii="Times New Roman" w:hAnsi="Times New Roman" w:cs="Times New Roman"/>
          <w:sz w:val="32"/>
          <w:szCs w:val="32"/>
        </w:rPr>
        <w:t>平方米（不含不计容建筑面积）</w:t>
      </w:r>
      <w:r>
        <w:rPr>
          <w:rFonts w:hint="default" w:ascii="Times New Roman" w:hAnsi="Times New Roman" w:cs="Times New Roman"/>
          <w:sz w:val="32"/>
          <w:szCs w:val="32"/>
        </w:rPr>
        <w:t>。</w:t>
      </w:r>
      <w:r>
        <w:rPr>
          <w:rFonts w:ascii="Times New Roman" w:hAnsi="Times New Roman" w:cs="Times New Roman"/>
          <w:sz w:val="32"/>
          <w:szCs w:val="32"/>
        </w:rPr>
        <w:t>项目不保留原有建筑</w:t>
      </w:r>
      <w:r>
        <w:rPr>
          <w:rFonts w:hint="default" w:ascii="Times New Roman" w:hAnsi="Times New Roman" w:cs="Times New Roman"/>
          <w:sz w:val="32"/>
          <w:szCs w:val="32"/>
        </w:rPr>
        <w:t>，</w:t>
      </w:r>
      <w:r>
        <w:rPr>
          <w:rFonts w:ascii="Times New Roman" w:hAnsi="Times New Roman" w:cs="Times New Roman"/>
          <w:sz w:val="32"/>
          <w:szCs w:val="32"/>
        </w:rPr>
        <w:t>不申请分割销售。</w:t>
      </w:r>
    </w:p>
    <w:p w14:paraId="71487D8B">
      <w:pPr>
        <w:numPr>
          <w:ilvl w:val="255"/>
          <w:numId w:val="0"/>
        </w:numPr>
        <w:spacing w:line="574" w:lineRule="exact"/>
        <w:ind w:firstLine="640" w:firstLineChars="200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32"/>
          <w:szCs w:val="32"/>
        </w:rPr>
        <w:t>项目相关情况符合国家《产业结构调整指导目录》《中山市涉挥发性有机物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项目环保管理规定》和《中山市“三线一单”生态环境分区管控方案》。改造后年产值将达到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89694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万元（600万元/亩），年税收将达到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4485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万元（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元/亩）。</w:t>
      </w:r>
    </w:p>
    <w:p w14:paraId="60B3BC25">
      <w:pPr>
        <w:adjustRightInd w:val="0"/>
        <w:spacing w:line="574" w:lineRule="exact"/>
        <w:ind w:firstLine="664" w:firstLineChars="200"/>
        <w:rPr>
          <w:rFonts w:ascii="Times New Roman" w:hAnsi="Times New Roman" w:eastAsia="黑体" w:cs="Times New Roman"/>
          <w:snapToGrid w:val="0"/>
          <w:color w:val="000000" w:themeColor="text1"/>
          <w:spacing w:val="6"/>
          <w:kern w:val="3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snapToGrid w:val="0"/>
          <w:color w:val="000000" w:themeColor="text1"/>
          <w:spacing w:val="6"/>
          <w:kern w:val="32"/>
          <w:sz w:val="32"/>
          <w:szCs w:val="32"/>
          <w14:textFill>
            <w14:solidFill>
              <w14:schemeClr w14:val="tx1"/>
            </w14:solidFill>
          </w14:textFill>
        </w:rPr>
        <w:t>四、需办理的用地手续</w:t>
      </w:r>
    </w:p>
    <w:p w14:paraId="5900D341">
      <w:pPr>
        <w:numPr>
          <w:ilvl w:val="255"/>
          <w:numId w:val="0"/>
        </w:numPr>
        <w:spacing w:line="574" w:lineRule="exact"/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（一）用地报批</w:t>
      </w:r>
    </w:p>
    <w:p w14:paraId="4CE4DBB3">
      <w:pPr>
        <w:numPr>
          <w:ilvl w:val="255"/>
          <w:numId w:val="0"/>
        </w:numPr>
        <w:spacing w:line="574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改造项目范围内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32"/>
          <w:szCs w:val="32"/>
        </w:rPr>
        <w:t>13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32"/>
          <w:szCs w:val="32"/>
        </w:rPr>
        <w:t>743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32"/>
          <w:szCs w:val="32"/>
          <w:lang w:val="en-US" w:eastAsia="zh-CN"/>
        </w:rPr>
        <w:t>1</w:t>
      </w:r>
      <w:r>
        <w:rPr>
          <w:rFonts w:ascii="Times New Roman" w:hAnsi="Times New Roman" w:cs="Times New Roman"/>
          <w:color w:val="auto"/>
          <w:spacing w:val="0"/>
          <w:kern w:val="2"/>
          <w:sz w:val="32"/>
          <w:szCs w:val="32"/>
        </w:rPr>
        <w:t>公顷（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32"/>
          <w:szCs w:val="32"/>
        </w:rPr>
        <w:t>137430.62</w:t>
      </w:r>
      <w:r>
        <w:rPr>
          <w:rFonts w:ascii="Times New Roman" w:hAnsi="Times New Roman" w:cs="Times New Roman"/>
          <w:color w:val="auto"/>
          <w:spacing w:val="0"/>
          <w:kern w:val="2"/>
          <w:sz w:val="32"/>
          <w:szCs w:val="32"/>
        </w:rPr>
        <w:t>平方米，折合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32"/>
          <w:szCs w:val="32"/>
        </w:rPr>
        <w:t>206.1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32"/>
          <w:szCs w:val="32"/>
          <w:lang w:val="en-US" w:eastAsia="zh-CN"/>
        </w:rPr>
        <w:t>5</w:t>
      </w:r>
      <w:r>
        <w:rPr>
          <w:rFonts w:ascii="Times New Roman" w:hAnsi="Times New Roman" w:cs="Times New Roman"/>
          <w:color w:val="auto"/>
          <w:spacing w:val="0"/>
          <w:kern w:val="2"/>
          <w:sz w:val="32"/>
          <w:szCs w:val="32"/>
        </w:rPr>
        <w:t>亩）</w:t>
      </w:r>
      <w:r>
        <w:rPr>
          <w:rFonts w:ascii="Times New Roman" w:hAnsi="Times New Roman" w:cs="Times New Roman"/>
          <w:sz w:val="32"/>
          <w:szCs w:val="32"/>
        </w:rPr>
        <w:t>用地拟办理集体土地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转用及征收手续（具体以实际审批情况为准）</w:t>
      </w:r>
      <w:r>
        <w:rPr>
          <w:rFonts w:ascii="Times New Roman" w:hAnsi="Times New Roman" w:cs="Times New Roman"/>
          <w:sz w:val="32"/>
          <w:szCs w:val="32"/>
        </w:rPr>
        <w:t>。</w:t>
      </w:r>
    </w:p>
    <w:p w14:paraId="7EAE51FE">
      <w:pPr>
        <w:numPr>
          <w:ilvl w:val="255"/>
          <w:numId w:val="0"/>
        </w:numPr>
        <w:spacing w:line="57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未纳入图斑范围2.0898公顷（20897.6平方米，折合31.35亩）用地，其中规划为一类工业用地约0.6307公顷（6307.06平方米，折合9.46亩），采用“连改带征”模式，工业用地出让享受“三旧”改造收益分成（具体以实际审批情况为准）。</w:t>
      </w:r>
    </w:p>
    <w:p w14:paraId="385CA8BE">
      <w:pPr>
        <w:numPr>
          <w:ilvl w:val="-1"/>
          <w:numId w:val="0"/>
        </w:numPr>
        <w:spacing w:line="574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（二）土地供应</w:t>
      </w:r>
    </w:p>
    <w:p w14:paraId="5CFBC0D3">
      <w:pPr>
        <w:spacing w:line="574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kern w:val="32"/>
          <w:sz w:val="32"/>
          <w:szCs w:val="32"/>
        </w:rPr>
        <w:t>根据</w:t>
      </w:r>
      <w:r>
        <w:rPr>
          <w:rFonts w:ascii="Times New Roman" w:hAnsi="Times New Roman" w:cs="Times New Roman"/>
          <w:spacing w:val="-6"/>
          <w:sz w:val="32"/>
          <w:szCs w:val="32"/>
        </w:rPr>
        <w:t>《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中山市西部产业园小榄镇联丰聚新片区A单元规划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（中府函〔202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147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号）</w:t>
      </w: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，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将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9.9658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公顷（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99657.56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平方米，折合约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149.49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亩）</w:t>
      </w: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一类工业用地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由小榄镇人民政府</w:t>
      </w: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采取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公开出让</w:t>
      </w: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方式按容积率2.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</w:rPr>
        <w:t>0</w:t>
      </w: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-3.5供地给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改造主体；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.9435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公顷（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29435.39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平方米，折合约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4.15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道路用地、0.8338（8337.67平方米，折合约12.51亩）公园绿地拟采用划拨方式供地给小榄镇人民政府</w:t>
      </w:r>
      <w:r>
        <w:rPr>
          <w:rFonts w:ascii="Times New Roman" w:hAnsi="Times New Roman" w:cs="Times New Roman"/>
          <w:sz w:val="32"/>
          <w:szCs w:val="32"/>
        </w:rPr>
        <w:t>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具体</w:t>
      </w:r>
      <w:r>
        <w:rPr>
          <w:rFonts w:ascii="Times New Roman" w:hAnsi="Times New Roman" w:cs="Times New Roman"/>
          <w:sz w:val="32"/>
          <w:szCs w:val="32"/>
        </w:rPr>
        <w:t>以实际审批情况为准）。</w:t>
      </w:r>
    </w:p>
    <w:p w14:paraId="13E42B10">
      <w:pPr>
        <w:adjustRightInd w:val="0"/>
        <w:spacing w:line="574" w:lineRule="exact"/>
        <w:ind w:firstLine="664" w:firstLineChars="200"/>
        <w:rPr>
          <w:rFonts w:ascii="Times New Roman" w:hAnsi="Times New Roman" w:eastAsia="黑体" w:cs="Times New Roman"/>
          <w:snapToGrid w:val="0"/>
          <w:color w:val="000000" w:themeColor="text1"/>
          <w:spacing w:val="6"/>
          <w:kern w:val="3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snapToGrid w:val="0"/>
          <w:color w:val="000000" w:themeColor="text1"/>
          <w:spacing w:val="6"/>
          <w:kern w:val="32"/>
          <w:sz w:val="32"/>
          <w:szCs w:val="32"/>
          <w14:textFill>
            <w14:solidFill>
              <w14:schemeClr w14:val="tx1"/>
            </w14:solidFill>
          </w14:textFill>
        </w:rPr>
        <w:t>五、资金筹措</w:t>
      </w:r>
    </w:p>
    <w:p w14:paraId="411F2556">
      <w:pPr>
        <w:adjustRightInd/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出让的一类用地用地由公开出让确认的改造主体投入资金，按公开出让有</w:t>
      </w:r>
      <w:r>
        <w:rPr>
          <w:rFonts w:hint="eastAsia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要求执行。划拨道路用地和公园绿地由小榄镇人民政府投入资金（具体资金投入以实际审批情况为准）。</w:t>
      </w:r>
    </w:p>
    <w:p w14:paraId="52E49A68">
      <w:pPr>
        <w:adjustRightInd w:val="0"/>
        <w:spacing w:line="574" w:lineRule="exact"/>
        <w:ind w:firstLine="664" w:firstLineChars="200"/>
        <w:rPr>
          <w:rFonts w:ascii="Times New Roman" w:hAnsi="Times New Roman" w:eastAsia="黑体" w:cs="Times New Roman"/>
          <w:snapToGrid w:val="0"/>
          <w:color w:val="000000" w:themeColor="text1"/>
          <w:spacing w:val="6"/>
          <w:kern w:val="3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snapToGrid w:val="0"/>
          <w:color w:val="000000" w:themeColor="text1"/>
          <w:spacing w:val="6"/>
          <w:kern w:val="32"/>
          <w:sz w:val="32"/>
          <w:szCs w:val="32"/>
          <w14:textFill>
            <w14:solidFill>
              <w14:schemeClr w14:val="tx1"/>
            </w14:solidFill>
          </w14:textFill>
        </w:rPr>
        <w:t>六、开发时序</w:t>
      </w:r>
    </w:p>
    <w:p w14:paraId="274F26BC">
      <w:pPr>
        <w:spacing w:line="574" w:lineRule="exact"/>
        <w:ind w:firstLine="592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一类工业用地的具体开发时间、建设内容，按公开出让有关要求执行</w:t>
      </w: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。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规划道路用地和公园绿地的具体开发时间、建设内容，具体以实际审批情况为准。</w:t>
      </w:r>
    </w:p>
    <w:p w14:paraId="152FAC8D">
      <w:pPr>
        <w:adjustRightInd w:val="0"/>
        <w:spacing w:line="574" w:lineRule="exact"/>
        <w:ind w:firstLine="664" w:firstLineChars="200"/>
        <w:rPr>
          <w:rFonts w:ascii="Times New Roman" w:hAnsi="Times New Roman" w:eastAsia="黑体" w:cs="Times New Roman"/>
          <w:snapToGrid w:val="0"/>
          <w:color w:val="000000" w:themeColor="text1"/>
          <w:spacing w:val="6"/>
          <w:kern w:val="3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snapToGrid w:val="0"/>
          <w:color w:val="000000" w:themeColor="text1"/>
          <w:spacing w:val="6"/>
          <w:kern w:val="32"/>
          <w:sz w:val="32"/>
          <w:szCs w:val="32"/>
          <w14:textFill>
            <w14:solidFill>
              <w14:schemeClr w14:val="tx1"/>
            </w14:solidFill>
          </w14:textFill>
        </w:rPr>
        <w:t>七、实施监督</w:t>
      </w:r>
    </w:p>
    <w:p w14:paraId="3DB8A6C5">
      <w:pPr>
        <w:spacing w:line="574" w:lineRule="exact"/>
        <w:ind w:firstLine="616" w:firstLineChars="200"/>
        <w:jc w:val="left"/>
        <w:rPr>
          <w:rFonts w:ascii="Times New Roman" w:hAnsi="Times New Roman" w:cs="Times New Roman"/>
          <w:spacing w:val="-6"/>
          <w:sz w:val="32"/>
          <w:szCs w:val="32"/>
        </w:rPr>
      </w:pP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按公开出让有关要求执行</w:t>
      </w: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。</w:t>
      </w:r>
    </w:p>
    <w:p w14:paraId="4D5B2C1C">
      <w:pPr>
        <w:spacing w:line="574" w:lineRule="exact"/>
        <w:rPr>
          <w:rFonts w:ascii="Times New Roman" w:hAnsi="Times New Roman" w:cs="Times New Roman"/>
          <w:spacing w:val="-6"/>
          <w:kern w:val="0"/>
          <w:sz w:val="32"/>
          <w:szCs w:val="32"/>
        </w:rPr>
      </w:pPr>
    </w:p>
    <w:p w14:paraId="5271AA77">
      <w:pPr>
        <w:spacing w:line="574" w:lineRule="exact"/>
        <w:ind w:firstLine="592"/>
        <w:rPr>
          <w:rFonts w:ascii="Times New Roman" w:hAnsi="Times New Roman" w:cs="Times New Roman"/>
          <w:spacing w:val="-6"/>
          <w:kern w:val="0"/>
          <w:sz w:val="32"/>
          <w:szCs w:val="32"/>
        </w:rPr>
      </w:pPr>
    </w:p>
    <w:p w14:paraId="1146EAF9">
      <w:pPr>
        <w:spacing w:line="560" w:lineRule="exact"/>
        <w:ind w:firstLine="616" w:firstLineChars="200"/>
        <w:jc w:val="right"/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7A8F4E7">
      <w:pPr>
        <w:pStyle w:val="4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080" w:bottom="1440" w:left="1080" w:header="851" w:footer="32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11365612"/>
    </w:sdtPr>
    <w:sdtContent>
      <w:p w14:paraId="7DD92E78">
        <w:pPr>
          <w:pStyle w:val="5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3AED077">
    <w:pPr>
      <w:pStyle w:val="5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F715EE"/>
    <w:multiLevelType w:val="multilevel"/>
    <w:tmpl w:val="68F715EE"/>
    <w:lvl w:ilvl="0" w:tentative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yZmE4MTljNzI1ZjI2Y2M3NTA1YmQ5ZDZlZGNmY2IifQ=="/>
  </w:docVars>
  <w:rsids>
    <w:rsidRoot w:val="00172A27"/>
    <w:rsid w:val="00025A06"/>
    <w:rsid w:val="000336E6"/>
    <w:rsid w:val="000402BD"/>
    <w:rsid w:val="00040413"/>
    <w:rsid w:val="000853DE"/>
    <w:rsid w:val="000900EA"/>
    <w:rsid w:val="000963F3"/>
    <w:rsid w:val="000A0A58"/>
    <w:rsid w:val="000A1064"/>
    <w:rsid w:val="000A1E1F"/>
    <w:rsid w:val="000A7527"/>
    <w:rsid w:val="000B1FFB"/>
    <w:rsid w:val="000C07B4"/>
    <w:rsid w:val="000C7A59"/>
    <w:rsid w:val="000D2EFD"/>
    <w:rsid w:val="000D5535"/>
    <w:rsid w:val="000D6294"/>
    <w:rsid w:val="000F09BE"/>
    <w:rsid w:val="000F4340"/>
    <w:rsid w:val="00101829"/>
    <w:rsid w:val="00123161"/>
    <w:rsid w:val="0013069D"/>
    <w:rsid w:val="0013549E"/>
    <w:rsid w:val="001363E3"/>
    <w:rsid w:val="00155BDD"/>
    <w:rsid w:val="0015663B"/>
    <w:rsid w:val="00157B94"/>
    <w:rsid w:val="00164ECB"/>
    <w:rsid w:val="00166568"/>
    <w:rsid w:val="00172A27"/>
    <w:rsid w:val="00177947"/>
    <w:rsid w:val="00180567"/>
    <w:rsid w:val="00183FA6"/>
    <w:rsid w:val="00191A05"/>
    <w:rsid w:val="001B3447"/>
    <w:rsid w:val="001B4A01"/>
    <w:rsid w:val="001B58A9"/>
    <w:rsid w:val="001C118C"/>
    <w:rsid w:val="001E5102"/>
    <w:rsid w:val="001F68DB"/>
    <w:rsid w:val="002151F1"/>
    <w:rsid w:val="00216000"/>
    <w:rsid w:val="00224493"/>
    <w:rsid w:val="002266F1"/>
    <w:rsid w:val="00236F78"/>
    <w:rsid w:val="00237D84"/>
    <w:rsid w:val="0024550C"/>
    <w:rsid w:val="0025150E"/>
    <w:rsid w:val="00254DDE"/>
    <w:rsid w:val="00261493"/>
    <w:rsid w:val="0027080A"/>
    <w:rsid w:val="0029320D"/>
    <w:rsid w:val="002942AD"/>
    <w:rsid w:val="00294E4F"/>
    <w:rsid w:val="0029503C"/>
    <w:rsid w:val="002A159F"/>
    <w:rsid w:val="002A4A38"/>
    <w:rsid w:val="002A635F"/>
    <w:rsid w:val="002C311C"/>
    <w:rsid w:val="002F4246"/>
    <w:rsid w:val="002F7BE0"/>
    <w:rsid w:val="003236B8"/>
    <w:rsid w:val="00325BED"/>
    <w:rsid w:val="00333180"/>
    <w:rsid w:val="0033581E"/>
    <w:rsid w:val="003416B2"/>
    <w:rsid w:val="0034714D"/>
    <w:rsid w:val="00347B99"/>
    <w:rsid w:val="00347D98"/>
    <w:rsid w:val="00356237"/>
    <w:rsid w:val="00364B68"/>
    <w:rsid w:val="003854F6"/>
    <w:rsid w:val="0038711B"/>
    <w:rsid w:val="003A05F9"/>
    <w:rsid w:val="003C681C"/>
    <w:rsid w:val="003D1570"/>
    <w:rsid w:val="003D34BA"/>
    <w:rsid w:val="003F244E"/>
    <w:rsid w:val="00424D7F"/>
    <w:rsid w:val="00430159"/>
    <w:rsid w:val="00431BAD"/>
    <w:rsid w:val="0044208D"/>
    <w:rsid w:val="004457D0"/>
    <w:rsid w:val="00457EE6"/>
    <w:rsid w:val="00462D52"/>
    <w:rsid w:val="00464D05"/>
    <w:rsid w:val="004818D5"/>
    <w:rsid w:val="0048711C"/>
    <w:rsid w:val="004B04DE"/>
    <w:rsid w:val="004B6012"/>
    <w:rsid w:val="004B6B31"/>
    <w:rsid w:val="004B70F2"/>
    <w:rsid w:val="004E6B9D"/>
    <w:rsid w:val="004E6CD6"/>
    <w:rsid w:val="004F25AF"/>
    <w:rsid w:val="0050033D"/>
    <w:rsid w:val="00510A62"/>
    <w:rsid w:val="005300C0"/>
    <w:rsid w:val="00537C43"/>
    <w:rsid w:val="00570849"/>
    <w:rsid w:val="0058395B"/>
    <w:rsid w:val="00586422"/>
    <w:rsid w:val="00587E1E"/>
    <w:rsid w:val="00593734"/>
    <w:rsid w:val="005A2506"/>
    <w:rsid w:val="005A3786"/>
    <w:rsid w:val="005A513B"/>
    <w:rsid w:val="005B380F"/>
    <w:rsid w:val="005C26C3"/>
    <w:rsid w:val="005C58AC"/>
    <w:rsid w:val="005D2597"/>
    <w:rsid w:val="005D5058"/>
    <w:rsid w:val="005E0FDA"/>
    <w:rsid w:val="005E41CD"/>
    <w:rsid w:val="005E59F0"/>
    <w:rsid w:val="005F2093"/>
    <w:rsid w:val="005F3030"/>
    <w:rsid w:val="005F4E34"/>
    <w:rsid w:val="006014FA"/>
    <w:rsid w:val="00601D29"/>
    <w:rsid w:val="006071D7"/>
    <w:rsid w:val="00612514"/>
    <w:rsid w:val="00622FE4"/>
    <w:rsid w:val="00630F93"/>
    <w:rsid w:val="00661750"/>
    <w:rsid w:val="00662C0D"/>
    <w:rsid w:val="0066440E"/>
    <w:rsid w:val="0066725E"/>
    <w:rsid w:val="006709DD"/>
    <w:rsid w:val="00676661"/>
    <w:rsid w:val="00676988"/>
    <w:rsid w:val="0068341B"/>
    <w:rsid w:val="00683676"/>
    <w:rsid w:val="00686D2E"/>
    <w:rsid w:val="00687FF3"/>
    <w:rsid w:val="00692789"/>
    <w:rsid w:val="00694CB0"/>
    <w:rsid w:val="006A0B26"/>
    <w:rsid w:val="006A15A9"/>
    <w:rsid w:val="006A70DF"/>
    <w:rsid w:val="006B5DC3"/>
    <w:rsid w:val="006B7788"/>
    <w:rsid w:val="006C3E4A"/>
    <w:rsid w:val="006D31E9"/>
    <w:rsid w:val="006D5055"/>
    <w:rsid w:val="006E4FA0"/>
    <w:rsid w:val="006F6478"/>
    <w:rsid w:val="00714325"/>
    <w:rsid w:val="0071578A"/>
    <w:rsid w:val="00720922"/>
    <w:rsid w:val="00740DE4"/>
    <w:rsid w:val="007433F9"/>
    <w:rsid w:val="00751069"/>
    <w:rsid w:val="007536B3"/>
    <w:rsid w:val="007542D6"/>
    <w:rsid w:val="0076402F"/>
    <w:rsid w:val="007713CB"/>
    <w:rsid w:val="00771C54"/>
    <w:rsid w:val="00774412"/>
    <w:rsid w:val="00776319"/>
    <w:rsid w:val="00783AC8"/>
    <w:rsid w:val="007A3405"/>
    <w:rsid w:val="007A4319"/>
    <w:rsid w:val="007D0303"/>
    <w:rsid w:val="007D1933"/>
    <w:rsid w:val="007E3883"/>
    <w:rsid w:val="00807EC5"/>
    <w:rsid w:val="008107DD"/>
    <w:rsid w:val="00820B5E"/>
    <w:rsid w:val="00825EAF"/>
    <w:rsid w:val="0083351B"/>
    <w:rsid w:val="008354FD"/>
    <w:rsid w:val="008378B1"/>
    <w:rsid w:val="00846BCC"/>
    <w:rsid w:val="00847A97"/>
    <w:rsid w:val="00852BE6"/>
    <w:rsid w:val="00856EA4"/>
    <w:rsid w:val="00864AD1"/>
    <w:rsid w:val="0087045C"/>
    <w:rsid w:val="00870BF0"/>
    <w:rsid w:val="00887D54"/>
    <w:rsid w:val="008C01A0"/>
    <w:rsid w:val="008C3CF1"/>
    <w:rsid w:val="008D02FB"/>
    <w:rsid w:val="008D104B"/>
    <w:rsid w:val="008D5785"/>
    <w:rsid w:val="008E7EC4"/>
    <w:rsid w:val="008F536D"/>
    <w:rsid w:val="009019AB"/>
    <w:rsid w:val="0090200F"/>
    <w:rsid w:val="00903D9D"/>
    <w:rsid w:val="00910111"/>
    <w:rsid w:val="00931145"/>
    <w:rsid w:val="00931250"/>
    <w:rsid w:val="00932C26"/>
    <w:rsid w:val="00941659"/>
    <w:rsid w:val="00946389"/>
    <w:rsid w:val="00951AAB"/>
    <w:rsid w:val="00962C02"/>
    <w:rsid w:val="00965C36"/>
    <w:rsid w:val="00974E17"/>
    <w:rsid w:val="00977D7F"/>
    <w:rsid w:val="009912EB"/>
    <w:rsid w:val="00991B2E"/>
    <w:rsid w:val="009A1F90"/>
    <w:rsid w:val="009B2AD4"/>
    <w:rsid w:val="009D081D"/>
    <w:rsid w:val="009D21FF"/>
    <w:rsid w:val="009D3184"/>
    <w:rsid w:val="009D47A7"/>
    <w:rsid w:val="009D79C6"/>
    <w:rsid w:val="009E2567"/>
    <w:rsid w:val="009F2873"/>
    <w:rsid w:val="009F63BA"/>
    <w:rsid w:val="00A00D63"/>
    <w:rsid w:val="00A02B38"/>
    <w:rsid w:val="00A05BFF"/>
    <w:rsid w:val="00A0615F"/>
    <w:rsid w:val="00A06572"/>
    <w:rsid w:val="00A1544B"/>
    <w:rsid w:val="00A1727B"/>
    <w:rsid w:val="00A253DE"/>
    <w:rsid w:val="00A2781E"/>
    <w:rsid w:val="00A46961"/>
    <w:rsid w:val="00AA38D7"/>
    <w:rsid w:val="00AB57AB"/>
    <w:rsid w:val="00AC4E2A"/>
    <w:rsid w:val="00AD3728"/>
    <w:rsid w:val="00AD734A"/>
    <w:rsid w:val="00AE1310"/>
    <w:rsid w:val="00AF145C"/>
    <w:rsid w:val="00AF7258"/>
    <w:rsid w:val="00B15C88"/>
    <w:rsid w:val="00B165CA"/>
    <w:rsid w:val="00B404D6"/>
    <w:rsid w:val="00B41809"/>
    <w:rsid w:val="00B4313D"/>
    <w:rsid w:val="00B51908"/>
    <w:rsid w:val="00B6355E"/>
    <w:rsid w:val="00B73CB9"/>
    <w:rsid w:val="00B741C9"/>
    <w:rsid w:val="00B744E0"/>
    <w:rsid w:val="00B82FCC"/>
    <w:rsid w:val="00B85EDB"/>
    <w:rsid w:val="00B87EBB"/>
    <w:rsid w:val="00B946CD"/>
    <w:rsid w:val="00BB1ECC"/>
    <w:rsid w:val="00BB43CD"/>
    <w:rsid w:val="00BE3EA5"/>
    <w:rsid w:val="00C006E7"/>
    <w:rsid w:val="00C10516"/>
    <w:rsid w:val="00C157D3"/>
    <w:rsid w:val="00C2738F"/>
    <w:rsid w:val="00C36964"/>
    <w:rsid w:val="00C46727"/>
    <w:rsid w:val="00C506B2"/>
    <w:rsid w:val="00C50931"/>
    <w:rsid w:val="00C545BF"/>
    <w:rsid w:val="00C55975"/>
    <w:rsid w:val="00C57ABF"/>
    <w:rsid w:val="00C624C6"/>
    <w:rsid w:val="00C70061"/>
    <w:rsid w:val="00C71E45"/>
    <w:rsid w:val="00C76525"/>
    <w:rsid w:val="00C77A4B"/>
    <w:rsid w:val="00C82F76"/>
    <w:rsid w:val="00C94B30"/>
    <w:rsid w:val="00CB0146"/>
    <w:rsid w:val="00CC515B"/>
    <w:rsid w:val="00CD71AB"/>
    <w:rsid w:val="00CF10BA"/>
    <w:rsid w:val="00D04BAE"/>
    <w:rsid w:val="00D143D3"/>
    <w:rsid w:val="00D22738"/>
    <w:rsid w:val="00D35C27"/>
    <w:rsid w:val="00D36981"/>
    <w:rsid w:val="00D520CC"/>
    <w:rsid w:val="00D6219D"/>
    <w:rsid w:val="00D665DD"/>
    <w:rsid w:val="00D66852"/>
    <w:rsid w:val="00D71695"/>
    <w:rsid w:val="00D74413"/>
    <w:rsid w:val="00D7462A"/>
    <w:rsid w:val="00D94EBF"/>
    <w:rsid w:val="00D961E7"/>
    <w:rsid w:val="00D97BF1"/>
    <w:rsid w:val="00DA5C93"/>
    <w:rsid w:val="00DB5518"/>
    <w:rsid w:val="00DC5D38"/>
    <w:rsid w:val="00DC64F8"/>
    <w:rsid w:val="00DD4C12"/>
    <w:rsid w:val="00DF7886"/>
    <w:rsid w:val="00E0163F"/>
    <w:rsid w:val="00E0743A"/>
    <w:rsid w:val="00E177B6"/>
    <w:rsid w:val="00E22472"/>
    <w:rsid w:val="00E23AFA"/>
    <w:rsid w:val="00E2425C"/>
    <w:rsid w:val="00E331C7"/>
    <w:rsid w:val="00E43888"/>
    <w:rsid w:val="00E62D90"/>
    <w:rsid w:val="00E83947"/>
    <w:rsid w:val="00E859A8"/>
    <w:rsid w:val="00E87B3D"/>
    <w:rsid w:val="00EA0AA4"/>
    <w:rsid w:val="00EA50A3"/>
    <w:rsid w:val="00EB52E8"/>
    <w:rsid w:val="00ED1F58"/>
    <w:rsid w:val="00ED1F86"/>
    <w:rsid w:val="00ED4134"/>
    <w:rsid w:val="00F35481"/>
    <w:rsid w:val="00F45528"/>
    <w:rsid w:val="00F45ACC"/>
    <w:rsid w:val="00F620E7"/>
    <w:rsid w:val="00F63A18"/>
    <w:rsid w:val="00F64DA7"/>
    <w:rsid w:val="00F654A8"/>
    <w:rsid w:val="00F77424"/>
    <w:rsid w:val="00F77A4C"/>
    <w:rsid w:val="00F82E7F"/>
    <w:rsid w:val="00F901F7"/>
    <w:rsid w:val="00FA1173"/>
    <w:rsid w:val="00FB7508"/>
    <w:rsid w:val="00FC0812"/>
    <w:rsid w:val="00FC2BBD"/>
    <w:rsid w:val="00FC30F6"/>
    <w:rsid w:val="00FC56F5"/>
    <w:rsid w:val="00FD0350"/>
    <w:rsid w:val="00FE301A"/>
    <w:rsid w:val="00FE6045"/>
    <w:rsid w:val="00FE60F8"/>
    <w:rsid w:val="00FF4795"/>
    <w:rsid w:val="00FF526C"/>
    <w:rsid w:val="01780EF9"/>
    <w:rsid w:val="01CB2A7B"/>
    <w:rsid w:val="020860CF"/>
    <w:rsid w:val="020D3703"/>
    <w:rsid w:val="03AB7C5D"/>
    <w:rsid w:val="040A3821"/>
    <w:rsid w:val="047926A5"/>
    <w:rsid w:val="050D6405"/>
    <w:rsid w:val="07564C61"/>
    <w:rsid w:val="08AC1C81"/>
    <w:rsid w:val="09062DA7"/>
    <w:rsid w:val="090A12E5"/>
    <w:rsid w:val="09E15DD1"/>
    <w:rsid w:val="0B090A1F"/>
    <w:rsid w:val="0B335300"/>
    <w:rsid w:val="0BB337C2"/>
    <w:rsid w:val="0CEE350C"/>
    <w:rsid w:val="0D705876"/>
    <w:rsid w:val="0E244E37"/>
    <w:rsid w:val="0E2B7E7C"/>
    <w:rsid w:val="0EAF5FBB"/>
    <w:rsid w:val="0FCD1841"/>
    <w:rsid w:val="0FD26785"/>
    <w:rsid w:val="10BD54F1"/>
    <w:rsid w:val="1100609C"/>
    <w:rsid w:val="11393282"/>
    <w:rsid w:val="11C66D88"/>
    <w:rsid w:val="11E76422"/>
    <w:rsid w:val="12CA7E32"/>
    <w:rsid w:val="12EE189B"/>
    <w:rsid w:val="144243A5"/>
    <w:rsid w:val="14EF69A4"/>
    <w:rsid w:val="17836C10"/>
    <w:rsid w:val="1805305C"/>
    <w:rsid w:val="18F7519C"/>
    <w:rsid w:val="191A7F17"/>
    <w:rsid w:val="1941243D"/>
    <w:rsid w:val="1A2510D6"/>
    <w:rsid w:val="1A554066"/>
    <w:rsid w:val="1AB04193"/>
    <w:rsid w:val="1ACA78BD"/>
    <w:rsid w:val="1BAC61D3"/>
    <w:rsid w:val="1C91434E"/>
    <w:rsid w:val="1CE712DE"/>
    <w:rsid w:val="1E376B1E"/>
    <w:rsid w:val="1EAD763C"/>
    <w:rsid w:val="1FD420B6"/>
    <w:rsid w:val="20B111E1"/>
    <w:rsid w:val="22680686"/>
    <w:rsid w:val="23292BDD"/>
    <w:rsid w:val="23963804"/>
    <w:rsid w:val="248056B7"/>
    <w:rsid w:val="25041AEB"/>
    <w:rsid w:val="25A822B9"/>
    <w:rsid w:val="262C5795"/>
    <w:rsid w:val="26DC70EF"/>
    <w:rsid w:val="2A227644"/>
    <w:rsid w:val="2A53244F"/>
    <w:rsid w:val="2AD8220F"/>
    <w:rsid w:val="2BBC6351"/>
    <w:rsid w:val="2BF64725"/>
    <w:rsid w:val="2EB5049F"/>
    <w:rsid w:val="30340D58"/>
    <w:rsid w:val="30741651"/>
    <w:rsid w:val="30A967E0"/>
    <w:rsid w:val="30F93072"/>
    <w:rsid w:val="32331233"/>
    <w:rsid w:val="333B5B1E"/>
    <w:rsid w:val="33686F57"/>
    <w:rsid w:val="33D3057B"/>
    <w:rsid w:val="34FE4F49"/>
    <w:rsid w:val="35D12D73"/>
    <w:rsid w:val="36CB5D73"/>
    <w:rsid w:val="372F4799"/>
    <w:rsid w:val="38DE4398"/>
    <w:rsid w:val="39A759E9"/>
    <w:rsid w:val="39C04B48"/>
    <w:rsid w:val="3AE719F1"/>
    <w:rsid w:val="3B9064E7"/>
    <w:rsid w:val="3BD3737A"/>
    <w:rsid w:val="3E473D98"/>
    <w:rsid w:val="3E6C7584"/>
    <w:rsid w:val="3E822DDD"/>
    <w:rsid w:val="3F0978F7"/>
    <w:rsid w:val="3F2063EF"/>
    <w:rsid w:val="3F5A2A09"/>
    <w:rsid w:val="412738A9"/>
    <w:rsid w:val="41B36108"/>
    <w:rsid w:val="41E64ED5"/>
    <w:rsid w:val="427068BB"/>
    <w:rsid w:val="42E449AD"/>
    <w:rsid w:val="43C0385A"/>
    <w:rsid w:val="44673991"/>
    <w:rsid w:val="44AC0411"/>
    <w:rsid w:val="455E2A4D"/>
    <w:rsid w:val="45E305FD"/>
    <w:rsid w:val="46BE2C25"/>
    <w:rsid w:val="46DC2FEC"/>
    <w:rsid w:val="472E7C01"/>
    <w:rsid w:val="473B0B9E"/>
    <w:rsid w:val="48556E97"/>
    <w:rsid w:val="49632DDE"/>
    <w:rsid w:val="4A051356"/>
    <w:rsid w:val="4AAC0DB8"/>
    <w:rsid w:val="4AF51256"/>
    <w:rsid w:val="4B8215E8"/>
    <w:rsid w:val="4B9D1C73"/>
    <w:rsid w:val="4BE16413"/>
    <w:rsid w:val="4CCE4487"/>
    <w:rsid w:val="4D3A4F19"/>
    <w:rsid w:val="4D8D39E4"/>
    <w:rsid w:val="4DD70C0A"/>
    <w:rsid w:val="4DF12FF3"/>
    <w:rsid w:val="4E007BD8"/>
    <w:rsid w:val="4EFC49E7"/>
    <w:rsid w:val="4FA764E0"/>
    <w:rsid w:val="4FC06896"/>
    <w:rsid w:val="505C2285"/>
    <w:rsid w:val="506C6001"/>
    <w:rsid w:val="51114346"/>
    <w:rsid w:val="51770EA3"/>
    <w:rsid w:val="52A844F9"/>
    <w:rsid w:val="53846F13"/>
    <w:rsid w:val="567809C3"/>
    <w:rsid w:val="58057E1D"/>
    <w:rsid w:val="5CC372E6"/>
    <w:rsid w:val="5CF07181"/>
    <w:rsid w:val="5D252F3A"/>
    <w:rsid w:val="5D2B4642"/>
    <w:rsid w:val="5D4B58CF"/>
    <w:rsid w:val="5E535FA9"/>
    <w:rsid w:val="5EE11D45"/>
    <w:rsid w:val="5EF33802"/>
    <w:rsid w:val="5F1A6323"/>
    <w:rsid w:val="5F2604BF"/>
    <w:rsid w:val="5F586468"/>
    <w:rsid w:val="5F6661A5"/>
    <w:rsid w:val="5FA911F0"/>
    <w:rsid w:val="60BC0EE0"/>
    <w:rsid w:val="60D75330"/>
    <w:rsid w:val="61FA07B1"/>
    <w:rsid w:val="628C062B"/>
    <w:rsid w:val="634A370D"/>
    <w:rsid w:val="63581967"/>
    <w:rsid w:val="63937C6D"/>
    <w:rsid w:val="64161385"/>
    <w:rsid w:val="645442A7"/>
    <w:rsid w:val="64B4616E"/>
    <w:rsid w:val="650C3A18"/>
    <w:rsid w:val="66244013"/>
    <w:rsid w:val="66386FB5"/>
    <w:rsid w:val="67275A4C"/>
    <w:rsid w:val="675D158F"/>
    <w:rsid w:val="67993D43"/>
    <w:rsid w:val="682835E1"/>
    <w:rsid w:val="6861624C"/>
    <w:rsid w:val="69171A5E"/>
    <w:rsid w:val="694408A4"/>
    <w:rsid w:val="69E85802"/>
    <w:rsid w:val="6AF31CA8"/>
    <w:rsid w:val="6C303D0F"/>
    <w:rsid w:val="6C3C46FD"/>
    <w:rsid w:val="6C5F4D83"/>
    <w:rsid w:val="6E84636C"/>
    <w:rsid w:val="6F2B0542"/>
    <w:rsid w:val="6F927F33"/>
    <w:rsid w:val="6FB41C14"/>
    <w:rsid w:val="6FFB6495"/>
    <w:rsid w:val="70781B48"/>
    <w:rsid w:val="71FB447A"/>
    <w:rsid w:val="721655D0"/>
    <w:rsid w:val="723733DE"/>
    <w:rsid w:val="72546266"/>
    <w:rsid w:val="738926AE"/>
    <w:rsid w:val="73F33E97"/>
    <w:rsid w:val="755E3B9C"/>
    <w:rsid w:val="76D016F1"/>
    <w:rsid w:val="78807364"/>
    <w:rsid w:val="78D4269D"/>
    <w:rsid w:val="7A6D3881"/>
    <w:rsid w:val="7B43526F"/>
    <w:rsid w:val="7BA10189"/>
    <w:rsid w:val="7BDA36B5"/>
    <w:rsid w:val="7C2B0E7C"/>
    <w:rsid w:val="7D073503"/>
    <w:rsid w:val="7E130E4E"/>
    <w:rsid w:val="7E7D325D"/>
    <w:rsid w:val="7ECC6A62"/>
    <w:rsid w:val="7F1D3298"/>
    <w:rsid w:val="7FB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4"/>
    <w:qFormat/>
    <w:uiPriority w:val="0"/>
    <w:pPr>
      <w:spacing w:after="120"/>
    </w:pPr>
    <w:rPr>
      <w:rFonts w:ascii="Times New Roman" w:hAnsi="Times New Roman" w:cs="Times New Roman"/>
      <w:sz w:val="32"/>
      <w:szCs w:val="20"/>
    </w:rPr>
  </w:style>
  <w:style w:type="paragraph" w:styleId="3">
    <w:name w:val="toc 5"/>
    <w:basedOn w:val="1"/>
    <w:next w:val="1"/>
    <w:semiHidden/>
    <w:unhideWhenUsed/>
    <w:qFormat/>
    <w:uiPriority w:val="39"/>
    <w:pPr>
      <w:ind w:left="1680" w:leftChars="8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 字符"/>
    <w:basedOn w:val="10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5">
    <w:name w:val="修订1"/>
    <w:hidden/>
    <w:unhideWhenUsed/>
    <w:qFormat/>
    <w:uiPriority w:val="99"/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paragraph" w:customStyle="1" w:styleId="16">
    <w:name w:val="Revision"/>
    <w:hidden/>
    <w:unhideWhenUsed/>
    <w:qFormat/>
    <w:uiPriority w:val="99"/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E477A-FAD0-4AD4-9C90-9838F3D645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2972</Words>
  <Characters>3546</Characters>
  <Lines>28</Lines>
  <Paragraphs>8</Paragraphs>
  <TotalTime>161</TotalTime>
  <ScaleCrop>false</ScaleCrop>
  <LinksUpToDate>false</LinksUpToDate>
  <CharactersWithSpaces>3547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2024-05-23T01:22:00Z</dcterms:created>
  <dc:creator>柏恒 谢</dc:creator>
  <cp:lastModifiedBy>刘谕琳</cp:lastModifiedBy>
  <cp:lastPrinted>2025-11-24T06:34:00Z</cp:lastPrinted>
  <dcterms:modified xsi:type="dcterms:W3CDTF">2025-11-25T03:17:12Z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D4F9CB93331F4D1FBCE72CF99AFD8853_13</vt:lpwstr>
  </property>
</Properties>
</file>