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黑体" w:cs="Times New Roman"/>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黑体" w:cs="Times New Roman"/>
          <w:b w:val="0"/>
          <w:bCs w:val="0"/>
          <w:sz w:val="21"/>
          <w:szCs w:val="21"/>
        </w:rPr>
      </w:pP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方正小标宋简体" w:cs="Times New Roman"/>
          <w:kern w:val="18"/>
          <w:sz w:val="44"/>
          <w:szCs w:val="44"/>
          <w:lang w:val="en-US" w:eastAsia="zh-CN"/>
        </w:rPr>
      </w:pPr>
      <w:r>
        <w:rPr>
          <w:rFonts w:hint="default" w:ascii="Times New Roman" w:hAnsi="Times New Roman" w:eastAsia="方正小标宋简体" w:cs="Times New Roman"/>
          <w:kern w:val="18"/>
          <w:sz w:val="44"/>
          <w:szCs w:val="44"/>
        </w:rPr>
        <w:t>黄圃镇</w:t>
      </w:r>
      <w:r>
        <w:rPr>
          <w:rFonts w:hint="default" w:ascii="Times New Roman" w:hAnsi="Times New Roman" w:eastAsia="方正小标宋简体" w:cs="Times New Roman"/>
          <w:kern w:val="18"/>
          <w:sz w:val="44"/>
          <w:szCs w:val="44"/>
          <w:lang w:eastAsia="zh-CN"/>
        </w:rPr>
        <w:t>202</w:t>
      </w:r>
      <w:r>
        <w:rPr>
          <w:rFonts w:hint="eastAsia" w:eastAsia="方正小标宋简体" w:cs="Times New Roman"/>
          <w:kern w:val="18"/>
          <w:sz w:val="44"/>
          <w:szCs w:val="44"/>
          <w:lang w:val="en-US" w:eastAsia="zh-CN"/>
        </w:rPr>
        <w:t>4</w:t>
      </w:r>
      <w:r>
        <w:rPr>
          <w:rFonts w:hint="default" w:ascii="Times New Roman" w:hAnsi="Times New Roman" w:eastAsia="方正小标宋简体" w:cs="Times New Roman"/>
          <w:kern w:val="18"/>
          <w:sz w:val="44"/>
          <w:szCs w:val="44"/>
        </w:rPr>
        <w:t>年财政</w:t>
      </w:r>
      <w:r>
        <w:rPr>
          <w:rFonts w:hint="default" w:ascii="Times New Roman" w:hAnsi="Times New Roman" w:eastAsia="方正小标宋简体" w:cs="Times New Roman"/>
          <w:kern w:val="18"/>
          <w:sz w:val="44"/>
          <w:szCs w:val="44"/>
          <w:lang w:val="en-US" w:eastAsia="zh-CN"/>
        </w:rPr>
        <w:t>决算</w:t>
      </w:r>
      <w:r>
        <w:rPr>
          <w:rFonts w:hint="default" w:ascii="Times New Roman" w:hAnsi="Times New Roman" w:eastAsia="方正小标宋简体" w:cs="Times New Roman"/>
          <w:kern w:val="18"/>
          <w:sz w:val="44"/>
          <w:szCs w:val="44"/>
        </w:rPr>
        <w:t>草案的报告</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2024年镇财政工作在镇党委的</w:t>
      </w:r>
      <w:r>
        <w:rPr>
          <w:rFonts w:hint="eastAsia" w:eastAsia="仿宋_GB2312" w:cs="Times New Roman"/>
          <w:b w:val="0"/>
          <w:bCs w:val="0"/>
          <w:color w:val="auto"/>
          <w:sz w:val="32"/>
          <w:szCs w:val="32"/>
          <w:highlight w:val="none"/>
          <w:lang w:val="en-US" w:eastAsia="zh-CN"/>
        </w:rPr>
        <w:t>正确</w:t>
      </w:r>
      <w:r>
        <w:rPr>
          <w:rFonts w:hint="default" w:ascii="Times New Roman" w:hAnsi="Times New Roman" w:eastAsia="仿宋_GB2312" w:cs="Times New Roman"/>
          <w:b w:val="0"/>
          <w:bCs w:val="0"/>
          <w:color w:val="auto"/>
          <w:sz w:val="32"/>
          <w:szCs w:val="32"/>
          <w:highlight w:val="none"/>
          <w:lang w:val="en-US" w:eastAsia="zh-CN"/>
        </w:rPr>
        <w:t>领导下，在镇人大、纪检监察部门的监督支持下，把坚持高质量发展作为工作主线，坚持稳中求进工作总基调</w:t>
      </w:r>
      <w:bookmarkStart w:id="0" w:name="_GoBack"/>
      <w:bookmarkEnd w:id="0"/>
      <w:r>
        <w:rPr>
          <w:rFonts w:hint="default" w:ascii="Times New Roman" w:hAnsi="Times New Roman" w:eastAsia="仿宋_GB2312" w:cs="Times New Roman"/>
          <w:b w:val="0"/>
          <w:bCs w:val="0"/>
          <w:color w:val="auto"/>
          <w:sz w:val="32"/>
          <w:szCs w:val="32"/>
          <w:highlight w:val="none"/>
          <w:lang w:val="en-US" w:eastAsia="zh-CN"/>
        </w:rPr>
        <w:t>，积极抓收入、保民生、促发展、防风险，全年财政运行平稳。</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黑体" w:cs="Times New Roman"/>
          <w:bCs/>
          <w:kern w:val="18"/>
          <w:sz w:val="32"/>
          <w:szCs w:val="32"/>
          <w:u w:val="none"/>
        </w:rPr>
      </w:pPr>
      <w:r>
        <w:rPr>
          <w:rFonts w:hint="default" w:ascii="Times New Roman" w:hAnsi="Times New Roman" w:eastAsia="黑体" w:cs="Times New Roman"/>
          <w:bCs/>
          <w:kern w:val="18"/>
          <w:sz w:val="32"/>
          <w:szCs w:val="32"/>
          <w:u w:val="none"/>
        </w:rPr>
        <w:t>一、</w:t>
      </w:r>
      <w:r>
        <w:rPr>
          <w:rFonts w:hint="default" w:ascii="Times New Roman" w:hAnsi="Times New Roman" w:eastAsia="黑体" w:cs="Times New Roman"/>
          <w:bCs/>
          <w:kern w:val="18"/>
          <w:sz w:val="32"/>
          <w:szCs w:val="32"/>
          <w:u w:val="none"/>
          <w:lang w:eastAsia="zh-CN"/>
        </w:rPr>
        <w:t>2024</w:t>
      </w:r>
      <w:r>
        <w:rPr>
          <w:rFonts w:hint="default" w:ascii="Times New Roman" w:hAnsi="Times New Roman" w:eastAsia="黑体" w:cs="Times New Roman"/>
          <w:bCs/>
          <w:kern w:val="18"/>
          <w:sz w:val="32"/>
          <w:szCs w:val="32"/>
          <w:u w:val="none"/>
        </w:rPr>
        <w:t>年财政收入情况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0000FF"/>
          <w:kern w:val="18"/>
          <w:sz w:val="32"/>
          <w:szCs w:val="32"/>
        </w:rPr>
      </w:pPr>
      <w:r>
        <w:rPr>
          <w:rFonts w:hint="default" w:ascii="Times New Roman" w:hAnsi="Times New Roman" w:eastAsia="仿宋_GB2312" w:cs="Times New Roman"/>
          <w:kern w:val="18"/>
          <w:sz w:val="32"/>
          <w:szCs w:val="32"/>
          <w:lang w:eastAsia="zh-CN"/>
        </w:rPr>
        <w:t>2024</w:t>
      </w:r>
      <w:r>
        <w:rPr>
          <w:rFonts w:hint="default" w:ascii="Times New Roman" w:hAnsi="Times New Roman" w:eastAsia="仿宋_GB2312" w:cs="Times New Roman"/>
          <w:b w:val="0"/>
          <w:bCs w:val="0"/>
          <w:sz w:val="32"/>
          <w:szCs w:val="32"/>
          <w:highlight w:val="none"/>
          <w:lang w:val="en-US" w:eastAsia="zh-CN"/>
        </w:rPr>
        <w:t>年我</w:t>
      </w:r>
      <w:r>
        <w:rPr>
          <w:rFonts w:hint="default" w:ascii="Times New Roman" w:hAnsi="Times New Roman" w:eastAsia="仿宋_GB2312" w:cs="Times New Roman"/>
          <w:b w:val="0"/>
          <w:bCs w:val="0"/>
          <w:color w:val="auto"/>
          <w:sz w:val="32"/>
          <w:szCs w:val="32"/>
          <w:highlight w:val="none"/>
          <w:lang w:val="en-US" w:eastAsia="zh-CN"/>
        </w:rPr>
        <w:t>镇实现财政收入175,394万元，完成年度预算的90.5%。加以前年度结余（转）35,939万元，实际财政可支配收入211,333万元。其中：</w:t>
      </w:r>
      <w:r>
        <w:rPr>
          <w:rFonts w:hint="default" w:ascii="Times New Roman" w:hAnsi="Times New Roman" w:eastAsia="仿宋_GB2312" w:cs="Times New Roman"/>
          <w:color w:val="auto"/>
          <w:kern w:val="18"/>
          <w:sz w:val="32"/>
          <w:szCs w:val="32"/>
        </w:rPr>
        <w:t xml:space="preserve"> </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18"/>
          <w:sz w:val="32"/>
          <w:szCs w:val="32"/>
          <w:lang w:eastAsia="zh-CN"/>
        </w:rPr>
        <w:t>（</w:t>
      </w:r>
      <w:r>
        <w:rPr>
          <w:rFonts w:hint="default" w:ascii="Times New Roman" w:hAnsi="Times New Roman" w:eastAsia="仿宋_GB2312" w:cs="Times New Roman"/>
          <w:color w:val="auto"/>
          <w:kern w:val="18"/>
          <w:sz w:val="32"/>
          <w:szCs w:val="32"/>
          <w:lang w:val="en-US" w:eastAsia="zh-CN"/>
        </w:rPr>
        <w:t>一</w:t>
      </w:r>
      <w:r>
        <w:rPr>
          <w:rFonts w:hint="default" w:ascii="Times New Roman" w:hAnsi="Times New Roman" w:eastAsia="仿宋_GB2312" w:cs="Times New Roman"/>
          <w:color w:val="auto"/>
          <w:kern w:val="18"/>
          <w:sz w:val="32"/>
          <w:szCs w:val="32"/>
          <w:lang w:eastAsia="zh-CN"/>
        </w:rPr>
        <w:t>）</w:t>
      </w:r>
      <w:r>
        <w:rPr>
          <w:rFonts w:hint="default" w:ascii="Times New Roman" w:hAnsi="Times New Roman" w:eastAsia="仿宋_GB2312" w:cs="Times New Roman"/>
          <w:color w:val="auto"/>
          <w:kern w:val="18"/>
          <w:sz w:val="32"/>
          <w:szCs w:val="32"/>
        </w:rPr>
        <w:t>一般公共预算收入</w:t>
      </w:r>
      <w:r>
        <w:rPr>
          <w:rFonts w:hint="default" w:ascii="Times New Roman" w:hAnsi="Times New Roman" w:eastAsia="仿宋_GB2312" w:cs="Times New Roman"/>
          <w:color w:val="auto"/>
          <w:kern w:val="18"/>
          <w:sz w:val="32"/>
          <w:szCs w:val="32"/>
          <w:lang w:val="en-US" w:eastAsia="zh-CN"/>
        </w:rPr>
        <w:t>65,091</w:t>
      </w:r>
      <w:r>
        <w:rPr>
          <w:rFonts w:hint="default" w:ascii="Times New Roman" w:hAnsi="Times New Roman" w:eastAsia="仿宋_GB2312" w:cs="Times New Roman"/>
          <w:color w:val="auto"/>
          <w:kern w:val="18"/>
          <w:sz w:val="32"/>
          <w:szCs w:val="32"/>
        </w:rPr>
        <w:t>万元</w:t>
      </w:r>
      <w:r>
        <w:rPr>
          <w:rFonts w:hint="default" w:ascii="Times New Roman" w:hAnsi="Times New Roman" w:eastAsia="仿宋_GB2312" w:cs="Times New Roman"/>
          <w:color w:val="auto"/>
          <w:kern w:val="18"/>
          <w:sz w:val="32"/>
          <w:szCs w:val="32"/>
          <w:u w:val="none"/>
        </w:rPr>
        <w:t>，</w:t>
      </w:r>
      <w:r>
        <w:rPr>
          <w:rFonts w:hint="default" w:ascii="Times New Roman" w:hAnsi="Times New Roman" w:eastAsia="仿宋_GB2312" w:cs="Times New Roman"/>
          <w:color w:val="auto"/>
          <w:sz w:val="32"/>
          <w:szCs w:val="32"/>
          <w:u w:val="none"/>
        </w:rPr>
        <w:t>完成年度预算的</w:t>
      </w:r>
      <w:r>
        <w:rPr>
          <w:rFonts w:hint="default" w:ascii="Times New Roman" w:hAnsi="Times New Roman" w:eastAsia="仿宋_GB2312" w:cs="Times New Roman"/>
          <w:color w:val="auto"/>
          <w:sz w:val="32"/>
          <w:szCs w:val="32"/>
          <w:u w:val="none"/>
          <w:lang w:val="en-US" w:eastAsia="zh-CN"/>
        </w:rPr>
        <w:t>96.1</w:t>
      </w:r>
      <w:r>
        <w:rPr>
          <w:rFonts w:hint="default" w:ascii="Times New Roman" w:hAnsi="Times New Roman" w:eastAsia="仿宋_GB2312" w:cs="Times New Roman"/>
          <w:color w:val="auto"/>
          <w:sz w:val="32"/>
          <w:szCs w:val="32"/>
          <w:u w:val="none"/>
        </w:rPr>
        <w:t>%</w:t>
      </w:r>
      <w:r>
        <w:rPr>
          <w:rFonts w:hint="default" w:ascii="Times New Roman" w:hAnsi="Times New Roman" w:eastAsia="仿宋_GB2312" w:cs="Times New Roman"/>
          <w:color w:val="auto"/>
          <w:sz w:val="32"/>
          <w:szCs w:val="32"/>
          <w:u w:val="none"/>
          <w:lang w:val="en-US" w:eastAsia="zh-CN"/>
        </w:rPr>
        <w:t>，比增15.5%</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其中：</w:t>
      </w:r>
      <w:r>
        <w:rPr>
          <w:rFonts w:hint="default" w:ascii="Times New Roman" w:hAnsi="Times New Roman" w:eastAsia="仿宋_GB2312" w:cs="Times New Roman"/>
          <w:color w:val="auto"/>
          <w:kern w:val="18"/>
          <w:sz w:val="32"/>
          <w:szCs w:val="32"/>
        </w:rPr>
        <w:t>税收分成收入</w:t>
      </w:r>
      <w:r>
        <w:rPr>
          <w:rFonts w:hint="default" w:ascii="Times New Roman" w:hAnsi="Times New Roman" w:eastAsia="仿宋_GB2312" w:cs="Times New Roman"/>
          <w:color w:val="auto"/>
          <w:kern w:val="18"/>
          <w:sz w:val="32"/>
          <w:szCs w:val="32"/>
          <w:lang w:val="en-US" w:eastAsia="zh-CN"/>
        </w:rPr>
        <w:t>32,157</w:t>
      </w:r>
      <w:r>
        <w:rPr>
          <w:rFonts w:hint="default" w:ascii="Times New Roman" w:hAnsi="Times New Roman" w:eastAsia="仿宋_GB2312" w:cs="Times New Roman"/>
          <w:color w:val="auto"/>
          <w:kern w:val="18"/>
          <w:sz w:val="32"/>
          <w:szCs w:val="32"/>
        </w:rPr>
        <w:t>万元</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kern w:val="18"/>
          <w:sz w:val="32"/>
          <w:szCs w:val="32"/>
        </w:rPr>
        <w:t>非税收入</w:t>
      </w:r>
      <w:r>
        <w:rPr>
          <w:rFonts w:hint="default" w:ascii="Times New Roman" w:hAnsi="Times New Roman" w:eastAsia="仿宋_GB2312" w:cs="Times New Roman"/>
          <w:color w:val="auto"/>
          <w:kern w:val="18"/>
          <w:sz w:val="32"/>
          <w:szCs w:val="32"/>
          <w:lang w:val="en-US" w:eastAsia="zh-CN"/>
        </w:rPr>
        <w:t>32,934</w:t>
      </w:r>
      <w:r>
        <w:rPr>
          <w:rFonts w:hint="default" w:ascii="Times New Roman" w:hAnsi="Times New Roman" w:eastAsia="仿宋_GB2312" w:cs="Times New Roman"/>
          <w:color w:val="auto"/>
          <w:kern w:val="18"/>
          <w:sz w:val="32"/>
          <w:szCs w:val="32"/>
        </w:rPr>
        <w:t>万元</w:t>
      </w:r>
      <w:r>
        <w:rPr>
          <w:rFonts w:hint="default" w:ascii="Times New Roman" w:hAnsi="Times New Roman" w:eastAsia="仿宋_GB2312" w:cs="Times New Roman"/>
          <w:color w:val="auto"/>
          <w:sz w:val="32"/>
          <w:szCs w:val="32"/>
        </w:rPr>
        <w:t>。</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snapToGrid w:val="0"/>
          <w:color w:val="auto"/>
          <w:spacing w:val="-6"/>
          <w:kern w:val="0"/>
          <w:sz w:val="32"/>
          <w:szCs w:val="32"/>
          <w:highlight w:val="none"/>
          <w:lang w:val="en-US" w:eastAsia="zh-CN"/>
        </w:rPr>
      </w:pPr>
      <w:r>
        <w:rPr>
          <w:rFonts w:hint="default" w:ascii="Times New Roman" w:hAnsi="Times New Roman" w:eastAsia="仿宋_GB2312" w:cs="Times New Roman"/>
          <w:color w:val="auto"/>
          <w:sz w:val="32"/>
          <w:szCs w:val="32"/>
          <w:lang w:eastAsia="zh-CN"/>
        </w:rPr>
        <w:t>（二）</w:t>
      </w:r>
      <w:r>
        <w:rPr>
          <w:rFonts w:hint="default" w:ascii="Times New Roman" w:hAnsi="Times New Roman" w:eastAsia="仿宋_GB2312" w:cs="Times New Roman"/>
          <w:color w:val="auto"/>
          <w:kern w:val="18"/>
          <w:sz w:val="32"/>
          <w:szCs w:val="32"/>
        </w:rPr>
        <w:t>上级</w:t>
      </w:r>
      <w:r>
        <w:rPr>
          <w:rFonts w:hint="default" w:ascii="Times New Roman" w:hAnsi="Times New Roman" w:eastAsia="仿宋_GB2312" w:cs="Times New Roman"/>
          <w:color w:val="auto"/>
          <w:kern w:val="18"/>
          <w:sz w:val="32"/>
          <w:szCs w:val="32"/>
          <w:lang w:val="en-US" w:eastAsia="zh-CN"/>
        </w:rPr>
        <w:t>补助</w:t>
      </w:r>
      <w:r>
        <w:rPr>
          <w:rFonts w:hint="default" w:ascii="Times New Roman" w:hAnsi="Times New Roman" w:eastAsia="仿宋_GB2312" w:cs="Times New Roman"/>
          <w:color w:val="auto"/>
          <w:kern w:val="18"/>
          <w:sz w:val="32"/>
          <w:szCs w:val="32"/>
        </w:rPr>
        <w:t>收入</w:t>
      </w:r>
      <w:r>
        <w:rPr>
          <w:rFonts w:hint="default" w:ascii="Times New Roman" w:hAnsi="Times New Roman" w:eastAsia="仿宋_GB2312" w:cs="Times New Roman"/>
          <w:color w:val="auto"/>
          <w:kern w:val="18"/>
          <w:sz w:val="32"/>
          <w:szCs w:val="32"/>
          <w:lang w:val="en-US" w:eastAsia="zh-CN"/>
        </w:rPr>
        <w:t>22,743</w:t>
      </w:r>
      <w:r>
        <w:rPr>
          <w:rFonts w:hint="default" w:ascii="Times New Roman" w:hAnsi="Times New Roman" w:eastAsia="仿宋_GB2312" w:cs="Times New Roman"/>
          <w:color w:val="auto"/>
          <w:kern w:val="18"/>
          <w:sz w:val="32"/>
          <w:szCs w:val="32"/>
        </w:rPr>
        <w:t>万元</w:t>
      </w:r>
      <w:r>
        <w:rPr>
          <w:rFonts w:hint="default" w:ascii="Times New Roman" w:hAnsi="Times New Roman" w:eastAsia="仿宋_GB2312" w:cs="Times New Roman"/>
          <w:color w:val="auto"/>
          <w:kern w:val="18"/>
          <w:sz w:val="32"/>
          <w:szCs w:val="32"/>
          <w:u w:val="none"/>
        </w:rPr>
        <w:t>，</w:t>
      </w:r>
      <w:r>
        <w:rPr>
          <w:rFonts w:hint="default" w:ascii="Times New Roman" w:hAnsi="Times New Roman" w:eastAsia="仿宋_GB2312" w:cs="Times New Roman"/>
          <w:color w:val="auto"/>
          <w:kern w:val="18"/>
          <w:sz w:val="32"/>
          <w:szCs w:val="32"/>
          <w:u w:val="none"/>
          <w:lang w:val="en-US" w:eastAsia="zh-CN"/>
        </w:rPr>
        <w:t>完成年度预算的286.4%，</w:t>
      </w:r>
      <w:r>
        <w:rPr>
          <w:rFonts w:hint="default" w:ascii="Times New Roman" w:hAnsi="Times New Roman" w:eastAsia="仿宋_GB2312" w:cs="Times New Roman"/>
          <w:color w:val="auto"/>
          <w:sz w:val="32"/>
          <w:szCs w:val="32"/>
          <w:u w:val="none"/>
        </w:rPr>
        <w:t>比</w:t>
      </w:r>
      <w:r>
        <w:rPr>
          <w:rFonts w:hint="default" w:ascii="Times New Roman" w:hAnsi="Times New Roman" w:eastAsia="仿宋_GB2312" w:cs="Times New Roman"/>
          <w:color w:val="auto"/>
          <w:sz w:val="32"/>
          <w:szCs w:val="32"/>
          <w:u w:val="none"/>
          <w:lang w:val="en-US" w:eastAsia="zh-CN"/>
        </w:rPr>
        <w:t>减36.6</w:t>
      </w:r>
      <w:r>
        <w:rPr>
          <w:rFonts w:hint="default" w:ascii="Times New Roman" w:hAnsi="Times New Roman" w:eastAsia="仿宋_GB2312" w:cs="Times New Roman"/>
          <w:color w:val="auto"/>
          <w:sz w:val="32"/>
          <w:szCs w:val="32"/>
          <w:u w:val="none"/>
        </w:rPr>
        <w:t>%</w:t>
      </w:r>
      <w:r>
        <w:rPr>
          <w:rFonts w:hint="default" w:ascii="Times New Roman" w:hAnsi="Times New Roman" w:eastAsia="仿宋_GB2312" w:cs="Times New Roman"/>
          <w:snapToGrid w:val="0"/>
          <w:color w:val="auto"/>
          <w:spacing w:val="-6"/>
          <w:kern w:val="0"/>
          <w:sz w:val="32"/>
          <w:szCs w:val="32"/>
          <w:lang w:val="en-US" w:eastAsia="zh-CN"/>
        </w:rPr>
        <w:t>。其中：</w:t>
      </w:r>
      <w:r>
        <w:rPr>
          <w:rFonts w:hint="default" w:ascii="Times New Roman" w:hAnsi="Times New Roman" w:eastAsia="仿宋_GB2312" w:cs="Times New Roman"/>
          <w:color w:val="auto"/>
          <w:kern w:val="18"/>
          <w:sz w:val="32"/>
          <w:szCs w:val="32"/>
          <w:lang w:val="en-US" w:eastAsia="zh-CN"/>
        </w:rPr>
        <w:t>均衡性转移支付5,896万元、政策性转移支付923万元、临时困难救助</w:t>
      </w:r>
      <w:r>
        <w:rPr>
          <w:rFonts w:hint="eastAsia" w:eastAsia="仿宋_GB2312" w:cs="Times New Roman"/>
          <w:color w:val="auto"/>
          <w:kern w:val="18"/>
          <w:sz w:val="32"/>
          <w:szCs w:val="32"/>
          <w:lang w:val="en-US" w:eastAsia="zh-CN"/>
        </w:rPr>
        <w:t>（含结算补助）</w:t>
      </w:r>
      <w:r>
        <w:rPr>
          <w:rFonts w:hint="default" w:ascii="Times New Roman" w:hAnsi="Times New Roman" w:eastAsia="仿宋_GB2312" w:cs="Times New Roman"/>
          <w:color w:val="auto"/>
          <w:kern w:val="18"/>
          <w:sz w:val="32"/>
          <w:szCs w:val="32"/>
          <w:lang w:val="en-US" w:eastAsia="zh-CN"/>
        </w:rPr>
        <w:t>4,80</w:t>
      </w:r>
      <w:r>
        <w:rPr>
          <w:rFonts w:hint="eastAsia" w:eastAsia="仿宋_GB2312" w:cs="Times New Roman"/>
          <w:color w:val="auto"/>
          <w:kern w:val="18"/>
          <w:sz w:val="32"/>
          <w:szCs w:val="32"/>
          <w:lang w:val="en-US" w:eastAsia="zh-CN"/>
        </w:rPr>
        <w:t>2</w:t>
      </w:r>
      <w:r>
        <w:rPr>
          <w:rFonts w:hint="default" w:ascii="Times New Roman" w:hAnsi="Times New Roman" w:eastAsia="仿宋_GB2312" w:cs="Times New Roman"/>
          <w:color w:val="auto"/>
          <w:kern w:val="18"/>
          <w:sz w:val="32"/>
          <w:szCs w:val="32"/>
          <w:lang w:val="en-US" w:eastAsia="zh-CN"/>
        </w:rPr>
        <w:t>万元、专项转移支付11,122万元。减少原因主要为</w:t>
      </w:r>
      <w:r>
        <w:rPr>
          <w:rFonts w:hint="eastAsia" w:eastAsia="仿宋_GB2312" w:cs="Times New Roman"/>
          <w:snapToGrid w:val="0"/>
          <w:color w:val="auto"/>
          <w:spacing w:val="-6"/>
          <w:kern w:val="0"/>
          <w:sz w:val="32"/>
          <w:szCs w:val="32"/>
          <w:highlight w:val="none"/>
          <w:lang w:val="en-US" w:eastAsia="zh-CN"/>
        </w:rPr>
        <w:t>2024</w:t>
      </w:r>
      <w:r>
        <w:rPr>
          <w:rFonts w:hint="default" w:ascii="Times New Roman" w:hAnsi="Times New Roman" w:eastAsia="仿宋_GB2312" w:cs="Times New Roman"/>
          <w:snapToGrid w:val="0"/>
          <w:color w:val="auto"/>
          <w:spacing w:val="-6"/>
          <w:kern w:val="0"/>
          <w:sz w:val="32"/>
          <w:szCs w:val="32"/>
          <w:highlight w:val="none"/>
          <w:lang w:val="en-US" w:eastAsia="zh-CN"/>
        </w:rPr>
        <w:t>年市下达我镇均衡性转移支付收入同比减</w:t>
      </w:r>
      <w:r>
        <w:rPr>
          <w:rFonts w:hint="default" w:ascii="Times New Roman" w:hAnsi="Times New Roman" w:eastAsia="仿宋_GB2312" w:cs="Times New Roman"/>
          <w:b w:val="0"/>
          <w:bCs w:val="0"/>
          <w:color w:val="auto"/>
          <w:kern w:val="2"/>
          <w:sz w:val="32"/>
          <w:szCs w:val="32"/>
          <w:highlight w:val="none"/>
          <w:lang w:val="en-US" w:eastAsia="zh-CN" w:bidi="ar-SA"/>
        </w:rPr>
        <w:t>少约5,000万元、市下拨村镇低效工业园改造升级专项资金及其他</w:t>
      </w:r>
      <w:r>
        <w:rPr>
          <w:rFonts w:hint="default" w:ascii="Times New Roman" w:hAnsi="Times New Roman" w:eastAsia="仿宋_GB2312" w:cs="Times New Roman"/>
          <w:color w:val="auto"/>
          <w:kern w:val="18"/>
          <w:sz w:val="32"/>
          <w:szCs w:val="32"/>
          <w:lang w:val="en-US" w:eastAsia="zh-CN"/>
        </w:rPr>
        <w:t>一次性大额资金同比</w:t>
      </w:r>
      <w:r>
        <w:rPr>
          <w:rFonts w:hint="default" w:ascii="Times New Roman" w:hAnsi="Times New Roman" w:eastAsia="仿宋_GB2312" w:cs="Times New Roman"/>
          <w:snapToGrid w:val="0"/>
          <w:color w:val="auto"/>
          <w:spacing w:val="-6"/>
          <w:kern w:val="0"/>
          <w:sz w:val="32"/>
          <w:szCs w:val="32"/>
          <w:highlight w:val="none"/>
          <w:lang w:val="en-US" w:eastAsia="zh-CN"/>
        </w:rPr>
        <w:t>减少。</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color w:val="auto"/>
          <w:kern w:val="18"/>
          <w:sz w:val="32"/>
          <w:szCs w:val="32"/>
          <w:highlight w:val="none"/>
          <w:lang w:val="en-US" w:eastAsia="zh-CN"/>
        </w:rPr>
      </w:pPr>
      <w:r>
        <w:rPr>
          <w:rFonts w:hint="default" w:ascii="Times New Roman" w:hAnsi="Times New Roman" w:eastAsia="仿宋_GB2312" w:cs="Times New Roman"/>
          <w:color w:val="auto"/>
          <w:kern w:val="18"/>
          <w:sz w:val="32"/>
          <w:szCs w:val="32"/>
          <w:highlight w:val="none"/>
        </w:rPr>
        <w:t>（三）</w:t>
      </w:r>
      <w:r>
        <w:rPr>
          <w:rFonts w:hint="default" w:ascii="Times New Roman" w:hAnsi="Times New Roman" w:eastAsia="仿宋_GB2312" w:cs="Times New Roman"/>
          <w:color w:val="auto"/>
          <w:kern w:val="18"/>
          <w:sz w:val="32"/>
          <w:szCs w:val="32"/>
          <w:highlight w:val="none"/>
          <w:lang w:val="en-US" w:eastAsia="zh-CN"/>
        </w:rPr>
        <w:t>政府性</w:t>
      </w:r>
      <w:r>
        <w:rPr>
          <w:rFonts w:hint="default" w:ascii="Times New Roman" w:hAnsi="Times New Roman" w:eastAsia="仿宋_GB2312" w:cs="Times New Roman"/>
          <w:color w:val="auto"/>
          <w:kern w:val="18"/>
          <w:sz w:val="32"/>
          <w:szCs w:val="32"/>
          <w:highlight w:val="none"/>
        </w:rPr>
        <w:t>基金预算收</w:t>
      </w:r>
      <w:r>
        <w:rPr>
          <w:rFonts w:hint="default" w:ascii="Times New Roman" w:hAnsi="Times New Roman" w:eastAsia="仿宋_GB2312" w:cs="Times New Roman"/>
          <w:b w:val="0"/>
          <w:bCs w:val="0"/>
          <w:color w:val="auto"/>
          <w:sz w:val="32"/>
          <w:szCs w:val="32"/>
          <w:highlight w:val="none"/>
          <w:lang w:val="en-US" w:eastAsia="zh-CN"/>
        </w:rPr>
        <w:t>入27,350万元，完成年度预算的54.3%。受土地政策及市场环境影响</w:t>
      </w:r>
      <w:r>
        <w:rPr>
          <w:rFonts w:hint="default" w:ascii="Times New Roman" w:hAnsi="Times New Roman" w:eastAsia="仿宋_GB2312" w:cs="Times New Roman"/>
          <w:color w:val="auto"/>
          <w:kern w:val="18"/>
          <w:sz w:val="32"/>
          <w:szCs w:val="32"/>
          <w:highlight w:val="none"/>
          <w:lang w:val="en-US" w:eastAsia="zh-CN"/>
        </w:rPr>
        <w:t>，</w:t>
      </w:r>
      <w:r>
        <w:rPr>
          <w:rFonts w:hint="eastAsia" w:eastAsia="仿宋_GB2312" w:cs="Times New Roman"/>
          <w:color w:val="auto"/>
          <w:kern w:val="18"/>
          <w:sz w:val="32"/>
          <w:szCs w:val="32"/>
          <w:highlight w:val="none"/>
          <w:lang w:val="en-US" w:eastAsia="zh-CN"/>
        </w:rPr>
        <w:t>2024</w:t>
      </w:r>
      <w:r>
        <w:rPr>
          <w:rFonts w:hint="default" w:ascii="Times New Roman" w:hAnsi="Times New Roman" w:eastAsia="仿宋_GB2312" w:cs="Times New Roman"/>
          <w:color w:val="auto"/>
          <w:kern w:val="18"/>
          <w:sz w:val="32"/>
          <w:szCs w:val="32"/>
          <w:highlight w:val="none"/>
          <w:lang w:val="en-US" w:eastAsia="zh-CN"/>
        </w:rPr>
        <w:t>年土地出让情况与预期相差较大。</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color w:val="auto"/>
          <w:kern w:val="18"/>
          <w:sz w:val="32"/>
          <w:szCs w:val="32"/>
          <w:lang w:val="en-US" w:eastAsia="zh-CN"/>
        </w:rPr>
      </w:pPr>
      <w:r>
        <w:rPr>
          <w:rFonts w:hint="default" w:ascii="Times New Roman" w:hAnsi="Times New Roman" w:eastAsia="仿宋_GB2312" w:cs="Times New Roman"/>
          <w:color w:val="auto"/>
          <w:kern w:val="18"/>
          <w:sz w:val="32"/>
          <w:szCs w:val="32"/>
        </w:rPr>
        <w:t>（四）</w:t>
      </w:r>
      <w:r>
        <w:rPr>
          <w:rFonts w:hint="default" w:ascii="Times New Roman" w:hAnsi="Times New Roman" w:eastAsia="仿宋_GB2312" w:cs="Times New Roman"/>
          <w:color w:val="auto"/>
          <w:kern w:val="18"/>
          <w:sz w:val="32"/>
          <w:szCs w:val="32"/>
          <w:lang w:val="en-US" w:eastAsia="zh-CN"/>
        </w:rPr>
        <w:t>医疗收入、教育收费</w:t>
      </w:r>
      <w:r>
        <w:rPr>
          <w:rFonts w:hint="default" w:ascii="Times New Roman" w:hAnsi="Times New Roman" w:eastAsia="仿宋_GB2312" w:cs="Times New Roman"/>
          <w:color w:val="auto"/>
          <w:kern w:val="18"/>
          <w:sz w:val="32"/>
          <w:szCs w:val="32"/>
        </w:rPr>
        <w:t>等财政专户收入</w:t>
      </w:r>
      <w:r>
        <w:rPr>
          <w:rFonts w:hint="default" w:ascii="Times New Roman" w:hAnsi="Times New Roman" w:eastAsia="仿宋_GB2312" w:cs="Times New Roman"/>
          <w:color w:val="auto"/>
          <w:kern w:val="18"/>
          <w:sz w:val="32"/>
          <w:szCs w:val="32"/>
          <w:lang w:val="en-US" w:eastAsia="zh-CN"/>
        </w:rPr>
        <w:t>42,882</w:t>
      </w:r>
      <w:r>
        <w:rPr>
          <w:rFonts w:hint="default" w:ascii="Times New Roman" w:hAnsi="Times New Roman" w:eastAsia="仿宋_GB2312" w:cs="Times New Roman"/>
          <w:color w:val="auto"/>
          <w:kern w:val="18"/>
          <w:sz w:val="32"/>
          <w:szCs w:val="32"/>
        </w:rPr>
        <w:t>万元</w:t>
      </w:r>
      <w:r>
        <w:rPr>
          <w:rFonts w:hint="default" w:ascii="Times New Roman" w:hAnsi="Times New Roman" w:eastAsia="仿宋_GB2312" w:cs="Times New Roman"/>
          <w:color w:val="auto"/>
          <w:kern w:val="18"/>
          <w:sz w:val="32"/>
          <w:szCs w:val="32"/>
          <w:lang w:eastAsia="zh-CN"/>
        </w:rPr>
        <w:t>，</w:t>
      </w:r>
      <w:r>
        <w:rPr>
          <w:rFonts w:hint="default" w:ascii="Times New Roman" w:hAnsi="Times New Roman" w:eastAsia="仿宋_GB2312" w:cs="Times New Roman"/>
          <w:color w:val="auto"/>
          <w:kern w:val="18"/>
          <w:sz w:val="32"/>
          <w:szCs w:val="32"/>
          <w:lang w:val="en-US" w:eastAsia="zh-CN"/>
        </w:rPr>
        <w:t>完成年度预算的76.3%。未能完成年度预算收入的主要原因是市土储中心收储我镇土地部分尾款10,000万元未如期划拨。</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color w:val="auto"/>
          <w:kern w:val="18"/>
          <w:sz w:val="32"/>
          <w:szCs w:val="32"/>
          <w:lang w:val="en-US" w:eastAsia="zh-CN"/>
        </w:rPr>
      </w:pPr>
      <w:r>
        <w:rPr>
          <w:rFonts w:hint="default" w:ascii="Times New Roman" w:hAnsi="Times New Roman" w:eastAsia="仿宋_GB2312" w:cs="Times New Roman"/>
          <w:color w:val="auto"/>
          <w:kern w:val="18"/>
          <w:sz w:val="32"/>
          <w:szCs w:val="32"/>
        </w:rPr>
        <w:t>（五）</w:t>
      </w:r>
      <w:r>
        <w:rPr>
          <w:rFonts w:hint="default" w:ascii="Times New Roman" w:hAnsi="Times New Roman" w:eastAsia="仿宋_GB2312" w:cs="Times New Roman"/>
          <w:color w:val="auto"/>
          <w:kern w:val="18"/>
          <w:sz w:val="32"/>
          <w:szCs w:val="32"/>
          <w:lang w:val="en-US" w:eastAsia="zh-CN"/>
        </w:rPr>
        <w:t>债券转贷收</w:t>
      </w:r>
      <w:r>
        <w:rPr>
          <w:rFonts w:hint="default" w:ascii="Times New Roman" w:hAnsi="Times New Roman" w:eastAsia="仿宋_GB2312" w:cs="Times New Roman"/>
          <w:b w:val="0"/>
          <w:bCs w:val="0"/>
          <w:color w:val="auto"/>
          <w:kern w:val="2"/>
          <w:sz w:val="32"/>
          <w:szCs w:val="32"/>
          <w:highlight w:val="none"/>
          <w:lang w:val="en-US" w:eastAsia="zh-CN" w:bidi="ar-SA"/>
        </w:rPr>
        <w:t>入17,282万元，包括一般债券转贷收入-70万元、专项债券转贷收入17,352万元</w:t>
      </w:r>
      <w:r>
        <w:rPr>
          <w:rFonts w:hint="default" w:ascii="Times New Roman" w:hAnsi="Times New Roman" w:eastAsia="仿宋_GB2312" w:cs="Times New Roman"/>
          <w:color w:val="auto"/>
          <w:kern w:val="18"/>
          <w:sz w:val="32"/>
          <w:szCs w:val="32"/>
          <w:lang w:val="en-US" w:eastAsia="zh-CN"/>
        </w:rPr>
        <w:t>。</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color w:val="0000FF"/>
          <w:kern w:val="18"/>
          <w:sz w:val="32"/>
          <w:szCs w:val="32"/>
          <w:lang w:val="en-US" w:eastAsia="zh-CN"/>
        </w:rPr>
      </w:pPr>
      <w:r>
        <w:rPr>
          <w:rFonts w:hint="default" w:ascii="Times New Roman" w:hAnsi="Times New Roman" w:eastAsia="仿宋_GB2312" w:cs="Times New Roman"/>
          <w:color w:val="auto"/>
          <w:kern w:val="18"/>
          <w:sz w:val="32"/>
          <w:szCs w:val="32"/>
          <w:highlight w:val="none"/>
          <w:lang w:val="en-US" w:eastAsia="zh-CN"/>
        </w:rPr>
        <w:t>（六）调入资金46万元。</w:t>
      </w:r>
      <w:r>
        <w:rPr>
          <w:rFonts w:hint="default" w:ascii="Times New Roman" w:hAnsi="Times New Roman" w:eastAsia="仿宋_GB2312" w:cs="Times New Roman"/>
          <w:color w:val="auto"/>
          <w:kern w:val="18"/>
          <w:sz w:val="32"/>
          <w:szCs w:val="32"/>
          <w:highlight w:val="none"/>
        </w:rPr>
        <w:t>按照规定，从政府性基金</w:t>
      </w:r>
      <w:r>
        <w:rPr>
          <w:rFonts w:hint="default" w:ascii="Times New Roman" w:hAnsi="Times New Roman" w:eastAsia="仿宋_GB2312" w:cs="Times New Roman"/>
          <w:color w:val="auto"/>
          <w:kern w:val="18"/>
          <w:sz w:val="32"/>
          <w:szCs w:val="32"/>
          <w:highlight w:val="none"/>
          <w:lang w:val="en-US" w:eastAsia="zh-CN"/>
        </w:rPr>
        <w:t>预算收入</w:t>
      </w:r>
      <w:r>
        <w:rPr>
          <w:rFonts w:hint="default" w:ascii="Times New Roman" w:hAnsi="Times New Roman" w:eastAsia="仿宋_GB2312" w:cs="Times New Roman"/>
          <w:color w:val="auto"/>
          <w:kern w:val="18"/>
          <w:sz w:val="32"/>
          <w:szCs w:val="32"/>
          <w:highlight w:val="none"/>
        </w:rPr>
        <w:t>调入一般公共预算</w:t>
      </w:r>
      <w:r>
        <w:rPr>
          <w:rFonts w:hint="default" w:ascii="Times New Roman" w:hAnsi="Times New Roman" w:eastAsia="仿宋_GB2312" w:cs="Times New Roman"/>
          <w:color w:val="auto"/>
          <w:kern w:val="18"/>
          <w:sz w:val="32"/>
          <w:szCs w:val="32"/>
          <w:highlight w:val="none"/>
          <w:lang w:val="en-US" w:eastAsia="zh-CN"/>
        </w:rPr>
        <w:t>收入</w:t>
      </w:r>
      <w:r>
        <w:rPr>
          <w:rFonts w:hint="default" w:ascii="Times New Roman" w:hAnsi="Times New Roman" w:eastAsia="仿宋_GB2312" w:cs="Times New Roman"/>
          <w:color w:val="auto"/>
          <w:kern w:val="18"/>
          <w:sz w:val="32"/>
          <w:szCs w:val="32"/>
          <w:highlight w:val="none"/>
          <w:u w:val="none"/>
          <w:lang w:val="en-US" w:eastAsia="zh-CN"/>
        </w:rPr>
        <w:t>1,160</w:t>
      </w:r>
      <w:r>
        <w:rPr>
          <w:rFonts w:hint="default" w:ascii="Times New Roman" w:hAnsi="Times New Roman" w:eastAsia="仿宋_GB2312" w:cs="Times New Roman"/>
          <w:color w:val="auto"/>
          <w:kern w:val="18"/>
          <w:sz w:val="32"/>
          <w:szCs w:val="32"/>
          <w:highlight w:val="none"/>
          <w:u w:val="none"/>
        </w:rPr>
        <w:t>万</w:t>
      </w:r>
      <w:r>
        <w:rPr>
          <w:rFonts w:hint="default" w:ascii="Times New Roman" w:hAnsi="Times New Roman" w:eastAsia="仿宋_GB2312" w:cs="Times New Roman"/>
          <w:color w:val="auto"/>
          <w:kern w:val="18"/>
          <w:sz w:val="32"/>
          <w:szCs w:val="32"/>
          <w:highlight w:val="none"/>
        </w:rPr>
        <w:t>元</w:t>
      </w:r>
      <w:r>
        <w:rPr>
          <w:rFonts w:hint="default" w:ascii="Times New Roman" w:hAnsi="Times New Roman" w:eastAsia="仿宋_GB2312" w:cs="Times New Roman"/>
          <w:color w:val="0000FF"/>
          <w:kern w:val="18"/>
          <w:sz w:val="32"/>
          <w:szCs w:val="32"/>
          <w:highlight w:val="none"/>
          <w:lang w:val="en-US" w:eastAsia="zh-CN"/>
        </w:rPr>
        <w:t>。</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黑体" w:cs="Times New Roman"/>
          <w:bCs/>
          <w:kern w:val="18"/>
          <w:sz w:val="32"/>
          <w:szCs w:val="32"/>
        </w:rPr>
      </w:pPr>
      <w:r>
        <w:rPr>
          <w:rFonts w:hint="default" w:ascii="Times New Roman" w:hAnsi="Times New Roman" w:eastAsia="黑体" w:cs="Times New Roman"/>
          <w:bCs/>
          <w:kern w:val="18"/>
          <w:sz w:val="32"/>
          <w:szCs w:val="32"/>
        </w:rPr>
        <w:t>二、</w:t>
      </w:r>
      <w:r>
        <w:rPr>
          <w:rFonts w:hint="default" w:ascii="Times New Roman" w:hAnsi="Times New Roman" w:eastAsia="黑体" w:cs="Times New Roman"/>
          <w:bCs/>
          <w:kern w:val="18"/>
          <w:sz w:val="32"/>
          <w:szCs w:val="32"/>
          <w:lang w:eastAsia="zh-CN"/>
        </w:rPr>
        <w:t>2024</w:t>
      </w:r>
      <w:r>
        <w:rPr>
          <w:rFonts w:hint="default" w:ascii="Times New Roman" w:hAnsi="Times New Roman" w:eastAsia="黑体" w:cs="Times New Roman"/>
          <w:bCs/>
          <w:kern w:val="18"/>
          <w:sz w:val="32"/>
          <w:szCs w:val="32"/>
        </w:rPr>
        <w:t>年财政支出情况</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color w:val="auto"/>
          <w:kern w:val="18"/>
          <w:sz w:val="32"/>
          <w:szCs w:val="32"/>
        </w:rPr>
      </w:pPr>
      <w:r>
        <w:rPr>
          <w:rFonts w:hint="default" w:ascii="Times New Roman" w:hAnsi="Times New Roman" w:eastAsia="仿宋_GB2312" w:cs="Times New Roman"/>
          <w:color w:val="auto"/>
          <w:kern w:val="18"/>
          <w:sz w:val="32"/>
          <w:szCs w:val="32"/>
          <w:lang w:eastAsia="zh-CN"/>
        </w:rPr>
        <w:t>2024</w:t>
      </w:r>
      <w:r>
        <w:rPr>
          <w:rFonts w:hint="default" w:ascii="Times New Roman" w:hAnsi="Times New Roman" w:eastAsia="仿宋_GB2312" w:cs="Times New Roman"/>
          <w:color w:val="auto"/>
          <w:kern w:val="18"/>
          <w:sz w:val="32"/>
          <w:szCs w:val="32"/>
        </w:rPr>
        <w:t>年我镇实现财政支出</w:t>
      </w:r>
      <w:r>
        <w:rPr>
          <w:rFonts w:hint="default" w:ascii="Times New Roman" w:hAnsi="Times New Roman" w:eastAsia="仿宋_GB2312" w:cs="Times New Roman"/>
          <w:color w:val="auto"/>
          <w:kern w:val="18"/>
          <w:sz w:val="32"/>
          <w:szCs w:val="32"/>
          <w:lang w:val="en-US" w:eastAsia="zh-CN"/>
        </w:rPr>
        <w:t>209,301</w:t>
      </w:r>
      <w:r>
        <w:rPr>
          <w:rFonts w:hint="default" w:ascii="Times New Roman" w:hAnsi="Times New Roman" w:eastAsia="仿宋_GB2312" w:cs="Times New Roman"/>
          <w:color w:val="auto"/>
          <w:kern w:val="18"/>
          <w:sz w:val="32"/>
          <w:szCs w:val="32"/>
        </w:rPr>
        <w:t>万元，</w:t>
      </w:r>
      <w:r>
        <w:rPr>
          <w:rFonts w:hint="default" w:ascii="Times New Roman" w:hAnsi="Times New Roman" w:eastAsia="仿宋_GB2312" w:cs="Times New Roman"/>
          <w:color w:val="auto"/>
          <w:sz w:val="32"/>
          <w:szCs w:val="32"/>
        </w:rPr>
        <w:t>完成年度预算的</w:t>
      </w:r>
      <w:r>
        <w:rPr>
          <w:rFonts w:hint="default"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kern w:val="18"/>
          <w:sz w:val="32"/>
          <w:szCs w:val="32"/>
          <w:lang w:val="en-US" w:eastAsia="zh-CN"/>
        </w:rPr>
        <w:t>0.8%。</w:t>
      </w:r>
      <w:r>
        <w:rPr>
          <w:rFonts w:hint="default" w:ascii="Times New Roman" w:hAnsi="Times New Roman" w:eastAsia="仿宋_GB2312" w:cs="Times New Roman"/>
          <w:color w:val="auto"/>
          <w:kern w:val="18"/>
          <w:sz w:val="32"/>
          <w:szCs w:val="32"/>
        </w:rPr>
        <w:t>其中：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auto"/>
          <w:kern w:val="18"/>
          <w:sz w:val="32"/>
          <w:szCs w:val="32"/>
          <w:shd w:val="clear" w:color="auto" w:fill="FFFFFF"/>
          <w:lang w:val="en-US" w:eastAsia="zh-CN"/>
        </w:rPr>
      </w:pPr>
      <w:r>
        <w:rPr>
          <w:rFonts w:hint="default" w:ascii="Times New Roman" w:hAnsi="Times New Roman" w:eastAsia="仿宋_GB2312" w:cs="Times New Roman"/>
          <w:color w:val="auto"/>
          <w:kern w:val="18"/>
          <w:sz w:val="32"/>
          <w:szCs w:val="32"/>
        </w:rPr>
        <w:t>（一）一般公共预算</w:t>
      </w:r>
      <w:r>
        <w:rPr>
          <w:rFonts w:hint="default" w:ascii="Times New Roman" w:hAnsi="Times New Roman" w:eastAsia="仿宋_GB2312" w:cs="Times New Roman"/>
          <w:color w:val="auto"/>
          <w:kern w:val="18"/>
          <w:sz w:val="32"/>
          <w:szCs w:val="32"/>
          <w:lang w:val="en-US" w:eastAsia="zh-CN"/>
        </w:rPr>
        <w:t>支出101,005</w:t>
      </w:r>
      <w:r>
        <w:rPr>
          <w:rFonts w:hint="default" w:ascii="Times New Roman" w:hAnsi="Times New Roman" w:eastAsia="仿宋_GB2312" w:cs="Times New Roman"/>
          <w:color w:val="auto"/>
          <w:kern w:val="18"/>
          <w:sz w:val="32"/>
          <w:szCs w:val="32"/>
        </w:rPr>
        <w:t>万元，完成年度预算的</w:t>
      </w:r>
      <w:r>
        <w:rPr>
          <w:rFonts w:hint="default" w:ascii="Times New Roman" w:hAnsi="Times New Roman" w:eastAsia="仿宋_GB2312" w:cs="Times New Roman"/>
          <w:color w:val="auto"/>
          <w:kern w:val="18"/>
          <w:sz w:val="32"/>
          <w:szCs w:val="32"/>
          <w:lang w:val="en-US" w:eastAsia="zh-CN"/>
        </w:rPr>
        <w:t>85.6</w:t>
      </w:r>
      <w:r>
        <w:rPr>
          <w:rFonts w:hint="default" w:ascii="Times New Roman" w:hAnsi="Times New Roman" w:eastAsia="仿宋_GB2312" w:cs="Times New Roman"/>
          <w:color w:val="auto"/>
          <w:kern w:val="18"/>
          <w:sz w:val="32"/>
          <w:szCs w:val="32"/>
        </w:rPr>
        <w:t>%</w:t>
      </w:r>
      <w:r>
        <w:rPr>
          <w:rFonts w:hint="default" w:ascii="Times New Roman" w:hAnsi="Times New Roman" w:eastAsia="仿宋_GB2312" w:cs="Times New Roman"/>
          <w:color w:val="auto"/>
          <w:kern w:val="18"/>
          <w:sz w:val="32"/>
          <w:szCs w:val="32"/>
          <w:lang w:eastAsia="zh-CN"/>
        </w:rPr>
        <w:t>。</w:t>
      </w:r>
      <w:r>
        <w:rPr>
          <w:rFonts w:hint="default" w:ascii="Times New Roman" w:hAnsi="Times New Roman" w:eastAsia="仿宋_GB2312" w:cs="Times New Roman"/>
          <w:color w:val="auto"/>
          <w:kern w:val="18"/>
          <w:sz w:val="32"/>
          <w:szCs w:val="32"/>
        </w:rPr>
        <w:t>其中</w:t>
      </w:r>
      <w:r>
        <w:rPr>
          <w:rFonts w:hint="default" w:ascii="Times New Roman" w:hAnsi="Times New Roman" w:eastAsia="仿宋_GB2312" w:cs="Times New Roman"/>
          <w:color w:val="auto"/>
          <w:kern w:val="18"/>
          <w:sz w:val="32"/>
          <w:szCs w:val="32"/>
          <w:lang w:val="en-US" w:eastAsia="zh-CN"/>
        </w:rPr>
        <w:t>上解支出21,009万元</w:t>
      </w:r>
      <w:r>
        <w:rPr>
          <w:rFonts w:hint="default" w:ascii="Times New Roman" w:hAnsi="Times New Roman" w:eastAsia="仿宋_GB2312" w:cs="Times New Roman"/>
          <w:color w:val="auto"/>
          <w:kern w:val="18"/>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auto"/>
          <w:kern w:val="18"/>
          <w:sz w:val="32"/>
          <w:szCs w:val="32"/>
          <w:shd w:val="clear" w:color="auto" w:fill="FFFFFF"/>
          <w:lang w:val="en-US" w:eastAsia="zh-CN"/>
        </w:rPr>
      </w:pPr>
      <w:r>
        <w:rPr>
          <w:rFonts w:hint="default" w:ascii="Times New Roman" w:hAnsi="Times New Roman" w:eastAsia="仿宋_GB2312" w:cs="Times New Roman"/>
          <w:color w:val="auto"/>
          <w:kern w:val="18"/>
          <w:sz w:val="32"/>
          <w:szCs w:val="32"/>
          <w:shd w:val="clear" w:color="auto" w:fill="FFFFFF"/>
        </w:rPr>
        <w:t>（二</w:t>
      </w:r>
      <w:r>
        <w:rPr>
          <w:rFonts w:hint="default" w:ascii="Times New Roman" w:hAnsi="Times New Roman" w:eastAsia="仿宋_GB2312" w:cs="Times New Roman"/>
          <w:color w:val="auto"/>
          <w:kern w:val="18"/>
          <w:sz w:val="32"/>
          <w:szCs w:val="32"/>
          <w:highlight w:val="none"/>
          <w:shd w:val="clear" w:color="auto" w:fill="FFFFFF"/>
        </w:rPr>
        <w:t>）</w:t>
      </w:r>
      <w:r>
        <w:rPr>
          <w:rFonts w:hint="default" w:ascii="Times New Roman" w:hAnsi="Times New Roman" w:eastAsia="仿宋_GB2312" w:cs="Times New Roman"/>
          <w:color w:val="auto"/>
          <w:kern w:val="18"/>
          <w:sz w:val="32"/>
          <w:szCs w:val="32"/>
          <w:highlight w:val="none"/>
          <w:shd w:val="clear" w:color="auto" w:fill="FFFFFF"/>
          <w:lang w:val="en-US" w:eastAsia="zh-CN"/>
        </w:rPr>
        <w:t>政府性</w:t>
      </w:r>
      <w:r>
        <w:rPr>
          <w:rFonts w:hint="default" w:ascii="Times New Roman" w:hAnsi="Times New Roman" w:eastAsia="仿宋_GB2312" w:cs="Times New Roman"/>
          <w:color w:val="auto"/>
          <w:kern w:val="18"/>
          <w:sz w:val="32"/>
          <w:szCs w:val="32"/>
          <w:shd w:val="clear" w:color="auto" w:fill="FFFFFF"/>
        </w:rPr>
        <w:t>基金预算支出</w:t>
      </w:r>
      <w:r>
        <w:rPr>
          <w:rFonts w:hint="default" w:ascii="Times New Roman" w:hAnsi="Times New Roman" w:eastAsia="仿宋_GB2312" w:cs="Times New Roman"/>
          <w:color w:val="auto"/>
          <w:kern w:val="18"/>
          <w:sz w:val="32"/>
          <w:szCs w:val="32"/>
          <w:shd w:val="clear" w:color="auto" w:fill="FFFFFF"/>
          <w:lang w:val="en-US" w:eastAsia="zh-CN"/>
        </w:rPr>
        <w:t>64,744</w:t>
      </w:r>
      <w:r>
        <w:rPr>
          <w:rFonts w:hint="default" w:ascii="Times New Roman" w:hAnsi="Times New Roman" w:eastAsia="仿宋_GB2312" w:cs="Times New Roman"/>
          <w:color w:val="auto"/>
          <w:kern w:val="18"/>
          <w:sz w:val="32"/>
          <w:szCs w:val="32"/>
          <w:shd w:val="clear" w:color="auto" w:fill="FFFFFF"/>
        </w:rPr>
        <w:t>万元</w:t>
      </w:r>
      <w:r>
        <w:rPr>
          <w:rFonts w:hint="default" w:ascii="Times New Roman" w:hAnsi="Times New Roman" w:eastAsia="仿宋_GB2312" w:cs="Times New Roman"/>
          <w:color w:val="auto"/>
          <w:kern w:val="18"/>
          <w:sz w:val="32"/>
          <w:szCs w:val="32"/>
          <w:shd w:val="clear" w:color="auto" w:fill="FFFFFF"/>
          <w:lang w:val="en-US" w:eastAsia="zh-CN"/>
        </w:rPr>
        <w:t>，</w:t>
      </w:r>
      <w:r>
        <w:rPr>
          <w:rFonts w:hint="default" w:ascii="Times New Roman" w:hAnsi="Times New Roman" w:eastAsia="仿宋_GB2312" w:cs="Times New Roman"/>
          <w:color w:val="auto"/>
          <w:kern w:val="18"/>
          <w:sz w:val="32"/>
          <w:szCs w:val="32"/>
          <w:highlight w:val="none"/>
          <w:shd w:val="clear" w:color="auto" w:fill="FFFFFF"/>
        </w:rPr>
        <w:t>其中</w:t>
      </w:r>
      <w:r>
        <w:rPr>
          <w:rFonts w:hint="default" w:ascii="Times New Roman" w:hAnsi="Times New Roman" w:eastAsia="仿宋_GB2312" w:cs="Times New Roman"/>
          <w:color w:val="auto"/>
          <w:kern w:val="18"/>
          <w:sz w:val="32"/>
          <w:szCs w:val="32"/>
          <w:highlight w:val="none"/>
          <w:shd w:val="clear" w:color="auto" w:fill="FFFFFF"/>
          <w:lang w:val="en-US" w:eastAsia="zh-CN"/>
        </w:rPr>
        <w:t>上解支出3,385万元，属专项</w:t>
      </w:r>
      <w:r>
        <w:rPr>
          <w:rFonts w:hint="default" w:ascii="Times New Roman" w:hAnsi="Times New Roman" w:eastAsia="仿宋_GB2312" w:cs="Times New Roman"/>
          <w:color w:val="auto"/>
          <w:kern w:val="18"/>
          <w:sz w:val="32"/>
          <w:szCs w:val="32"/>
          <w:highlight w:val="none"/>
          <w:shd w:val="clear" w:color="auto" w:fill="FFFFFF"/>
        </w:rPr>
        <w:t>债券还本付息</w:t>
      </w:r>
      <w:r>
        <w:rPr>
          <w:rFonts w:hint="default" w:ascii="Times New Roman" w:hAnsi="Times New Roman" w:eastAsia="仿宋_GB2312" w:cs="Times New Roman"/>
          <w:color w:val="auto"/>
          <w:kern w:val="18"/>
          <w:sz w:val="32"/>
          <w:szCs w:val="32"/>
          <w:highlight w:val="none"/>
          <w:shd w:val="clear" w:color="auto" w:fill="FFFFFF"/>
          <w:lang w:val="en-US" w:eastAsia="zh-CN"/>
        </w:rPr>
        <w:t>费用</w:t>
      </w:r>
      <w:r>
        <w:rPr>
          <w:rFonts w:hint="default" w:ascii="Times New Roman" w:hAnsi="Times New Roman" w:eastAsia="仿宋_GB2312" w:cs="Times New Roman"/>
          <w:color w:val="auto"/>
          <w:kern w:val="18"/>
          <w:sz w:val="32"/>
          <w:szCs w:val="32"/>
          <w:highlight w:val="none"/>
          <w:shd w:val="clear" w:color="auto" w:fill="FFFFFF"/>
        </w:rPr>
        <w:t>支出</w:t>
      </w:r>
      <w:r>
        <w:rPr>
          <w:rFonts w:hint="default" w:ascii="Times New Roman" w:hAnsi="Times New Roman" w:eastAsia="仿宋_GB2312" w:cs="Times New Roman"/>
          <w:color w:val="auto"/>
          <w:kern w:val="18"/>
          <w:sz w:val="32"/>
          <w:szCs w:val="32"/>
          <w:highlight w:val="none"/>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cs="Times New Roman"/>
          <w:lang w:val="en-US" w:eastAsia="zh-CN"/>
        </w:rPr>
      </w:pPr>
      <w:r>
        <w:rPr>
          <w:rFonts w:hint="default" w:ascii="Times New Roman" w:hAnsi="Times New Roman" w:eastAsia="仿宋_GB2312" w:cs="Times New Roman"/>
          <w:color w:val="auto"/>
          <w:kern w:val="18"/>
          <w:sz w:val="32"/>
          <w:szCs w:val="32"/>
          <w:highlight w:val="none"/>
          <w:shd w:val="clear" w:color="auto" w:fill="FFFFFF"/>
        </w:rPr>
        <w:t>（三）医疗事业支出等财政专户支出</w:t>
      </w:r>
      <w:r>
        <w:rPr>
          <w:rFonts w:hint="default" w:ascii="Times New Roman" w:hAnsi="Times New Roman" w:eastAsia="仿宋_GB2312" w:cs="Times New Roman"/>
          <w:color w:val="auto"/>
          <w:kern w:val="18"/>
          <w:sz w:val="32"/>
          <w:szCs w:val="32"/>
          <w:highlight w:val="none"/>
          <w:shd w:val="clear" w:color="auto" w:fill="FFFFFF"/>
          <w:lang w:val="en-US" w:eastAsia="zh-CN"/>
        </w:rPr>
        <w:t>43,552</w:t>
      </w:r>
      <w:r>
        <w:rPr>
          <w:rFonts w:hint="default" w:ascii="Times New Roman" w:hAnsi="Times New Roman" w:eastAsia="仿宋_GB2312" w:cs="Times New Roman"/>
          <w:color w:val="auto"/>
          <w:kern w:val="18"/>
          <w:sz w:val="32"/>
          <w:szCs w:val="32"/>
          <w:highlight w:val="none"/>
          <w:shd w:val="clear" w:color="auto" w:fill="FFFFFF"/>
        </w:rPr>
        <w:t>万元。</w:t>
      </w:r>
      <w:r>
        <w:rPr>
          <w:rFonts w:hint="default" w:ascii="Times New Roman" w:hAnsi="Times New Roman" w:eastAsia="仿宋_GB2312" w:cs="Times New Roman"/>
          <w:b w:val="0"/>
          <w:bCs/>
          <w:color w:val="000000"/>
          <w:kern w:val="18"/>
          <w:sz w:val="32"/>
          <w:szCs w:val="32"/>
          <w:shd w:val="clear" w:color="auto" w:fill="FFFFFF"/>
          <w:lang w:val="en-US" w:eastAsia="zh-CN"/>
        </w:rPr>
        <w:t xml:space="preserve"> </w:t>
      </w:r>
      <w:r>
        <w:rPr>
          <w:rFonts w:hint="default" w:ascii="Times New Roman" w:hAnsi="Times New Roman" w:eastAsia="仿宋_GB2312" w:cs="Times New Roman"/>
          <w:b w:val="0"/>
          <w:bCs/>
          <w:color w:val="1F497D"/>
          <w:kern w:val="18"/>
          <w:sz w:val="32"/>
          <w:szCs w:val="32"/>
          <w:shd w:val="clear" w:color="auto" w:fill="FFFFFF"/>
          <w:lang w:val="en-US" w:eastAsia="zh-CN"/>
        </w:rPr>
        <w:t xml:space="preserve"> </w:t>
      </w:r>
    </w:p>
    <w:p>
      <w:pPr>
        <w:pStyle w:val="14"/>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黑体" w:cs="Times New Roman"/>
          <w:bCs/>
          <w:kern w:val="18"/>
          <w:sz w:val="32"/>
          <w:szCs w:val="32"/>
          <w:lang w:val="en-US" w:eastAsia="zh-CN"/>
        </w:rPr>
      </w:pPr>
      <w:r>
        <w:rPr>
          <w:rFonts w:hint="default" w:ascii="Times New Roman" w:hAnsi="Times New Roman" w:eastAsia="黑体" w:cs="Times New Roman"/>
          <w:bCs/>
          <w:kern w:val="18"/>
          <w:sz w:val="32"/>
          <w:szCs w:val="32"/>
          <w:lang w:val="en-US" w:eastAsia="zh-CN"/>
        </w:rPr>
        <w:t>政府债务情况</w:t>
      </w:r>
    </w:p>
    <w:p>
      <w:pPr>
        <w:pStyle w:val="14"/>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（一）地方政府债券转贷情况及债务余额</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2024年地方政府债券转贷收入17,282万元，均为上级下达地方政府债券，其中一般债券12万元，属于再融资债券，冲减市收回2022年多下达再融资债券额度82万元后实际收入数为-70万元；2024年新增专项债券23,190万元，退回市2023年新增专项债券资金5,838万元后实际收入数为17,352万元。</w:t>
      </w:r>
    </w:p>
    <w:p>
      <w:pPr>
        <w:keepNext w:val="0"/>
        <w:keepLines w:val="0"/>
        <w:pageBreakBefore w:val="0"/>
        <w:widowControl w:val="0"/>
        <w:kinsoku/>
        <w:wordWrap/>
        <w:overflowPunct/>
        <w:topLinePunct w:val="0"/>
        <w:autoSpaceDE/>
        <w:autoSpaceDN/>
        <w:bidi w:val="0"/>
        <w:adjustRightInd/>
        <w:snapToGrid/>
        <w:spacing w:line="360" w:lineRule="auto"/>
        <w:ind w:firstLine="616"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pacing w:val="-6"/>
          <w:sz w:val="32"/>
          <w:szCs w:val="32"/>
          <w:highlight w:val="none"/>
          <w:lang w:val="en-US" w:eastAsia="zh-CN"/>
        </w:rPr>
        <w:t>2024年债券债务余额139,146万元，其中一般债务6,478万元</w:t>
      </w:r>
      <w:r>
        <w:rPr>
          <w:rFonts w:hint="default" w:ascii="Times New Roman" w:hAnsi="Times New Roman" w:eastAsia="仿宋_GB2312" w:cs="Times New Roman"/>
          <w:b w:val="0"/>
          <w:bCs w:val="0"/>
          <w:color w:val="auto"/>
          <w:sz w:val="32"/>
          <w:szCs w:val="32"/>
          <w:highlight w:val="none"/>
          <w:lang w:val="en-US" w:eastAsia="zh-CN"/>
        </w:rPr>
        <w:t>，专项债务132,668万元，政府债务余额在可控范围内。</w:t>
      </w:r>
    </w:p>
    <w:p>
      <w:pPr>
        <w:pStyle w:val="14"/>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（二）地方政府债务还本付息情况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2024年按照偿债计划，将债券还本付息支出列入预算足额</w:t>
      </w:r>
      <w:r>
        <w:rPr>
          <w:rFonts w:hint="default" w:ascii="Times New Roman" w:hAnsi="Times New Roman" w:eastAsia="仿宋_GB2312" w:cs="Times New Roman"/>
          <w:b w:val="0"/>
          <w:bCs w:val="0"/>
          <w:color w:val="auto"/>
          <w:spacing w:val="-6"/>
          <w:sz w:val="32"/>
          <w:szCs w:val="32"/>
          <w:highlight w:val="none"/>
          <w:lang w:val="en-US" w:eastAsia="zh-CN"/>
        </w:rPr>
        <w:t>安排。偿还地方政府债券本金12万元，其中一般债券本金12万元</w:t>
      </w:r>
      <w:r>
        <w:rPr>
          <w:rFonts w:hint="default" w:ascii="Times New Roman" w:hAnsi="Times New Roman" w:eastAsia="仿宋_GB2312" w:cs="Times New Roman"/>
          <w:b w:val="0"/>
          <w:bCs w:val="0"/>
          <w:color w:val="auto"/>
          <w:sz w:val="32"/>
          <w:szCs w:val="32"/>
          <w:highlight w:val="none"/>
          <w:lang w:val="en-US" w:eastAsia="zh-CN"/>
        </w:rPr>
        <w:t>，专项债券本金0万元；支付地方政府债券利息3,590万元，其中一般债券利息205万元，专项债券利息3,385万元。</w:t>
      </w:r>
    </w:p>
    <w:p>
      <w:pPr>
        <w:pStyle w:val="14"/>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（三）债券资金使用安排</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2024年新增专项债券共计23,190万元，分别用于粤港澳大湾区智能家电集聚区基础设施建设项目、广东省中山市城镇雨污分流管网改造项目、广东省中山市农村生活污水治理攻坚项目、岐水流芳</w:t>
      </w:r>
      <w:r>
        <w:rPr>
          <w:rFonts w:hint="eastAsia" w:asciiTheme="majorEastAsia" w:hAnsiTheme="majorEastAsia" w:eastAsiaTheme="majorEastAsia" w:cstheme="majorEastAsia"/>
          <w:b w:val="0"/>
          <w:bCs w:val="0"/>
          <w:color w:val="auto"/>
          <w:spacing w:val="-11"/>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中山市岭南特色美丽乡村基础设施建设项目、广东省中山市农业稳产高产保供基地基础设施建设项目、广东省中山市黄圃镇城乡融合发展基础设施提升工程、广东省中山</w:t>
      </w:r>
      <w:r>
        <w:rPr>
          <w:rFonts w:hint="default" w:ascii="Times New Roman" w:hAnsi="Times New Roman" w:eastAsia="仿宋_GB2312" w:cs="Times New Roman"/>
          <w:b w:val="0"/>
          <w:bCs w:val="0"/>
          <w:color w:val="auto"/>
          <w:spacing w:val="6"/>
          <w:sz w:val="32"/>
          <w:szCs w:val="32"/>
          <w:highlight w:val="none"/>
          <w:lang w:val="en-US" w:eastAsia="zh-CN"/>
        </w:rPr>
        <w:t>市老旧小区改造项目（三期），资金已全部拨付完毕，另退回2023年广东省中山市农村生活污水治理攻坚项目5,336万元、2021年</w:t>
      </w:r>
      <w:r>
        <w:rPr>
          <w:rFonts w:hint="default" w:ascii="Times New Roman" w:hAnsi="Times New Roman" w:eastAsia="仿宋_GB2312" w:cs="Times New Roman"/>
          <w:b w:val="0"/>
          <w:bCs w:val="0"/>
          <w:color w:val="auto"/>
          <w:sz w:val="32"/>
          <w:szCs w:val="32"/>
          <w:highlight w:val="none"/>
          <w:lang w:val="en-US" w:eastAsia="zh-CN"/>
        </w:rPr>
        <w:t>广东省中山市黄圃镇智慧停车建设工程一期502万元给市财政。本年新增专项债券均采取半年付息、到期一次还本进行偿还。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黑体" w:cs="Times New Roman"/>
          <w:bCs/>
          <w:kern w:val="18"/>
          <w:sz w:val="32"/>
          <w:szCs w:val="32"/>
        </w:rPr>
      </w:pPr>
      <w:r>
        <w:rPr>
          <w:rFonts w:hint="default" w:ascii="Times New Roman" w:hAnsi="Times New Roman" w:eastAsia="黑体" w:cs="Times New Roman"/>
          <w:bCs/>
          <w:kern w:val="18"/>
          <w:sz w:val="32"/>
          <w:szCs w:val="32"/>
          <w:lang w:val="en-US" w:eastAsia="zh-CN"/>
        </w:rPr>
        <w:t>四</w:t>
      </w:r>
      <w:r>
        <w:rPr>
          <w:rFonts w:hint="default" w:ascii="Times New Roman" w:hAnsi="Times New Roman" w:eastAsia="黑体" w:cs="Times New Roman"/>
          <w:bCs/>
          <w:kern w:val="18"/>
          <w:sz w:val="32"/>
          <w:szCs w:val="32"/>
        </w:rPr>
        <w:t>、</w:t>
      </w:r>
      <w:r>
        <w:rPr>
          <w:rFonts w:hint="default" w:ascii="Times New Roman" w:hAnsi="Times New Roman" w:eastAsia="黑体" w:cs="Times New Roman"/>
          <w:bCs/>
          <w:kern w:val="18"/>
          <w:sz w:val="32"/>
          <w:szCs w:val="32"/>
          <w:lang w:eastAsia="zh-CN"/>
        </w:rPr>
        <w:t>2024</w:t>
      </w:r>
      <w:r>
        <w:rPr>
          <w:rFonts w:hint="default" w:ascii="Times New Roman" w:hAnsi="Times New Roman" w:eastAsia="黑体" w:cs="Times New Roman"/>
          <w:bCs/>
          <w:kern w:val="18"/>
          <w:sz w:val="32"/>
          <w:szCs w:val="32"/>
        </w:rPr>
        <w:t>年财政工作主要特点</w:t>
      </w:r>
    </w:p>
    <w:p>
      <w:pPr>
        <w:pStyle w:val="14"/>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（一）聚焦财源建设，全力抓好组织收入</w:t>
      </w:r>
    </w:p>
    <w:p>
      <w:pPr>
        <w:pStyle w:val="1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一是多部门协作，增强税源建设。突出制造业当家，通过招引优质企业，增强税源建设，</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工改</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成效逐渐凸显，有力保障我镇税收质量稳步提升。二是大力挖潜非税收入，提升资产综合效益，资产资源性收入显著增加。全年镇级非税收入入库23,611万元，完成年度目标13,000万元的181.6%，其中实现智慧停车项目有偿使用权费14,000万元、</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供水一盘棋</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项目尾款入库3,528万元。三是用好各类财政工具，围绕国家鼓励和扶持的关键领域，深入研究政策、吃透政策精神，全力争取国家、省级资金政策扶持，成功发行专项债券和超长期特别国债共23,935万元，重点投向水环境治理、乡村振兴、公共基础设施等民生领域，有效解决部分重大项目建设</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钱从哪里来</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的问题。</w:t>
      </w:r>
    </w:p>
    <w:p>
      <w:pPr>
        <w:pStyle w:val="14"/>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（二）聚焦保基本、兜底线，切实保障和改善民生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i w:val="0"/>
          <w:iCs w:val="0"/>
          <w:caps w:val="0"/>
          <w:color w:val="0000FF"/>
          <w:spacing w:val="0"/>
          <w:sz w:val="32"/>
          <w:szCs w:val="32"/>
          <w:highlight w:val="none"/>
          <w:lang w:eastAsia="zh-CN"/>
        </w:rPr>
      </w:pPr>
      <w:r>
        <w:rPr>
          <w:rFonts w:hint="default" w:ascii="Times New Roman" w:hAnsi="Times New Roman" w:eastAsia="仿宋_GB2312" w:cs="Times New Roman"/>
          <w:sz w:val="32"/>
          <w:szCs w:val="32"/>
          <w:lang w:val="en-US" w:eastAsia="zh-CN"/>
        </w:rPr>
        <w:t>坚持量力而行、尽力而为，</w:t>
      </w:r>
      <w:r>
        <w:rPr>
          <w:rFonts w:hint="default" w:ascii="Times New Roman" w:hAnsi="Times New Roman" w:eastAsia="仿宋" w:cs="Times New Roman"/>
          <w:sz w:val="32"/>
          <w:szCs w:val="24"/>
        </w:rPr>
        <w:t>不断夯实民生保障</w:t>
      </w:r>
      <w:r>
        <w:rPr>
          <w:rFonts w:hint="default" w:ascii="Times New Roman" w:hAnsi="Times New Roman" w:eastAsia="仿宋" w:cs="Times New Roman"/>
          <w:sz w:val="32"/>
          <w:szCs w:val="24"/>
          <w:lang w:val="en-US" w:eastAsia="zh-CN"/>
        </w:rPr>
        <w:t>基础</w:t>
      </w:r>
      <w:r>
        <w:rPr>
          <w:rFonts w:hint="default" w:ascii="Times New Roman" w:hAnsi="Times New Roman" w:eastAsia="仿宋" w:cs="Times New Roman"/>
          <w:sz w:val="32"/>
          <w:szCs w:val="24"/>
        </w:rPr>
        <w:t>。</w:t>
      </w:r>
      <w:r>
        <w:rPr>
          <w:rFonts w:hint="default" w:ascii="Times New Roman" w:hAnsi="Times New Roman" w:eastAsia="仿宋_GB2312" w:cs="Times New Roman"/>
          <w:sz w:val="32"/>
          <w:szCs w:val="32"/>
          <w:lang w:val="en-US" w:eastAsia="zh-CN"/>
        </w:rPr>
        <w:t>一是拨付教育文化事业经费3,595万元，推进基础教育和文化事业扩</w:t>
      </w:r>
      <w:r>
        <w:rPr>
          <w:rFonts w:hint="default" w:ascii="Times New Roman" w:hAnsi="Times New Roman" w:eastAsia="仿宋_GB2312" w:cs="Times New Roman"/>
          <w:spacing w:val="6"/>
          <w:sz w:val="32"/>
          <w:szCs w:val="32"/>
          <w:lang w:val="en-US" w:eastAsia="zh-CN"/>
        </w:rPr>
        <w:t>优提质</w:t>
      </w:r>
      <w:r>
        <w:rPr>
          <w:rFonts w:hint="default" w:ascii="Times New Roman" w:hAnsi="Times New Roman" w:eastAsia="仿宋_GB2312" w:cs="Times New Roman"/>
          <w:spacing w:val="6"/>
          <w:sz w:val="32"/>
          <w:szCs w:val="32"/>
          <w:lang w:eastAsia="zh-CN"/>
        </w:rPr>
        <w:t>。</w:t>
      </w:r>
      <w:r>
        <w:rPr>
          <w:rFonts w:hint="default" w:ascii="Times New Roman" w:hAnsi="Times New Roman" w:eastAsia="仿宋_GB2312" w:cs="Times New Roman"/>
          <w:spacing w:val="6"/>
          <w:sz w:val="32"/>
          <w:szCs w:val="32"/>
          <w:lang w:val="en-US" w:eastAsia="zh-CN"/>
        </w:rPr>
        <w:t>足额保障义务教育生均公用经费；筹集社会资</w:t>
      </w:r>
      <w:r>
        <w:rPr>
          <w:rFonts w:hint="default" w:ascii="Times New Roman" w:hAnsi="Times New Roman" w:eastAsia="仿宋_GB2312" w:cs="Times New Roman"/>
          <w:color w:val="auto"/>
          <w:spacing w:val="6"/>
          <w:sz w:val="32"/>
          <w:szCs w:val="32"/>
          <w:lang w:val="en-US" w:eastAsia="zh-CN"/>
        </w:rPr>
        <w:t>金1,474万元</w:t>
      </w:r>
      <w:r>
        <w:rPr>
          <w:rFonts w:hint="default" w:ascii="Times New Roman" w:hAnsi="Times New Roman" w:eastAsia="仿宋_GB2312" w:cs="Times New Roman"/>
          <w:sz w:val="32"/>
          <w:szCs w:val="32"/>
          <w:lang w:val="en-US" w:eastAsia="zh-CN"/>
        </w:rPr>
        <w:t>扩建马新中学教学楼、宿舍楼、饭堂等，不断优化办学环境；开展全镇文化节庆活动，培育民间文艺团队，促进全镇</w:t>
      </w:r>
      <w:r>
        <w:rPr>
          <w:rFonts w:hint="default" w:ascii="Times New Roman" w:hAnsi="Times New Roman" w:eastAsia="仿宋_GB2312" w:cs="Times New Roman"/>
          <w:sz w:val="32"/>
          <w:szCs w:val="32"/>
        </w:rPr>
        <w:t>文化事业</w:t>
      </w:r>
      <w:r>
        <w:rPr>
          <w:rFonts w:hint="default" w:ascii="Times New Roman" w:hAnsi="Times New Roman" w:eastAsia="仿宋_GB2312" w:cs="Times New Roman"/>
          <w:sz w:val="32"/>
          <w:szCs w:val="32"/>
          <w:lang w:val="en-US" w:eastAsia="zh-CN"/>
        </w:rPr>
        <w:t>蓬勃发展，擦亮</w:t>
      </w:r>
      <w:r>
        <w:rPr>
          <w:rFonts w:hint="eastAsia" w:eastAsia="仿宋_GB2312" w:cs="Times New Roman"/>
          <w:sz w:val="32"/>
          <w:szCs w:val="32"/>
          <w:lang w:val="en-US" w:eastAsia="zh-CN"/>
        </w:rPr>
        <w:t>“中国</w:t>
      </w:r>
      <w:r>
        <w:rPr>
          <w:rFonts w:hint="default" w:ascii="Times New Roman" w:hAnsi="Times New Roman" w:eastAsia="仿宋_GB2312" w:cs="Times New Roman"/>
          <w:sz w:val="32"/>
          <w:szCs w:val="32"/>
          <w:lang w:val="en-US" w:eastAsia="zh-CN"/>
        </w:rPr>
        <w:t>历史文化名镇</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名片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二是投</w:t>
      </w:r>
      <w:r>
        <w:rPr>
          <w:rFonts w:hint="default" w:ascii="Times New Roman" w:hAnsi="Times New Roman" w:eastAsia="仿宋_GB2312" w:cs="Times New Roman"/>
          <w:color w:val="auto"/>
          <w:sz w:val="32"/>
          <w:szCs w:val="32"/>
          <w:lang w:val="en-US" w:eastAsia="zh-CN"/>
        </w:rPr>
        <w:t>入4,768万元</w:t>
      </w:r>
      <w:r>
        <w:rPr>
          <w:rFonts w:hint="default" w:ascii="Times New Roman" w:hAnsi="Times New Roman" w:eastAsia="仿宋_GB2312" w:cs="Times New Roman"/>
          <w:sz w:val="32"/>
          <w:szCs w:val="32"/>
          <w:lang w:val="en-US" w:eastAsia="zh-CN"/>
        </w:rPr>
        <w:t>支持卫生健康事业发展，</w:t>
      </w:r>
      <w:r>
        <w:rPr>
          <w:rFonts w:hint="eastAsia" w:eastAsia="仿宋_GB2312" w:cs="Times New Roman"/>
          <w:sz w:val="32"/>
          <w:szCs w:val="32"/>
          <w:lang w:val="en-US" w:eastAsia="zh-CN"/>
        </w:rPr>
        <w:t>优化</w:t>
      </w:r>
      <w:r>
        <w:rPr>
          <w:rFonts w:hint="default" w:ascii="Times New Roman" w:hAnsi="Times New Roman" w:eastAsia="仿宋_GB2312" w:cs="Times New Roman"/>
          <w:sz w:val="32"/>
          <w:szCs w:val="32"/>
        </w:rPr>
        <w:t>医疗卫生体</w:t>
      </w:r>
      <w:r>
        <w:rPr>
          <w:rFonts w:hint="default" w:ascii="Times New Roman" w:hAnsi="Times New Roman" w:eastAsia="仿宋_GB2312" w:cs="Times New Roman"/>
          <w:sz w:val="32"/>
          <w:szCs w:val="32"/>
          <w:lang w:val="en-US" w:eastAsia="zh-CN"/>
        </w:rPr>
        <w:t>系，拨付基本公卫经费1,228</w:t>
      </w:r>
      <w:r>
        <w:rPr>
          <w:rFonts w:hint="default" w:ascii="Times New Roman" w:hAnsi="Times New Roman" w:eastAsia="仿宋_GB2312" w:cs="Times New Roman"/>
          <w:color w:val="auto"/>
          <w:sz w:val="32"/>
          <w:szCs w:val="32"/>
          <w:lang w:val="en-US" w:eastAsia="zh-CN"/>
        </w:rPr>
        <w:t>万元、发放计生对象各类补贴496万元、</w:t>
      </w:r>
      <w:r>
        <w:rPr>
          <w:rFonts w:hint="default" w:ascii="Times New Roman" w:hAnsi="Times New Roman" w:eastAsia="仿宋_GB2312" w:cs="Times New Roman"/>
          <w:i w:val="0"/>
          <w:iCs w:val="0"/>
          <w:caps w:val="0"/>
          <w:color w:val="auto"/>
          <w:spacing w:val="0"/>
          <w:sz w:val="32"/>
          <w:szCs w:val="32"/>
          <w:lang w:val="en-US" w:eastAsia="zh-CN"/>
        </w:rPr>
        <w:t>发放</w:t>
      </w:r>
      <w:r>
        <w:rPr>
          <w:rFonts w:hint="default" w:ascii="Times New Roman" w:hAnsi="Times New Roman" w:eastAsia="仿宋_GB2312" w:cs="Times New Roman"/>
          <w:i w:val="0"/>
          <w:iCs w:val="0"/>
          <w:caps w:val="0"/>
          <w:color w:val="auto"/>
          <w:spacing w:val="0"/>
          <w:sz w:val="32"/>
          <w:szCs w:val="32"/>
        </w:rPr>
        <w:t>城乡医疗救助补助</w:t>
      </w:r>
      <w:r>
        <w:rPr>
          <w:rFonts w:hint="default" w:ascii="Times New Roman" w:hAnsi="Times New Roman" w:eastAsia="仿宋_GB2312" w:cs="Times New Roman"/>
          <w:i w:val="0"/>
          <w:iCs w:val="0"/>
          <w:caps w:val="0"/>
          <w:color w:val="auto"/>
          <w:spacing w:val="0"/>
          <w:sz w:val="32"/>
          <w:szCs w:val="32"/>
          <w:lang w:val="en-US" w:eastAsia="zh-CN"/>
        </w:rPr>
        <w:t>89万元、</w:t>
      </w:r>
      <w:r>
        <w:rPr>
          <w:rFonts w:hint="default" w:ascii="Times New Roman" w:hAnsi="Times New Roman" w:eastAsia="仿宋_GB2312" w:cs="Times New Roman"/>
          <w:color w:val="auto"/>
          <w:sz w:val="32"/>
          <w:szCs w:val="32"/>
          <w:lang w:val="en-US" w:eastAsia="zh-CN"/>
        </w:rPr>
        <w:t>落实城乡居民医疗保险补</w:t>
      </w:r>
      <w:r>
        <w:rPr>
          <w:rFonts w:hint="default" w:ascii="Times New Roman" w:hAnsi="Times New Roman" w:eastAsia="仿宋_GB2312" w:cs="Times New Roman"/>
          <w:i w:val="0"/>
          <w:iCs w:val="0"/>
          <w:caps w:val="0"/>
          <w:color w:val="auto"/>
          <w:spacing w:val="0"/>
          <w:sz w:val="32"/>
          <w:szCs w:val="32"/>
          <w:lang w:val="en-US" w:eastAsia="zh-CN"/>
        </w:rPr>
        <w:t>贴2,523万元等</w:t>
      </w:r>
      <w:r>
        <w:rPr>
          <w:rFonts w:hint="default" w:ascii="Times New Roman" w:hAnsi="Times New Roman" w:eastAsia="仿宋_GB2312" w:cs="Times New Roman"/>
          <w:sz w:val="32"/>
          <w:szCs w:val="32"/>
          <w:highlight w:val="none"/>
          <w:lang w:val="en-US" w:eastAsia="zh-CN"/>
        </w:rPr>
        <w:t>。三是投入</w:t>
      </w:r>
      <w:r>
        <w:rPr>
          <w:rFonts w:hint="default" w:ascii="Times New Roman" w:hAnsi="Times New Roman" w:eastAsia="仿宋_GB2312" w:cs="Times New Roman"/>
          <w:color w:val="auto"/>
          <w:sz w:val="32"/>
          <w:szCs w:val="32"/>
          <w:highlight w:val="none"/>
          <w:lang w:val="en-US" w:eastAsia="zh-CN"/>
        </w:rPr>
        <w:t>3,458万元</w:t>
      </w:r>
      <w:r>
        <w:rPr>
          <w:rFonts w:hint="default" w:ascii="Times New Roman" w:hAnsi="Times New Roman" w:eastAsia="仿宋_GB2312" w:cs="Times New Roman"/>
          <w:i w:val="0"/>
          <w:iCs w:val="0"/>
          <w:caps w:val="0"/>
          <w:color w:val="auto"/>
          <w:spacing w:val="0"/>
          <w:sz w:val="32"/>
          <w:szCs w:val="32"/>
          <w:highlight w:val="none"/>
        </w:rPr>
        <w:t>健全</w:t>
      </w:r>
      <w:r>
        <w:rPr>
          <w:rFonts w:hint="default" w:ascii="Times New Roman" w:hAnsi="Times New Roman" w:eastAsia="仿宋_GB2312" w:cs="Times New Roman"/>
          <w:i w:val="0"/>
          <w:iCs w:val="0"/>
          <w:caps w:val="0"/>
          <w:color w:val="auto"/>
          <w:spacing w:val="0"/>
          <w:sz w:val="32"/>
          <w:szCs w:val="32"/>
          <w:highlight w:val="none"/>
          <w:lang w:val="en-US" w:eastAsia="zh-CN"/>
        </w:rPr>
        <w:t>社会保障和就业服务</w:t>
      </w:r>
      <w:r>
        <w:rPr>
          <w:rFonts w:hint="default" w:ascii="Times New Roman" w:hAnsi="Times New Roman" w:eastAsia="仿宋_GB2312" w:cs="Times New Roman"/>
          <w:i w:val="0"/>
          <w:iCs w:val="0"/>
          <w:caps w:val="0"/>
          <w:color w:val="auto"/>
          <w:spacing w:val="0"/>
          <w:sz w:val="32"/>
          <w:szCs w:val="32"/>
          <w:highlight w:val="none"/>
        </w:rPr>
        <w:t>体系</w:t>
      </w:r>
      <w:r>
        <w:rPr>
          <w:rFonts w:hint="default" w:ascii="Times New Roman" w:hAnsi="Times New Roman" w:eastAsia="仿宋_GB2312" w:cs="Times New Roman"/>
          <w:i w:val="0"/>
          <w:iCs w:val="0"/>
          <w:caps w:val="0"/>
          <w:color w:val="auto"/>
          <w:spacing w:val="0"/>
          <w:sz w:val="32"/>
          <w:szCs w:val="32"/>
          <w:highlight w:val="none"/>
          <w:lang w:eastAsia="zh-CN"/>
        </w:rPr>
        <w:t>，</w:t>
      </w:r>
      <w:r>
        <w:rPr>
          <w:rFonts w:hint="default" w:ascii="Times New Roman" w:hAnsi="Times New Roman" w:eastAsia="仿宋_GB2312" w:cs="Times New Roman"/>
          <w:i w:val="0"/>
          <w:iCs w:val="0"/>
          <w:caps w:val="0"/>
          <w:color w:val="auto"/>
          <w:spacing w:val="0"/>
          <w:sz w:val="32"/>
          <w:szCs w:val="32"/>
          <w:highlight w:val="none"/>
          <w:lang w:val="en-US" w:eastAsia="zh-CN"/>
        </w:rPr>
        <w:t>按时足额发放</w:t>
      </w:r>
      <w:r>
        <w:rPr>
          <w:rFonts w:hint="default" w:ascii="Times New Roman" w:hAnsi="Times New Roman" w:eastAsia="仿宋_GB2312" w:cs="Times New Roman"/>
          <w:i w:val="0"/>
          <w:iCs w:val="0"/>
          <w:caps w:val="0"/>
          <w:color w:val="auto"/>
          <w:spacing w:val="0"/>
          <w:sz w:val="32"/>
          <w:szCs w:val="32"/>
          <w:highlight w:val="none"/>
        </w:rPr>
        <w:t>最低生活保障</w:t>
      </w:r>
      <w:r>
        <w:rPr>
          <w:rFonts w:hint="default" w:ascii="Times New Roman" w:hAnsi="Times New Roman" w:eastAsia="仿宋_GB2312" w:cs="Times New Roman"/>
          <w:i w:val="0"/>
          <w:iCs w:val="0"/>
          <w:caps w:val="0"/>
          <w:color w:val="auto"/>
          <w:spacing w:val="0"/>
          <w:sz w:val="32"/>
          <w:szCs w:val="32"/>
          <w:highlight w:val="none"/>
          <w:lang w:val="en-US" w:eastAsia="zh-CN"/>
        </w:rPr>
        <w:t>金、</w:t>
      </w:r>
      <w:r>
        <w:rPr>
          <w:rFonts w:hint="default" w:ascii="Times New Roman" w:hAnsi="Times New Roman" w:eastAsia="仿宋_GB2312" w:cs="Times New Roman"/>
          <w:i w:val="0"/>
          <w:iCs w:val="0"/>
          <w:caps w:val="0"/>
          <w:color w:val="auto"/>
          <w:spacing w:val="0"/>
          <w:sz w:val="32"/>
          <w:szCs w:val="32"/>
          <w:highlight w:val="none"/>
        </w:rPr>
        <w:t>困难群众救助补助资金</w:t>
      </w:r>
      <w:r>
        <w:rPr>
          <w:rFonts w:hint="default" w:ascii="Times New Roman" w:hAnsi="Times New Roman" w:eastAsia="仿宋_GB2312" w:cs="Times New Roman"/>
          <w:i w:val="0"/>
          <w:iCs w:val="0"/>
          <w:caps w:val="0"/>
          <w:color w:val="auto"/>
          <w:spacing w:val="0"/>
          <w:sz w:val="32"/>
          <w:szCs w:val="32"/>
          <w:highlight w:val="none"/>
          <w:lang w:val="en-US" w:eastAsia="zh-CN"/>
        </w:rPr>
        <w:t>等</w:t>
      </w:r>
      <w:r>
        <w:rPr>
          <w:rFonts w:hint="default" w:ascii="Times New Roman" w:hAnsi="Times New Roman" w:eastAsia="仿宋_GB2312" w:cs="Times New Roman"/>
          <w:i w:val="0"/>
          <w:iCs w:val="0"/>
          <w:caps w:val="0"/>
          <w:color w:val="auto"/>
          <w:spacing w:val="0"/>
          <w:sz w:val="32"/>
          <w:szCs w:val="32"/>
          <w:highlight w:val="none"/>
          <w:lang w:eastAsia="zh-CN"/>
        </w:rPr>
        <w:t>，</w:t>
      </w:r>
      <w:r>
        <w:rPr>
          <w:rFonts w:hint="default" w:ascii="Times New Roman" w:hAnsi="Times New Roman" w:eastAsia="仿宋_GB2312" w:cs="Times New Roman"/>
          <w:i w:val="0"/>
          <w:iCs w:val="0"/>
          <w:caps w:val="0"/>
          <w:color w:val="auto"/>
          <w:spacing w:val="0"/>
          <w:sz w:val="32"/>
          <w:szCs w:val="32"/>
          <w:highlight w:val="none"/>
        </w:rPr>
        <w:t>落实优抚对象抚恤和生活补助政策，支持做好退役军人安置、就业等</w:t>
      </w:r>
      <w:r>
        <w:rPr>
          <w:rFonts w:hint="default" w:ascii="Times New Roman" w:hAnsi="Times New Roman" w:eastAsia="仿宋_GB2312" w:cs="Times New Roman"/>
          <w:i w:val="0"/>
          <w:iCs w:val="0"/>
          <w:caps w:val="0"/>
          <w:color w:val="0000FF"/>
          <w:spacing w:val="0"/>
          <w:sz w:val="32"/>
          <w:szCs w:val="32"/>
          <w:highlight w:val="none"/>
          <w:lang w:eastAsia="zh-CN"/>
        </w:rPr>
        <w:t>。</w:t>
      </w:r>
    </w:p>
    <w:p>
      <w:pPr>
        <w:pStyle w:val="14"/>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（三）聚焦</w:t>
      </w:r>
      <w:r>
        <w:rPr>
          <w:rFonts w:hint="eastAsia" w:eastAsia="楷体_GB2312" w:cs="Times New Roman"/>
          <w:b/>
          <w:bCs/>
          <w:color w:val="auto"/>
          <w:kern w:val="18"/>
          <w:sz w:val="32"/>
          <w:szCs w:val="32"/>
          <w:highlight w:val="none"/>
          <w:u w:val="none"/>
          <w:lang w:val="en-US" w:eastAsia="zh-CN"/>
        </w:rPr>
        <w:t>“</w:t>
      </w:r>
      <w:r>
        <w:rPr>
          <w:rFonts w:hint="default" w:ascii="Times New Roman" w:hAnsi="Times New Roman" w:eastAsia="楷体_GB2312" w:cs="Times New Roman"/>
          <w:b/>
          <w:bCs/>
          <w:color w:val="auto"/>
          <w:kern w:val="18"/>
          <w:sz w:val="32"/>
          <w:szCs w:val="32"/>
          <w:highlight w:val="none"/>
          <w:u w:val="none"/>
          <w:lang w:val="en-US" w:eastAsia="zh-CN"/>
        </w:rPr>
        <w:t>百千万工程</w:t>
      </w:r>
      <w:r>
        <w:rPr>
          <w:rFonts w:hint="eastAsia" w:eastAsia="楷体_GB2312" w:cs="Times New Roman"/>
          <w:b/>
          <w:bCs/>
          <w:color w:val="auto"/>
          <w:kern w:val="18"/>
          <w:sz w:val="32"/>
          <w:szCs w:val="32"/>
          <w:highlight w:val="none"/>
          <w:u w:val="none"/>
          <w:lang w:val="en-US" w:eastAsia="zh-CN"/>
        </w:rPr>
        <w:t>”</w:t>
      </w:r>
      <w:r>
        <w:rPr>
          <w:rFonts w:hint="default" w:ascii="Times New Roman" w:hAnsi="Times New Roman" w:eastAsia="楷体_GB2312" w:cs="Times New Roman"/>
          <w:b/>
          <w:bCs/>
          <w:color w:val="auto"/>
          <w:kern w:val="18"/>
          <w:sz w:val="32"/>
          <w:szCs w:val="32"/>
          <w:highlight w:val="none"/>
          <w:u w:val="none"/>
          <w:lang w:val="en-US" w:eastAsia="zh-CN"/>
        </w:rPr>
        <w:t>，突出重点项目保障</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一是投入4,733万元建设美</w:t>
      </w:r>
      <w:r>
        <w:rPr>
          <w:rFonts w:hint="eastAsia" w:eastAsia="仿宋_GB2312" w:cs="Times New Roman"/>
          <w:color w:val="auto"/>
          <w:kern w:val="2"/>
          <w:sz w:val="32"/>
          <w:szCs w:val="32"/>
          <w:lang w:val="en-US" w:eastAsia="zh-CN" w:bidi="ar-SA"/>
        </w:rPr>
        <w:t>丽</w:t>
      </w:r>
      <w:r>
        <w:rPr>
          <w:rFonts w:hint="default" w:ascii="Times New Roman" w:hAnsi="Times New Roman" w:eastAsia="仿宋_GB2312" w:cs="Times New Roman"/>
          <w:color w:val="auto"/>
          <w:kern w:val="2"/>
          <w:sz w:val="32"/>
          <w:szCs w:val="32"/>
          <w:lang w:val="en-US" w:eastAsia="zh-CN" w:bidi="ar-SA"/>
        </w:rPr>
        <w:t>乡村，提升农村整体面貌，推</w:t>
      </w:r>
      <w:r>
        <w:rPr>
          <w:rFonts w:hint="default" w:ascii="Times New Roman" w:hAnsi="Times New Roman" w:eastAsia="仿宋_GB2312" w:cs="Times New Roman"/>
          <w:spacing w:val="6"/>
          <w:kern w:val="2"/>
          <w:sz w:val="32"/>
          <w:szCs w:val="32"/>
          <w:lang w:val="en-US" w:eastAsia="zh-CN" w:bidi="ar-SA"/>
        </w:rPr>
        <w:t>进乡村全面振兴。拨付信息通信新基建光纤融合网工程经费334万元</w:t>
      </w:r>
      <w:r>
        <w:rPr>
          <w:rFonts w:hint="default" w:ascii="Times New Roman" w:hAnsi="Times New Roman" w:eastAsia="仿宋_GB2312" w:cs="Times New Roman"/>
          <w:color w:val="auto"/>
          <w:kern w:val="2"/>
          <w:sz w:val="32"/>
          <w:szCs w:val="32"/>
          <w:highlight w:val="none"/>
          <w:lang w:val="en-US" w:eastAsia="zh-CN" w:bidi="ar-SA"/>
        </w:rPr>
        <w:t>，加快推</w:t>
      </w:r>
      <w:r>
        <w:rPr>
          <w:rFonts w:hint="default" w:ascii="Times New Roman" w:hAnsi="Times New Roman" w:eastAsia="仿宋_GB2312" w:cs="Times New Roman"/>
          <w:color w:val="auto"/>
          <w:kern w:val="2"/>
          <w:sz w:val="32"/>
          <w:szCs w:val="32"/>
          <w:lang w:val="en-US" w:eastAsia="zh-CN" w:bidi="ar-SA"/>
        </w:rPr>
        <w:t>进农村</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三线</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整治。拨付养殖池塘尾水治理经费708万元，治理范围覆盖吴栏村、团范村等6个村。缴纳政策性农业保险81万元、粮食风险金224万元，拨付耕地保护资金310万元、耕地地力保护补贴27万元，落实耕地保护与粮食安全。拨付887万元扶持村集体经济发展，提升乡村建设水平。发放成品油价格调整对渔业补助435万元，拨付681万元开展</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清四乱</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、实施围堤路面工程等水利管养工作。二是投入63,000万元为城镇提能升级。拨付7,157万元坚定不移打赢打好</w:t>
      </w:r>
      <w:r>
        <w:rPr>
          <w:rFonts w:hint="eastAsia" w:eastAsia="仿宋_GB2312" w:cs="Times New Roman"/>
          <w:color w:val="auto"/>
          <w:kern w:val="2"/>
          <w:sz w:val="32"/>
          <w:szCs w:val="32"/>
          <w:lang w:val="en-US" w:eastAsia="zh-CN" w:bidi="ar-SA"/>
        </w:rPr>
        <w:t>水污染治理</w:t>
      </w:r>
      <w:r>
        <w:rPr>
          <w:rFonts w:hint="default" w:ascii="Times New Roman" w:hAnsi="Times New Roman" w:eastAsia="仿宋_GB2312" w:cs="Times New Roman"/>
          <w:color w:val="auto"/>
          <w:kern w:val="2"/>
          <w:sz w:val="32"/>
          <w:szCs w:val="32"/>
          <w:lang w:val="en-US" w:eastAsia="zh-CN" w:bidi="ar-SA"/>
        </w:rPr>
        <w:t>攻坚战，建设住宅小区雨污分流改造工程，实施大岑村、大雁村等</w:t>
      </w:r>
      <w:r>
        <w:rPr>
          <w:rFonts w:hint="eastAsia" w:eastAsia="仿宋_GB2312" w:cs="Times New Roman"/>
          <w:color w:val="auto"/>
          <w:kern w:val="2"/>
          <w:sz w:val="32"/>
          <w:szCs w:val="32"/>
          <w:lang w:val="en-US" w:eastAsia="zh-CN" w:bidi="ar-SA"/>
        </w:rPr>
        <w:t>11个村（社区）</w:t>
      </w:r>
      <w:r>
        <w:rPr>
          <w:rFonts w:hint="default" w:ascii="Times New Roman" w:hAnsi="Times New Roman" w:eastAsia="仿宋_GB2312" w:cs="Times New Roman"/>
          <w:color w:val="auto"/>
          <w:kern w:val="2"/>
          <w:sz w:val="32"/>
          <w:szCs w:val="32"/>
          <w:lang w:val="en-US" w:eastAsia="zh-CN" w:bidi="ar-SA"/>
        </w:rPr>
        <w:t>农村生活污水治理工程，</w:t>
      </w:r>
      <w:r>
        <w:rPr>
          <w:rFonts w:hint="eastAsia" w:eastAsia="仿宋_GB2312" w:cs="Times New Roman"/>
          <w:color w:val="auto"/>
          <w:kern w:val="2"/>
          <w:sz w:val="32"/>
          <w:szCs w:val="32"/>
          <w:lang w:val="en-US" w:eastAsia="zh-CN" w:bidi="ar-SA"/>
        </w:rPr>
        <w:t>推进</w:t>
      </w:r>
      <w:r>
        <w:rPr>
          <w:rFonts w:hint="default" w:ascii="Times New Roman" w:hAnsi="Times New Roman" w:eastAsia="仿宋_GB2312" w:cs="Times New Roman"/>
          <w:color w:val="auto"/>
          <w:kern w:val="2"/>
          <w:sz w:val="32"/>
          <w:szCs w:val="32"/>
          <w:lang w:val="en-US" w:eastAsia="zh-CN" w:bidi="ar-SA"/>
        </w:rPr>
        <w:t>北部组团垃圾综合处理基地防护区海绵生态修复工程等。拨付11,035万元持续优化城镇基础设施，加快</w:t>
      </w:r>
      <w:r>
        <w:rPr>
          <w:rFonts w:hint="eastAsia" w:eastAsia="仿宋_GB2312" w:cs="Times New Roman"/>
          <w:color w:val="auto"/>
          <w:kern w:val="2"/>
          <w:sz w:val="32"/>
          <w:szCs w:val="32"/>
          <w:lang w:val="en-US" w:eastAsia="zh-CN" w:bidi="ar-SA"/>
        </w:rPr>
        <w:t>中山</w:t>
      </w:r>
      <w:r>
        <w:rPr>
          <w:rFonts w:hint="default" w:ascii="Times New Roman" w:hAnsi="Times New Roman" w:eastAsia="仿宋_GB2312" w:cs="Times New Roman"/>
          <w:color w:val="auto"/>
          <w:kern w:val="2"/>
          <w:sz w:val="32"/>
          <w:szCs w:val="32"/>
          <w:lang w:val="en-US" w:eastAsia="zh-CN" w:bidi="ar-SA"/>
        </w:rPr>
        <w:t>智能家电产业园</w:t>
      </w:r>
      <w:r>
        <w:rPr>
          <w:rFonts w:hint="eastAsia" w:eastAsia="仿宋_GB2312" w:cs="Times New Roman"/>
          <w:color w:val="auto"/>
          <w:kern w:val="2"/>
          <w:sz w:val="32"/>
          <w:szCs w:val="32"/>
          <w:lang w:val="en-US" w:eastAsia="zh-CN" w:bidi="ar-SA"/>
        </w:rPr>
        <w:t>（黄圃</w:t>
      </w:r>
      <w:r>
        <w:rPr>
          <w:rFonts w:hint="default" w:ascii="Times New Roman" w:hAnsi="Times New Roman" w:eastAsia="仿宋_GB2312" w:cs="Times New Roman"/>
          <w:color w:val="auto"/>
          <w:kern w:val="2"/>
          <w:sz w:val="32"/>
          <w:szCs w:val="32"/>
          <w:lang w:val="en-US" w:eastAsia="zh-CN" w:bidi="ar-SA"/>
        </w:rPr>
        <w:t>片区</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及镇内道路建设，</w:t>
      </w:r>
      <w:r>
        <w:rPr>
          <w:rFonts w:hint="default" w:ascii="Times New Roman" w:hAnsi="Times New Roman" w:eastAsia="仿宋_GB2312" w:cs="Times New Roman"/>
          <w:color w:val="auto"/>
          <w:sz w:val="32"/>
          <w:szCs w:val="32"/>
          <w:highlight w:val="none"/>
          <w:u w:val="none" w:color="auto"/>
          <w:lang w:val="en-US" w:eastAsia="zh-CN"/>
        </w:rPr>
        <w:t>市政道路建设日益完善，城市更新稳步推进</w:t>
      </w:r>
      <w:r>
        <w:rPr>
          <w:rFonts w:hint="default" w:ascii="Times New Roman" w:hAnsi="Times New Roman" w:eastAsia="仿宋_GB2312" w:cs="Times New Roman"/>
          <w:color w:val="auto"/>
          <w:kern w:val="2"/>
          <w:sz w:val="32"/>
          <w:szCs w:val="32"/>
          <w:lang w:val="en-US" w:eastAsia="zh-CN" w:bidi="ar-SA"/>
        </w:rPr>
        <w:t>。拨付土地整备经费10,829万元，新增整备现代物流业平台土地，加快土地出让。拨付低效工业园区改造升级相关资金34,296万元，实施大岑、大雁、文明、吴栏、三社等一批</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工改</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项目，</w:t>
      </w:r>
      <w:r>
        <w:rPr>
          <w:rFonts w:hint="default" w:ascii="Times New Roman" w:hAnsi="Times New Roman" w:eastAsia="仿宋_GB2312" w:cs="Times New Roman"/>
          <w:color w:val="auto"/>
          <w:sz w:val="32"/>
          <w:szCs w:val="32"/>
          <w:highlight w:val="none"/>
          <w:u w:val="none" w:color="auto"/>
          <w:lang w:val="en-US" w:eastAsia="zh-CN"/>
        </w:rPr>
        <w:t>产业载体建设成效显著</w:t>
      </w:r>
      <w:r>
        <w:rPr>
          <w:rFonts w:hint="default" w:ascii="Times New Roman" w:hAnsi="Times New Roman" w:eastAsia="仿宋_GB2312" w:cs="Times New Roman"/>
          <w:color w:val="auto"/>
          <w:kern w:val="2"/>
          <w:sz w:val="32"/>
          <w:szCs w:val="32"/>
          <w:lang w:val="en-US" w:eastAsia="zh-CN" w:bidi="ar-SA"/>
        </w:rPr>
        <w:t>，为未来发展储备动能。</w:t>
      </w:r>
    </w:p>
    <w:p>
      <w:pPr>
        <w:pStyle w:val="14"/>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（四）聚焦深化改革，提升财政管理水平</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加强预算绩效管理。抓实预算绩效评价这个</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牛鼻子</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b w:val="0"/>
          <w:bCs w:val="0"/>
          <w:color w:val="000000"/>
          <w:sz w:val="32"/>
          <w:szCs w:val="32"/>
          <w:highlight w:val="none"/>
          <w:lang w:val="en-US" w:eastAsia="zh-CN"/>
        </w:rPr>
        <w:t>坚持对基建项目实行源头把关，将基建项目事前绩效评审工作作为今年预算绩效管理的工作重点</w:t>
      </w:r>
      <w:r>
        <w:rPr>
          <w:rFonts w:hint="default" w:ascii="Times New Roman" w:hAnsi="Times New Roman" w:eastAsia="仿宋_GB2312" w:cs="Times New Roman"/>
          <w:b w:val="0"/>
          <w:bCs w:val="0"/>
          <w:color w:val="0000FF"/>
          <w:sz w:val="32"/>
          <w:szCs w:val="32"/>
          <w:highlight w:val="none"/>
          <w:lang w:val="en-US" w:eastAsia="zh-CN"/>
        </w:rPr>
        <w:t>。</w:t>
      </w:r>
      <w:r>
        <w:rPr>
          <w:rFonts w:hint="default" w:ascii="Times New Roman" w:hAnsi="Times New Roman" w:eastAsia="仿宋_GB2312" w:cs="Times New Roman"/>
          <w:b w:val="0"/>
          <w:bCs w:val="0"/>
          <w:color w:val="000000"/>
          <w:sz w:val="32"/>
          <w:szCs w:val="32"/>
          <w:highlight w:val="none"/>
          <w:lang w:val="en-US" w:eastAsia="zh-CN"/>
        </w:rPr>
        <w:t>全年累计完成横档村、吴栏村农村生活污水治理工程项目等22个基建项目的事前绩效评审工作，</w:t>
      </w:r>
      <w:r>
        <w:rPr>
          <w:rFonts w:hint="default" w:ascii="Times New Roman" w:hAnsi="Times New Roman" w:eastAsia="仿宋_GB2312" w:cs="Times New Roman"/>
          <w:color w:val="000000"/>
          <w:sz w:val="32"/>
          <w:szCs w:val="32"/>
          <w:highlight w:val="none"/>
          <w:lang w:val="en-US" w:eastAsia="zh-CN"/>
        </w:rPr>
        <w:t>送审金额共37,855.37万元，审定金额共34,753.55万元，节约财政资金3,101.82万元，核减率为8.2%。</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加强工程建设项目预、结算审（复）核。</w:t>
      </w:r>
      <w:r>
        <w:rPr>
          <w:rFonts w:hint="default" w:ascii="Times New Roman" w:hAnsi="Times New Roman" w:eastAsia="仿宋_GB2312" w:cs="Times New Roman"/>
          <w:b w:val="0"/>
          <w:bCs w:val="0"/>
          <w:color w:val="000000"/>
          <w:sz w:val="32"/>
          <w:szCs w:val="32"/>
          <w:highlight w:val="none"/>
          <w:lang w:val="en-US" w:eastAsia="zh-CN"/>
        </w:rPr>
        <w:t>全年累计完成</w:t>
      </w:r>
      <w:r>
        <w:rPr>
          <w:rFonts w:hint="default" w:ascii="Times New Roman" w:hAnsi="Times New Roman" w:eastAsia="仿宋_GB2312" w:cs="Times New Roman"/>
          <w:sz w:val="32"/>
          <w:szCs w:val="32"/>
          <w:highlight w:val="none"/>
        </w:rPr>
        <w:t>预</w:t>
      </w:r>
      <w:r>
        <w:rPr>
          <w:rFonts w:hint="default" w:ascii="Times New Roman" w:hAnsi="Times New Roman" w:eastAsia="仿宋_GB2312" w:cs="Times New Roman"/>
          <w:spacing w:val="-11"/>
          <w:sz w:val="32"/>
          <w:szCs w:val="32"/>
          <w:lang w:val="en-US" w:eastAsia="zh-CN"/>
        </w:rPr>
        <w:t>算审核项目40宗（含农村小型建设项目6宗），核减金额868.97万元，</w:t>
      </w:r>
      <w:r>
        <w:rPr>
          <w:rFonts w:hint="default" w:ascii="Times New Roman" w:hAnsi="Times New Roman" w:eastAsia="仿宋_GB2312" w:cs="Times New Roman"/>
          <w:sz w:val="32"/>
          <w:szCs w:val="32"/>
          <w:highlight w:val="none"/>
        </w:rPr>
        <w:t>核减率约</w:t>
      </w:r>
      <w:r>
        <w:rPr>
          <w:rFonts w:hint="default" w:ascii="Times New Roman" w:hAnsi="Times New Roman" w:eastAsia="仿宋_GB2312" w:cs="Times New Roman"/>
          <w:sz w:val="32"/>
          <w:szCs w:val="32"/>
          <w:highlight w:val="none"/>
          <w:lang w:val="en-US" w:eastAsia="zh-CN"/>
        </w:rPr>
        <w:t>2.7</w:t>
      </w:r>
      <w:r>
        <w:rPr>
          <w:rFonts w:hint="default" w:ascii="Times New Roman" w:hAnsi="Times New Roman" w:eastAsia="仿宋_GB2312" w:cs="Times New Roman"/>
          <w:sz w:val="32"/>
          <w:szCs w:val="32"/>
          <w:highlight w:val="none"/>
        </w:rPr>
        <w:t>%；完成结算审（复）核项目</w:t>
      </w:r>
      <w:r>
        <w:rPr>
          <w:rFonts w:hint="default" w:ascii="Times New Roman" w:hAnsi="Times New Roman" w:eastAsia="仿宋_GB2312" w:cs="Times New Roman"/>
          <w:sz w:val="32"/>
          <w:szCs w:val="32"/>
          <w:highlight w:val="none"/>
          <w:lang w:val="en-US" w:eastAsia="zh-CN"/>
        </w:rPr>
        <w:t>33</w:t>
      </w:r>
      <w:r>
        <w:rPr>
          <w:rFonts w:hint="default" w:ascii="Times New Roman" w:hAnsi="Times New Roman" w:eastAsia="仿宋_GB2312" w:cs="Times New Roman"/>
          <w:sz w:val="32"/>
          <w:szCs w:val="32"/>
          <w:highlight w:val="none"/>
        </w:rPr>
        <w:t>宗</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含农村小型建设项目14宗）</w:t>
      </w:r>
      <w:r>
        <w:rPr>
          <w:rFonts w:hint="default" w:ascii="Times New Roman" w:hAnsi="Times New Roman" w:eastAsia="仿宋_GB2312" w:cs="Times New Roman"/>
          <w:sz w:val="32"/>
          <w:szCs w:val="32"/>
          <w:highlight w:val="none"/>
        </w:rPr>
        <w:t>，核减金额</w:t>
      </w:r>
      <w:r>
        <w:rPr>
          <w:rFonts w:hint="default" w:ascii="Times New Roman" w:hAnsi="Times New Roman" w:eastAsia="仿宋_GB2312" w:cs="Times New Roman"/>
          <w:sz w:val="32"/>
          <w:szCs w:val="32"/>
          <w:highlight w:val="none"/>
          <w:lang w:val="en-US" w:eastAsia="zh-CN"/>
        </w:rPr>
        <w:t>804.69</w:t>
      </w:r>
      <w:r>
        <w:rPr>
          <w:rFonts w:hint="default" w:ascii="Times New Roman" w:hAnsi="Times New Roman" w:eastAsia="仿宋_GB2312" w:cs="Times New Roman"/>
          <w:sz w:val="32"/>
          <w:szCs w:val="32"/>
          <w:highlight w:val="none"/>
        </w:rPr>
        <w:t>万元，核减率约</w:t>
      </w:r>
      <w:r>
        <w:rPr>
          <w:rFonts w:hint="default" w:ascii="Times New Roman" w:hAnsi="Times New Roman" w:eastAsia="仿宋_GB2312" w:cs="Times New Roman"/>
          <w:sz w:val="32"/>
          <w:szCs w:val="32"/>
          <w:highlight w:val="none"/>
          <w:lang w:val="en-US" w:eastAsia="zh-CN"/>
        </w:rPr>
        <w:t>2.1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 w:val="0"/>
          <w:bCs w:val="0"/>
          <w:color w:val="0000FF"/>
          <w:sz w:val="32"/>
          <w:szCs w:val="32"/>
          <w:highlight w:val="none"/>
          <w:lang w:val="en-US" w:eastAsia="zh-CN"/>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加强政府采购执行管理。强化采购人主体责任，提高政府采购透明度，优化政府采购营商环境。2024年指导行政事业单位建立和完善部门采购内控制度。</w:t>
      </w:r>
    </w:p>
    <w:p>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both"/>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w:t>
      </w:r>
      <w:r>
        <w:rPr>
          <w:rFonts w:hint="eastAsia" w:eastAsia="仿宋_GB2312" w:cs="Times New Roman"/>
          <w:b w:val="0"/>
          <w:bCs w:val="0"/>
          <w:kern w:val="2"/>
          <w:sz w:val="32"/>
          <w:szCs w:val="32"/>
          <w:highlight w:val="none"/>
          <w:lang w:val="en-US" w:eastAsia="zh-CN" w:bidi="ar-SA"/>
        </w:rPr>
        <w:t>加强专项自查和监督检查。</w:t>
      </w:r>
      <w:r>
        <w:rPr>
          <w:rFonts w:hint="default" w:ascii="Times New Roman" w:hAnsi="Times New Roman" w:eastAsia="仿宋_GB2312" w:cs="Times New Roman"/>
          <w:b w:val="0"/>
          <w:bCs w:val="0"/>
          <w:kern w:val="2"/>
          <w:sz w:val="32"/>
          <w:szCs w:val="32"/>
          <w:highlight w:val="none"/>
          <w:lang w:val="en-US" w:eastAsia="zh-CN" w:bidi="ar-SA"/>
        </w:rPr>
        <w:t>开展财经纪律专项整治自查、镇街财力支出安排和</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三保</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工作情况专项检查自查、公务接待问题专项整治工作自查等，积极配合各级巡视、巡察和审计工作，有效落实整改，切实提升财政工作规范化管理水平。开展黄圃镇农村集体</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三资</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监管突出问题暨</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以案促改</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专项整治、农村集体资产清产核资复核、村（居）务公开检查、配合市开展代理记账机构重点监督检查等专项行动。通过把问题整改贯穿监督检查全过程，督促相关单位加强对财会监督检查等反馈问题的整改，强化跟踪问效，确保专项监督检查取得实效。</w:t>
      </w:r>
    </w:p>
    <w:p>
      <w:pPr>
        <w:pStyle w:val="14"/>
        <w:keepNext w:val="0"/>
        <w:keepLines w:val="0"/>
        <w:pageBreakBefore w:val="0"/>
        <w:widowControl w:val="0"/>
        <w:numPr>
          <w:ilvl w:val="0"/>
          <w:numId w:val="0"/>
        </w:numPr>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b w:val="0"/>
          <w:bCs w:val="0"/>
          <w:color w:val="auto"/>
          <w:spacing w:val="0"/>
          <w:kern w:val="2"/>
          <w:sz w:val="32"/>
          <w:szCs w:val="32"/>
          <w:highlight w:val="none"/>
          <w:lang w:val="en-US" w:eastAsia="zh-CN" w:bidi="ar-SA"/>
        </w:rPr>
      </w:pPr>
    </w:p>
    <w:sectPr>
      <w:footerReference r:id="rId3" w:type="default"/>
      <w:pgSz w:w="11906" w:h="16838"/>
      <w:pgMar w:top="1417" w:right="1587" w:bottom="1417" w:left="1587"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Align="top"/>
      <w:pBdr>
        <w:between w:val="none" w:color="auto" w:sz="0" w:space="0"/>
      </w:pBdr>
      <w:rPr>
        <w:rFonts w:hint="eastAsia"/>
        <w:sz w:val="30"/>
      </w:rPr>
    </w:pPr>
    <w:r>
      <w:rPr>
        <w:rStyle w:val="9"/>
        <w:rFonts w:hint="eastAsia"/>
        <w:sz w:val="30"/>
        <w:lang w:eastAsia="zh-CN"/>
      </w:rPr>
      <w:t>－</w:t>
    </w:r>
    <w:r>
      <w:rPr>
        <w:rStyle w:val="9"/>
        <w:rFonts w:hint="eastAsia"/>
        <w:sz w:val="30"/>
        <w:lang w:val="en-US" w:eastAsia="zh-CN"/>
      </w:rPr>
      <w:t xml:space="preserve"> </w:t>
    </w:r>
    <w:r>
      <w:rPr>
        <w:rFonts w:hint="eastAsia"/>
        <w:sz w:val="30"/>
      </w:rPr>
      <w:fldChar w:fldCharType="begin"/>
    </w:r>
    <w:r>
      <w:rPr>
        <w:rStyle w:val="9"/>
        <w:rFonts w:hint="eastAsia"/>
        <w:sz w:val="30"/>
      </w:rPr>
      <w:instrText xml:space="preserve"> PAGE  </w:instrText>
    </w:r>
    <w:r>
      <w:rPr>
        <w:rFonts w:hint="eastAsia"/>
        <w:sz w:val="30"/>
      </w:rPr>
      <w:fldChar w:fldCharType="separate"/>
    </w:r>
    <w:r>
      <w:rPr>
        <w:rStyle w:val="9"/>
        <w:sz w:val="30"/>
      </w:rPr>
      <w:t>3</w:t>
    </w:r>
    <w:r>
      <w:rPr>
        <w:rFonts w:hint="eastAsia"/>
        <w:sz w:val="30"/>
      </w:rPr>
      <w:fldChar w:fldCharType="end"/>
    </w:r>
    <w:r>
      <w:rPr>
        <w:rStyle w:val="9"/>
        <w:rFonts w:hint="eastAsia"/>
        <w:sz w:val="30"/>
        <w:lang w:val="en-US" w:eastAsia="zh-CN"/>
      </w:rPr>
      <w:t xml:space="preserve"> －</w: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0E1FA5"/>
    <w:multiLevelType w:val="singleLevel"/>
    <w:tmpl w:val="420E1FA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21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FD1AD7"/>
    <w:rsid w:val="021620C2"/>
    <w:rsid w:val="02397D48"/>
    <w:rsid w:val="036C262D"/>
    <w:rsid w:val="04422DEB"/>
    <w:rsid w:val="04A95123"/>
    <w:rsid w:val="059B4E40"/>
    <w:rsid w:val="066C1B5E"/>
    <w:rsid w:val="06BF1720"/>
    <w:rsid w:val="07CB0958"/>
    <w:rsid w:val="088038FF"/>
    <w:rsid w:val="0A7D15C9"/>
    <w:rsid w:val="0B30421D"/>
    <w:rsid w:val="0B8F7CEC"/>
    <w:rsid w:val="0CCC2506"/>
    <w:rsid w:val="0CEA34BE"/>
    <w:rsid w:val="0DB2171B"/>
    <w:rsid w:val="0EE434AE"/>
    <w:rsid w:val="11483D68"/>
    <w:rsid w:val="115C2D54"/>
    <w:rsid w:val="11B71E1D"/>
    <w:rsid w:val="13124349"/>
    <w:rsid w:val="134F0C95"/>
    <w:rsid w:val="13760AF9"/>
    <w:rsid w:val="157D5A08"/>
    <w:rsid w:val="170F637C"/>
    <w:rsid w:val="180A78EF"/>
    <w:rsid w:val="189F77F2"/>
    <w:rsid w:val="197F6E60"/>
    <w:rsid w:val="198E4EFC"/>
    <w:rsid w:val="1FDB71CF"/>
    <w:rsid w:val="21C612F9"/>
    <w:rsid w:val="224772C9"/>
    <w:rsid w:val="238E2E63"/>
    <w:rsid w:val="2572277A"/>
    <w:rsid w:val="273419E0"/>
    <w:rsid w:val="28067B3A"/>
    <w:rsid w:val="292A6617"/>
    <w:rsid w:val="2E9D00DA"/>
    <w:rsid w:val="2F964A23"/>
    <w:rsid w:val="31A17516"/>
    <w:rsid w:val="334C7FB6"/>
    <w:rsid w:val="344A2458"/>
    <w:rsid w:val="351D0231"/>
    <w:rsid w:val="360217A9"/>
    <w:rsid w:val="3B6A5D88"/>
    <w:rsid w:val="3BF770DE"/>
    <w:rsid w:val="3DA059A7"/>
    <w:rsid w:val="3DDC7D8B"/>
    <w:rsid w:val="413D2B09"/>
    <w:rsid w:val="42641245"/>
    <w:rsid w:val="42AC164F"/>
    <w:rsid w:val="444555C8"/>
    <w:rsid w:val="45880D21"/>
    <w:rsid w:val="4934502A"/>
    <w:rsid w:val="49770430"/>
    <w:rsid w:val="4AF95C0F"/>
    <w:rsid w:val="4DF40413"/>
    <w:rsid w:val="4DF85277"/>
    <w:rsid w:val="4E040B58"/>
    <w:rsid w:val="50DE503B"/>
    <w:rsid w:val="53427F20"/>
    <w:rsid w:val="54DA688B"/>
    <w:rsid w:val="55820257"/>
    <w:rsid w:val="589A6927"/>
    <w:rsid w:val="58CF5440"/>
    <w:rsid w:val="598B7388"/>
    <w:rsid w:val="5B667984"/>
    <w:rsid w:val="5BD347B4"/>
    <w:rsid w:val="5F4661B2"/>
    <w:rsid w:val="60704E44"/>
    <w:rsid w:val="639B507A"/>
    <w:rsid w:val="63BD5A1D"/>
    <w:rsid w:val="65AB2B63"/>
    <w:rsid w:val="6775531C"/>
    <w:rsid w:val="687C4576"/>
    <w:rsid w:val="6A135C12"/>
    <w:rsid w:val="6AF15601"/>
    <w:rsid w:val="6BE50451"/>
    <w:rsid w:val="6D004B8B"/>
    <w:rsid w:val="6DEAD4C6"/>
    <w:rsid w:val="6DF026EB"/>
    <w:rsid w:val="6F0A44BC"/>
    <w:rsid w:val="72BE234E"/>
    <w:rsid w:val="73607959"/>
    <w:rsid w:val="765131D9"/>
    <w:rsid w:val="769F19A4"/>
    <w:rsid w:val="76A9613C"/>
    <w:rsid w:val="783748A0"/>
    <w:rsid w:val="78D52F9E"/>
    <w:rsid w:val="78F14D7D"/>
    <w:rsid w:val="7B534407"/>
    <w:rsid w:val="7BD617AF"/>
    <w:rsid w:val="7DFEE8D5"/>
    <w:rsid w:val="7E9520BA"/>
    <w:rsid w:val="7FCA3EC9"/>
    <w:rsid w:val="CFDEE4DC"/>
    <w:rsid w:val="EFFFD0F6"/>
    <w:rsid w:val="FD9BF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toa heading"/>
    <w:basedOn w:val="1"/>
    <w:next w:val="1"/>
    <w:qFormat/>
    <w:uiPriority w:val="0"/>
    <w:pPr>
      <w:widowControl/>
      <w:spacing w:before="120" w:after="100" w:afterAutospacing="1"/>
    </w:pPr>
    <w:rPr>
      <w:rFonts w:ascii="Arial" w:hAnsi="Arial" w:cs="Arial"/>
      <w:sz w:val="24"/>
      <w:lang w:bidi="gu-IN"/>
    </w:rPr>
  </w:style>
  <w:style w:type="paragraph" w:styleId="4">
    <w:name w:val="annotation text"/>
    <w:basedOn w:val="1"/>
    <w:qFormat/>
    <w:uiPriority w:val="0"/>
    <w:pPr>
      <w:jc w:val="left"/>
    </w:pPr>
    <w:rPr>
      <w:rFonts w:ascii="Times New Roman" w:hAnsi="Times New Roman" w:eastAsia="宋体"/>
      <w:sz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basedOn w:val="8"/>
    <w:qFormat/>
    <w:uiPriority w:val="0"/>
    <w:rPr>
      <w:rFonts w:ascii="Times New Roman" w:hAnsi="Times New Roman" w:eastAsia="宋体" w:cs="Times New Roman"/>
      <w:spacing w:val="0"/>
      <w:kern w:val="2"/>
    </w:rPr>
  </w:style>
  <w:style w:type="paragraph" w:customStyle="1" w:styleId="10">
    <w:name w:val="正文首行缩进 21"/>
    <w:basedOn w:val="11"/>
    <w:qFormat/>
    <w:uiPriority w:val="0"/>
    <w:pPr>
      <w:ind w:firstLine="420" w:firstLineChars="200"/>
    </w:pPr>
  </w:style>
  <w:style w:type="paragraph" w:customStyle="1" w:styleId="11">
    <w:name w:val="正文文本缩进1"/>
    <w:basedOn w:val="12"/>
    <w:qFormat/>
    <w:uiPriority w:val="0"/>
    <w:pPr>
      <w:ind w:left="420" w:leftChars="200"/>
    </w:pPr>
  </w:style>
  <w:style w:type="paragraph" w:customStyle="1" w:styleId="12">
    <w:name w:val="正文 New"/>
    <w:next w:val="1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table of authorities1"/>
    <w:basedOn w:val="1"/>
    <w:next w:val="1"/>
    <w:qFormat/>
    <w:uiPriority w:val="0"/>
    <w:pPr>
      <w:ind w:left="420" w:leftChars="200"/>
    </w:pPr>
    <w:rPr>
      <w:rFonts w:ascii="Times New Roman" w:hAnsi="Times New Roman"/>
    </w:rPr>
  </w:style>
  <w:style w:type="paragraph" w:customStyle="1" w:styleId="14">
    <w:name w:val="p0"/>
    <w:basedOn w:val="1"/>
    <w:qFormat/>
    <w:uiPriority w:val="0"/>
    <w:pPr>
      <w:widowControl/>
    </w:pPr>
    <w:rPr>
      <w:kern w:val="0"/>
      <w:szCs w:val="21"/>
    </w:rPr>
  </w:style>
  <w:style w:type="paragraph" w:customStyle="1" w:styleId="15">
    <w:name w:val="p18"/>
    <w:basedOn w:val="1"/>
    <w:qFormat/>
    <w:uiPriority w:val="0"/>
    <w:pPr>
      <w:widowControl/>
    </w:pPr>
    <w:rPr>
      <w:kern w:val="0"/>
      <w:szCs w:val="21"/>
    </w:rPr>
  </w:style>
  <w:style w:type="paragraph" w:customStyle="1" w:styleId="16">
    <w:name w:val="_Style 6"/>
    <w:basedOn w:val="1"/>
    <w:qFormat/>
    <w:uiPriority w:val="0"/>
    <w:pPr>
      <w:widowControl/>
      <w:adjustRightInd/>
      <w:snapToGrid/>
      <w:spacing w:after="160" w:afterLines="0" w:line="240" w:lineRule="exact"/>
      <w:jc w:val="left"/>
    </w:pPr>
    <w:rPr>
      <w:rFonts w:eastAsia="仿宋_GB2312"/>
      <w:spacing w:val="0"/>
      <w:kern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2023-02-28T09:49:00Z</dcterms:created>
  <dc:creator>HPZ001</dc:creator>
  <cp:lastModifiedBy>罗均琳</cp:lastModifiedBy>
  <cp:lastPrinted>2025-07-23T17:10:00Z</cp:lastPrinted>
  <dcterms:modified xsi:type="dcterms:W3CDTF">2025-11-12T16:08:58Z</dcterms:modified>
  <dc:title>镇十七届人大七次会议文件（1）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C95F814F4F53408190B309BFC3F20660</vt:lpwstr>
  </property>
</Properties>
</file>