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D3AB2">
      <w:pPr>
        <w:keepNext w:val="0"/>
        <w:keepLines w:val="0"/>
        <w:pageBreakBefore w:val="0"/>
        <w:widowControl w:val="0"/>
        <w:kinsoku/>
        <w:wordWrap/>
        <w:overflowPunct/>
        <w:topLinePunct w:val="0"/>
        <w:autoSpaceDE/>
        <w:autoSpaceDN/>
        <w:bidi w:val="0"/>
        <w:adjustRightInd w:val="0"/>
        <w:snapToGrid w:val="0"/>
        <w:spacing w:line="276" w:lineRule="auto"/>
        <w:ind w:left="0" w:right="0"/>
        <w:jc w:val="center"/>
        <w:textAlignment w:val="auto"/>
        <w:outlineLvl w:val="9"/>
        <w:rPr>
          <w:rFonts w:hint="default" w:ascii="Times New Roman" w:hAnsi="Times New Roman" w:eastAsia="方正小标宋简体" w:cs="Times New Roman"/>
          <w:color w:val="auto"/>
          <w:spacing w:val="-6"/>
          <w:sz w:val="44"/>
          <w:szCs w:val="44"/>
          <w:highlight w:val="none"/>
          <w:lang w:val="en-US" w:eastAsia="zh-CN"/>
        </w:rPr>
      </w:pPr>
      <w:r>
        <w:rPr>
          <w:rFonts w:hint="eastAsia" w:ascii="Times New Roman" w:hAnsi="Times New Roman" w:eastAsia="方正小标宋简体" w:cs="Times New Roman"/>
          <w:color w:val="auto"/>
          <w:spacing w:val="-6"/>
          <w:sz w:val="44"/>
          <w:szCs w:val="44"/>
          <w:highlight w:val="none"/>
          <w:lang w:val="en-US" w:eastAsia="zh-CN"/>
        </w:rPr>
        <w:t>广东省广弘食品集团有限公司</w:t>
      </w:r>
      <w:r>
        <w:rPr>
          <w:rFonts w:hint="default" w:ascii="Times New Roman" w:hAnsi="Times New Roman" w:eastAsia="方正小标宋简体" w:cs="Times New Roman"/>
          <w:color w:val="auto"/>
          <w:spacing w:val="-6"/>
          <w:sz w:val="44"/>
          <w:szCs w:val="44"/>
          <w:highlight w:val="none"/>
          <w:lang w:val="en-US" w:eastAsia="zh-CN"/>
        </w:rPr>
        <w:t>低效工业用地</w:t>
      </w:r>
    </w:p>
    <w:p w14:paraId="17695568">
      <w:pPr>
        <w:keepNext w:val="0"/>
        <w:keepLines w:val="0"/>
        <w:pageBreakBefore w:val="0"/>
        <w:widowControl w:val="0"/>
        <w:kinsoku/>
        <w:wordWrap/>
        <w:overflowPunct/>
        <w:topLinePunct w:val="0"/>
        <w:autoSpaceDE/>
        <w:autoSpaceDN/>
        <w:bidi w:val="0"/>
        <w:adjustRightInd w:val="0"/>
        <w:snapToGrid w:val="0"/>
        <w:spacing w:line="276" w:lineRule="auto"/>
        <w:ind w:left="0" w:right="0"/>
        <w:jc w:val="center"/>
        <w:textAlignment w:val="auto"/>
        <w:outlineLvl w:val="9"/>
        <w:rPr>
          <w:rFonts w:hint="default" w:ascii="Times New Roman" w:hAnsi="Times New Roman" w:eastAsia="方正小标宋简体" w:cs="Times New Roman"/>
          <w:color w:val="auto"/>
          <w:spacing w:val="-6"/>
          <w:sz w:val="44"/>
          <w:szCs w:val="44"/>
          <w:highlight w:val="none"/>
          <w:lang w:val="en-US" w:eastAsia="zh-CN"/>
        </w:rPr>
      </w:pPr>
      <w:r>
        <w:rPr>
          <w:rFonts w:hint="default" w:ascii="Times New Roman" w:hAnsi="Times New Roman" w:eastAsia="方正小标宋简体" w:cs="Times New Roman"/>
          <w:color w:val="auto"/>
          <w:spacing w:val="-6"/>
          <w:sz w:val="44"/>
          <w:szCs w:val="44"/>
          <w:highlight w:val="none"/>
          <w:lang w:val="en-US" w:eastAsia="zh-CN"/>
        </w:rPr>
        <w:t>项目改造方案</w:t>
      </w:r>
      <w:r>
        <w:rPr>
          <w:rFonts w:hint="eastAsia" w:ascii="Times New Roman" w:hAnsi="Times New Roman" w:eastAsia="方正小标宋简体" w:cs="Times New Roman"/>
          <w:color w:val="auto"/>
          <w:spacing w:val="-6"/>
          <w:sz w:val="44"/>
          <w:szCs w:val="44"/>
          <w:highlight w:val="none"/>
          <w:lang w:val="en-US" w:eastAsia="zh-CN"/>
        </w:rPr>
        <w:t>（草案）</w:t>
      </w:r>
    </w:p>
    <w:p w14:paraId="1112F4FC">
      <w:pPr>
        <w:keepNext w:val="0"/>
        <w:keepLines w:val="0"/>
        <w:pageBreakBefore w:val="0"/>
        <w:widowControl w:val="0"/>
        <w:kinsoku/>
        <w:wordWrap/>
        <w:overflowPunct/>
        <w:topLinePunct w:val="0"/>
        <w:autoSpaceDE/>
        <w:autoSpaceDN/>
        <w:bidi w:val="0"/>
        <w:adjustRightInd w:val="0"/>
        <w:snapToGrid w:val="0"/>
        <w:spacing w:line="336" w:lineRule="auto"/>
        <w:ind w:right="0"/>
        <w:textAlignment w:val="auto"/>
        <w:outlineLvl w:val="9"/>
        <w:rPr>
          <w:rFonts w:hint="default" w:ascii="Times New Roman" w:hAnsi="Times New Roman" w:eastAsia="仿宋_GB2312" w:cs="Times New Roman"/>
          <w:color w:val="auto"/>
          <w:spacing w:val="0"/>
          <w:sz w:val="32"/>
          <w:szCs w:val="32"/>
          <w:highlight w:val="none"/>
        </w:rPr>
      </w:pPr>
    </w:p>
    <w:p w14:paraId="356A9AAA">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outlineLvl w:val="9"/>
        <w:rPr>
          <w:rFonts w:hint="default" w:ascii="Times New Roman" w:hAnsi="Times New Roman" w:eastAsia="仿宋_GB2312" w:cs="Times New Roman"/>
          <w:color w:val="auto"/>
          <w:spacing w:val="0"/>
          <w:sz w:val="32"/>
          <w:szCs w:val="32"/>
          <w:highlight w:val="none"/>
        </w:rPr>
      </w:pPr>
      <w:r>
        <w:rPr>
          <w:rFonts w:hint="eastAsia" w:ascii="Times New Roman" w:hAnsi="Times New Roman" w:eastAsia="仿宋_GB2312" w:cs="Times New Roman"/>
          <w:color w:val="auto"/>
          <w:spacing w:val="0"/>
          <w:sz w:val="32"/>
          <w:szCs w:val="32"/>
          <w:highlight w:val="none"/>
          <w:u w:val="none"/>
          <w:shd w:val="clear" w:color="auto" w:fill="auto"/>
          <w:lang w:val="en-US" w:eastAsia="zh-CN"/>
        </w:rPr>
        <w:t>根据中山市城市更新（“三旧”改造）专项规划和经批复规划条件论证，坦洲镇人民政府拟对位于坦洲镇十四村社区的广东省广弘食品集团有限公司（下称“广弘食品”）的</w:t>
      </w:r>
      <w:r>
        <w:rPr>
          <w:rFonts w:hint="default" w:ascii="Times New Roman" w:hAnsi="Times New Roman" w:eastAsia="仿宋_GB2312" w:cs="Times New Roman"/>
          <w:color w:val="auto"/>
          <w:spacing w:val="0"/>
          <w:sz w:val="32"/>
          <w:szCs w:val="32"/>
          <w:highlight w:val="none"/>
          <w:lang w:val="en-US" w:eastAsia="zh-CN"/>
        </w:rPr>
        <w:t>低效工业用地进行改造升级，由</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广弘食品</w:t>
      </w:r>
      <w:r>
        <w:rPr>
          <w:rFonts w:hint="default" w:ascii="Times New Roman" w:hAnsi="Times New Roman" w:eastAsia="仿宋_GB2312" w:cs="Times New Roman"/>
          <w:color w:val="auto"/>
          <w:spacing w:val="0"/>
          <w:sz w:val="32"/>
          <w:szCs w:val="32"/>
          <w:highlight w:val="none"/>
          <w:lang w:val="en-US" w:eastAsia="zh-CN"/>
        </w:rPr>
        <w:t>进行自主改造，采取全面改造的改造方式</w:t>
      </w:r>
      <w:r>
        <w:rPr>
          <w:rFonts w:hint="eastAsia" w:ascii="Times New Roman" w:hAnsi="Times New Roman"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u w:val="none"/>
        </w:rPr>
        <w:t>改造</w:t>
      </w:r>
      <w:r>
        <w:rPr>
          <w:rFonts w:hint="default" w:ascii="Times New Roman" w:hAnsi="Times New Roman" w:eastAsia="仿宋_GB2312" w:cs="Times New Roman"/>
          <w:color w:val="auto"/>
          <w:spacing w:val="0"/>
          <w:sz w:val="32"/>
          <w:szCs w:val="32"/>
          <w:highlight w:val="none"/>
        </w:rPr>
        <w:t>方案如下：</w:t>
      </w:r>
    </w:p>
    <w:p w14:paraId="08DDBD6A">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right="0" w:firstLine="640"/>
        <w:textAlignment w:val="auto"/>
        <w:outlineLvl w:val="9"/>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地块基本情况</w:t>
      </w:r>
    </w:p>
    <w:p w14:paraId="5C325B61">
      <w:pPr>
        <w:keepNext w:val="0"/>
        <w:keepLines w:val="0"/>
        <w:pageBreakBefore w:val="0"/>
        <w:widowControl w:val="0"/>
        <w:numPr>
          <w:ilvl w:val="0"/>
          <w:numId w:val="2"/>
        </w:numPr>
        <w:kinsoku/>
        <w:wordWrap/>
        <w:overflowPunct/>
        <w:topLinePunct w:val="0"/>
        <w:autoSpaceDE/>
        <w:autoSpaceDN/>
        <w:bidi w:val="0"/>
        <w:adjustRightInd w:val="0"/>
        <w:snapToGrid w:val="0"/>
        <w:spacing w:line="336" w:lineRule="auto"/>
        <w:ind w:left="0" w:right="0" w:firstLine="420"/>
        <w:textAlignment w:val="auto"/>
        <w:outlineLvl w:val="9"/>
        <w:rPr>
          <w:rFonts w:hint="default" w:ascii="Times New Roman" w:hAnsi="Times New Roman" w:eastAsia="楷体_GB2312" w:cs="Times New Roman"/>
          <w:color w:val="auto"/>
          <w:spacing w:val="0"/>
          <w:sz w:val="32"/>
          <w:szCs w:val="32"/>
          <w:highlight w:val="none"/>
        </w:rPr>
      </w:pPr>
      <w:r>
        <w:rPr>
          <w:rFonts w:hint="default" w:ascii="Times New Roman" w:hAnsi="Times New Roman" w:eastAsia="楷体_GB2312" w:cs="Times New Roman"/>
          <w:color w:val="auto"/>
          <w:spacing w:val="0"/>
          <w:sz w:val="32"/>
          <w:szCs w:val="32"/>
          <w:highlight w:val="none"/>
        </w:rPr>
        <w:t>总体情况</w:t>
      </w:r>
    </w:p>
    <w:p w14:paraId="602FA459">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cs="Times New Roman"/>
          <w:color w:val="auto"/>
          <w:spacing w:val="0"/>
          <w:sz w:val="32"/>
          <w:szCs w:val="32"/>
          <w:highlight w:val="none"/>
          <w:u w:val="none"/>
          <w:shd w:val="clear" w:color="auto" w:fill="auto"/>
          <w:lang w:val="en-US" w:eastAsia="zh-CN"/>
        </w:rPr>
        <w:t>改造</w:t>
      </w:r>
      <w:r>
        <w:rPr>
          <w:rFonts w:hint="default" w:ascii="Times New Roman" w:hAnsi="Times New Roman" w:eastAsia="仿宋_GB2312" w:cs="Times New Roman"/>
          <w:color w:val="auto"/>
          <w:spacing w:val="0"/>
          <w:sz w:val="32"/>
          <w:szCs w:val="32"/>
          <w:highlight w:val="none"/>
          <w:lang w:eastAsia="zh-CN"/>
        </w:rPr>
        <w:t>地块</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位于坦洲镇十四村社区，北至环市南路（汇财街），南近永发路，西至利源路，东至金源路，总用地面积2.3334公顷（23333.7平方米，折合约35亩）。</w:t>
      </w:r>
    </w:p>
    <w:p w14:paraId="0D261FFA">
      <w:pPr>
        <w:keepNext w:val="0"/>
        <w:keepLines w:val="0"/>
        <w:pageBreakBefore w:val="0"/>
        <w:widowControl w:val="0"/>
        <w:numPr>
          <w:ilvl w:val="0"/>
          <w:numId w:val="2"/>
        </w:numPr>
        <w:kinsoku/>
        <w:wordWrap/>
        <w:overflowPunct/>
        <w:topLinePunct w:val="0"/>
        <w:autoSpaceDE/>
        <w:autoSpaceDN/>
        <w:bidi w:val="0"/>
        <w:adjustRightInd w:val="0"/>
        <w:snapToGrid w:val="0"/>
        <w:spacing w:line="336" w:lineRule="auto"/>
        <w:ind w:left="0" w:right="0" w:firstLine="420"/>
        <w:textAlignment w:val="auto"/>
        <w:outlineLvl w:val="9"/>
        <w:rPr>
          <w:rFonts w:hint="default" w:ascii="Times New Roman" w:hAnsi="Times New Roman" w:eastAsia="楷体_GB2312" w:cs="Times New Roman"/>
          <w:color w:val="auto"/>
          <w:spacing w:val="0"/>
          <w:sz w:val="32"/>
          <w:szCs w:val="32"/>
          <w:highlight w:val="none"/>
          <w:lang w:val="en-US" w:eastAsia="zh-CN"/>
        </w:rPr>
      </w:pPr>
      <w:r>
        <w:rPr>
          <w:rFonts w:hint="default" w:ascii="Times New Roman" w:hAnsi="Times New Roman" w:eastAsia="楷体_GB2312" w:cs="Times New Roman"/>
          <w:color w:val="auto"/>
          <w:spacing w:val="0"/>
          <w:sz w:val="32"/>
          <w:szCs w:val="32"/>
          <w:highlight w:val="none"/>
          <w:lang w:val="en-US" w:eastAsia="zh-CN"/>
        </w:rPr>
        <w:t>标图入库情况</w:t>
      </w:r>
    </w:p>
    <w:p w14:paraId="5B265E29">
      <w:pPr>
        <w:pStyle w:val="6"/>
        <w:keepNext/>
        <w:keepLines w:val="0"/>
        <w:pageBreakBefore w:val="0"/>
        <w:widowControl w:val="0"/>
        <w:numPr>
          <w:ilvl w:val="-1"/>
          <w:numId w:val="0"/>
        </w:numPr>
        <w:kinsoku/>
        <w:wordWrap/>
        <w:overflowPunct/>
        <w:topLinePunct w:val="0"/>
        <w:autoSpaceDE/>
        <w:autoSpaceDN/>
        <w:bidi w:val="0"/>
        <w:adjustRightInd w:val="0"/>
        <w:snapToGrid w:val="0"/>
        <w:spacing w:line="336" w:lineRule="auto"/>
        <w:ind w:firstLine="640"/>
        <w:jc w:val="both"/>
        <w:textAlignment w:val="auto"/>
        <w:rPr>
          <w:rFonts w:hint="default" w:ascii="Times New Roman" w:hAnsi="Times New Roman" w:eastAsia="仿宋_GB2312" w:cs="Times New Roman"/>
          <w:b w:val="0"/>
          <w:color w:val="auto"/>
          <w:spacing w:val="0"/>
          <w:sz w:val="32"/>
          <w:szCs w:val="32"/>
          <w:highlight w:val="none"/>
          <w:lang w:val="en-US" w:eastAsia="zh-CN"/>
        </w:rPr>
      </w:pPr>
      <w:r>
        <w:rPr>
          <w:rFonts w:hint="eastAsia" w:ascii="Times New Roman" w:hAnsi="Times New Roman" w:eastAsia="仿宋_GB2312" w:cs="Times New Roman"/>
          <w:b w:val="0"/>
          <w:color w:val="auto"/>
          <w:spacing w:val="0"/>
          <w:sz w:val="32"/>
          <w:szCs w:val="32"/>
          <w:highlight w:val="none"/>
          <w:u w:val="none"/>
          <w:lang w:val="en-US" w:eastAsia="zh-CN"/>
        </w:rPr>
        <w:t>经《中山市城市更新一张图工具》系统占压，</w:t>
      </w:r>
      <w:r>
        <w:rPr>
          <w:rFonts w:hint="default" w:ascii="Times New Roman" w:hAnsi="Times New Roman" w:eastAsia="仿宋_GB2312" w:cs="Times New Roman"/>
          <w:b w:val="0"/>
          <w:color w:val="auto"/>
          <w:spacing w:val="0"/>
          <w:sz w:val="32"/>
          <w:szCs w:val="32"/>
          <w:highlight w:val="none"/>
          <w:u w:val="none"/>
          <w:lang w:val="en-US" w:eastAsia="zh-CN"/>
        </w:rPr>
        <w:t>改造地块</w:t>
      </w:r>
      <w:r>
        <w:rPr>
          <w:rFonts w:hint="default" w:ascii="Times New Roman" w:hAnsi="Times New Roman" w:eastAsia="仿宋_GB2312" w:cs="Times New Roman"/>
          <w:b w:val="0"/>
          <w:bCs w:val="0"/>
          <w:color w:val="auto"/>
          <w:spacing w:val="0"/>
          <w:sz w:val="32"/>
          <w:szCs w:val="32"/>
          <w:highlight w:val="none"/>
          <w:lang w:val="en-US" w:eastAsia="zh-CN"/>
        </w:rPr>
        <w:t>2009年</w:t>
      </w:r>
      <w:r>
        <w:rPr>
          <w:rFonts w:hint="eastAsia" w:ascii="Times New Roman" w:hAnsi="Times New Roman" w:eastAsia="仿宋_GB2312" w:cs="Times New Roman"/>
          <w:b w:val="0"/>
          <w:bCs w:val="0"/>
          <w:color w:val="auto"/>
          <w:spacing w:val="0"/>
          <w:sz w:val="32"/>
          <w:szCs w:val="32"/>
          <w:highlight w:val="none"/>
          <w:lang w:val="en-US" w:eastAsia="zh-CN"/>
        </w:rPr>
        <w:t>12月31日前无</w:t>
      </w:r>
      <w:r>
        <w:rPr>
          <w:rFonts w:hint="default" w:ascii="Times New Roman" w:hAnsi="Times New Roman" w:eastAsia="仿宋_GB2312" w:cs="Times New Roman"/>
          <w:b w:val="0"/>
          <w:bCs w:val="0"/>
          <w:color w:val="auto"/>
          <w:spacing w:val="0"/>
          <w:sz w:val="32"/>
          <w:szCs w:val="32"/>
          <w:highlight w:val="none"/>
          <w:lang w:val="en-US" w:eastAsia="zh-CN"/>
        </w:rPr>
        <w:t>上盖建筑物，不符合</w:t>
      </w:r>
      <w:r>
        <w:rPr>
          <w:rFonts w:hint="eastAsia" w:ascii="仿宋_GB2312" w:hAnsi="仿宋_GB2312" w:eastAsia="仿宋_GB2312" w:cs="仿宋_GB2312"/>
          <w:b w:val="0"/>
          <w:bCs w:val="0"/>
          <w:color w:val="auto"/>
          <w:spacing w:val="0"/>
          <w:sz w:val="32"/>
          <w:szCs w:val="32"/>
          <w:highlight w:val="none"/>
          <w:lang w:val="en-US" w:eastAsia="zh-CN"/>
        </w:rPr>
        <w:t>省“三旧”改造标图入库要</w:t>
      </w:r>
      <w:r>
        <w:rPr>
          <w:rFonts w:hint="default" w:ascii="Times New Roman" w:hAnsi="Times New Roman" w:eastAsia="仿宋_GB2312" w:cs="Times New Roman"/>
          <w:b w:val="0"/>
          <w:bCs w:val="0"/>
          <w:color w:val="auto"/>
          <w:spacing w:val="0"/>
          <w:sz w:val="32"/>
          <w:szCs w:val="32"/>
          <w:highlight w:val="none"/>
          <w:lang w:val="en-US" w:eastAsia="zh-CN"/>
        </w:rPr>
        <w:t>求</w:t>
      </w:r>
      <w:r>
        <w:rPr>
          <w:rFonts w:hint="default" w:ascii="Times New Roman" w:hAnsi="Times New Roman" w:eastAsia="仿宋_GB2312" w:cs="Times New Roman"/>
          <w:b w:val="0"/>
          <w:color w:val="auto"/>
          <w:spacing w:val="0"/>
          <w:sz w:val="32"/>
          <w:szCs w:val="32"/>
          <w:highlight w:val="none"/>
          <w:u w:val="none"/>
          <w:lang w:eastAsia="zh-CN"/>
        </w:rPr>
        <w:t>。</w:t>
      </w:r>
    </w:p>
    <w:p w14:paraId="7DEC2280">
      <w:pPr>
        <w:keepNext w:val="0"/>
        <w:keepLines w:val="0"/>
        <w:pageBreakBefore w:val="0"/>
        <w:widowControl w:val="0"/>
        <w:numPr>
          <w:ilvl w:val="0"/>
          <w:numId w:val="2"/>
        </w:numPr>
        <w:kinsoku/>
        <w:wordWrap/>
        <w:overflowPunct/>
        <w:topLinePunct w:val="0"/>
        <w:autoSpaceDE/>
        <w:autoSpaceDN/>
        <w:bidi w:val="0"/>
        <w:adjustRightInd w:val="0"/>
        <w:snapToGrid w:val="0"/>
        <w:spacing w:line="336" w:lineRule="auto"/>
        <w:ind w:left="0" w:right="0" w:firstLine="420"/>
        <w:textAlignment w:val="auto"/>
        <w:outlineLvl w:val="9"/>
        <w:rPr>
          <w:rFonts w:hint="default" w:ascii="Times New Roman" w:hAnsi="Times New Roman" w:eastAsia="楷体_GB2312" w:cs="Times New Roman"/>
          <w:color w:val="auto"/>
          <w:spacing w:val="0"/>
          <w:sz w:val="32"/>
          <w:szCs w:val="32"/>
          <w:highlight w:val="none"/>
          <w:lang w:val="en-US" w:eastAsia="zh-CN"/>
        </w:rPr>
      </w:pPr>
      <w:r>
        <w:rPr>
          <w:rFonts w:hint="default" w:ascii="Times New Roman" w:hAnsi="Times New Roman" w:eastAsia="楷体_GB2312" w:cs="Times New Roman"/>
          <w:color w:val="auto"/>
          <w:spacing w:val="0"/>
          <w:sz w:val="32"/>
          <w:szCs w:val="32"/>
          <w:highlight w:val="none"/>
          <w:lang w:val="en-US" w:eastAsia="zh-CN"/>
        </w:rPr>
        <w:t>权属情况</w:t>
      </w:r>
    </w:p>
    <w:p w14:paraId="540E3F05">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改造</w:t>
      </w:r>
      <w:r>
        <w:rPr>
          <w:rFonts w:hint="default" w:ascii="Times New Roman" w:hAnsi="Times New Roman" w:eastAsia="仿宋_GB2312" w:cs="Times New Roman"/>
          <w:color w:val="auto"/>
          <w:spacing w:val="0"/>
          <w:sz w:val="32"/>
          <w:szCs w:val="32"/>
          <w:highlight w:val="none"/>
          <w:lang w:eastAsia="zh-CN"/>
        </w:rPr>
        <w:t>地块</w:t>
      </w:r>
      <w:r>
        <w:rPr>
          <w:rFonts w:hint="default" w:ascii="Times New Roman" w:hAnsi="Times New Roman" w:eastAsia="仿宋_GB2312" w:cs="Times New Roman"/>
          <w:color w:val="auto"/>
          <w:spacing w:val="0"/>
          <w:sz w:val="32"/>
          <w:szCs w:val="32"/>
          <w:highlight w:val="none"/>
        </w:rPr>
        <w:t>属国有建设用地，土地用途为工业，改造涉及的土地已经确权、登记，不动产权证号为</w:t>
      </w:r>
      <w:r>
        <w:rPr>
          <w:rFonts w:hint="default" w:ascii="Times New Roman" w:hAnsi="Times New Roman" w:eastAsia="仿宋_GB2312" w:cs="Times New Roman"/>
          <w:color w:val="auto"/>
          <w:spacing w:val="0"/>
          <w:sz w:val="32"/>
          <w:szCs w:val="32"/>
          <w:highlight w:val="none"/>
          <w:lang w:val="en-US" w:eastAsia="zh-CN"/>
        </w:rPr>
        <w:t>中府国用（2006）第330589号</w:t>
      </w: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pacing w:val="-6"/>
          <w:sz w:val="32"/>
          <w:szCs w:val="32"/>
          <w:highlight w:val="none"/>
          <w:lang w:val="en-US" w:eastAsia="zh-CN"/>
        </w:rPr>
        <w:t>为</w:t>
      </w:r>
      <w:r>
        <w:rPr>
          <w:rFonts w:hint="default" w:ascii="Times New Roman" w:hAnsi="Times New Roman" w:eastAsia="仿宋_GB2312" w:cs="Times New Roman"/>
          <w:color w:val="auto"/>
          <w:spacing w:val="-6"/>
          <w:sz w:val="32"/>
          <w:szCs w:val="32"/>
          <w:highlight w:val="none"/>
        </w:rPr>
        <w:t>土地</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权利</w:t>
      </w:r>
      <w:r>
        <w:rPr>
          <w:rFonts w:hint="default" w:ascii="Times New Roman" w:hAnsi="Times New Roman" w:eastAsia="仿宋_GB2312" w:cs="Times New Roman"/>
          <w:color w:val="auto"/>
          <w:spacing w:val="-6"/>
          <w:sz w:val="32"/>
          <w:szCs w:val="32"/>
          <w:highlight w:val="none"/>
        </w:rPr>
        <w:t>人</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广弘食品自2006年取得</w:t>
      </w:r>
      <w:r>
        <w:rPr>
          <w:rFonts w:hint="default" w:ascii="Times New Roman" w:hAnsi="Times New Roman" w:eastAsia="仿宋_GB2312" w:cs="Times New Roman"/>
          <w:color w:val="auto"/>
          <w:spacing w:val="-6"/>
          <w:sz w:val="32"/>
          <w:szCs w:val="32"/>
          <w:highlight w:val="none"/>
        </w:rPr>
        <w:t>。</w:t>
      </w:r>
    </w:p>
    <w:p w14:paraId="3DCA2D3B">
      <w:pPr>
        <w:keepNext w:val="0"/>
        <w:keepLines w:val="0"/>
        <w:pageBreakBefore w:val="0"/>
        <w:widowControl w:val="0"/>
        <w:numPr>
          <w:ilvl w:val="0"/>
          <w:numId w:val="2"/>
        </w:numPr>
        <w:kinsoku/>
        <w:wordWrap/>
        <w:overflowPunct/>
        <w:topLinePunct w:val="0"/>
        <w:autoSpaceDE/>
        <w:autoSpaceDN/>
        <w:bidi w:val="0"/>
        <w:adjustRightInd w:val="0"/>
        <w:snapToGrid w:val="0"/>
        <w:spacing w:line="336" w:lineRule="auto"/>
        <w:ind w:left="0" w:right="0" w:firstLine="420"/>
        <w:textAlignment w:val="auto"/>
        <w:outlineLvl w:val="9"/>
        <w:rPr>
          <w:rFonts w:hint="default" w:ascii="Times New Roman" w:hAnsi="Times New Roman" w:eastAsia="楷体_GB2312" w:cs="Times New Roman"/>
          <w:color w:val="auto"/>
          <w:spacing w:val="0"/>
          <w:sz w:val="32"/>
          <w:szCs w:val="32"/>
          <w:highlight w:val="none"/>
          <w:lang w:val="en-US" w:eastAsia="zh-CN"/>
        </w:rPr>
      </w:pPr>
      <w:r>
        <w:rPr>
          <w:rFonts w:hint="default" w:ascii="Times New Roman" w:hAnsi="Times New Roman" w:eastAsia="楷体_GB2312" w:cs="Times New Roman"/>
          <w:color w:val="auto"/>
          <w:spacing w:val="0"/>
          <w:sz w:val="32"/>
          <w:szCs w:val="32"/>
          <w:highlight w:val="none"/>
          <w:lang w:val="en-US" w:eastAsia="zh-CN"/>
        </w:rPr>
        <w:t>土地利用现状情况</w:t>
      </w:r>
    </w:p>
    <w:p w14:paraId="7DD335EC">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rPr>
        <w:t>改造</w:t>
      </w:r>
      <w:r>
        <w:rPr>
          <w:rFonts w:hint="default" w:ascii="Times New Roman" w:hAnsi="Times New Roman" w:eastAsia="仿宋_GB2312" w:cs="Times New Roman"/>
          <w:color w:val="auto"/>
          <w:spacing w:val="0"/>
          <w:sz w:val="32"/>
          <w:szCs w:val="32"/>
          <w:highlight w:val="none"/>
          <w:lang w:eastAsia="zh-CN"/>
        </w:rPr>
        <w:t>范围内</w:t>
      </w:r>
      <w:r>
        <w:rPr>
          <w:rFonts w:hint="eastAsia" w:ascii="Times New Roman" w:hAnsi="Times New Roman" w:eastAsia="仿宋_GB2312" w:cs="Times New Roman"/>
          <w:color w:val="auto"/>
          <w:spacing w:val="0"/>
          <w:sz w:val="32"/>
          <w:szCs w:val="32"/>
          <w:highlight w:val="none"/>
          <w:lang w:val="en-US" w:eastAsia="zh-CN"/>
        </w:rPr>
        <w:t>2022年</w:t>
      </w:r>
      <w:r>
        <w:rPr>
          <w:rFonts w:hint="default" w:ascii="Times New Roman" w:hAnsi="Times New Roman" w:eastAsia="仿宋_GB2312" w:cs="Times New Roman"/>
          <w:color w:val="auto"/>
          <w:spacing w:val="0"/>
          <w:sz w:val="32"/>
          <w:szCs w:val="32"/>
          <w:highlight w:val="none"/>
        </w:rPr>
        <w:t>有</w:t>
      </w:r>
      <w:r>
        <w:rPr>
          <w:rFonts w:hint="eastAsia" w:ascii="Times New Roman" w:hAnsi="Times New Roman" w:eastAsia="仿宋_GB2312" w:cs="Times New Roman"/>
          <w:color w:val="auto"/>
          <w:spacing w:val="0"/>
          <w:sz w:val="32"/>
          <w:szCs w:val="32"/>
          <w:highlight w:val="none"/>
          <w:lang w:val="en-US" w:eastAsia="zh-CN"/>
        </w:rPr>
        <w:t>1</w:t>
      </w:r>
      <w:r>
        <w:rPr>
          <w:rFonts w:hint="default" w:ascii="Times New Roman" w:hAnsi="Times New Roman" w:eastAsia="仿宋_GB2312" w:cs="Times New Roman"/>
          <w:color w:val="auto"/>
          <w:spacing w:val="0"/>
          <w:sz w:val="32"/>
          <w:szCs w:val="32"/>
          <w:highlight w:val="none"/>
        </w:rPr>
        <w:t>栋建筑物，建筑面积</w:t>
      </w:r>
      <w:r>
        <w:rPr>
          <w:rFonts w:hint="eastAsia" w:ascii="Times New Roman" w:hAnsi="Times New Roman" w:eastAsia="仿宋_GB2312" w:cs="Times New Roman"/>
          <w:color w:val="auto"/>
          <w:spacing w:val="0"/>
          <w:sz w:val="32"/>
          <w:szCs w:val="32"/>
          <w:highlight w:val="none"/>
          <w:lang w:val="en-US" w:eastAsia="zh-CN"/>
        </w:rPr>
        <w:t>约130</w:t>
      </w:r>
      <w:r>
        <w:rPr>
          <w:rFonts w:hint="default" w:ascii="Times New Roman" w:hAnsi="Times New Roman" w:eastAsia="仿宋_GB2312" w:cs="Times New Roman"/>
          <w:color w:val="auto"/>
          <w:spacing w:val="0"/>
          <w:sz w:val="32"/>
          <w:szCs w:val="32"/>
          <w:highlight w:val="none"/>
        </w:rPr>
        <w:t>平方米，</w:t>
      </w:r>
      <w:r>
        <w:rPr>
          <w:rFonts w:hint="default" w:ascii="Times New Roman" w:hAnsi="Times New Roman" w:eastAsia="仿宋_GB2312" w:cs="Times New Roman"/>
          <w:color w:val="auto"/>
          <w:spacing w:val="0"/>
          <w:sz w:val="32"/>
          <w:szCs w:val="32"/>
          <w:highlight w:val="none"/>
          <w:lang w:val="en-US" w:eastAsia="zh-CN"/>
        </w:rPr>
        <w:t>容积率为0.</w:t>
      </w:r>
      <w:r>
        <w:rPr>
          <w:rFonts w:hint="eastAsia" w:ascii="Times New Roman" w:hAnsi="Times New Roman" w:eastAsia="仿宋_GB2312" w:cs="Times New Roman"/>
          <w:color w:val="auto"/>
          <w:spacing w:val="0"/>
          <w:sz w:val="32"/>
          <w:szCs w:val="32"/>
          <w:highlight w:val="none"/>
          <w:lang w:val="en-US" w:eastAsia="zh-CN"/>
        </w:rPr>
        <w:t>006，未办理合法规划报建手续，</w:t>
      </w:r>
      <w:r>
        <w:rPr>
          <w:rFonts w:hint="default" w:ascii="Times New Roman" w:hAnsi="Times New Roman" w:eastAsia="仿宋_GB2312" w:cs="Times New Roman"/>
          <w:color w:val="auto"/>
          <w:spacing w:val="0"/>
          <w:sz w:val="32"/>
          <w:szCs w:val="32"/>
          <w:highlight w:val="none"/>
          <w:lang w:val="en-US" w:eastAsia="zh-CN"/>
        </w:rPr>
        <w:t>地上无生产制造情况</w:t>
      </w:r>
      <w:r>
        <w:rPr>
          <w:rFonts w:hint="eastAsia" w:ascii="Times New Roman" w:hAnsi="Times New Roman" w:eastAsia="仿宋_GB2312" w:cs="Times New Roman"/>
          <w:color w:val="auto"/>
          <w:spacing w:val="0"/>
          <w:sz w:val="32"/>
          <w:szCs w:val="32"/>
          <w:highlight w:val="none"/>
          <w:lang w:val="en-US" w:eastAsia="zh-CN"/>
        </w:rPr>
        <w:t>，改造前无产值，无税收。</w:t>
      </w:r>
      <w:r>
        <w:rPr>
          <w:rFonts w:hint="default" w:ascii="Times New Roman" w:hAnsi="Times New Roman" w:eastAsia="仿宋_GB2312" w:cs="Times New Roman"/>
          <w:color w:val="auto"/>
          <w:spacing w:val="0"/>
          <w:sz w:val="32"/>
          <w:szCs w:val="32"/>
          <w:highlight w:val="none"/>
          <w:lang w:val="en-US" w:eastAsia="zh-CN"/>
        </w:rPr>
        <w:t>经研究，认定该用地属于低效工业用地。</w:t>
      </w:r>
    </w:p>
    <w:p w14:paraId="4E3B540B">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outlineLvl w:val="9"/>
        <w:rPr>
          <w:rFonts w:hint="eastAsia"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cs="Times New Roman"/>
          <w:color w:val="auto"/>
          <w:spacing w:val="0"/>
          <w:sz w:val="32"/>
          <w:szCs w:val="32"/>
          <w:highlight w:val="none"/>
          <w:lang w:val="en-US" w:eastAsia="zh-CN"/>
        </w:rPr>
        <w:t>改造地块不涉及抵押、行政处罚、历史文化资源及土壤环境潜在管控要素等情况。改造地块已出具闲置放行意见，需在2025年11月27日前达到动工开发标准，业务号为网〔2025〕坦洲镇—048号。</w:t>
      </w:r>
    </w:p>
    <w:p w14:paraId="1A94A813">
      <w:pPr>
        <w:keepNext w:val="0"/>
        <w:keepLines w:val="0"/>
        <w:pageBreakBefore w:val="0"/>
        <w:widowControl w:val="0"/>
        <w:numPr>
          <w:ilvl w:val="0"/>
          <w:numId w:val="2"/>
        </w:numPr>
        <w:kinsoku/>
        <w:wordWrap/>
        <w:overflowPunct/>
        <w:topLinePunct w:val="0"/>
        <w:autoSpaceDE/>
        <w:autoSpaceDN/>
        <w:bidi w:val="0"/>
        <w:adjustRightInd w:val="0"/>
        <w:snapToGrid w:val="0"/>
        <w:spacing w:line="336" w:lineRule="auto"/>
        <w:ind w:left="0" w:right="0" w:firstLine="420"/>
        <w:textAlignment w:val="auto"/>
        <w:outlineLvl w:val="9"/>
        <w:rPr>
          <w:rFonts w:hint="default" w:ascii="Times New Roman" w:hAnsi="Times New Roman" w:eastAsia="楷体_GB2312" w:cs="Times New Roman"/>
          <w:color w:val="auto"/>
          <w:spacing w:val="0"/>
          <w:sz w:val="32"/>
          <w:szCs w:val="32"/>
          <w:highlight w:val="none"/>
          <w:lang w:val="en-US" w:eastAsia="zh-CN"/>
        </w:rPr>
      </w:pPr>
      <w:r>
        <w:rPr>
          <w:rFonts w:hint="default" w:ascii="Times New Roman" w:hAnsi="Times New Roman" w:eastAsia="楷体_GB2312" w:cs="Times New Roman"/>
          <w:color w:val="auto"/>
          <w:spacing w:val="0"/>
          <w:sz w:val="32"/>
          <w:szCs w:val="32"/>
          <w:highlight w:val="none"/>
          <w:lang w:val="en-US" w:eastAsia="zh-CN"/>
        </w:rPr>
        <w:t>规划情况</w:t>
      </w:r>
    </w:p>
    <w:p w14:paraId="1F5913AD">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outlineLvl w:val="9"/>
        <w:rPr>
          <w:rFonts w:hint="eastAsia" w:ascii="Times New Roman" w:hAnsi="Times New Roman" w:eastAsia="仿宋_GB2312" w:cs="Times New Roman"/>
          <w:color w:val="auto"/>
          <w:spacing w:val="0"/>
          <w:sz w:val="32"/>
          <w:szCs w:val="32"/>
          <w:highlight w:val="none"/>
          <w:u w:val="none"/>
          <w:shd w:val="clear" w:color="auto" w:fill="auto"/>
          <w:lang w:val="en-US" w:eastAsia="zh-CN"/>
        </w:rPr>
      </w:pPr>
      <w:r>
        <w:rPr>
          <w:rFonts w:hint="default" w:ascii="Times New Roman" w:hAnsi="Times New Roman" w:eastAsia="仿宋_GB2312" w:cs="Times New Roman"/>
          <w:b w:val="0"/>
          <w:bCs w:val="0"/>
          <w:color w:val="auto"/>
          <w:spacing w:val="0"/>
          <w:sz w:val="32"/>
          <w:szCs w:val="32"/>
          <w:highlight w:val="none"/>
        </w:rPr>
        <w:t>改造</w:t>
      </w:r>
      <w:r>
        <w:rPr>
          <w:rFonts w:hint="default" w:ascii="Times New Roman" w:hAnsi="Times New Roman" w:eastAsia="仿宋_GB2312" w:cs="Times New Roman"/>
          <w:b w:val="0"/>
          <w:bCs w:val="0"/>
          <w:color w:val="auto"/>
          <w:spacing w:val="0"/>
          <w:sz w:val="32"/>
          <w:szCs w:val="32"/>
          <w:highlight w:val="none"/>
          <w:lang w:eastAsia="zh-CN"/>
        </w:rPr>
        <w:t>范围</w:t>
      </w:r>
      <w:r>
        <w:rPr>
          <w:rFonts w:hint="eastAsia" w:ascii="Times New Roman" w:hAnsi="Times New Roman" w:eastAsia="仿宋_GB2312" w:cs="Times New Roman"/>
          <w:b w:val="0"/>
          <w:bCs w:val="0"/>
          <w:color w:val="auto"/>
          <w:spacing w:val="0"/>
          <w:sz w:val="32"/>
          <w:szCs w:val="32"/>
          <w:highlight w:val="none"/>
          <w:lang w:val="en-US" w:eastAsia="zh-CN"/>
        </w:rPr>
        <w:t>内</w:t>
      </w:r>
      <w:r>
        <w:rPr>
          <w:rFonts w:hint="default" w:ascii="Times New Roman" w:hAnsi="Times New Roman" w:eastAsia="仿宋_GB2312" w:cs="Times New Roman"/>
          <w:b w:val="0"/>
          <w:bCs w:val="0"/>
          <w:color w:val="auto"/>
          <w:spacing w:val="0"/>
          <w:sz w:val="32"/>
          <w:szCs w:val="32"/>
          <w:highlight w:val="none"/>
        </w:rPr>
        <w:t>地块符合</w:t>
      </w:r>
      <w:r>
        <w:rPr>
          <w:rFonts w:hint="default" w:ascii="Times New Roman" w:hAnsi="Times New Roman" w:eastAsia="仿宋_GB2312" w:cs="Times New Roman"/>
          <w:b w:val="0"/>
          <w:bCs w:val="0"/>
          <w:color w:val="auto"/>
          <w:spacing w:val="0"/>
          <w:sz w:val="32"/>
          <w:szCs w:val="32"/>
          <w:highlight w:val="none"/>
          <w:lang w:eastAsia="zh-CN"/>
        </w:rPr>
        <w:t>国土空间</w:t>
      </w:r>
      <w:r>
        <w:rPr>
          <w:rFonts w:hint="default" w:ascii="Times New Roman" w:hAnsi="Times New Roman" w:eastAsia="仿宋_GB2312" w:cs="Times New Roman"/>
          <w:b w:val="0"/>
          <w:bCs w:val="0"/>
          <w:color w:val="auto"/>
          <w:spacing w:val="0"/>
          <w:sz w:val="32"/>
          <w:szCs w:val="32"/>
          <w:highlight w:val="none"/>
        </w:rPr>
        <w:t>总体规划、</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经批复规划条件论证</w:t>
      </w:r>
      <w:r>
        <w:rPr>
          <w:rFonts w:hint="default" w:ascii="Times New Roman" w:hAnsi="Times New Roman" w:eastAsia="仿宋_GB2312" w:cs="Times New Roman"/>
          <w:b w:val="0"/>
          <w:bCs w:val="0"/>
          <w:color w:val="auto"/>
          <w:spacing w:val="0"/>
          <w:sz w:val="32"/>
          <w:szCs w:val="32"/>
          <w:highlight w:val="none"/>
        </w:rPr>
        <w:t>，已纳入《中山市城市更</w:t>
      </w:r>
      <w:r>
        <w:rPr>
          <w:rFonts w:hint="eastAsia" w:ascii="仿宋_GB2312" w:hAnsi="仿宋_GB2312" w:eastAsia="仿宋_GB2312" w:cs="仿宋_GB2312"/>
          <w:b w:val="0"/>
          <w:bCs w:val="0"/>
          <w:color w:val="auto"/>
          <w:spacing w:val="0"/>
          <w:sz w:val="32"/>
          <w:szCs w:val="32"/>
          <w:highlight w:val="none"/>
        </w:rPr>
        <w:t>新（“三旧”改造）专项规</w:t>
      </w:r>
      <w:r>
        <w:rPr>
          <w:rFonts w:hint="default" w:ascii="Times New Roman" w:hAnsi="Times New Roman" w:eastAsia="仿宋_GB2312" w:cs="Times New Roman"/>
          <w:b w:val="0"/>
          <w:bCs w:val="0"/>
          <w:color w:val="auto"/>
          <w:spacing w:val="0"/>
          <w:sz w:val="32"/>
          <w:szCs w:val="32"/>
          <w:highlight w:val="none"/>
        </w:rPr>
        <w:t>划（20</w:t>
      </w:r>
      <w:r>
        <w:rPr>
          <w:rFonts w:hint="default" w:ascii="Times New Roman" w:hAnsi="Times New Roman" w:eastAsia="仿宋_GB2312" w:cs="Times New Roman"/>
          <w:b w:val="0"/>
          <w:bCs w:val="0"/>
          <w:color w:val="auto"/>
          <w:spacing w:val="0"/>
          <w:sz w:val="32"/>
          <w:szCs w:val="32"/>
          <w:highlight w:val="none"/>
          <w:lang w:val="en-US" w:eastAsia="zh-CN"/>
        </w:rPr>
        <w:t>20</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rPr>
        <w:t>20</w:t>
      </w:r>
      <w:r>
        <w:rPr>
          <w:rFonts w:hint="default" w:ascii="Times New Roman" w:hAnsi="Times New Roman" w:eastAsia="仿宋_GB2312" w:cs="Times New Roman"/>
          <w:b w:val="0"/>
          <w:bCs w:val="0"/>
          <w:color w:val="auto"/>
          <w:spacing w:val="0"/>
          <w:sz w:val="32"/>
          <w:szCs w:val="32"/>
          <w:highlight w:val="none"/>
          <w:lang w:val="en-US" w:eastAsia="zh-CN"/>
        </w:rPr>
        <w:t>35</w:t>
      </w:r>
      <w:r>
        <w:rPr>
          <w:rFonts w:hint="default" w:ascii="Times New Roman" w:hAnsi="Times New Roman" w:eastAsia="仿宋_GB2312" w:cs="Times New Roman"/>
          <w:b w:val="0"/>
          <w:bCs w:val="0"/>
          <w:color w:val="auto"/>
          <w:spacing w:val="0"/>
          <w:sz w:val="32"/>
          <w:szCs w:val="32"/>
          <w:highlight w:val="none"/>
        </w:rPr>
        <w:t>）》。在</w:t>
      </w:r>
      <w:r>
        <w:rPr>
          <w:rFonts w:hint="default" w:ascii="Times New Roman" w:hAnsi="Times New Roman" w:eastAsia="仿宋_GB2312" w:cs="Times New Roman"/>
          <w:b w:val="0"/>
          <w:bCs w:val="0"/>
          <w:color w:val="auto"/>
          <w:spacing w:val="0"/>
          <w:sz w:val="32"/>
          <w:szCs w:val="32"/>
          <w:highlight w:val="none"/>
          <w:lang w:eastAsia="zh-CN"/>
        </w:rPr>
        <w:t>《中山市国土空间总体规划（</w:t>
      </w:r>
      <w:r>
        <w:rPr>
          <w:rFonts w:hint="default" w:ascii="Times New Roman" w:hAnsi="Times New Roman" w:eastAsia="仿宋_GB2312" w:cs="Times New Roman"/>
          <w:b w:val="0"/>
          <w:bCs w:val="0"/>
          <w:color w:val="auto"/>
          <w:spacing w:val="0"/>
          <w:sz w:val="32"/>
          <w:szCs w:val="32"/>
          <w:highlight w:val="none"/>
          <w:lang w:val="en-US" w:eastAsia="zh-CN"/>
        </w:rPr>
        <w:t>2021</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2035</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中</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属城镇建设用地。在《中山市人民政府关于中山市坦洲镇工业用地规划条件论证报告的批复》（中府函〔2022〕245号）中，属一类工业用地2.2462公顷（22462.07平方米，折合约33.69亩），规划容积率1.0—3.5，建筑密度35%—60%，绿地率10%—15%，生产性</w:t>
      </w:r>
      <w:bookmarkStart w:id="0" w:name="_GoBack"/>
      <w:bookmarkEnd w:id="0"/>
      <w:r>
        <w:rPr>
          <w:rFonts w:hint="eastAsia" w:ascii="Times New Roman" w:hAnsi="Times New Roman" w:eastAsia="仿宋_GB2312" w:cs="Times New Roman"/>
          <w:color w:val="auto"/>
          <w:spacing w:val="0"/>
          <w:sz w:val="32"/>
          <w:szCs w:val="32"/>
          <w:highlight w:val="none"/>
          <w:u w:val="none"/>
          <w:shd w:val="clear" w:color="auto" w:fill="auto"/>
          <w:lang w:val="en-US" w:eastAsia="zh-CN"/>
        </w:rPr>
        <w:t>建筑高度≤50米，配套设施建筑高度≤100米，属</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城</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镇</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道路用地</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0.0364</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公顷（</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364.34</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平方米，折合</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0.55</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亩）</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，属防护绿地0.0507</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公顷（</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507.29</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平方米，折合</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0.76</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亩）</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w:t>
      </w:r>
    </w:p>
    <w:p w14:paraId="44C11368">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改造地块位于</w:t>
      </w:r>
      <w:r>
        <w:rPr>
          <w:rFonts w:hint="eastAsia" w:ascii="Times New Roman" w:hAnsi="Times New Roman" w:eastAsia="仿宋_GB2312" w:cs="Times New Roman"/>
          <w:color w:val="auto"/>
          <w:spacing w:val="0"/>
          <w:sz w:val="32"/>
          <w:szCs w:val="32"/>
          <w:highlight w:val="none"/>
          <w:lang w:val="en-US" w:eastAsia="zh-CN"/>
        </w:rPr>
        <w:t>“三区三线”城镇开</w:t>
      </w:r>
      <w:r>
        <w:rPr>
          <w:rFonts w:hint="default" w:ascii="Times New Roman" w:hAnsi="Times New Roman" w:eastAsia="仿宋_GB2312" w:cs="Times New Roman"/>
          <w:color w:val="auto"/>
          <w:spacing w:val="0"/>
          <w:sz w:val="32"/>
          <w:szCs w:val="32"/>
          <w:highlight w:val="none"/>
          <w:lang w:val="en-US" w:eastAsia="zh-CN"/>
        </w:rPr>
        <w:t>发边界内，符合工业用地保护线管控要求，不涉及永久基本农田和生态保护红线、森林资源等管控要求。</w:t>
      </w:r>
    </w:p>
    <w:p w14:paraId="23B7B31B">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right="0" w:firstLine="640"/>
        <w:textAlignment w:val="auto"/>
        <w:outlineLvl w:val="9"/>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改造意愿情况</w:t>
      </w:r>
    </w:p>
    <w:p w14:paraId="48300283">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rPr>
          <w:rFonts w:hint="eastAsia" w:ascii="Times New Roman" w:hAnsi="Times New Roman" w:eastAsia="仿宋_GB2312" w:cs="Times New Roman"/>
          <w:color w:val="auto"/>
          <w:spacing w:val="6"/>
          <w:sz w:val="32"/>
          <w:szCs w:val="32"/>
          <w:highlight w:val="none"/>
          <w:u w:val="none"/>
          <w:shd w:val="clear" w:color="auto" w:fill="auto"/>
          <w:lang w:val="en-US" w:eastAsia="zh-CN"/>
        </w:rPr>
      </w:pPr>
      <w:r>
        <w:rPr>
          <w:rFonts w:hint="eastAsia" w:ascii="Times New Roman" w:hAnsi="Times New Roman" w:eastAsia="仿宋_GB2312" w:cs="Times New Roman"/>
          <w:color w:val="auto"/>
          <w:spacing w:val="0"/>
          <w:sz w:val="32"/>
          <w:szCs w:val="32"/>
          <w:highlight w:val="none"/>
          <w:u w:val="none"/>
          <w:shd w:val="clear" w:color="auto" w:fill="auto"/>
          <w:lang w:val="en-US" w:eastAsia="zh-CN"/>
        </w:rPr>
        <w:t>改造范围涉及广弘食品1个权利主体，</w:t>
      </w:r>
      <w:r>
        <w:rPr>
          <w:rFonts w:hint="default" w:ascii="Times New Roman" w:hAnsi="Times New Roman" w:eastAsia="仿宋_GB2312" w:cs="Times New Roman"/>
          <w:b w:val="0"/>
          <w:bCs w:val="0"/>
          <w:color w:val="auto"/>
          <w:spacing w:val="0"/>
          <w:sz w:val="32"/>
          <w:szCs w:val="32"/>
          <w:highlight w:val="none"/>
          <w:lang w:val="en-US" w:eastAsia="zh-CN"/>
        </w:rPr>
        <w:t>坦洲镇人民政府</w:t>
      </w:r>
      <w:r>
        <w:rPr>
          <w:rFonts w:hint="eastAsia" w:ascii="Times New Roman" w:hAnsi="Times New Roman" w:eastAsia="仿宋_GB2312" w:cs="Times New Roman"/>
          <w:b w:val="0"/>
          <w:bCs w:val="0"/>
          <w:color w:val="auto"/>
          <w:spacing w:val="0"/>
          <w:sz w:val="32"/>
          <w:szCs w:val="32"/>
          <w:highlight w:val="none"/>
          <w:lang w:val="en-US" w:eastAsia="zh-CN"/>
        </w:rPr>
        <w:t>已</w:t>
      </w:r>
      <w:r>
        <w:rPr>
          <w:rFonts w:hint="default" w:ascii="Times New Roman" w:hAnsi="Times New Roman" w:eastAsia="仿宋_GB2312" w:cs="Times New Roman"/>
          <w:b w:val="0"/>
          <w:bCs w:val="0"/>
          <w:color w:val="auto"/>
          <w:spacing w:val="6"/>
          <w:sz w:val="32"/>
          <w:szCs w:val="32"/>
          <w:highlight w:val="none"/>
          <w:lang w:val="en-US" w:eastAsia="zh-CN"/>
        </w:rPr>
        <w:t>按照法律法规，就改造范围、土地现状、</w:t>
      </w:r>
      <w:r>
        <w:rPr>
          <w:rFonts w:hint="eastAsia" w:ascii="Times New Roman" w:hAnsi="Times New Roman" w:eastAsia="仿宋_GB2312" w:cs="Times New Roman"/>
          <w:b w:val="0"/>
          <w:bCs w:val="0"/>
          <w:color w:val="auto"/>
          <w:spacing w:val="6"/>
          <w:sz w:val="32"/>
          <w:szCs w:val="32"/>
          <w:highlight w:val="none"/>
          <w:lang w:val="en-US" w:eastAsia="zh-CN"/>
        </w:rPr>
        <w:t>改造</w:t>
      </w:r>
      <w:r>
        <w:rPr>
          <w:rFonts w:hint="default" w:ascii="Times New Roman" w:hAnsi="Times New Roman" w:eastAsia="仿宋_GB2312" w:cs="Times New Roman"/>
          <w:b w:val="0"/>
          <w:bCs w:val="0"/>
          <w:color w:val="auto"/>
          <w:spacing w:val="6"/>
          <w:sz w:val="32"/>
          <w:szCs w:val="32"/>
          <w:highlight w:val="none"/>
          <w:lang w:val="en-US" w:eastAsia="zh-CN"/>
        </w:rPr>
        <w:t>主体及拟</w:t>
      </w:r>
      <w:r>
        <w:rPr>
          <w:rFonts w:hint="default" w:ascii="Times New Roman" w:hAnsi="Times New Roman" w:eastAsia="仿宋_GB2312" w:cs="Times New Roman"/>
          <w:color w:val="auto"/>
          <w:spacing w:val="6"/>
          <w:sz w:val="32"/>
          <w:szCs w:val="32"/>
          <w:highlight w:val="none"/>
          <w:u w:val="none"/>
        </w:rPr>
        <w:t>改造</w:t>
      </w:r>
      <w:r>
        <w:rPr>
          <w:rFonts w:hint="default" w:ascii="Times New Roman" w:hAnsi="Times New Roman" w:eastAsia="仿宋_GB2312" w:cs="Times New Roman"/>
          <w:b w:val="0"/>
          <w:bCs w:val="0"/>
          <w:color w:val="auto"/>
          <w:spacing w:val="6"/>
          <w:sz w:val="32"/>
          <w:szCs w:val="32"/>
          <w:highlight w:val="none"/>
          <w:lang w:val="en-US" w:eastAsia="zh-CN"/>
        </w:rPr>
        <w:t>情况等事项征询</w:t>
      </w:r>
      <w:r>
        <w:rPr>
          <w:rFonts w:hint="eastAsia" w:ascii="Times New Roman" w:hAnsi="Times New Roman" w:eastAsia="仿宋_GB2312" w:cs="Times New Roman"/>
          <w:b w:val="0"/>
          <w:bCs w:val="0"/>
          <w:color w:val="auto"/>
          <w:spacing w:val="6"/>
          <w:sz w:val="32"/>
          <w:szCs w:val="32"/>
          <w:highlight w:val="none"/>
          <w:lang w:val="en-US" w:eastAsia="zh-CN"/>
        </w:rPr>
        <w:t>其</w:t>
      </w:r>
      <w:r>
        <w:rPr>
          <w:rFonts w:hint="default" w:ascii="Times New Roman" w:hAnsi="Times New Roman" w:eastAsia="仿宋_GB2312" w:cs="Times New Roman"/>
          <w:color w:val="auto"/>
          <w:spacing w:val="6"/>
          <w:sz w:val="32"/>
          <w:szCs w:val="32"/>
          <w:highlight w:val="none"/>
        </w:rPr>
        <w:t>改造意愿</w:t>
      </w:r>
      <w:r>
        <w:rPr>
          <w:rFonts w:hint="default"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lang w:val="en-US" w:eastAsia="zh-CN"/>
        </w:rPr>
        <w:t>同意</w:t>
      </w:r>
      <w:r>
        <w:rPr>
          <w:rFonts w:hint="default" w:ascii="Times New Roman" w:hAnsi="Times New Roman" w:eastAsia="仿宋_GB2312" w:cs="Times New Roman"/>
          <w:color w:val="auto"/>
          <w:spacing w:val="6"/>
          <w:sz w:val="32"/>
          <w:szCs w:val="32"/>
          <w:highlight w:val="none"/>
          <w:u w:val="none"/>
        </w:rPr>
        <w:t>将涉及土地、房屋纳入改造范围</w:t>
      </w:r>
      <w:r>
        <w:rPr>
          <w:rFonts w:hint="default" w:ascii="Times New Roman" w:hAnsi="Times New Roman" w:eastAsia="仿宋_GB2312" w:cs="Times New Roman"/>
          <w:b w:val="0"/>
          <w:bCs w:val="0"/>
          <w:color w:val="auto"/>
          <w:spacing w:val="6"/>
          <w:sz w:val="32"/>
          <w:szCs w:val="32"/>
          <w:highlight w:val="none"/>
          <w:lang w:val="en-US" w:eastAsia="zh-CN"/>
        </w:rPr>
        <w:t>。</w:t>
      </w:r>
    </w:p>
    <w:p w14:paraId="56F9A929">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right="0" w:firstLine="640"/>
        <w:textAlignment w:val="auto"/>
        <w:outlineLvl w:val="9"/>
        <w:rPr>
          <w:rFonts w:hint="eastAsia" w:ascii="Times New Roman" w:hAnsi="Times New Roman" w:eastAsia="黑体" w:cs="Times New Roman"/>
          <w:color w:val="auto"/>
          <w:spacing w:val="0"/>
          <w:sz w:val="32"/>
          <w:szCs w:val="32"/>
          <w:highlight w:val="none"/>
          <w:lang w:val="en-US" w:eastAsia="zh-CN"/>
        </w:rPr>
      </w:pPr>
      <w:r>
        <w:rPr>
          <w:rFonts w:hint="default" w:ascii="Times New Roman" w:hAnsi="Times New Roman" w:eastAsia="黑体" w:cs="Times New Roman"/>
          <w:color w:val="auto"/>
          <w:spacing w:val="0"/>
          <w:sz w:val="32"/>
          <w:szCs w:val="32"/>
          <w:highlight w:val="none"/>
          <w:lang w:val="en-US" w:eastAsia="zh-CN"/>
        </w:rPr>
        <w:t>改造</w:t>
      </w:r>
      <w:r>
        <w:rPr>
          <w:rFonts w:hint="default" w:ascii="Times New Roman" w:hAnsi="Times New Roman" w:eastAsia="黑体" w:cs="Times New Roman"/>
          <w:color w:val="auto"/>
          <w:spacing w:val="0"/>
          <w:sz w:val="32"/>
          <w:szCs w:val="32"/>
          <w:highlight w:val="none"/>
        </w:rPr>
        <w:t>主体及拟改造情况</w:t>
      </w:r>
    </w:p>
    <w:p w14:paraId="2F992AB6">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rPr>
          <w:rFonts w:hint="eastAsia" w:ascii="Times New Roman" w:hAnsi="Times New Roman" w:eastAsia="仿宋_GB2312" w:cs="Times New Roman"/>
          <w:color w:val="auto"/>
          <w:spacing w:val="0"/>
          <w:sz w:val="32"/>
          <w:szCs w:val="32"/>
          <w:highlight w:val="none"/>
          <w:u w:val="none"/>
          <w:shd w:val="clear" w:color="auto" w:fill="auto"/>
          <w:lang w:val="en-US" w:eastAsia="zh-CN"/>
        </w:rPr>
      </w:pPr>
      <w:r>
        <w:rPr>
          <w:rFonts w:hint="eastAsia" w:ascii="Times New Roman" w:hAnsi="Times New Roman" w:eastAsia="仿宋_GB2312" w:cs="Times New Roman"/>
          <w:color w:val="auto"/>
          <w:spacing w:val="0"/>
          <w:sz w:val="32"/>
          <w:szCs w:val="32"/>
          <w:highlight w:val="none"/>
          <w:u w:val="none"/>
          <w:shd w:val="clear" w:color="auto" w:fill="auto"/>
          <w:lang w:val="en-US" w:eastAsia="zh-CN"/>
        </w:rPr>
        <w:t>根据有关规划要求，改造项目严格按照</w:t>
      </w:r>
      <w:r>
        <w:rPr>
          <w:rFonts w:hint="default" w:ascii="Times New Roman" w:hAnsi="Times New Roman" w:eastAsia="仿宋_GB2312" w:cs="Times New Roman"/>
          <w:b w:val="0"/>
          <w:bCs w:val="0"/>
          <w:color w:val="auto"/>
          <w:spacing w:val="0"/>
          <w:sz w:val="32"/>
          <w:szCs w:val="32"/>
          <w:highlight w:val="none"/>
          <w:lang w:eastAsia="zh-CN"/>
        </w:rPr>
        <w:t>国土空间总体规划</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、经批复规划条件论证管控要求实施建设。在经批复规划条件论证中属道路和绿地等公益性用地部分，日后坦洲镇人民政府需按规划开发建设时，应无偿将用地交给坦洲镇人民政府使用。</w:t>
      </w:r>
    </w:p>
    <w:p w14:paraId="417DDF80">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rPr>
          <w:rFonts w:hint="default"/>
          <w:lang w:val="en-US" w:eastAsia="zh-CN"/>
        </w:rPr>
      </w:pPr>
      <w:r>
        <w:rPr>
          <w:rFonts w:hint="eastAsia" w:ascii="Times New Roman" w:hAnsi="Times New Roman" w:eastAsia="仿宋_GB2312" w:cs="Times New Roman"/>
          <w:color w:val="auto"/>
          <w:spacing w:val="0"/>
          <w:sz w:val="32"/>
          <w:szCs w:val="32"/>
          <w:highlight w:val="none"/>
          <w:u w:val="none"/>
          <w:shd w:val="clear" w:color="auto" w:fill="auto"/>
          <w:lang w:val="en-US" w:eastAsia="zh-CN"/>
        </w:rPr>
        <w:t>改造项目拟采取权利人自主改造方式，由广弘食品作为改造主体实施全面改造。改造后将用于工业生产（新材料产业、数字创意产业），在符合经批复规划条件论证的基础上，容积率不小于1.5，总建筑面积不少于35000.6平方米，不保留原有建筑。项目申请分割销售，其中改造主体自持比例不得小于确权登记总建筑面积的20%。</w:t>
      </w:r>
    </w:p>
    <w:p w14:paraId="789245B7">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rPr>
          <w:rFonts w:hint="eastAsia" w:ascii="Times New Roman" w:hAnsi="Times New Roman" w:eastAsia="仿宋_GB2312" w:cs="Times New Roman"/>
          <w:color w:val="auto"/>
          <w:spacing w:val="0"/>
          <w:sz w:val="32"/>
          <w:szCs w:val="32"/>
          <w:highlight w:val="none"/>
          <w:u w:val="none"/>
          <w:shd w:val="clear" w:color="auto" w:fill="auto"/>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项目相关情况符合国家《产业结构调整指导目录》《中山市</w:t>
      </w:r>
      <w:r>
        <w:rPr>
          <w:rFonts w:hint="eastAsia" w:ascii="仿宋_GB2312" w:hAnsi="仿宋_GB2312" w:eastAsia="仿宋_GB2312" w:cs="仿宋_GB2312"/>
          <w:b w:val="0"/>
          <w:bCs w:val="0"/>
          <w:color w:val="auto"/>
          <w:spacing w:val="0"/>
          <w:sz w:val="32"/>
          <w:szCs w:val="32"/>
          <w:highlight w:val="none"/>
          <w:lang w:val="en-US" w:eastAsia="zh-CN"/>
        </w:rPr>
        <w:t>“三线一单”生态环境分区管</w:t>
      </w:r>
      <w:r>
        <w:rPr>
          <w:rFonts w:hint="eastAsia" w:ascii="Times New Roman" w:hAnsi="Times New Roman" w:eastAsia="仿宋_GB2312" w:cs="Times New Roman"/>
          <w:color w:val="auto"/>
          <w:spacing w:val="0"/>
          <w:sz w:val="32"/>
          <w:szCs w:val="32"/>
          <w:highlight w:val="none"/>
          <w:lang w:val="en-US" w:eastAsia="zh-CN"/>
        </w:rPr>
        <w:t>控方案（2024年版）》和《</w:t>
      </w:r>
      <w:r>
        <w:rPr>
          <w:rFonts w:hint="eastAsia" w:ascii="仿宋_GB2312" w:hAnsi="仿宋_GB2312" w:eastAsia="仿宋_GB2312" w:cs="仿宋_GB2312"/>
          <w:b w:val="0"/>
          <w:bCs w:val="0"/>
          <w:color w:val="auto"/>
          <w:spacing w:val="0"/>
          <w:sz w:val="32"/>
          <w:szCs w:val="32"/>
          <w:highlight w:val="none"/>
          <w:lang w:val="en-US" w:eastAsia="zh-CN"/>
        </w:rPr>
        <w:t>中</w:t>
      </w:r>
      <w:r>
        <w:rPr>
          <w:rFonts w:hint="eastAsia" w:ascii="Times New Roman" w:hAnsi="Times New Roman" w:eastAsia="仿宋_GB2312" w:cs="Times New Roman"/>
          <w:color w:val="auto"/>
          <w:spacing w:val="0"/>
          <w:sz w:val="32"/>
          <w:szCs w:val="32"/>
          <w:highlight w:val="none"/>
          <w:lang w:val="en-US" w:eastAsia="zh-CN"/>
        </w:rPr>
        <w:t>山市涉挥发性有机物项目环保管理规定》。改造后年产值不低于</w:t>
      </w:r>
      <w:r>
        <w:rPr>
          <w:rFonts w:hint="default" w:ascii="Times New Roman" w:hAnsi="Times New Roman" w:eastAsia="仿宋_GB2312" w:cs="Times New Roman"/>
          <w:color w:val="auto"/>
          <w:spacing w:val="0"/>
          <w:sz w:val="32"/>
          <w:szCs w:val="32"/>
          <w:highlight w:val="none"/>
          <w:lang w:val="en-US" w:eastAsia="zh-CN"/>
        </w:rPr>
        <w:t>21</w:t>
      </w:r>
      <w:r>
        <w:rPr>
          <w:rFonts w:hint="eastAsia" w:ascii="Times New Roman" w:hAnsi="Times New Roman"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001</w:t>
      </w:r>
      <w:r>
        <w:rPr>
          <w:rFonts w:hint="eastAsia" w:ascii="Times New Roman" w:hAnsi="Times New Roman" w:eastAsia="仿宋_GB2312" w:cs="Times New Roman"/>
          <w:color w:val="auto"/>
          <w:spacing w:val="0"/>
          <w:sz w:val="32"/>
          <w:szCs w:val="32"/>
          <w:highlight w:val="none"/>
          <w:lang w:val="en-US" w:eastAsia="zh-CN"/>
        </w:rPr>
        <w:t>万元（折合约</w:t>
      </w:r>
      <w:r>
        <w:rPr>
          <w:rFonts w:hint="default" w:ascii="Times New Roman" w:hAnsi="Times New Roman" w:eastAsia="仿宋_GB2312" w:cs="Times New Roman"/>
          <w:color w:val="auto"/>
          <w:spacing w:val="0"/>
          <w:sz w:val="32"/>
          <w:szCs w:val="32"/>
          <w:highlight w:val="none"/>
          <w:lang w:val="en-US" w:eastAsia="zh-CN"/>
        </w:rPr>
        <w:t>6</w:t>
      </w:r>
      <w:r>
        <w:rPr>
          <w:rFonts w:hint="eastAsia" w:ascii="Times New Roman" w:hAnsi="Times New Roman" w:eastAsia="仿宋_GB2312" w:cs="Times New Roman"/>
          <w:color w:val="auto"/>
          <w:spacing w:val="0"/>
          <w:sz w:val="32"/>
          <w:szCs w:val="32"/>
          <w:highlight w:val="none"/>
          <w:lang w:val="en-US" w:eastAsia="zh-CN"/>
        </w:rPr>
        <w:t>00万/亩），年税收不低于1,050万元（折合约30万/亩）。</w:t>
      </w:r>
    </w:p>
    <w:p w14:paraId="1496ED45">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right="0" w:firstLine="640"/>
        <w:textAlignment w:val="auto"/>
        <w:outlineLvl w:val="9"/>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黑体" w:cs="Times New Roman"/>
          <w:color w:val="auto"/>
          <w:spacing w:val="0"/>
          <w:sz w:val="32"/>
          <w:szCs w:val="32"/>
          <w:highlight w:val="none"/>
          <w:lang w:val="en-US" w:eastAsia="zh-CN"/>
        </w:rPr>
        <w:t>资金筹措</w:t>
      </w:r>
    </w:p>
    <w:p w14:paraId="638E4CB4">
      <w:pPr>
        <w:keepNext w:val="0"/>
        <w:keepLines w:val="0"/>
        <w:pageBreakBefore w:val="0"/>
        <w:widowControl w:val="0"/>
        <w:kinsoku/>
        <w:wordWrap/>
        <w:overflowPunct/>
        <w:topLinePunct w:val="0"/>
        <w:autoSpaceDE/>
        <w:autoSpaceDN/>
        <w:bidi w:val="0"/>
        <w:adjustRightInd w:val="0"/>
        <w:snapToGrid w:val="0"/>
        <w:spacing w:line="336" w:lineRule="auto"/>
        <w:ind w:left="0" w:right="0" w:firstLine="592"/>
        <w:textAlignment w:val="auto"/>
        <w:outlineLvl w:val="9"/>
        <w:rPr>
          <w:rFonts w:hint="default" w:ascii="Times New Roman" w:hAnsi="Times New Roman" w:eastAsia="仿宋_GB2312" w:cs="Times New Roman"/>
          <w:b w:val="0"/>
          <w:bCs w:val="0"/>
          <w:color w:val="auto"/>
          <w:spacing w:val="0"/>
          <w:sz w:val="32"/>
          <w:szCs w:val="32"/>
          <w:highlight w:val="none"/>
          <w:u w:val="none"/>
          <w:lang w:val="en-US" w:eastAsia="zh-CN"/>
        </w:rPr>
      </w:pPr>
      <w:r>
        <w:rPr>
          <w:rFonts w:hint="default" w:ascii="Times New Roman" w:hAnsi="Times New Roman" w:eastAsia="仿宋_GB2312" w:cs="Times New Roman"/>
          <w:b w:val="0"/>
          <w:bCs w:val="0"/>
          <w:color w:val="auto"/>
          <w:spacing w:val="0"/>
          <w:sz w:val="32"/>
          <w:szCs w:val="32"/>
          <w:highlight w:val="none"/>
          <w:u w:val="none"/>
        </w:rPr>
        <w:t>改造</w:t>
      </w:r>
      <w:r>
        <w:rPr>
          <w:rFonts w:hint="default" w:ascii="Times New Roman" w:hAnsi="Times New Roman" w:eastAsia="仿宋_GB2312" w:cs="Times New Roman"/>
          <w:b w:val="0"/>
          <w:bCs w:val="0"/>
          <w:color w:val="auto"/>
          <w:spacing w:val="0"/>
          <w:sz w:val="32"/>
          <w:szCs w:val="32"/>
          <w:highlight w:val="none"/>
        </w:rPr>
        <w:t>主体</w:t>
      </w:r>
      <w:r>
        <w:rPr>
          <w:rFonts w:hint="default" w:ascii="Times New Roman" w:hAnsi="Times New Roman" w:eastAsia="仿宋_GB2312" w:cs="Times New Roman"/>
          <w:b w:val="0"/>
          <w:bCs w:val="0"/>
          <w:color w:val="auto"/>
          <w:spacing w:val="0"/>
          <w:sz w:val="32"/>
          <w:szCs w:val="32"/>
          <w:highlight w:val="none"/>
          <w:lang w:eastAsia="zh-CN"/>
        </w:rPr>
        <w:t>拟</w:t>
      </w:r>
      <w:r>
        <w:rPr>
          <w:rFonts w:hint="default" w:ascii="Times New Roman" w:hAnsi="Times New Roman" w:eastAsia="仿宋_GB2312" w:cs="Times New Roman"/>
          <w:b w:val="0"/>
          <w:bCs w:val="0"/>
          <w:color w:val="auto"/>
          <w:spacing w:val="0"/>
          <w:sz w:val="32"/>
          <w:szCs w:val="32"/>
          <w:highlight w:val="none"/>
        </w:rPr>
        <w:t>投入</w:t>
      </w:r>
      <w:r>
        <w:rPr>
          <w:rFonts w:hint="default" w:ascii="Times New Roman" w:hAnsi="Times New Roman" w:eastAsia="仿宋_GB2312" w:cs="Times New Roman"/>
          <w:b w:val="0"/>
          <w:bCs w:val="0"/>
          <w:color w:val="auto"/>
          <w:spacing w:val="0"/>
          <w:sz w:val="32"/>
          <w:szCs w:val="32"/>
          <w:highlight w:val="none"/>
          <w:shd w:val="clear" w:color="auto" w:fill="auto"/>
        </w:rPr>
        <w:t>资金</w:t>
      </w:r>
      <w:r>
        <w:rPr>
          <w:rFonts w:hint="eastAsia" w:ascii="Times New Roman" w:hAnsi="Times New Roman" w:eastAsia="仿宋_GB2312" w:cs="Times New Roman"/>
          <w:b w:val="0"/>
          <w:bCs w:val="0"/>
          <w:color w:val="auto"/>
          <w:spacing w:val="0"/>
          <w:sz w:val="32"/>
          <w:szCs w:val="32"/>
          <w:highlight w:val="none"/>
          <w:lang w:eastAsia="zh-CN"/>
        </w:rPr>
        <w:t>不低于</w:t>
      </w:r>
      <w:r>
        <w:rPr>
          <w:rFonts w:hint="default" w:ascii="Times New Roman" w:hAnsi="Times New Roman" w:eastAsia="仿宋_GB2312" w:cs="Times New Roman"/>
          <w:b w:val="0"/>
          <w:bCs w:val="0"/>
          <w:color w:val="auto"/>
          <w:spacing w:val="0"/>
          <w:sz w:val="32"/>
          <w:szCs w:val="32"/>
          <w:highlight w:val="none"/>
          <w:shd w:val="clear" w:color="auto" w:fill="auto"/>
          <w:lang w:val="en-US" w:eastAsia="zh-CN"/>
        </w:rPr>
        <w:t>10</w:t>
      </w:r>
      <w:r>
        <w:rPr>
          <w:rFonts w:hint="eastAsia" w:ascii="Times New Roman" w:hAnsi="Times New Roman" w:eastAsia="仿宋_GB2312" w:cs="Times New Roman"/>
          <w:b w:val="0"/>
          <w:bCs w:val="0"/>
          <w:color w:val="auto"/>
          <w:spacing w:val="0"/>
          <w:sz w:val="32"/>
          <w:szCs w:val="32"/>
          <w:highlight w:val="none"/>
          <w:shd w:val="clear" w:color="auto" w:fill="auto"/>
          <w:lang w:val="en-US" w:eastAsia="zh-CN"/>
        </w:rPr>
        <w:t>,</w:t>
      </w:r>
      <w:r>
        <w:rPr>
          <w:rFonts w:hint="default" w:ascii="Times New Roman" w:hAnsi="Times New Roman" w:eastAsia="仿宋_GB2312" w:cs="Times New Roman"/>
          <w:b w:val="0"/>
          <w:bCs w:val="0"/>
          <w:color w:val="auto"/>
          <w:spacing w:val="0"/>
          <w:sz w:val="32"/>
          <w:szCs w:val="32"/>
          <w:highlight w:val="none"/>
          <w:shd w:val="clear" w:color="auto" w:fill="auto"/>
          <w:lang w:val="en-US" w:eastAsia="zh-CN"/>
        </w:rPr>
        <w:t>50</w:t>
      </w:r>
      <w:r>
        <w:rPr>
          <w:rFonts w:hint="eastAsia" w:ascii="Times New Roman" w:hAnsi="Times New Roman" w:eastAsia="仿宋_GB2312" w:cs="Times New Roman"/>
          <w:b w:val="0"/>
          <w:bCs w:val="0"/>
          <w:color w:val="auto"/>
          <w:spacing w:val="0"/>
          <w:sz w:val="32"/>
          <w:szCs w:val="32"/>
          <w:highlight w:val="none"/>
          <w:shd w:val="clear" w:color="auto" w:fill="auto"/>
          <w:lang w:val="en-US" w:eastAsia="zh-CN"/>
        </w:rPr>
        <w:t>1</w:t>
      </w:r>
      <w:r>
        <w:rPr>
          <w:rFonts w:hint="default" w:ascii="Times New Roman" w:hAnsi="Times New Roman" w:eastAsia="仿宋_GB2312" w:cs="Times New Roman"/>
          <w:b w:val="0"/>
          <w:bCs w:val="0"/>
          <w:color w:val="auto"/>
          <w:spacing w:val="0"/>
          <w:sz w:val="32"/>
          <w:szCs w:val="32"/>
          <w:highlight w:val="none"/>
          <w:shd w:val="clear" w:color="auto" w:fill="auto"/>
          <w:lang w:val="en-US" w:eastAsia="zh-CN"/>
        </w:rPr>
        <w:t>万</w:t>
      </w:r>
      <w:r>
        <w:rPr>
          <w:rFonts w:hint="default" w:ascii="Times New Roman" w:hAnsi="Times New Roman" w:eastAsia="仿宋_GB2312" w:cs="Times New Roman"/>
          <w:b w:val="0"/>
          <w:bCs w:val="0"/>
          <w:color w:val="auto"/>
          <w:spacing w:val="0"/>
          <w:sz w:val="32"/>
          <w:szCs w:val="32"/>
          <w:highlight w:val="none"/>
          <w:u w:val="none"/>
          <w:shd w:val="clear" w:color="auto" w:fill="auto"/>
        </w:rPr>
        <w:t>元</w:t>
      </w:r>
      <w:r>
        <w:rPr>
          <w:rFonts w:hint="eastAsia" w:ascii="Times New Roman" w:hAnsi="Times New Roman"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lang w:val="en-US" w:eastAsia="zh-CN"/>
        </w:rPr>
        <w:t>折合约</w:t>
      </w:r>
      <w:r>
        <w:rPr>
          <w:rFonts w:hint="default" w:ascii="Times New Roman" w:hAnsi="Times New Roman" w:eastAsia="仿宋_GB2312" w:cs="Times New Roman"/>
          <w:b w:val="0"/>
          <w:bCs w:val="0"/>
          <w:color w:val="auto"/>
          <w:spacing w:val="0"/>
          <w:sz w:val="32"/>
          <w:szCs w:val="32"/>
          <w:highlight w:val="none"/>
          <w:u w:val="none"/>
          <w:shd w:val="clear" w:color="auto" w:fill="auto"/>
          <w:lang w:val="en-US" w:eastAsia="zh-CN"/>
        </w:rPr>
        <w:t>300万/亩</w:t>
      </w:r>
      <w:r>
        <w:rPr>
          <w:rFonts w:hint="default" w:ascii="Times New Roman" w:hAnsi="Times New Roman" w:eastAsia="仿宋_GB2312" w:cs="Times New Roman"/>
          <w:b w:val="0"/>
          <w:bC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b w:val="0"/>
          <w:bCs w:val="0"/>
          <w:color w:val="auto"/>
          <w:spacing w:val="0"/>
          <w:sz w:val="32"/>
          <w:szCs w:val="32"/>
          <w:highlight w:val="none"/>
        </w:rPr>
        <w:t>进行改</w:t>
      </w:r>
      <w:r>
        <w:rPr>
          <w:rFonts w:hint="default" w:ascii="Times New Roman" w:hAnsi="Times New Roman" w:eastAsia="仿宋_GB2312" w:cs="Times New Roman"/>
          <w:b w:val="0"/>
          <w:bCs w:val="0"/>
          <w:color w:val="auto"/>
          <w:spacing w:val="0"/>
          <w:sz w:val="32"/>
          <w:szCs w:val="32"/>
          <w:highlight w:val="none"/>
          <w:u w:val="none"/>
        </w:rPr>
        <w:t>造</w:t>
      </w:r>
      <w:r>
        <w:rPr>
          <w:rFonts w:hint="eastAsia" w:ascii="Times New Roman" w:hAnsi="Times New Roman" w:eastAsia="仿宋_GB2312" w:cs="Times New Roman"/>
          <w:b w:val="0"/>
          <w:bCs w:val="0"/>
          <w:color w:val="auto"/>
          <w:spacing w:val="0"/>
          <w:sz w:val="32"/>
          <w:szCs w:val="32"/>
          <w:highlight w:val="none"/>
          <w:u w:val="none"/>
          <w:shd w:val="clear" w:color="auto" w:fill="auto"/>
          <w:lang w:eastAsia="zh-CN"/>
        </w:rPr>
        <w:t>，</w:t>
      </w:r>
      <w:r>
        <w:rPr>
          <w:rFonts w:hint="eastAsia" w:ascii="Times New Roman" w:hAnsi="Times New Roman" w:eastAsia="仿宋_GB2312" w:cs="Times New Roman"/>
          <w:b w:val="0"/>
          <w:bCs w:val="0"/>
          <w:color w:val="auto"/>
          <w:spacing w:val="0"/>
          <w:sz w:val="32"/>
          <w:szCs w:val="32"/>
          <w:highlight w:val="none"/>
          <w:u w:val="none"/>
          <w:shd w:val="clear" w:color="auto" w:fill="auto"/>
          <w:lang w:val="en-US" w:eastAsia="zh-CN"/>
        </w:rPr>
        <w:t>其中，自有资金2,101万元，银行贷款8,400万元。</w:t>
      </w:r>
      <w:r>
        <w:rPr>
          <w:rFonts w:hint="default" w:ascii="Times New Roman" w:hAnsi="Times New Roman" w:eastAsia="仿宋_GB2312" w:cs="Times New Roman"/>
          <w:b w:val="0"/>
          <w:bCs w:val="0"/>
          <w:color w:val="auto"/>
          <w:spacing w:val="0"/>
          <w:sz w:val="32"/>
          <w:szCs w:val="32"/>
          <w:highlight w:val="none"/>
          <w:u w:val="none"/>
          <w:shd w:val="clear" w:color="auto" w:fill="auto"/>
          <w:lang w:val="en-US" w:eastAsia="zh-CN"/>
        </w:rPr>
        <w:t>具体以资金筹措的实际情况为准</w:t>
      </w:r>
      <w:r>
        <w:rPr>
          <w:rFonts w:hint="default" w:ascii="Times New Roman" w:hAnsi="Times New Roman" w:eastAsia="仿宋_GB2312" w:cs="Times New Roman"/>
          <w:b w:val="0"/>
          <w:bCs w:val="0"/>
          <w:color w:val="auto"/>
          <w:spacing w:val="0"/>
          <w:sz w:val="32"/>
          <w:szCs w:val="32"/>
          <w:highlight w:val="none"/>
          <w:u w:val="none"/>
          <w:shd w:val="clear" w:color="auto" w:fill="auto"/>
        </w:rPr>
        <w:t>。</w:t>
      </w:r>
    </w:p>
    <w:p w14:paraId="3A044729">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right="0" w:firstLine="640"/>
        <w:textAlignment w:val="auto"/>
        <w:outlineLvl w:val="9"/>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黑体" w:cs="Times New Roman"/>
          <w:color w:val="auto"/>
          <w:spacing w:val="0"/>
          <w:sz w:val="32"/>
          <w:szCs w:val="32"/>
          <w:highlight w:val="none"/>
          <w:lang w:val="en-US" w:eastAsia="zh-CN"/>
        </w:rPr>
        <w:t>改造时序</w:t>
      </w:r>
    </w:p>
    <w:p w14:paraId="44E3820B">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rPr>
          <w:rFonts w:hint="eastAsia" w:ascii="Times New Roman" w:hAnsi="Times New Roman" w:eastAsia="仿宋_GB2312" w:cs="Times New Roman"/>
          <w:color w:val="auto"/>
          <w:spacing w:val="6"/>
          <w:sz w:val="32"/>
          <w:szCs w:val="32"/>
          <w:highlight w:val="none"/>
          <w:u w:val="none"/>
          <w:shd w:val="clear" w:color="auto" w:fill="auto"/>
          <w:lang w:val="en-US" w:eastAsia="zh-CN"/>
        </w:rPr>
      </w:pPr>
      <w:r>
        <w:rPr>
          <w:rFonts w:hint="eastAsia" w:ascii="Times New Roman" w:hAnsi="Times New Roman" w:eastAsia="仿宋_GB2312" w:cs="Times New Roman"/>
          <w:color w:val="auto"/>
          <w:spacing w:val="6"/>
          <w:sz w:val="32"/>
          <w:szCs w:val="32"/>
          <w:highlight w:val="none"/>
          <w:u w:val="none"/>
          <w:shd w:val="clear" w:color="auto" w:fill="auto"/>
          <w:lang w:val="en-US" w:eastAsia="zh-CN"/>
        </w:rPr>
        <w:t>项目自2025年11月27日前动工，2028年5月27日前竣工。</w:t>
      </w:r>
    </w:p>
    <w:p w14:paraId="16435907">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right="0" w:firstLine="640"/>
        <w:textAlignment w:val="auto"/>
        <w:outlineLvl w:val="9"/>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黑体" w:cs="Times New Roman"/>
          <w:color w:val="auto"/>
          <w:spacing w:val="0"/>
          <w:sz w:val="32"/>
          <w:szCs w:val="32"/>
          <w:highlight w:val="none"/>
          <w:lang w:val="en-US" w:eastAsia="zh-CN"/>
        </w:rPr>
        <w:t>实施监管</w:t>
      </w:r>
    </w:p>
    <w:p w14:paraId="0C0099B2">
      <w:pPr>
        <w:keepNext w:val="0"/>
        <w:keepLines w:val="0"/>
        <w:pageBreakBefore w:val="0"/>
        <w:widowControl w:val="0"/>
        <w:kinsoku/>
        <w:wordWrap/>
        <w:overflowPunct/>
        <w:topLinePunct w:val="0"/>
        <w:autoSpaceDE/>
        <w:autoSpaceDN/>
        <w:bidi w:val="0"/>
        <w:adjustRightInd w:val="0"/>
        <w:snapToGrid w:val="0"/>
        <w:spacing w:line="336" w:lineRule="auto"/>
        <w:ind w:left="0" w:right="0" w:firstLine="592"/>
        <w:textAlignment w:val="auto"/>
        <w:outlineLvl w:val="9"/>
        <w:rPr>
          <w:rFonts w:hint="default" w:ascii="Times New Roman" w:hAnsi="Times New Roman" w:eastAsia="仿宋_GB2312" w:cs="Times New Roman"/>
          <w:b w:val="0"/>
          <w:bCs w:val="0"/>
          <w:color w:val="auto"/>
          <w:spacing w:val="0"/>
          <w:sz w:val="32"/>
          <w:szCs w:val="32"/>
          <w:highlight w:val="none"/>
          <w:u w:val="none"/>
        </w:rPr>
      </w:pPr>
      <w:r>
        <w:rPr>
          <w:rFonts w:hint="eastAsia" w:ascii="Times New Roman" w:hAnsi="Times New Roman" w:eastAsia="仿宋_GB2312" w:cs="Times New Roman"/>
          <w:b w:val="0"/>
          <w:bCs w:val="0"/>
          <w:color w:val="auto"/>
          <w:spacing w:val="0"/>
          <w:sz w:val="32"/>
          <w:szCs w:val="32"/>
          <w:highlight w:val="none"/>
          <w:u w:val="none"/>
          <w:lang w:val="en-US" w:eastAsia="zh-CN"/>
        </w:rPr>
        <w:t>改造主体应当按规定与坦洲镇人民政府签订已拟定的项目实施监管协议，并按监管协议约定实施改造。</w:t>
      </w:r>
    </w:p>
    <w:p w14:paraId="11DFEE97">
      <w:pPr>
        <w:keepNext w:val="0"/>
        <w:keepLines w:val="0"/>
        <w:pageBreakBefore w:val="0"/>
        <w:widowControl w:val="0"/>
        <w:kinsoku/>
        <w:wordWrap/>
        <w:overflowPunct/>
        <w:topLinePunct w:val="0"/>
        <w:autoSpaceDE/>
        <w:autoSpaceDN/>
        <w:bidi w:val="0"/>
        <w:adjustRightInd w:val="0"/>
        <w:snapToGrid w:val="0"/>
        <w:spacing w:line="336" w:lineRule="auto"/>
        <w:ind w:left="0" w:right="0" w:firstLine="616"/>
        <w:textAlignment w:val="auto"/>
        <w:outlineLvl w:val="9"/>
        <w:rPr>
          <w:rFonts w:hint="default" w:ascii="Times New Roman" w:hAnsi="Times New Roman" w:eastAsia="宋体" w:cs="Times New Roman"/>
          <w:color w:val="auto"/>
          <w:spacing w:val="-6"/>
          <w:sz w:val="32"/>
          <w:szCs w:val="32"/>
          <w:highlight w:val="none"/>
          <w:lang w:eastAsia="zh-CN"/>
        </w:rPr>
      </w:pPr>
    </w:p>
    <w:sectPr>
      <w:footerReference r:id="rId3" w:type="default"/>
      <w:pgSz w:w="11906" w:h="16838"/>
      <w:pgMar w:top="2098" w:right="1587" w:bottom="2098" w:left="1587" w:header="1417" w:footer="1417" w:gutter="0"/>
      <w:pgNumType w:fmt="numberInDash"/>
      <w:cols w:space="0" w:num="1"/>
      <w:rtlGutter w:val="0"/>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公文小标宋简">
    <w:altName w:val="方正小标宋_GBK"/>
    <w:panose1 w:val="020B05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CAEF3">
    <w:pPr>
      <w:pStyle w:val="20"/>
      <w:tabs>
        <w:tab w:val="left" w:pos="4941"/>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EAF99">
                          <w:pPr>
                            <w:pStyle w:val="20"/>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EdRpwI8AgAAbwQAAA4AAAAAAAAAAQAgAAAAHwEAAGRycy9lMm9E&#10;b2MueG1sUEsFBgAAAAAGAAYAWQEAAM0FAAAAAA==&#10;">
              <v:fill on="f" focussize="0,0"/>
              <v:stroke on="f" weight="0.5pt"/>
              <v:imagedata o:title=""/>
              <o:lock v:ext="edit" aspectratio="f"/>
              <v:textbox inset="0mm,0mm,0mm,0mm" style="mso-fit-shape-to-text:t;">
                <w:txbxContent>
                  <w:p w14:paraId="64CEAF99">
                    <w:pPr>
                      <w:pStyle w:val="20"/>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chineseCounting"/>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210"/>
  <w:drawingGridVerticalSpacing w:val="287"/>
  <w:displayHorizontalDrawingGridEvery w:val="1"/>
  <w:displayVerticalDrawingGridEvery w:val="2"/>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7650F"/>
    <w:rsid w:val="1CED7448"/>
    <w:rsid w:val="1FFEBB0C"/>
    <w:rsid w:val="23E72FCD"/>
    <w:rsid w:val="27FF8717"/>
    <w:rsid w:val="305F1C88"/>
    <w:rsid w:val="3197086F"/>
    <w:rsid w:val="358E16C4"/>
    <w:rsid w:val="3F5B3DE0"/>
    <w:rsid w:val="40AE7F87"/>
    <w:rsid w:val="553E4934"/>
    <w:rsid w:val="57FEBBCC"/>
    <w:rsid w:val="592B1FF8"/>
    <w:rsid w:val="63B6557D"/>
    <w:rsid w:val="6A949C82"/>
    <w:rsid w:val="6EDC54FC"/>
    <w:rsid w:val="757D603D"/>
    <w:rsid w:val="774FCAF1"/>
    <w:rsid w:val="9FDD23F2"/>
    <w:rsid w:val="AFEF2C08"/>
    <w:rsid w:val="BFBE5127"/>
    <w:rsid w:val="CF2124D7"/>
    <w:rsid w:val="D77DE4A3"/>
    <w:rsid w:val="DBFBC3CA"/>
    <w:rsid w:val="DF9D4C04"/>
    <w:rsid w:val="EFDF45C8"/>
    <w:rsid w:val="F77FAC54"/>
    <w:rsid w:val="F7F905F5"/>
    <w:rsid w:val="F9FE77E2"/>
    <w:rsid w:val="FBF662D9"/>
    <w:rsid w:val="FF9D8C82"/>
    <w:rsid w:val="FFFC14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nhideWhenUsed="0" w:uiPriority="0"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Times New Roman"/>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sz w:val="44"/>
      <w:szCs w:val="44"/>
    </w:rPr>
  </w:style>
  <w:style w:type="paragraph" w:styleId="4">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unhideWhenUsed/>
    <w:qFormat/>
    <w:uiPriority w:val="0"/>
    <w:pPr>
      <w:keepNext/>
      <w:jc w:val="center"/>
      <w:outlineLvl w:val="3"/>
    </w:pPr>
    <w:rPr>
      <w:rFonts w:eastAsia="公文小标宋简"/>
      <w:b/>
      <w:sz w:val="44"/>
    </w:rPr>
  </w:style>
  <w:style w:type="paragraph" w:styleId="7">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qFormat/>
    <w:uiPriority w:val="0"/>
  </w:style>
  <w:style w:type="table" w:default="1" w:styleId="3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2"/>
    <w:basedOn w:val="1"/>
    <w:qFormat/>
    <w:uiPriority w:val="0"/>
    <w:pPr>
      <w:ind w:firstLine="480"/>
    </w:pPr>
    <w:rPr>
      <w:rFonts w:ascii="宋体" w:hAnsi="宋体"/>
      <w:color w:val="000000"/>
      <w:sz w:val="24"/>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toa heading"/>
    <w:basedOn w:val="1"/>
    <w:next w:val="1"/>
    <w:qFormat/>
    <w:uiPriority w:val="0"/>
    <w:pPr>
      <w:widowControl/>
      <w:spacing w:before="120" w:after="100" w:afterAutospacing="1"/>
    </w:pPr>
    <w:rPr>
      <w:rFonts w:ascii="Arial" w:hAnsi="Arial" w:eastAsia="宋体" w:cs="Arial"/>
      <w:sz w:val="24"/>
      <w:szCs w:val="24"/>
      <w:lang w:bidi="gu-IN"/>
    </w:rPr>
  </w:style>
  <w:style w:type="paragraph" w:styleId="15">
    <w:name w:val="Body Text"/>
    <w:basedOn w:val="1"/>
    <w:next w:val="16"/>
    <w:qFormat/>
    <w:uiPriority w:val="0"/>
    <w:pPr>
      <w:spacing w:after="120"/>
    </w:pPr>
  </w:style>
  <w:style w:type="paragraph" w:styleId="16">
    <w:name w:val="toc 5"/>
    <w:basedOn w:val="1"/>
    <w:next w:val="1"/>
    <w:qFormat/>
    <w:uiPriority w:val="0"/>
    <w:pPr>
      <w:widowControl w:val="0"/>
      <w:spacing w:line="300" w:lineRule="auto"/>
      <w:ind w:left="1680"/>
      <w:jc w:val="both"/>
    </w:pPr>
    <w:rPr>
      <w:rFonts w:ascii="Times New Roman" w:hAnsi="Times New Roman" w:eastAsia="方正仿宋简体" w:cs="Times New Roman"/>
      <w:spacing w:val="6"/>
      <w:sz w:val="32"/>
      <w:szCs w:val="24"/>
      <w:lang w:val="en-US" w:eastAsia="zh-CN" w:bidi="ar-SA"/>
    </w:rPr>
  </w:style>
  <w:style w:type="paragraph" w:styleId="17">
    <w:name w:val="toc 3"/>
    <w:basedOn w:val="1"/>
    <w:next w:val="1"/>
    <w:unhideWhenUsed/>
    <w:qFormat/>
    <w:uiPriority w:val="39"/>
    <w:pPr>
      <w:spacing w:after="57"/>
      <w:ind w:left="567" w:right="0" w:firstLine="0"/>
    </w:p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83"/>
    <w:semiHidden/>
    <w:unhideWhenUsed/>
    <w:qFormat/>
    <w:uiPriority w:val="99"/>
    <w:pPr>
      <w:spacing w:after="0" w:line="240" w:lineRule="auto"/>
    </w:pPr>
    <w:rPr>
      <w:sz w:val="20"/>
    </w:rPr>
  </w:style>
  <w:style w:type="paragraph" w:styleId="20">
    <w:name w:val="footer"/>
    <w:basedOn w:val="1"/>
    <w:qFormat/>
    <w:uiPriority w:val="0"/>
    <w:pPr>
      <w:tabs>
        <w:tab w:val="center" w:pos="4153"/>
        <w:tab w:val="right" w:pos="8306"/>
      </w:tabs>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outlineLvl w:val="9"/>
    </w:pPr>
    <w:rPr>
      <w:sz w:val="18"/>
    </w:r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49"/>
    <w:qFormat/>
    <w:uiPriority w:val="11"/>
    <w:pPr>
      <w:spacing w:before="200" w:after="200"/>
    </w:pPr>
    <w:rPr>
      <w:sz w:val="24"/>
      <w:szCs w:val="24"/>
    </w:rPr>
  </w:style>
  <w:style w:type="paragraph" w:styleId="25">
    <w:name w:val="footnote text"/>
    <w:basedOn w:val="1"/>
    <w:link w:val="182"/>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Title"/>
    <w:basedOn w:val="1"/>
    <w:next w:val="1"/>
    <w:link w:val="48"/>
    <w:qFormat/>
    <w:uiPriority w:val="10"/>
    <w:pPr>
      <w:spacing w:before="300" w:after="200"/>
      <w:contextualSpacing/>
    </w:pPr>
    <w:rPr>
      <w:sz w:val="48"/>
      <w:szCs w:val="48"/>
    </w:rPr>
  </w:style>
  <w:style w:type="table" w:styleId="32">
    <w:name w:val="Table Grid"/>
    <w:basedOn w:val="31"/>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basedOn w:val="33"/>
    <w:semiHidden/>
    <w:unhideWhenUsed/>
    <w:qFormat/>
    <w:uiPriority w:val="99"/>
    <w:rPr>
      <w:vertAlign w:val="superscript"/>
    </w:rPr>
  </w:style>
  <w:style w:type="character" w:styleId="35">
    <w:name w:val="Hyperlink"/>
    <w:unhideWhenUsed/>
    <w:qFormat/>
    <w:uiPriority w:val="99"/>
    <w:rPr>
      <w:color w:val="0563C1" w:themeColor="hyperlink"/>
      <w:u w:val="single"/>
      <w14:textFill>
        <w14:solidFill>
          <w14:schemeClr w14:val="hlink"/>
        </w14:solidFill>
      </w14:textFill>
    </w:rPr>
  </w:style>
  <w:style w:type="character" w:styleId="36">
    <w:name w:val="footnote reference"/>
    <w:basedOn w:val="33"/>
    <w:unhideWhenUsed/>
    <w:qFormat/>
    <w:uiPriority w:val="99"/>
    <w:rPr>
      <w:vertAlign w:val="superscript"/>
    </w:rPr>
  </w:style>
  <w:style w:type="character" w:customStyle="1" w:styleId="37">
    <w:name w:val="Heading 1 Char"/>
    <w:basedOn w:val="33"/>
    <w:qFormat/>
    <w:uiPriority w:val="9"/>
    <w:rPr>
      <w:rFonts w:ascii="Arial" w:hAnsi="Arial" w:eastAsia="Arial" w:cs="Arial"/>
      <w:sz w:val="40"/>
      <w:szCs w:val="40"/>
    </w:rPr>
  </w:style>
  <w:style w:type="character" w:customStyle="1" w:styleId="38">
    <w:name w:val="Heading 2 Char"/>
    <w:basedOn w:val="33"/>
    <w:link w:val="4"/>
    <w:qFormat/>
    <w:uiPriority w:val="9"/>
    <w:rPr>
      <w:rFonts w:ascii="Arial" w:hAnsi="Arial" w:eastAsia="Arial" w:cs="Arial"/>
      <w:sz w:val="34"/>
    </w:rPr>
  </w:style>
  <w:style w:type="character" w:customStyle="1" w:styleId="39">
    <w:name w:val="Heading 3 Char"/>
    <w:basedOn w:val="33"/>
    <w:link w:val="5"/>
    <w:qFormat/>
    <w:uiPriority w:val="9"/>
    <w:rPr>
      <w:rFonts w:ascii="Arial" w:hAnsi="Arial" w:eastAsia="Arial" w:cs="Arial"/>
      <w:sz w:val="30"/>
      <w:szCs w:val="30"/>
    </w:rPr>
  </w:style>
  <w:style w:type="character" w:customStyle="1" w:styleId="40">
    <w:name w:val="Heading 4 Char"/>
    <w:basedOn w:val="33"/>
    <w:qFormat/>
    <w:uiPriority w:val="9"/>
    <w:rPr>
      <w:rFonts w:ascii="Arial" w:hAnsi="Arial" w:eastAsia="Arial" w:cs="Arial"/>
      <w:b/>
      <w:bCs/>
      <w:sz w:val="26"/>
      <w:szCs w:val="26"/>
    </w:rPr>
  </w:style>
  <w:style w:type="character" w:customStyle="1" w:styleId="41">
    <w:name w:val="Heading 5 Char"/>
    <w:basedOn w:val="33"/>
    <w:link w:val="7"/>
    <w:qFormat/>
    <w:uiPriority w:val="9"/>
    <w:rPr>
      <w:rFonts w:ascii="Arial" w:hAnsi="Arial" w:eastAsia="Arial" w:cs="Arial"/>
      <w:b/>
      <w:bCs/>
      <w:sz w:val="24"/>
      <w:szCs w:val="24"/>
    </w:rPr>
  </w:style>
  <w:style w:type="character" w:customStyle="1" w:styleId="42">
    <w:name w:val="Heading 6 Char"/>
    <w:basedOn w:val="33"/>
    <w:link w:val="8"/>
    <w:qFormat/>
    <w:uiPriority w:val="9"/>
    <w:rPr>
      <w:rFonts w:ascii="Arial" w:hAnsi="Arial" w:eastAsia="Arial" w:cs="Arial"/>
      <w:b/>
      <w:bCs/>
      <w:sz w:val="22"/>
      <w:szCs w:val="22"/>
    </w:rPr>
  </w:style>
  <w:style w:type="character" w:customStyle="1" w:styleId="43">
    <w:name w:val="Heading 7 Char"/>
    <w:basedOn w:val="33"/>
    <w:link w:val="9"/>
    <w:qFormat/>
    <w:uiPriority w:val="9"/>
    <w:rPr>
      <w:rFonts w:ascii="Arial" w:hAnsi="Arial" w:eastAsia="Arial" w:cs="Arial"/>
      <w:b/>
      <w:bCs/>
      <w:i/>
      <w:iCs/>
      <w:sz w:val="22"/>
      <w:szCs w:val="22"/>
    </w:rPr>
  </w:style>
  <w:style w:type="character" w:customStyle="1" w:styleId="44">
    <w:name w:val="Heading 8 Char"/>
    <w:basedOn w:val="33"/>
    <w:link w:val="10"/>
    <w:qFormat/>
    <w:uiPriority w:val="9"/>
    <w:rPr>
      <w:rFonts w:ascii="Arial" w:hAnsi="Arial" w:eastAsia="Arial" w:cs="Arial"/>
      <w:i/>
      <w:iCs/>
      <w:sz w:val="22"/>
      <w:szCs w:val="22"/>
    </w:rPr>
  </w:style>
  <w:style w:type="character" w:customStyle="1" w:styleId="45">
    <w:name w:val="Heading 9 Char"/>
    <w:basedOn w:val="33"/>
    <w:link w:val="11"/>
    <w:qFormat/>
    <w:uiPriority w:val="9"/>
    <w:rPr>
      <w:rFonts w:ascii="Arial" w:hAnsi="Arial" w:eastAsia="Arial" w:cs="Arial"/>
      <w:i/>
      <w:iCs/>
      <w:sz w:val="21"/>
      <w:szCs w:val="21"/>
    </w:rPr>
  </w:style>
  <w:style w:type="paragraph" w:styleId="46">
    <w:name w:val="List Paragraph"/>
    <w:basedOn w:val="1"/>
    <w:qFormat/>
    <w:uiPriority w:val="34"/>
    <w:pPr>
      <w:ind w:left="720"/>
      <w:contextualSpacing/>
    </w:pPr>
  </w:style>
  <w:style w:type="paragraph" w:styleId="47">
    <w:name w:val="No Spacing"/>
    <w:qFormat/>
    <w:uiPriority w:val="1"/>
    <w:pPr>
      <w:spacing w:before="0" w:after="0" w:line="240" w:lineRule="auto"/>
    </w:pPr>
    <w:rPr>
      <w:rFonts w:hint="default" w:ascii="Times New Roman" w:hAnsi="Times New Roman" w:eastAsia="宋体" w:cs="Times New Roman"/>
    </w:rPr>
  </w:style>
  <w:style w:type="character" w:customStyle="1" w:styleId="48">
    <w:name w:val="Title Char"/>
    <w:basedOn w:val="33"/>
    <w:link w:val="30"/>
    <w:qFormat/>
    <w:uiPriority w:val="10"/>
    <w:rPr>
      <w:sz w:val="48"/>
      <w:szCs w:val="48"/>
    </w:rPr>
  </w:style>
  <w:style w:type="character" w:customStyle="1" w:styleId="49">
    <w:name w:val="Subtitle Char"/>
    <w:basedOn w:val="33"/>
    <w:link w:val="24"/>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Header Char"/>
    <w:basedOn w:val="33"/>
    <w:qFormat/>
    <w:uiPriority w:val="99"/>
  </w:style>
  <w:style w:type="character" w:customStyle="1" w:styleId="55">
    <w:name w:val="Footer Char"/>
    <w:basedOn w:val="33"/>
    <w:qFormat/>
    <w:uiPriority w:val="99"/>
  </w:style>
  <w:style w:type="character" w:customStyle="1" w:styleId="56">
    <w:name w:val="Caption Char"/>
    <w:qFormat/>
    <w:uiPriority w:val="99"/>
  </w:style>
  <w:style w:type="table" w:customStyle="1" w:styleId="57">
    <w:name w:val="Table Grid Light"/>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basedOn w:val="3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basedOn w:val="3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31"/>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5">
    <w:name w:val="Grid Table 1 Light - Accent 2"/>
    <w:basedOn w:val="31"/>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6">
    <w:name w:val="Grid Table 1 Light - Accent 3"/>
    <w:basedOn w:val="31"/>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7">
    <w:name w:val="Grid Table 1 Light - Accent 4"/>
    <w:basedOn w:val="31"/>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8">
    <w:name w:val="Grid Table 1 Light - Accent 5"/>
    <w:basedOn w:val="31"/>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9">
    <w:name w:val="Grid Table 1 Light - Accent 6"/>
    <w:basedOn w:val="31"/>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0">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basedOn w:val="31"/>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2">
    <w:name w:val="Grid Table 2 - Accent 2"/>
    <w:basedOn w:val="31"/>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3">
    <w:name w:val="Grid Table 2 - Accent 3"/>
    <w:basedOn w:val="31"/>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4">
    <w:name w:val="Grid Table 2 - Accent 4"/>
    <w:basedOn w:val="31"/>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5">
    <w:name w:val="Grid Table 2 - Accent 5"/>
    <w:basedOn w:val="31"/>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6">
    <w:name w:val="Grid Table 2 - Accent 6"/>
    <w:basedOn w:val="31"/>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7">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basedOn w:val="31"/>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9">
    <w:name w:val="Grid Table 3 - Accent 2"/>
    <w:basedOn w:val="31"/>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0">
    <w:name w:val="Grid Table 3 - Accent 3"/>
    <w:basedOn w:val="31"/>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1">
    <w:name w:val="Grid Table 3 - Accent 4"/>
    <w:basedOn w:val="31"/>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2">
    <w:name w:val="Grid Table 3 - Accent 5"/>
    <w:basedOn w:val="31"/>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3">
    <w:name w:val="Grid Table 3 - Accent 6"/>
    <w:basedOn w:val="31"/>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4">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basedOn w:val="31"/>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6">
    <w:name w:val="Grid Table 4 - Accent 2"/>
    <w:basedOn w:val="31"/>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7">
    <w:name w:val="Grid Table 4 - Accent 3"/>
    <w:basedOn w:val="31"/>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8">
    <w:name w:val="Grid Table 4 - Accent 4"/>
    <w:basedOn w:val="31"/>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9">
    <w:name w:val="Grid Table 4 - Accent 5"/>
    <w:basedOn w:val="31"/>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0">
    <w:name w:val="Grid Table 4 - Accent 6"/>
    <w:basedOn w:val="31"/>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1">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3">
    <w:name w:val="Grid Table 5 Dark - Accent 2"/>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4">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5">
    <w:name w:val="Grid Table 5 Dark- Accent 4"/>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6">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7">
    <w:name w:val="Grid Table 5 Dark - Accent 6"/>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8">
    <w:name w:val="Grid Table 6 Colorful"/>
    <w:basedOn w:val="3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31"/>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31"/>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31"/>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2">
    <w:name w:val="Grid Table 6 Colorful - Accent 4"/>
    <w:basedOn w:val="31"/>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31"/>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4">
    <w:name w:val="Grid Table 6 Colorful - Accent 6"/>
    <w:basedOn w:val="31"/>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5">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31"/>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31"/>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31"/>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9">
    <w:name w:val="Grid Table 7 Colorful - Accent 4"/>
    <w:basedOn w:val="31"/>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31"/>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1">
    <w:name w:val="Grid Table 7 Colorful - Accent 6"/>
    <w:basedOn w:val="31"/>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2">
    <w:name w:val="List Table 1 Light"/>
    <w:basedOn w:val="3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basedOn w:val="31"/>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4">
    <w:name w:val="List Table 1 Light - Accent 2"/>
    <w:basedOn w:val="31"/>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5">
    <w:name w:val="List Table 1 Light - Accent 3"/>
    <w:basedOn w:val="31"/>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6">
    <w:name w:val="List Table 1 Light - Accent 4"/>
    <w:basedOn w:val="31"/>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7">
    <w:name w:val="List Table 1 Light - Accent 5"/>
    <w:basedOn w:val="31"/>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8">
    <w:name w:val="List Table 1 Light - Accent 6"/>
    <w:basedOn w:val="31"/>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9">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basedOn w:val="31"/>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1">
    <w:name w:val="List Table 2 - Accent 2"/>
    <w:basedOn w:val="31"/>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2">
    <w:name w:val="List Table 2 - Accent 3"/>
    <w:basedOn w:val="31"/>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3">
    <w:name w:val="List Table 2 - Accent 4"/>
    <w:basedOn w:val="31"/>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4">
    <w:name w:val="List Table 2 - Accent 5"/>
    <w:basedOn w:val="31"/>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5">
    <w:name w:val="List Table 2 - Accent 6"/>
    <w:basedOn w:val="31"/>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6">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31"/>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8">
    <w:name w:val="List Table 3 - Accent 2"/>
    <w:basedOn w:val="31"/>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9">
    <w:name w:val="List Table 3 - Accent 3"/>
    <w:basedOn w:val="31"/>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0">
    <w:name w:val="List Table 3 - Accent 4"/>
    <w:basedOn w:val="31"/>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1">
    <w:name w:val="List Table 3 - Accent 5"/>
    <w:basedOn w:val="31"/>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2">
    <w:name w:val="List Table 3 - Accent 6"/>
    <w:basedOn w:val="31"/>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3">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basedOn w:val="31"/>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5">
    <w:name w:val="List Table 4 - Accent 2"/>
    <w:basedOn w:val="31"/>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6">
    <w:name w:val="List Table 4 - Accent 3"/>
    <w:basedOn w:val="31"/>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7">
    <w:name w:val="List Table 4 - Accent 4"/>
    <w:basedOn w:val="31"/>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8">
    <w:name w:val="List Table 4 - Accent 5"/>
    <w:basedOn w:val="31"/>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9">
    <w:name w:val="List Table 4 - Accent 6"/>
    <w:basedOn w:val="31"/>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0">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basedOn w:val="31"/>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2">
    <w:name w:val="List Table 5 Dark - Accent 2"/>
    <w:basedOn w:val="31"/>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3">
    <w:name w:val="List Table 5 Dark - Accent 3"/>
    <w:basedOn w:val="31"/>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4">
    <w:name w:val="List Table 5 Dark - Accent 4"/>
    <w:basedOn w:val="31"/>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5">
    <w:name w:val="List Table 5 Dark - Accent 5"/>
    <w:basedOn w:val="31"/>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6">
    <w:name w:val="List Table 5 Dark - Accent 6"/>
    <w:basedOn w:val="31"/>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7">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31"/>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9">
    <w:name w:val="List Table 6 Colorful - Accent 2"/>
    <w:basedOn w:val="31"/>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31"/>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31"/>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31"/>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31"/>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4">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31"/>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6">
    <w:name w:val="List Table 7 Colorful - Accent 2"/>
    <w:basedOn w:val="31"/>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31"/>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31"/>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31"/>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31"/>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31"/>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basedOn w:val="31"/>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3">
    <w:name w:val="Lined - Accent 2"/>
    <w:basedOn w:val="31"/>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4">
    <w:name w:val="Lined - Accent 3"/>
    <w:basedOn w:val="31"/>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5">
    <w:name w:val="Lined - Accent 4"/>
    <w:basedOn w:val="31"/>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6">
    <w:name w:val="Lined - Accent 5"/>
    <w:basedOn w:val="31"/>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7">
    <w:name w:val="Lined - Accent 6"/>
    <w:basedOn w:val="31"/>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8">
    <w:name w:val="Bordered &amp; Lined - Accent"/>
    <w:basedOn w:val="31"/>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basedOn w:val="31"/>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0">
    <w:name w:val="Bordered &amp; Lined - Accent 2"/>
    <w:basedOn w:val="31"/>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1">
    <w:name w:val="Bordered &amp; Lined - Accent 3"/>
    <w:basedOn w:val="31"/>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2">
    <w:name w:val="Bordered &amp; Lined - Accent 4"/>
    <w:basedOn w:val="31"/>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3">
    <w:name w:val="Bordered &amp; Lined - Accent 5"/>
    <w:basedOn w:val="31"/>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4">
    <w:name w:val="Bordered &amp; Lined - Accent 6"/>
    <w:basedOn w:val="31"/>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5">
    <w:name w:val="Bordered"/>
    <w:basedOn w:val="31"/>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31"/>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7">
    <w:name w:val="Bordered - Accent 2"/>
    <w:basedOn w:val="31"/>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8">
    <w:name w:val="Bordered - Accent 3"/>
    <w:basedOn w:val="31"/>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9">
    <w:name w:val="Bordered - Accent 4"/>
    <w:basedOn w:val="31"/>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0">
    <w:name w:val="Bordered - Accent 5"/>
    <w:basedOn w:val="31"/>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1">
    <w:name w:val="Bordered - Accent 6"/>
    <w:basedOn w:val="31"/>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2">
    <w:name w:val="Footnote Text Char"/>
    <w:link w:val="25"/>
    <w:qFormat/>
    <w:uiPriority w:val="99"/>
    <w:rPr>
      <w:sz w:val="18"/>
    </w:rPr>
  </w:style>
  <w:style w:type="character" w:customStyle="1" w:styleId="183">
    <w:name w:val="Endnote Text Char"/>
    <w:link w:val="19"/>
    <w:qFormat/>
    <w:uiPriority w:val="99"/>
    <w:rPr>
      <w:sz w:val="20"/>
    </w:rPr>
  </w:style>
  <w:style w:type="paragraph" w:customStyle="1" w:styleId="184">
    <w:name w:val="TOC Heading"/>
    <w:unhideWhenUsed/>
    <w:qFormat/>
    <w:uiPriority w:val="39"/>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中山市坦洲镇人民政府</Company>
  <Pages>4</Pages>
  <Words>1400</Words>
  <Characters>1579</Characters>
  <TotalTime>297</TotalTime>
  <ScaleCrop>false</ScaleCrop>
  <LinksUpToDate>false</LinksUpToDate>
  <CharactersWithSpaces>1580</CharactersWithSpaces>
  <Application>WPS Office WWO_wpscloud_20250725212728-169485052d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2022-03-12T17:57:00Z</dcterms:created>
  <dc:creator>张林</dc:creator>
  <cp:lastModifiedBy>倩</cp:lastModifiedBy>
  <dcterms:modified xsi:type="dcterms:W3CDTF">2025-11-10T09:16:56Z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E2CA93F0E5371268083D11698DCF0E81_43</vt:lpwstr>
  </property>
  <property fmtid="{D5CDD505-2E9C-101B-9397-08002B2CF9AE}" pid="4" name="commondata">
    <vt:lpwstr>eyJoZGlkIjoiOTc1N2NjNDU2ZmYxODM4NzgyNjZmYTQ3NThiYjQ4N2UifQ==</vt:lpwstr>
  </property>
  <property fmtid="{D5CDD505-2E9C-101B-9397-08002B2CF9AE}" pid="5" name="KSOTemplateDocerSaveRecord">
    <vt:lpwstr>eyJoZGlkIjoiMjdmODgyM2M3YzM3NTBmN2MxNDNmMmVlM2YxZjM5MGIiLCJ1c2VySWQiOiIzNTU0MTA5NjgifQ==</vt:lpwstr>
  </property>
</Properties>
</file>