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B0A0">
      <w:pPr>
        <w:jc w:val="center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中山市火炬开发区全域土地综合整治实施方案</w:t>
      </w:r>
    </w:p>
    <w:p w14:paraId="568CF60D">
      <w:pPr>
        <w:jc w:val="center"/>
        <w:rPr>
          <w:rFonts w:hint="eastAsia"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（公示稿）</w:t>
      </w:r>
    </w:p>
    <w:p w14:paraId="57DEA06E">
      <w:pPr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0DC6B853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一、项目概况</w:t>
      </w:r>
    </w:p>
    <w:p w14:paraId="2B6C9DF3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项目名称：</w:t>
      </w:r>
      <w:r>
        <w:rPr>
          <w:rFonts w:hint="eastAsia" w:ascii="微软雅黑" w:hAnsi="微软雅黑" w:eastAsia="微软雅黑"/>
          <w:sz w:val="28"/>
          <w:szCs w:val="28"/>
        </w:rPr>
        <w:t>中山市火炬开发区全域土地综合整治实施方案</w:t>
      </w:r>
      <w:r>
        <w:rPr>
          <w:rFonts w:ascii="微软雅黑" w:hAnsi="微软雅黑" w:eastAsia="微软雅黑"/>
          <w:sz w:val="28"/>
          <w:szCs w:val="28"/>
        </w:rPr>
        <w:t>。</w:t>
      </w:r>
    </w:p>
    <w:p w14:paraId="00F43B23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整治区范围：以</w:t>
      </w:r>
      <w:r>
        <w:rPr>
          <w:rFonts w:hint="eastAsia" w:ascii="微软雅黑" w:hAnsi="微软雅黑" w:eastAsia="微软雅黑"/>
          <w:sz w:val="28"/>
          <w:szCs w:val="28"/>
        </w:rPr>
        <w:t>中山火炬开发区</w:t>
      </w:r>
      <w:r>
        <w:rPr>
          <w:rFonts w:ascii="微软雅黑" w:hAnsi="微软雅黑" w:eastAsia="微软雅黑"/>
          <w:sz w:val="28"/>
          <w:szCs w:val="28"/>
        </w:rPr>
        <w:t>全域为实施单元，整治区域包括</w:t>
      </w:r>
      <w:r>
        <w:rPr>
          <w:rFonts w:hint="eastAsia" w:ascii="微软雅黑" w:hAnsi="微软雅黑" w:eastAsia="微软雅黑"/>
          <w:sz w:val="28"/>
          <w:szCs w:val="28"/>
        </w:rPr>
        <w:t>中山港街道和民众街道两个街道，下辖16个行政村和10个社区</w:t>
      </w:r>
      <w:r>
        <w:rPr>
          <w:rFonts w:ascii="微软雅黑" w:hAnsi="微软雅黑" w:eastAsia="微软雅黑"/>
          <w:sz w:val="28"/>
          <w:szCs w:val="28"/>
        </w:rPr>
        <w:t>，范围总面积共计</w:t>
      </w:r>
      <w:r>
        <w:rPr>
          <w:rFonts w:hint="eastAsia" w:ascii="微软雅黑" w:hAnsi="微软雅黑" w:eastAsia="微软雅黑"/>
          <w:sz w:val="28"/>
          <w:szCs w:val="28"/>
        </w:rPr>
        <w:t>210.64平方公里</w:t>
      </w:r>
      <w:r>
        <w:rPr>
          <w:rFonts w:ascii="微软雅黑" w:hAnsi="微软雅黑" w:eastAsia="微软雅黑"/>
          <w:sz w:val="28"/>
          <w:szCs w:val="28"/>
        </w:rPr>
        <w:t>。</w:t>
      </w:r>
    </w:p>
    <w:p w14:paraId="01F06F36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规划期限：根据《广东省全域土地综合整治省级试点实施方案编制指南（</w:t>
      </w:r>
      <w:r>
        <w:rPr>
          <w:rFonts w:hint="eastAsia" w:ascii="微软雅黑" w:hAnsi="微软雅黑" w:eastAsia="微软雅黑"/>
          <w:sz w:val="28"/>
          <w:szCs w:val="28"/>
        </w:rPr>
        <w:t>试行</w:t>
      </w:r>
      <w:r>
        <w:rPr>
          <w:rFonts w:ascii="微软雅黑" w:hAnsi="微软雅黑" w:eastAsia="微软雅黑"/>
          <w:sz w:val="28"/>
          <w:szCs w:val="28"/>
        </w:rPr>
        <w:t>）》</w:t>
      </w:r>
      <w:r>
        <w:rPr>
          <w:rFonts w:hint="eastAsia" w:ascii="微软雅黑" w:hAnsi="微软雅黑" w:eastAsia="微软雅黑"/>
          <w:sz w:val="28"/>
          <w:szCs w:val="28"/>
        </w:rPr>
        <w:t>（2024.6）</w:t>
      </w:r>
      <w:r>
        <w:rPr>
          <w:rFonts w:ascii="微软雅黑" w:hAnsi="微软雅黑" w:eastAsia="微软雅黑"/>
          <w:sz w:val="28"/>
          <w:szCs w:val="28"/>
        </w:rPr>
        <w:t>要求，实施期限一般不超过4年。根据</w:t>
      </w:r>
      <w:r>
        <w:rPr>
          <w:rFonts w:hint="eastAsia" w:ascii="微软雅黑" w:hAnsi="微软雅黑" w:eastAsia="微软雅黑"/>
          <w:sz w:val="28"/>
          <w:szCs w:val="28"/>
        </w:rPr>
        <w:t>中山火炬开发区</w:t>
      </w:r>
      <w:r>
        <w:rPr>
          <w:rFonts w:ascii="微软雅黑" w:hAnsi="微软雅黑" w:eastAsia="微软雅黑"/>
          <w:sz w:val="28"/>
          <w:szCs w:val="28"/>
        </w:rPr>
        <w:t>实际情况确定</w:t>
      </w:r>
      <w:r>
        <w:rPr>
          <w:rFonts w:hint="eastAsia" w:ascii="微软雅黑" w:hAnsi="微软雅黑" w:eastAsia="微软雅黑"/>
          <w:sz w:val="28"/>
          <w:szCs w:val="28"/>
        </w:rPr>
        <w:t>中山市火炬开发区</w:t>
      </w:r>
      <w:r>
        <w:rPr>
          <w:rFonts w:ascii="微软雅黑" w:hAnsi="微软雅黑" w:eastAsia="微软雅黑"/>
          <w:sz w:val="28"/>
          <w:szCs w:val="28"/>
        </w:rPr>
        <w:t>全域土地综合整治项目实施期限为4年，即202</w:t>
      </w:r>
      <w:r>
        <w:rPr>
          <w:rFonts w:hint="eastAsia" w:ascii="微软雅黑" w:hAnsi="微软雅黑" w:eastAsia="微软雅黑"/>
          <w:sz w:val="28"/>
          <w:szCs w:val="28"/>
        </w:rPr>
        <w:t>5</w:t>
      </w:r>
      <w:r>
        <w:rPr>
          <w:rFonts w:ascii="微软雅黑" w:hAnsi="微软雅黑" w:eastAsia="微软雅黑"/>
          <w:sz w:val="28"/>
          <w:szCs w:val="28"/>
        </w:rPr>
        <w:t>年—202</w:t>
      </w:r>
      <w:r>
        <w:rPr>
          <w:rFonts w:hint="eastAsia" w:ascii="微软雅黑" w:hAnsi="微软雅黑" w:eastAsia="微软雅黑"/>
          <w:sz w:val="28"/>
          <w:szCs w:val="28"/>
        </w:rPr>
        <w:t>8</w:t>
      </w:r>
      <w:r>
        <w:rPr>
          <w:rFonts w:ascii="微软雅黑" w:hAnsi="微软雅黑" w:eastAsia="微软雅黑"/>
          <w:sz w:val="28"/>
          <w:szCs w:val="28"/>
        </w:rPr>
        <w:t>年（具体以</w:t>
      </w:r>
      <w:r>
        <w:rPr>
          <w:rFonts w:hint="eastAsia" w:ascii="微软雅黑" w:hAnsi="微软雅黑" w:eastAsia="微软雅黑"/>
          <w:sz w:val="28"/>
          <w:szCs w:val="28"/>
        </w:rPr>
        <w:t>提升</w:t>
      </w:r>
      <w:r>
        <w:rPr>
          <w:rFonts w:ascii="微软雅黑" w:hAnsi="微软雅黑" w:eastAsia="微软雅黑"/>
          <w:sz w:val="28"/>
          <w:szCs w:val="28"/>
        </w:rPr>
        <w:t>方案批复时间为准）。</w:t>
      </w:r>
    </w:p>
    <w:p w14:paraId="136006BE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ascii="微软雅黑" w:hAnsi="微软雅黑" w:eastAsia="微软雅黑"/>
          <w:b/>
          <w:bCs/>
          <w:sz w:val="28"/>
          <w:szCs w:val="28"/>
        </w:rPr>
        <w:t>二、整治目标</w:t>
      </w:r>
    </w:p>
    <w:p w14:paraId="4E215A2F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以“全地域、全要素、全周期、全链条”破解难点堵点，以支持火炬开发区建设“科技产业新区、现代宜居新城、生态岭南水乡”为导向，结合全域土整政策工具，全面推进土地综合整治工作。通过全域土地综合整治强化资源要素保障，提高土地的节约集约利用水平，形成良田集中连片、产业集聚发展、村庄布局优化、生态健康优美的土地保护利用新格局，保障国土空间理想蓝图的落地实施。</w:t>
      </w:r>
    </w:p>
    <w:p w14:paraId="1EB6EBBC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三、工作内容</w:t>
      </w:r>
    </w:p>
    <w:p w14:paraId="230E01D5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（一）</w:t>
      </w:r>
      <w:r>
        <w:rPr>
          <w:rFonts w:ascii="微软雅黑" w:hAnsi="微软雅黑" w:eastAsia="微软雅黑"/>
          <w:b/>
          <w:bCs/>
          <w:sz w:val="28"/>
          <w:szCs w:val="28"/>
        </w:rPr>
        <w:t>农用地整理——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推进耕地集中连片，</w:t>
      </w:r>
      <w:r>
        <w:rPr>
          <w:rFonts w:ascii="微软雅黑" w:hAnsi="微软雅黑" w:eastAsia="微软雅黑"/>
          <w:b/>
          <w:bCs/>
          <w:sz w:val="28"/>
          <w:szCs w:val="28"/>
        </w:rPr>
        <w:t>打造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连片高标准耕地</w:t>
      </w:r>
    </w:p>
    <w:p w14:paraId="6B690F1C">
      <w:pPr>
        <w:ind w:firstLine="560" w:firstLineChars="200"/>
        <w:jc w:val="left"/>
        <w:rPr>
          <w:rFonts w:hint="eastAsia" w:ascii="微软雅黑" w:hAnsi="微软雅黑" w:eastAsia="微软雅黑"/>
          <w:color w:val="FF0000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健全耕地数量、质量、生态“三位一体”耕地保护制度体系，</w:t>
      </w:r>
      <w:r>
        <w:rPr>
          <w:rFonts w:ascii="微软雅黑" w:hAnsi="微软雅黑" w:eastAsia="微软雅黑"/>
          <w:sz w:val="28"/>
          <w:szCs w:val="28"/>
        </w:rPr>
        <w:t>极推进农用地整治，促进耕地集中连片，</w:t>
      </w:r>
      <w:r>
        <w:rPr>
          <w:rFonts w:hint="eastAsia" w:ascii="微软雅黑" w:hAnsi="微软雅黑" w:eastAsia="微软雅黑"/>
          <w:sz w:val="28"/>
          <w:szCs w:val="28"/>
        </w:rPr>
        <w:t>增加耕地数量，提高耕地质量，保障粮食安全。</w:t>
      </w:r>
      <w:r>
        <w:rPr>
          <w:rFonts w:ascii="微软雅黑" w:hAnsi="微软雅黑" w:eastAsia="微软雅黑"/>
          <w:sz w:val="28"/>
          <w:szCs w:val="28"/>
        </w:rPr>
        <w:t>按照因地制宜、改善条件、提高质量的要求，以</w:t>
      </w:r>
      <w:r>
        <w:rPr>
          <w:rFonts w:hint="eastAsia" w:ascii="微软雅黑" w:hAnsi="微软雅黑" w:eastAsia="微软雅黑"/>
          <w:sz w:val="28"/>
          <w:szCs w:val="28"/>
        </w:rPr>
        <w:t>改善耕地碎片化、</w:t>
      </w:r>
      <w:r>
        <w:rPr>
          <w:rFonts w:ascii="微软雅黑" w:hAnsi="微软雅黑" w:eastAsia="微软雅黑"/>
          <w:sz w:val="28"/>
          <w:szCs w:val="28"/>
        </w:rPr>
        <w:t>提高优质农田比重为目标，开展有针对性的整治活动，</w:t>
      </w:r>
      <w:r>
        <w:rPr>
          <w:rFonts w:hint="eastAsia" w:ascii="微软雅黑" w:hAnsi="微软雅黑" w:eastAsia="微软雅黑"/>
          <w:sz w:val="28"/>
          <w:szCs w:val="28"/>
        </w:rPr>
        <w:t>积极开展耕地恢复项目，对水源充足、水质较好、地势较为平坦的区域进行开发，增加火炬开发区耕地总量，形成连片规模化耕地。计划开展农用地整理子项目2个，整治面积37.3624公顷，包括民众街道新平村耕地集中整治区项目、火炬开发区永久基本农田调整优化项目。</w:t>
      </w:r>
    </w:p>
    <w:p w14:paraId="5B0C37D0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（二）</w:t>
      </w:r>
      <w:r>
        <w:rPr>
          <w:rFonts w:ascii="微软雅黑" w:hAnsi="微软雅黑" w:eastAsia="微软雅黑"/>
          <w:b/>
          <w:bCs/>
          <w:sz w:val="28"/>
          <w:szCs w:val="28"/>
        </w:rPr>
        <w:t>建设用地整理——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推进土地节约集约利用，打造村庄集中、产业连片的示范区</w:t>
      </w:r>
    </w:p>
    <w:p w14:paraId="7EC6080B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以村庄集中安置为</w:t>
      </w:r>
      <w:r>
        <w:rPr>
          <w:rFonts w:hint="eastAsia" w:ascii="微软雅黑" w:hAnsi="微软雅黑" w:eastAsia="微软雅黑"/>
          <w:sz w:val="28"/>
          <w:szCs w:val="28"/>
        </w:rPr>
        <w:t>整治</w:t>
      </w:r>
      <w:r>
        <w:rPr>
          <w:rFonts w:ascii="微软雅黑" w:hAnsi="微软雅黑" w:eastAsia="微软雅黑"/>
          <w:sz w:val="28"/>
          <w:szCs w:val="28"/>
        </w:rPr>
        <w:t>重点，优化建设用地布局，提高产业</w:t>
      </w:r>
      <w:r>
        <w:rPr>
          <w:rFonts w:hint="eastAsia" w:ascii="微软雅黑" w:hAnsi="微软雅黑" w:eastAsia="微软雅黑"/>
          <w:sz w:val="28"/>
          <w:szCs w:val="28"/>
        </w:rPr>
        <w:t>集聚程度</w:t>
      </w:r>
      <w:r>
        <w:rPr>
          <w:rFonts w:ascii="微软雅黑" w:hAnsi="微软雅黑" w:eastAsia="微软雅黑"/>
          <w:sz w:val="28"/>
          <w:szCs w:val="28"/>
        </w:rPr>
        <w:t>，助力中山市</w:t>
      </w:r>
      <w:r>
        <w:rPr>
          <w:rFonts w:hint="eastAsia" w:ascii="微软雅黑" w:hAnsi="微软雅黑" w:eastAsia="微软雅黑"/>
          <w:sz w:val="28"/>
          <w:szCs w:val="28"/>
        </w:rPr>
        <w:t>火炬开发区</w:t>
      </w:r>
      <w:r>
        <w:rPr>
          <w:rFonts w:ascii="微软雅黑" w:hAnsi="微软雅黑" w:eastAsia="微软雅黑"/>
          <w:sz w:val="28"/>
          <w:szCs w:val="28"/>
        </w:rPr>
        <w:t>乡村振兴发展。对</w:t>
      </w:r>
      <w:r>
        <w:rPr>
          <w:rFonts w:hint="eastAsia" w:ascii="微软雅黑" w:hAnsi="微软雅黑" w:eastAsia="微软雅黑"/>
          <w:sz w:val="28"/>
          <w:szCs w:val="28"/>
        </w:rPr>
        <w:t>火炬开发区</w:t>
      </w:r>
      <w:r>
        <w:rPr>
          <w:rFonts w:ascii="微软雅黑" w:hAnsi="微软雅黑" w:eastAsia="微软雅黑"/>
          <w:sz w:val="28"/>
          <w:szCs w:val="28"/>
        </w:rPr>
        <w:t>的闲置低效的用地统筹整理，采用拆旧建新、</w:t>
      </w:r>
      <w:r>
        <w:rPr>
          <w:rFonts w:hint="eastAsia" w:ascii="微软雅黑" w:hAnsi="微软雅黑" w:eastAsia="微软雅黑"/>
          <w:sz w:val="28"/>
          <w:szCs w:val="28"/>
        </w:rPr>
        <w:t>低效建设用地</w:t>
      </w:r>
      <w:r>
        <w:rPr>
          <w:rFonts w:ascii="微软雅黑" w:hAnsi="微软雅黑" w:eastAsia="微软雅黑"/>
          <w:sz w:val="28"/>
          <w:szCs w:val="28"/>
        </w:rPr>
        <w:t>盘活、提质增效等措施，整理盘活城乡存量建设用地。结合</w:t>
      </w:r>
      <w:r>
        <w:rPr>
          <w:rFonts w:hint="eastAsia" w:ascii="微软雅黑" w:hAnsi="微软雅黑" w:eastAsia="微软雅黑"/>
          <w:sz w:val="28"/>
          <w:szCs w:val="28"/>
        </w:rPr>
        <w:t>河涌管控、国土空间规划蓝图、近期发展诉求，开展建设用地整理，</w:t>
      </w:r>
      <w:r>
        <w:rPr>
          <w:rFonts w:ascii="微软雅黑" w:hAnsi="微软雅黑" w:eastAsia="微软雅黑"/>
          <w:sz w:val="28"/>
          <w:szCs w:val="28"/>
        </w:rPr>
        <w:t>加强土地集约节约</w:t>
      </w:r>
      <w:r>
        <w:rPr>
          <w:rFonts w:hint="eastAsia" w:ascii="微软雅黑" w:hAnsi="微软雅黑" w:eastAsia="微软雅黑"/>
          <w:sz w:val="28"/>
          <w:szCs w:val="28"/>
        </w:rPr>
        <w:t>利用水平</w:t>
      </w:r>
      <w:r>
        <w:rPr>
          <w:rFonts w:ascii="微软雅黑" w:hAnsi="微软雅黑" w:eastAsia="微软雅黑"/>
          <w:sz w:val="28"/>
          <w:szCs w:val="28"/>
        </w:rPr>
        <w:t>，将土地的利用价值发挥最大化。</w:t>
      </w:r>
    </w:p>
    <w:p w14:paraId="7C477EB2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在确保城乡建设用地规模总量不增加的前提下，</w:t>
      </w:r>
      <w:r>
        <w:rPr>
          <w:rFonts w:hint="eastAsia" w:ascii="微软雅黑" w:hAnsi="微软雅黑" w:eastAsia="微软雅黑"/>
          <w:sz w:val="28"/>
          <w:szCs w:val="28"/>
        </w:rPr>
        <w:t>计划推进17.7299公顷的拆旧复垦项目，结合安置建新、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“</w:t>
      </w:r>
      <w:bookmarkStart w:id="0" w:name="_GoBack"/>
      <w:r>
        <w:rPr>
          <w:rFonts w:hint="eastAsia" w:ascii="微软雅黑" w:hAnsi="微软雅黑" w:eastAsia="微软雅黑"/>
          <w:sz w:val="28"/>
          <w:szCs w:val="28"/>
        </w:rPr>
        <w:t>三旧</w:t>
      </w:r>
      <w:bookmarkEnd w:id="0"/>
      <w:r>
        <w:rPr>
          <w:rFonts w:hint="eastAsia" w:ascii="微软雅黑" w:hAnsi="微软雅黑" w:eastAsia="微软雅黑"/>
          <w:sz w:val="28"/>
          <w:szCs w:val="28"/>
          <w:lang w:eastAsia="zh-CN"/>
        </w:rPr>
        <w:t>”</w:t>
      </w:r>
      <w:r>
        <w:rPr>
          <w:rFonts w:hint="eastAsia" w:ascii="微软雅黑" w:hAnsi="微软雅黑" w:eastAsia="微软雅黑"/>
          <w:sz w:val="28"/>
          <w:szCs w:val="28"/>
        </w:rPr>
        <w:t>改造等项目，近期实施共安排11个建设用地整理项目，整治规模为58.82公顷（约882亩），其中拆旧复垦项目5个，低效建设用地盘活项目1个，农村居民点集中安置项目2个，工业用地提升改造（建新区）1个，工改改造项目2个。</w:t>
      </w:r>
    </w:p>
    <w:p w14:paraId="0E2F8AE8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结合拆旧复垦相关政策利好，</w:t>
      </w:r>
      <w:r>
        <w:rPr>
          <w:rFonts w:hint="eastAsia" w:ascii="微软雅黑" w:hAnsi="微软雅黑" w:eastAsia="微软雅黑"/>
          <w:sz w:val="28"/>
          <w:szCs w:val="28"/>
        </w:rPr>
        <w:t>优先开展河涌管控范围内建设用地整理，腾退指标优先用于村民集中安置，</w:t>
      </w:r>
      <w:r>
        <w:rPr>
          <w:rFonts w:ascii="微软雅黑" w:hAnsi="微软雅黑" w:eastAsia="微软雅黑"/>
          <w:sz w:val="28"/>
          <w:szCs w:val="28"/>
        </w:rPr>
        <w:t>节余建设用地</w:t>
      </w:r>
      <w:r>
        <w:rPr>
          <w:rFonts w:hint="eastAsia" w:ascii="微软雅黑" w:hAnsi="微软雅黑" w:eastAsia="微软雅黑"/>
          <w:sz w:val="28"/>
          <w:szCs w:val="28"/>
        </w:rPr>
        <w:t>规模指标主要</w:t>
      </w:r>
      <w:r>
        <w:rPr>
          <w:rFonts w:ascii="微软雅黑" w:hAnsi="微软雅黑" w:eastAsia="微软雅黑"/>
          <w:sz w:val="28"/>
          <w:szCs w:val="28"/>
        </w:rPr>
        <w:t>用于</w:t>
      </w:r>
      <w:r>
        <w:rPr>
          <w:rFonts w:hint="eastAsia" w:ascii="微软雅黑" w:hAnsi="微软雅黑" w:eastAsia="微软雅黑"/>
          <w:sz w:val="28"/>
          <w:szCs w:val="28"/>
        </w:rPr>
        <w:t>整治区域内新增项目的建设以及农村新产业新业态融合发展用地</w:t>
      </w:r>
      <w:r>
        <w:rPr>
          <w:rFonts w:ascii="微软雅黑" w:hAnsi="微软雅黑" w:eastAsia="微软雅黑"/>
          <w:sz w:val="28"/>
          <w:szCs w:val="28"/>
        </w:rPr>
        <w:t>。</w:t>
      </w:r>
    </w:p>
    <w:p w14:paraId="3CE52E56">
      <w:pPr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（三）生态整治修复</w:t>
      </w:r>
      <w:r>
        <w:rPr>
          <w:rFonts w:ascii="微软雅黑" w:hAnsi="微软雅黑" w:eastAsia="微软雅黑"/>
          <w:b/>
          <w:bCs/>
          <w:sz w:val="28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加强水环境治理与生态修复，重塑水乡生态画卷</w:t>
      </w:r>
    </w:p>
    <w:p w14:paraId="1544653C">
      <w:pPr>
        <w:ind w:firstLine="560" w:firstLineChars="20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针对火炬开发区滨河特色不足、生态功能退化等问题，基于现有自然本地资源、围绕整治分区定位，统筹推进河流整治、碧道建设、尾水治理、水闸重建、活水循环等整治工程，保护和恢复水生态功能，打造宜人亲水公共空间。实施期内拟推进6个生态保护修复项目，拟完成21.23千米河流综合整治、6.05千米碧道建设、5个水匝重建，推进尾水治理与活水循环治理。</w:t>
      </w:r>
    </w:p>
    <w:p w14:paraId="328CB5D6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（四）乡村风貌提升</w:t>
      </w:r>
      <w:r>
        <w:rPr>
          <w:rFonts w:ascii="微软雅黑" w:hAnsi="微软雅黑" w:eastAsia="微软雅黑"/>
          <w:b/>
          <w:bCs/>
          <w:sz w:val="28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提升人居环境品质</w:t>
      </w:r>
      <w:r>
        <w:rPr>
          <w:rFonts w:ascii="微软雅黑" w:hAnsi="微软雅黑" w:eastAsia="微软雅黑"/>
          <w:b/>
          <w:bCs/>
          <w:sz w:val="28"/>
          <w:szCs w:val="28"/>
        </w:rPr>
        <w:t>，建设生态宜居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美丽</w:t>
      </w:r>
      <w:r>
        <w:rPr>
          <w:rFonts w:ascii="微软雅黑" w:hAnsi="微软雅黑" w:eastAsia="微软雅黑"/>
          <w:b/>
          <w:bCs/>
          <w:sz w:val="28"/>
          <w:szCs w:val="28"/>
        </w:rPr>
        <w:t>乡村</w:t>
      </w:r>
    </w:p>
    <w:p w14:paraId="5B2896DA"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锚定镇村融合高质量发展的方向，全面贯彻“百千万工程”工作部署，依托乡村生态基底、资源禀赋和历史文化底蕴，突出水乡特征，扎实推进乡村风貌提升和</w:t>
      </w:r>
      <w:r>
        <w:rPr>
          <w:rFonts w:ascii="微软雅黑" w:hAnsi="微软雅黑" w:eastAsia="微软雅黑"/>
          <w:sz w:val="28"/>
          <w:szCs w:val="28"/>
        </w:rPr>
        <w:t>历史</w:t>
      </w:r>
      <w:r>
        <w:rPr>
          <w:rFonts w:hint="eastAsia" w:ascii="微软雅黑" w:hAnsi="微软雅黑" w:eastAsia="微软雅黑"/>
          <w:sz w:val="28"/>
          <w:szCs w:val="28"/>
        </w:rPr>
        <w:t>文化保护</w:t>
      </w:r>
      <w:r>
        <w:rPr>
          <w:rFonts w:ascii="微软雅黑" w:hAnsi="微软雅黑" w:eastAsia="微软雅黑"/>
          <w:sz w:val="28"/>
          <w:szCs w:val="28"/>
        </w:rPr>
        <w:t>传承</w:t>
      </w:r>
      <w:r>
        <w:rPr>
          <w:rFonts w:hint="eastAsia" w:ascii="微软雅黑" w:hAnsi="微软雅黑" w:eastAsia="微软雅黑"/>
          <w:sz w:val="28"/>
          <w:szCs w:val="28"/>
        </w:rPr>
        <w:t>等各项工作，积极建成生态宜居美丽乡村。以沙田</w:t>
      </w:r>
      <w:r>
        <w:rPr>
          <w:rFonts w:ascii="微软雅黑" w:hAnsi="微软雅黑" w:eastAsia="微软雅黑"/>
          <w:sz w:val="28"/>
          <w:szCs w:val="28"/>
        </w:rPr>
        <w:t>水乡</w:t>
      </w:r>
      <w:r>
        <w:rPr>
          <w:rFonts w:hint="eastAsia" w:ascii="微软雅黑" w:hAnsi="微软雅黑" w:eastAsia="微软雅黑"/>
          <w:sz w:val="28"/>
          <w:szCs w:val="28"/>
        </w:rPr>
        <w:t>风貌</w:t>
      </w:r>
      <w:r>
        <w:rPr>
          <w:rFonts w:ascii="微软雅黑" w:hAnsi="微软雅黑" w:eastAsia="微软雅黑"/>
          <w:sz w:val="28"/>
          <w:szCs w:val="28"/>
        </w:rPr>
        <w:t>保护、</w:t>
      </w:r>
      <w:r>
        <w:rPr>
          <w:rFonts w:hint="eastAsia" w:ascii="微软雅黑" w:hAnsi="微软雅黑" w:eastAsia="微软雅黑"/>
          <w:sz w:val="28"/>
          <w:szCs w:val="28"/>
        </w:rPr>
        <w:t>疍家文化</w:t>
      </w:r>
      <w:r>
        <w:rPr>
          <w:rFonts w:ascii="微软雅黑" w:hAnsi="微软雅黑" w:eastAsia="微软雅黑"/>
          <w:sz w:val="28"/>
          <w:szCs w:val="28"/>
        </w:rPr>
        <w:t>传承</w:t>
      </w:r>
      <w:r>
        <w:rPr>
          <w:rFonts w:hint="eastAsia" w:ascii="微软雅黑" w:hAnsi="微软雅黑" w:eastAsia="微软雅黑"/>
          <w:sz w:val="28"/>
          <w:szCs w:val="28"/>
        </w:rPr>
        <w:t>、</w:t>
      </w:r>
      <w:r>
        <w:rPr>
          <w:rFonts w:ascii="微软雅黑" w:hAnsi="微软雅黑" w:eastAsia="微软雅黑"/>
          <w:sz w:val="28"/>
          <w:szCs w:val="28"/>
        </w:rPr>
        <w:t>农耕文明和</w:t>
      </w:r>
      <w:r>
        <w:rPr>
          <w:rFonts w:hint="eastAsia" w:ascii="微软雅黑" w:hAnsi="微软雅黑" w:eastAsia="微软雅黑"/>
          <w:sz w:val="28"/>
          <w:szCs w:val="28"/>
        </w:rPr>
        <w:t>生态</w:t>
      </w:r>
      <w:r>
        <w:rPr>
          <w:rFonts w:ascii="微软雅黑" w:hAnsi="微软雅黑" w:eastAsia="微软雅黑"/>
          <w:sz w:val="28"/>
          <w:szCs w:val="28"/>
        </w:rPr>
        <w:t>特色展现为</w:t>
      </w:r>
      <w:r>
        <w:rPr>
          <w:rFonts w:hint="eastAsia" w:ascii="微软雅黑" w:hAnsi="微软雅黑" w:eastAsia="微软雅黑"/>
          <w:sz w:val="28"/>
          <w:szCs w:val="28"/>
        </w:rPr>
        <w:t>引领</w:t>
      </w:r>
      <w:r>
        <w:rPr>
          <w:rFonts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遵循项目可行性、成熟度和近期能见成效的原则，统筹</w:t>
      </w:r>
      <w:r>
        <w:rPr>
          <w:rFonts w:ascii="微软雅黑" w:hAnsi="微软雅黑" w:eastAsia="微软雅黑"/>
          <w:sz w:val="28"/>
          <w:szCs w:val="28"/>
        </w:rPr>
        <w:t>实施</w:t>
      </w:r>
      <w:r>
        <w:rPr>
          <w:rFonts w:hint="eastAsia" w:ascii="微软雅黑" w:hAnsi="微软雅黑" w:eastAsia="微软雅黑"/>
          <w:sz w:val="28"/>
          <w:szCs w:val="28"/>
        </w:rPr>
        <w:t>新建村人居环境品质提升项目、新平四村人居环境品质提升项目、接源村创建特色精品村建设项目、窈窕村美丽宜居村改造项目、江尾头村美丽宜居村改造项目、沙边村品质提升项目6个重点项目，实现</w:t>
      </w:r>
      <w:r>
        <w:rPr>
          <w:rFonts w:ascii="微软雅黑" w:hAnsi="微软雅黑" w:eastAsia="微软雅黑"/>
          <w:sz w:val="28"/>
          <w:szCs w:val="28"/>
        </w:rPr>
        <w:t>乡村风貌</w:t>
      </w:r>
      <w:r>
        <w:rPr>
          <w:rFonts w:hint="eastAsia" w:ascii="微软雅黑" w:hAnsi="微软雅黑" w:eastAsia="微软雅黑"/>
          <w:sz w:val="28"/>
          <w:szCs w:val="28"/>
        </w:rPr>
        <w:t>提升</w:t>
      </w:r>
      <w:r>
        <w:rPr>
          <w:rFonts w:ascii="微软雅黑" w:hAnsi="微软雅黑" w:eastAsia="微软雅黑"/>
          <w:sz w:val="28"/>
          <w:szCs w:val="28"/>
        </w:rPr>
        <w:t>和</w:t>
      </w:r>
      <w:r>
        <w:rPr>
          <w:rFonts w:hint="eastAsia" w:ascii="微软雅黑" w:hAnsi="微软雅黑" w:eastAsia="微软雅黑"/>
          <w:sz w:val="28"/>
          <w:szCs w:val="28"/>
        </w:rPr>
        <w:t>景观再塑、历史文化保护与</w:t>
      </w:r>
      <w:r>
        <w:rPr>
          <w:rFonts w:ascii="微软雅黑" w:hAnsi="微软雅黑" w:eastAsia="微软雅黑"/>
          <w:sz w:val="28"/>
          <w:szCs w:val="28"/>
        </w:rPr>
        <w:t>传承</w:t>
      </w:r>
      <w:r>
        <w:rPr>
          <w:rFonts w:hint="eastAsia" w:ascii="微软雅黑" w:hAnsi="微软雅黑" w:eastAsia="微软雅黑"/>
          <w:sz w:val="28"/>
          <w:szCs w:val="28"/>
        </w:rPr>
        <w:t>发展</w:t>
      </w:r>
      <w:r>
        <w:rPr>
          <w:rFonts w:ascii="微软雅黑" w:hAnsi="微软雅黑" w:eastAsia="微软雅黑"/>
          <w:sz w:val="28"/>
          <w:szCs w:val="28"/>
        </w:rPr>
        <w:t>。</w:t>
      </w:r>
    </w:p>
    <w:p w14:paraId="5C12DB5C">
      <w:pPr>
        <w:ind w:firstLine="560" w:firstLineChars="200"/>
        <w:jc w:val="left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（五）产业导入</w:t>
      </w:r>
      <w:r>
        <w:rPr>
          <w:rFonts w:ascii="微软雅黑" w:hAnsi="微软雅黑" w:eastAsia="微软雅黑"/>
          <w:b/>
          <w:bCs/>
          <w:sz w:val="28"/>
          <w:szCs w:val="28"/>
        </w:rPr>
        <w:t>——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助力产业集聚发展，加速推动产业转移承接</w:t>
      </w:r>
    </w:p>
    <w:p w14:paraId="7AF9CBF8"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加速推动深圳外溢产业落户火炬开发区助推智能家电、电子信息、装备制造、健康医药等战略性支柱产业集群的培育。计划开展产业导入项目16个，涉及万亩农业科技产业园、双新特色科技产业研发制造基地、光电科技园、湾区光谷产业园、邻里中心、湾区药谷医药科技加速器、电子元器件研发及产业化项目、斯坦利斯金属年产20万吨精密光轴项目等多个产业项目及配套设施的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3E"/>
    <w:rsid w:val="00021FE5"/>
    <w:rsid w:val="000234F1"/>
    <w:rsid w:val="00047EC1"/>
    <w:rsid w:val="0006485C"/>
    <w:rsid w:val="000876B0"/>
    <w:rsid w:val="000935B1"/>
    <w:rsid w:val="000B5778"/>
    <w:rsid w:val="000B5887"/>
    <w:rsid w:val="000C5F05"/>
    <w:rsid w:val="000E7A25"/>
    <w:rsid w:val="00116532"/>
    <w:rsid w:val="00132CC3"/>
    <w:rsid w:val="00137676"/>
    <w:rsid w:val="00137B6D"/>
    <w:rsid w:val="00142552"/>
    <w:rsid w:val="00152CF7"/>
    <w:rsid w:val="00164E7D"/>
    <w:rsid w:val="001A773C"/>
    <w:rsid w:val="001A7773"/>
    <w:rsid w:val="001C1831"/>
    <w:rsid w:val="001C7FB6"/>
    <w:rsid w:val="001D5B2B"/>
    <w:rsid w:val="001E1E4A"/>
    <w:rsid w:val="001E4B0B"/>
    <w:rsid w:val="001F0554"/>
    <w:rsid w:val="0022031B"/>
    <w:rsid w:val="00220C3D"/>
    <w:rsid w:val="0022760A"/>
    <w:rsid w:val="00232F64"/>
    <w:rsid w:val="002408B3"/>
    <w:rsid w:val="00273C52"/>
    <w:rsid w:val="002875A6"/>
    <w:rsid w:val="002913DB"/>
    <w:rsid w:val="002A284D"/>
    <w:rsid w:val="002B1926"/>
    <w:rsid w:val="002B1B0A"/>
    <w:rsid w:val="002E22FE"/>
    <w:rsid w:val="002F2CD2"/>
    <w:rsid w:val="002F2F10"/>
    <w:rsid w:val="00305A2E"/>
    <w:rsid w:val="003136D2"/>
    <w:rsid w:val="00314861"/>
    <w:rsid w:val="00322E4E"/>
    <w:rsid w:val="00330666"/>
    <w:rsid w:val="00355A82"/>
    <w:rsid w:val="00356550"/>
    <w:rsid w:val="0035699E"/>
    <w:rsid w:val="00377F01"/>
    <w:rsid w:val="00387368"/>
    <w:rsid w:val="0039630C"/>
    <w:rsid w:val="003C1809"/>
    <w:rsid w:val="003C22F1"/>
    <w:rsid w:val="003C3D3A"/>
    <w:rsid w:val="003C61E1"/>
    <w:rsid w:val="003D3664"/>
    <w:rsid w:val="003E0552"/>
    <w:rsid w:val="0040492A"/>
    <w:rsid w:val="00411A3F"/>
    <w:rsid w:val="00425E85"/>
    <w:rsid w:val="004347E7"/>
    <w:rsid w:val="004354A0"/>
    <w:rsid w:val="004505AB"/>
    <w:rsid w:val="00461963"/>
    <w:rsid w:val="0046400A"/>
    <w:rsid w:val="004719D4"/>
    <w:rsid w:val="00486679"/>
    <w:rsid w:val="004E0130"/>
    <w:rsid w:val="00531AA1"/>
    <w:rsid w:val="00533128"/>
    <w:rsid w:val="0053737E"/>
    <w:rsid w:val="00540B42"/>
    <w:rsid w:val="005755A0"/>
    <w:rsid w:val="005A7EEC"/>
    <w:rsid w:val="005C6A75"/>
    <w:rsid w:val="005D1CF4"/>
    <w:rsid w:val="005D37C3"/>
    <w:rsid w:val="005E68AE"/>
    <w:rsid w:val="005E7D3E"/>
    <w:rsid w:val="006058B2"/>
    <w:rsid w:val="00610D22"/>
    <w:rsid w:val="0062564B"/>
    <w:rsid w:val="00635389"/>
    <w:rsid w:val="00643285"/>
    <w:rsid w:val="006462F9"/>
    <w:rsid w:val="006567AC"/>
    <w:rsid w:val="00673331"/>
    <w:rsid w:val="006748FA"/>
    <w:rsid w:val="00674F59"/>
    <w:rsid w:val="006B3937"/>
    <w:rsid w:val="006B5139"/>
    <w:rsid w:val="006C37DA"/>
    <w:rsid w:val="006F0C9A"/>
    <w:rsid w:val="006F6276"/>
    <w:rsid w:val="006F7F59"/>
    <w:rsid w:val="00704FE8"/>
    <w:rsid w:val="007221C4"/>
    <w:rsid w:val="007378BC"/>
    <w:rsid w:val="00750B82"/>
    <w:rsid w:val="00777982"/>
    <w:rsid w:val="0078065D"/>
    <w:rsid w:val="007B0879"/>
    <w:rsid w:val="007C3CA8"/>
    <w:rsid w:val="007D38BF"/>
    <w:rsid w:val="007F3043"/>
    <w:rsid w:val="00821F45"/>
    <w:rsid w:val="00822A09"/>
    <w:rsid w:val="0082430D"/>
    <w:rsid w:val="00827BD0"/>
    <w:rsid w:val="00835154"/>
    <w:rsid w:val="008432DD"/>
    <w:rsid w:val="00844E20"/>
    <w:rsid w:val="00852CF3"/>
    <w:rsid w:val="00872EEA"/>
    <w:rsid w:val="00882E01"/>
    <w:rsid w:val="008A2A75"/>
    <w:rsid w:val="008A6AEF"/>
    <w:rsid w:val="008D19FC"/>
    <w:rsid w:val="008D5128"/>
    <w:rsid w:val="008D6D6A"/>
    <w:rsid w:val="008D6DD6"/>
    <w:rsid w:val="00901C5D"/>
    <w:rsid w:val="00902E3B"/>
    <w:rsid w:val="00911147"/>
    <w:rsid w:val="00932721"/>
    <w:rsid w:val="00953220"/>
    <w:rsid w:val="00957238"/>
    <w:rsid w:val="00962F12"/>
    <w:rsid w:val="009A40BB"/>
    <w:rsid w:val="009B38B2"/>
    <w:rsid w:val="009D31A9"/>
    <w:rsid w:val="009E7BB2"/>
    <w:rsid w:val="009F0138"/>
    <w:rsid w:val="009F13AA"/>
    <w:rsid w:val="009F62E2"/>
    <w:rsid w:val="00A316A9"/>
    <w:rsid w:val="00A46075"/>
    <w:rsid w:val="00A52B10"/>
    <w:rsid w:val="00A55DA7"/>
    <w:rsid w:val="00A57F01"/>
    <w:rsid w:val="00A63BA3"/>
    <w:rsid w:val="00AB785B"/>
    <w:rsid w:val="00AD280A"/>
    <w:rsid w:val="00AE0996"/>
    <w:rsid w:val="00AE0F91"/>
    <w:rsid w:val="00AE69FC"/>
    <w:rsid w:val="00B06D63"/>
    <w:rsid w:val="00B167A6"/>
    <w:rsid w:val="00B210C4"/>
    <w:rsid w:val="00B25622"/>
    <w:rsid w:val="00B42BE2"/>
    <w:rsid w:val="00B44569"/>
    <w:rsid w:val="00B55F2D"/>
    <w:rsid w:val="00B654FF"/>
    <w:rsid w:val="00B72F78"/>
    <w:rsid w:val="00B96751"/>
    <w:rsid w:val="00BC1FB7"/>
    <w:rsid w:val="00BE0836"/>
    <w:rsid w:val="00BE71AD"/>
    <w:rsid w:val="00BF78EF"/>
    <w:rsid w:val="00C00FFA"/>
    <w:rsid w:val="00C06FF3"/>
    <w:rsid w:val="00C1135E"/>
    <w:rsid w:val="00C15084"/>
    <w:rsid w:val="00C64BF2"/>
    <w:rsid w:val="00C90E57"/>
    <w:rsid w:val="00CA6B98"/>
    <w:rsid w:val="00CC0E34"/>
    <w:rsid w:val="00CC1AD4"/>
    <w:rsid w:val="00D00417"/>
    <w:rsid w:val="00D463C6"/>
    <w:rsid w:val="00D54A96"/>
    <w:rsid w:val="00D73B76"/>
    <w:rsid w:val="00DA495B"/>
    <w:rsid w:val="00DD11E9"/>
    <w:rsid w:val="00DD1350"/>
    <w:rsid w:val="00DE31AE"/>
    <w:rsid w:val="00DE38EE"/>
    <w:rsid w:val="00E308BE"/>
    <w:rsid w:val="00E37DA2"/>
    <w:rsid w:val="00E6337B"/>
    <w:rsid w:val="00E9319B"/>
    <w:rsid w:val="00E94DF5"/>
    <w:rsid w:val="00E9728A"/>
    <w:rsid w:val="00EA2BFE"/>
    <w:rsid w:val="00EC62B5"/>
    <w:rsid w:val="00EF33FE"/>
    <w:rsid w:val="00EF7494"/>
    <w:rsid w:val="00F12480"/>
    <w:rsid w:val="00F63E6F"/>
    <w:rsid w:val="00F706A7"/>
    <w:rsid w:val="00F74F09"/>
    <w:rsid w:val="00F76B90"/>
    <w:rsid w:val="00F8218A"/>
    <w:rsid w:val="00F8492F"/>
    <w:rsid w:val="00FA0999"/>
    <w:rsid w:val="00FA2F2E"/>
    <w:rsid w:val="00FC27DA"/>
    <w:rsid w:val="00FE678A"/>
    <w:rsid w:val="3D2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autoRedefine/>
    <w:qFormat/>
    <w:uiPriority w:val="1"/>
    <w:pPr>
      <w:autoSpaceDE w:val="0"/>
      <w:autoSpaceDN w:val="0"/>
      <w:spacing w:before="3"/>
      <w:ind w:left="120" w:right="237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00技术1级"/>
    <w:basedOn w:val="2"/>
    <w:link w:val="9"/>
    <w:qFormat/>
    <w:uiPriority w:val="0"/>
    <w:pPr>
      <w:widowControl/>
      <w:spacing w:line="240" w:lineRule="auto"/>
      <w:jc w:val="left"/>
    </w:pPr>
    <w:rPr>
      <w:rFonts w:ascii="微软雅黑" w:hAnsi="微软雅黑" w:eastAsia="微软雅黑" w:cs="Times New Roman"/>
      <w:kern w:val="0"/>
    </w:rPr>
  </w:style>
  <w:style w:type="character" w:customStyle="1" w:styleId="9">
    <w:name w:val="00技术1级 Char"/>
    <w:basedOn w:val="7"/>
    <w:link w:val="8"/>
    <w:uiPriority w:val="0"/>
    <w:rPr>
      <w:rFonts w:ascii="微软雅黑" w:hAnsi="微软雅黑" w:eastAsia="微软雅黑" w:cs="Times New Roman"/>
      <w:b/>
      <w:bCs/>
      <w:kern w:val="0"/>
      <w:sz w:val="32"/>
      <w:szCs w:val="32"/>
    </w:rPr>
  </w:style>
  <w:style w:type="character" w:customStyle="1" w:styleId="10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1">
    <w:name w:val="00技术2级"/>
    <w:basedOn w:val="1"/>
    <w:link w:val="12"/>
    <w:qFormat/>
    <w:uiPriority w:val="0"/>
    <w:pPr>
      <w:spacing w:line="560" w:lineRule="exact"/>
      <w:ind w:firstLine="561"/>
      <w:jc w:val="right"/>
    </w:pPr>
    <w:rPr>
      <w:rFonts w:ascii="微软雅黑" w:hAnsi="微软雅黑" w:eastAsia="微软雅黑" w:cs="Times New Roman"/>
      <w:b/>
      <w:bCs/>
      <w:sz w:val="44"/>
      <w:szCs w:val="44"/>
    </w:rPr>
  </w:style>
  <w:style w:type="character" w:customStyle="1" w:styleId="12">
    <w:name w:val="00技术2级 Char"/>
    <w:link w:val="11"/>
    <w:uiPriority w:val="0"/>
    <w:rPr>
      <w:rFonts w:ascii="微软雅黑" w:hAnsi="微软雅黑" w:eastAsia="微软雅黑" w:cs="Times New Roman"/>
      <w:b/>
      <w:bCs/>
      <w:sz w:val="44"/>
      <w:szCs w:val="44"/>
    </w:rPr>
  </w:style>
  <w:style w:type="paragraph" w:customStyle="1" w:styleId="13">
    <w:name w:val="00商务1级"/>
    <w:basedOn w:val="2"/>
    <w:link w:val="14"/>
    <w:qFormat/>
    <w:uiPriority w:val="0"/>
    <w:pPr>
      <w:jc w:val="center"/>
    </w:pPr>
    <w:rPr>
      <w:rFonts w:ascii="Times New Roman" w:hAnsi="Times New Roman" w:eastAsia="宋体" w:cs="Times New Roman"/>
      <w:sz w:val="44"/>
      <w:szCs w:val="44"/>
    </w:rPr>
  </w:style>
  <w:style w:type="character" w:customStyle="1" w:styleId="14">
    <w:name w:val="00商务1级 Char"/>
    <w:link w:val="13"/>
    <w:uiPriority w:val="0"/>
    <w:rPr>
      <w:rFonts w:ascii="Times New Roman" w:hAnsi="Times New Roman" w:eastAsia="宋体" w:cs="Times New Roman"/>
      <w:b/>
      <w:bCs/>
      <w:sz w:val="44"/>
      <w:szCs w:val="44"/>
    </w:rPr>
  </w:style>
  <w:style w:type="paragraph" w:customStyle="1" w:styleId="15">
    <w:name w:val="00商务2级"/>
    <w:basedOn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6">
    <w:name w:val="00商务2级 Char"/>
    <w:link w:val="15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7">
    <w:name w:val="00标题1"/>
    <w:basedOn w:val="1"/>
    <w:qFormat/>
    <w:uiPriority w:val="0"/>
    <w:pPr>
      <w:spacing w:before="156" w:beforeLines="50" w:line="0" w:lineRule="atLeast"/>
      <w:ind w:hanging="142"/>
      <w:jc w:val="left"/>
    </w:pPr>
    <w:rPr>
      <w:rFonts w:ascii="微软雅黑" w:hAnsi="微软雅黑" w:eastAsia="微软雅黑" w:cs="Times New Roman"/>
      <w:b/>
      <w:sz w:val="36"/>
      <w:szCs w:val="36"/>
    </w:rPr>
  </w:style>
  <w:style w:type="paragraph" w:customStyle="1" w:styleId="18">
    <w:name w:val="00标题2"/>
    <w:basedOn w:val="1"/>
    <w:qFormat/>
    <w:uiPriority w:val="0"/>
    <w:pPr>
      <w:spacing w:line="360" w:lineRule="auto"/>
      <w:jc w:val="left"/>
      <w:outlineLvl w:val="2"/>
    </w:pPr>
    <w:rPr>
      <w:rFonts w:ascii="微软雅黑" w:hAnsi="微软雅黑" w:eastAsia="微软雅黑" w:cs="Times New Roman"/>
      <w:b/>
      <w:sz w:val="30"/>
      <w:szCs w:val="30"/>
    </w:rPr>
  </w:style>
  <w:style w:type="paragraph" w:customStyle="1" w:styleId="19">
    <w:name w:val="00标题3"/>
    <w:basedOn w:val="1"/>
    <w:next w:val="1"/>
    <w:qFormat/>
    <w:uiPriority w:val="0"/>
    <w:pPr>
      <w:keepNext/>
      <w:keepLines/>
      <w:spacing w:before="156" w:beforeLines="50" w:line="360" w:lineRule="auto"/>
      <w:outlineLvl w:val="4"/>
    </w:pPr>
    <w:rPr>
      <w:rFonts w:ascii="微软雅黑" w:hAnsi="微软雅黑" w:eastAsia="微软雅黑" w:cs="Times New Roman"/>
      <w:b/>
      <w:bCs/>
      <w:kern w:val="24"/>
      <w:sz w:val="28"/>
      <w:szCs w:val="30"/>
    </w:rPr>
  </w:style>
  <w:style w:type="paragraph" w:customStyle="1" w:styleId="20">
    <w:name w:val="00标题4"/>
    <w:basedOn w:val="1"/>
    <w:qFormat/>
    <w:uiPriority w:val="0"/>
    <w:pPr>
      <w:keepNext/>
      <w:keepLines/>
      <w:tabs>
        <w:tab w:val="left" w:pos="567"/>
      </w:tabs>
      <w:spacing w:before="120" w:after="64" w:line="316" w:lineRule="auto"/>
      <w:outlineLvl w:val="6"/>
    </w:pPr>
    <w:rPr>
      <w:rFonts w:ascii="微软雅黑" w:hAnsi="微软雅黑" w:eastAsia="微软雅黑" w:cs="Times New Roman"/>
      <w:b/>
      <w:color w:val="38759E"/>
      <w:kern w:val="24"/>
      <w:sz w:val="24"/>
      <w:szCs w:val="3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7"/>
    <w:link w:val="5"/>
    <w:uiPriority w:val="99"/>
    <w:rPr>
      <w:sz w:val="18"/>
      <w:szCs w:val="18"/>
    </w:rPr>
  </w:style>
  <w:style w:type="character" w:customStyle="1" w:styleId="23">
    <w:name w:val="页脚 字符"/>
    <w:basedOn w:val="7"/>
    <w:link w:val="4"/>
    <w:uiPriority w:val="99"/>
    <w:rPr>
      <w:sz w:val="18"/>
      <w:szCs w:val="18"/>
    </w:rPr>
  </w:style>
  <w:style w:type="character" w:customStyle="1" w:styleId="24">
    <w:name w:val="正文文本 字符"/>
    <w:basedOn w:val="7"/>
    <w:link w:val="3"/>
    <w:qFormat/>
    <w:uiPriority w:val="1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1602</Characters>
  <Lines>13</Lines>
  <Paragraphs>3</Paragraphs>
  <TotalTime>0</TotalTime>
  <ScaleCrop>false</ScaleCrop>
  <LinksUpToDate>false</LinksUpToDate>
  <CharactersWithSpaces>1880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2024-11-07T11:23:00Z</dcterms:created>
  <dc:creator>Windows 用户</dc:creator>
  <cp:lastModifiedBy>陈淑霞</cp:lastModifiedBy>
  <dcterms:modified xsi:type="dcterms:W3CDTF">2025-10-21T09:23:23Z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3851316CDB6542CB9677C7B2705B3AC8_12</vt:lpwstr>
  </property>
</Properties>
</file>