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383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  <w:t>中山市2021年度土地征收成片开发方案</w:t>
      </w:r>
    </w:p>
    <w:p w14:paraId="6063B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  <w:t>（第二批）（南区街道第二次调整）</w:t>
      </w:r>
    </w:p>
    <w:p w14:paraId="45359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  <w:t>草案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  <w:t>（公示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  <w:t>稿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  <w:lang w:val="en-US" w:eastAsia="zh-CN" w:bidi="ar-SA"/>
        </w:rPr>
        <w:t>）</w:t>
      </w:r>
    </w:p>
    <w:p w14:paraId="203EC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一、编制依据</w:t>
      </w:r>
    </w:p>
    <w:p w14:paraId="7A542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依据《中华人民共和国土地管理法》（2019年修正）《自然资源部关于印发〈土地征收成片开发标准〉的通知》（自然资规〔2023〕7号）《广东省自然资源厅关于进一步规范土地征收成片开发工作的通知》（粤自然资规字〔2024〕7号）等文件要求，根据相关工作部署，中山市人民政府南区街道办事处组织编制《〈中山市2021年度土地征收成片开发方案（第二批）〉（南区街道第二次调整）》（以下简称《第二次调整方案》），指导后续土地征收和报批工作。</w:t>
      </w:r>
    </w:p>
    <w:p w14:paraId="4317C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二、基本情况</w:t>
      </w:r>
    </w:p>
    <w:p w14:paraId="22F0A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eastAsia="仿宋_GB2312"/>
          <w:b/>
          <w:bCs/>
          <w:sz w:val="24"/>
        </w:rPr>
      </w:pP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本次调整对象为《中山市2021年度土地征收成片开发方案（第二批）调整方案》中南区街道NQ03地块。调整后，南区街道土地征收成片开发地块共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三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块（地块编号为NQ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01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~NQ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03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），位于中山市南区街道良都社区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、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马岭社区和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北溪社区，总面积为109.2537公顷，拟征收土地面积为82.9515公顷，占成片开发总面积的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75.93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%。详细信息见下表。</w:t>
      </w:r>
    </w:p>
    <w:p w14:paraId="1E52D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jc w:val="center"/>
        <w:textAlignment w:val="auto"/>
        <w:rPr>
          <w:rFonts w:hint="default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default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表1  成片开发</w:t>
      </w: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地块</w:t>
      </w:r>
      <w:r>
        <w:rPr>
          <w:rFonts w:hint="default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信息一览表</w:t>
      </w:r>
    </w:p>
    <w:p w14:paraId="3FFC3849">
      <w:pPr>
        <w:pStyle w:val="3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00" w:lineRule="exact"/>
        <w:jc w:val="right"/>
        <w:textAlignment w:val="auto"/>
        <w:rPr>
          <w:rFonts w:hint="default" w:ascii="仿宋_GB2312" w:hAnsi="宋体" w:eastAsia="仿宋_GB2312" w:cs="Times New Roman"/>
          <w:b w:val="0"/>
          <w:bCs/>
          <w:snapToGrid w:val="0"/>
          <w:spacing w:val="6"/>
          <w:kern w:val="32"/>
          <w:sz w:val="24"/>
          <w:szCs w:val="24"/>
          <w:lang w:val="en-US" w:eastAsia="zh-CN" w:bidi="ar"/>
        </w:rPr>
      </w:pPr>
      <w:r>
        <w:rPr>
          <w:rFonts w:hint="eastAsia" w:ascii="仿宋_GB2312" w:hAnsi="宋体" w:eastAsia="仿宋_GB2312" w:cs="Times New Roman"/>
          <w:b w:val="0"/>
          <w:bCs/>
          <w:snapToGrid w:val="0"/>
          <w:spacing w:val="6"/>
          <w:kern w:val="32"/>
          <w:sz w:val="24"/>
          <w:szCs w:val="24"/>
          <w:lang w:val="en-US" w:eastAsia="zh-CN" w:bidi="ar"/>
        </w:rPr>
        <w:t>单位：公顷  %</w:t>
      </w:r>
    </w:p>
    <w:tbl>
      <w:tblPr>
        <w:tblStyle w:val="9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1730"/>
        <w:gridCol w:w="1392"/>
        <w:gridCol w:w="1358"/>
        <w:gridCol w:w="1273"/>
        <w:gridCol w:w="1554"/>
      </w:tblGrid>
      <w:tr w14:paraId="2BD32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FF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成片开发地块编号</w:t>
            </w:r>
          </w:p>
        </w:tc>
        <w:tc>
          <w:tcPr>
            <w:tcW w:w="10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D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成片开发地块名称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1B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所在社区（村）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54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成片开发地块面积</w:t>
            </w:r>
          </w:p>
        </w:tc>
        <w:tc>
          <w:tcPr>
            <w:tcW w:w="7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53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拟征收土地面积</w:t>
            </w:r>
          </w:p>
        </w:tc>
        <w:tc>
          <w:tcPr>
            <w:tcW w:w="9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A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征收土地占比</w:t>
            </w:r>
          </w:p>
        </w:tc>
      </w:tr>
      <w:tr w14:paraId="277A0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A3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NQ01</w:t>
            </w:r>
          </w:p>
        </w:tc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72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旗山地块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F3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良都社区</w:t>
            </w: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E57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1.7756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06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1.0768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22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60.64</w:t>
            </w:r>
          </w:p>
        </w:tc>
      </w:tr>
      <w:tr w14:paraId="63C78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4D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NQ02</w:t>
            </w:r>
          </w:p>
        </w:tc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C3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河浦地块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28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良都社区、马岭社区</w:t>
            </w: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43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14.2218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94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 xml:space="preserve">9.2470 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87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65.02</w:t>
            </w:r>
          </w:p>
        </w:tc>
      </w:tr>
      <w:tr w14:paraId="46BA8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04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NQ03</w:t>
            </w:r>
          </w:p>
        </w:tc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95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树涌工业园地块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5F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北溪社区</w:t>
            </w: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8B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93.2563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76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72.6277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D0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77.88</w:t>
            </w:r>
          </w:p>
        </w:tc>
      </w:tr>
      <w:tr w14:paraId="7CABA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54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57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A8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109.2537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3C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82.9515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1E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75.93</w:t>
            </w:r>
          </w:p>
        </w:tc>
      </w:tr>
    </w:tbl>
    <w:p w14:paraId="42346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三、成片开发条件分析</w:t>
      </w:r>
    </w:p>
    <w:p w14:paraId="04744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textAlignment w:val="auto"/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（一）必要性分析</w:t>
      </w:r>
    </w:p>
    <w:p w14:paraId="15CFC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本次成片开发是落实中山市国民经济和社会发展第十四个五年规划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、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保障重点项目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落地的需要，能有效推进区域成片开发建设、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优化功能布局，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强化片区产业功能等积极意义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。</w:t>
      </w:r>
    </w:p>
    <w:p w14:paraId="252EE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textAlignment w:val="auto"/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（二）合规性分析</w:t>
      </w:r>
    </w:p>
    <w:p w14:paraId="120E87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本次成片开发地块不涉及占用永久基本农田和生态保护红线，片区公益性用地整体比例在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30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%以上。本次土地征收成片开发方案符合国民经济和社会发展规划、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国土空间总体规划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和专项规划，能够促进经济社会可持续发展。</w:t>
      </w:r>
    </w:p>
    <w:p w14:paraId="6DE4E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default" w:ascii="黑体" w:hAnsi="黑体" w:eastAsia="黑体" w:cs="黑体"/>
          <w:b w:val="0"/>
          <w:bCs w:val="0"/>
          <w:sz w:val="32"/>
          <w:szCs w:val="32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</w:rPr>
        <w:t>四、拟安排项目及实施计划</w:t>
      </w:r>
    </w:p>
    <w:p w14:paraId="368503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本方案由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3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个成片开发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地块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组成，总面积为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109.2537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公顷。根据开发建设计划、被征地单位意愿、征地资金、土地审批信息等因素，综合分析论证后制定拟建项目开发时序为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3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年，即202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2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年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、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202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3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年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、2027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年。</w:t>
      </w:r>
    </w:p>
    <w:p w14:paraId="16F99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jc w:val="center"/>
        <w:textAlignment w:val="auto"/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表2  成片开发项目一览表</w:t>
      </w:r>
    </w:p>
    <w:p w14:paraId="45ED17C1">
      <w:pPr>
        <w:pStyle w:val="3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00" w:lineRule="exact"/>
        <w:jc w:val="right"/>
        <w:textAlignment w:val="auto"/>
        <w:rPr>
          <w:rFonts w:hint="eastAsia" w:eastAsia="仿宋_GB2312"/>
          <w:kern w:val="2"/>
          <w:sz w:val="24"/>
          <w:szCs w:val="24"/>
          <w:lang w:val="en-US" w:eastAsia="zh-CN"/>
        </w:rPr>
      </w:pPr>
      <w:r>
        <w:rPr>
          <w:rFonts w:hint="eastAsia" w:ascii="仿宋_GB2312" w:hAnsi="宋体" w:eastAsia="仿宋_GB2312" w:cs="Times New Roman"/>
          <w:b w:val="0"/>
          <w:bCs/>
          <w:snapToGrid w:val="0"/>
          <w:spacing w:val="6"/>
          <w:kern w:val="32"/>
          <w:sz w:val="24"/>
          <w:szCs w:val="24"/>
          <w:lang w:val="en-US" w:eastAsia="zh-CN" w:bidi="ar"/>
        </w:rPr>
        <w:t>单</w:t>
      </w:r>
      <w:r>
        <w:rPr>
          <w:rFonts w:hint="eastAsia" w:ascii="仿宋_GB2312" w:hAnsi="宋体" w:eastAsia="仿宋_GB2312" w:cs="Times New Roman"/>
          <w:b w:val="0"/>
          <w:bCs/>
          <w:snapToGrid w:val="0"/>
          <w:spacing w:val="6"/>
          <w:kern w:val="32"/>
          <w:sz w:val="24"/>
          <w:szCs w:val="24"/>
          <w:lang w:val="en-US" w:eastAsia="zh-CN" w:bidi="ar"/>
        </w:rPr>
        <w:t>位：公顷  %</w:t>
      </w:r>
    </w:p>
    <w:tbl>
      <w:tblPr>
        <w:tblStyle w:val="9"/>
        <w:tblW w:w="498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767"/>
        <w:gridCol w:w="885"/>
        <w:gridCol w:w="930"/>
        <w:gridCol w:w="952"/>
        <w:gridCol w:w="1515"/>
        <w:gridCol w:w="953"/>
        <w:gridCol w:w="934"/>
        <w:gridCol w:w="818"/>
      </w:tblGrid>
      <w:tr w14:paraId="38008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4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62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成片开发地块编号</w:t>
            </w:r>
          </w:p>
        </w:tc>
        <w:tc>
          <w:tcPr>
            <w:tcW w:w="45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4B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地块名称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B7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拟安排项目名称</w:t>
            </w: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C1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成片开发范围面积</w:t>
            </w:r>
          </w:p>
        </w:tc>
        <w:tc>
          <w:tcPr>
            <w:tcW w:w="9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6F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拟征收地块面积</w:t>
            </w:r>
          </w:p>
        </w:tc>
        <w:tc>
          <w:tcPr>
            <w:tcW w:w="89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CC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主要用途</w:t>
            </w:r>
          </w:p>
        </w:tc>
        <w:tc>
          <w:tcPr>
            <w:tcW w:w="1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38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取得批文</w:t>
            </w:r>
          </w:p>
        </w:tc>
      </w:tr>
      <w:tr w14:paraId="6FFF6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4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47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4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7D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2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7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CC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A4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9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3E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17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2022年</w:t>
            </w:r>
          </w:p>
        </w:tc>
        <w:tc>
          <w:tcPr>
            <w:tcW w:w="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DA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2023年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87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2027年</w:t>
            </w:r>
          </w:p>
        </w:tc>
      </w:tr>
      <w:tr w14:paraId="7BC7A6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4D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NQ01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979F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旗山地块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DD1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高品质生活居住区项目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D8E0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1.7756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0CA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1.0768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B3C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二类居住用地、防护绿地、城市道路用地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BE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0.7626</w:t>
            </w:r>
          </w:p>
        </w:tc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280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0.3142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98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0</w:t>
            </w:r>
          </w:p>
        </w:tc>
      </w:tr>
      <w:tr w14:paraId="14EF4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3E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NQ02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253E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河浦地块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AF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电梯产业基地重点发展区项目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0FD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14.2218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706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9.247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F02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一类工业用地、城市道路用地、防护绿地、公园绿地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74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1B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9.247</w:t>
            </w: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CC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0</w:t>
            </w:r>
          </w:p>
        </w:tc>
      </w:tr>
      <w:tr w14:paraId="55F38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898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NQ03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BF9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树涌工业园地块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8C0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先进智能制造园项目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10A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93.2563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417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72.6277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0E1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一类工业用地、商业用地、体育用地、文化用地、公园绿地、防护绿地、城市道路用地、供电用地、消防用地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38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9.8837</w:t>
            </w:r>
          </w:p>
        </w:tc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0A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60.1709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D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2.5731</w:t>
            </w:r>
          </w:p>
        </w:tc>
      </w:tr>
      <w:tr w14:paraId="37732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0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378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4B7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109.2537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97B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82.9515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34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——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B3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10.6463</w:t>
            </w:r>
          </w:p>
        </w:tc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12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69.7321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7F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2.5731</w:t>
            </w:r>
          </w:p>
        </w:tc>
      </w:tr>
    </w:tbl>
    <w:p w14:paraId="0D564E16">
      <w:pPr>
        <w:pStyle w:val="8"/>
        <w:rPr>
          <w:rFonts w:hint="default"/>
          <w:lang w:val="en-US" w:eastAsia="zh-CN"/>
        </w:rPr>
      </w:pPr>
    </w:p>
    <w:p w14:paraId="272EF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</w:rPr>
        <w:t>公益性用地情况</w:t>
      </w:r>
    </w:p>
    <w:p w14:paraId="41027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调整后，成片开发范围总计109.2537公顷，其中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105.4214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公顷位于城镇开发边界内，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3.8323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公顷位于城镇开发边界外。成片开发范围内公益性用地主要为城市道路用地、公园绿地等，公益性用地比例为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41.18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%，符合《广东省自然资源厅关于进一步规范土地征收成片开发工作的通知》（粤自然资规字〔2024〕7号）：在城镇开发边界内，广州、深圳、佛山、东莞市中心城区范围外其他地区公益性用地比例一般不低于30%，城镇开发边界外公益性用地比例不低于20%的要求。</w:t>
      </w:r>
    </w:p>
    <w:p w14:paraId="62C07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jc w:val="center"/>
        <w:textAlignment w:val="auto"/>
        <w:rPr>
          <w:rFonts w:hint="default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default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表</w:t>
      </w: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val="en-US" w:eastAsia="zh-CN" w:bidi="ar"/>
        </w:rPr>
        <w:t xml:space="preserve">3  </w:t>
      </w:r>
      <w:r>
        <w:rPr>
          <w:rFonts w:hint="default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公益性用地情况一览表</w:t>
      </w:r>
    </w:p>
    <w:p w14:paraId="71127651">
      <w:pPr>
        <w:pStyle w:val="3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00" w:lineRule="exact"/>
        <w:jc w:val="right"/>
        <w:textAlignment w:val="auto"/>
        <w:rPr>
          <w:rFonts w:hint="eastAsia" w:ascii="仿宋_GB2312" w:hAnsi="宋体" w:eastAsia="仿宋_GB2312" w:cs="Times New Roman"/>
          <w:b w:val="0"/>
          <w:bCs/>
          <w:snapToGrid w:val="0"/>
          <w:spacing w:val="6"/>
          <w:kern w:val="32"/>
          <w:sz w:val="24"/>
          <w:szCs w:val="24"/>
          <w:lang w:val="en-US" w:eastAsia="zh-CN" w:bidi="ar"/>
        </w:rPr>
      </w:pPr>
      <w:r>
        <w:rPr>
          <w:rFonts w:hint="eastAsia" w:ascii="仿宋_GB2312" w:hAnsi="宋体" w:eastAsia="仿宋_GB2312" w:cs="Times New Roman"/>
          <w:b w:val="0"/>
          <w:bCs/>
          <w:snapToGrid w:val="0"/>
          <w:spacing w:val="6"/>
          <w:kern w:val="32"/>
          <w:sz w:val="24"/>
          <w:szCs w:val="24"/>
          <w:lang w:val="en-US" w:eastAsia="zh-CN" w:bidi="ar"/>
        </w:rPr>
        <w:t>单位：公顷  %</w:t>
      </w:r>
    </w:p>
    <w:tbl>
      <w:tblPr>
        <w:tblStyle w:val="9"/>
        <w:tblW w:w="81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1140"/>
        <w:gridCol w:w="1224"/>
        <w:gridCol w:w="1154"/>
        <w:gridCol w:w="1148"/>
        <w:gridCol w:w="2304"/>
      </w:tblGrid>
      <w:tr w14:paraId="473A4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F1B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成片开发地块编号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B6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成片开发地块名称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2C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地块面积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6F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公益性用地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59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公益性用地比例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BA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公益性用地地类</w:t>
            </w:r>
          </w:p>
        </w:tc>
      </w:tr>
      <w:tr w14:paraId="6C91E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1A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45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旗山地块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A9B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1.7756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609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1.0127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129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57.03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CEB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防护绿地、城市道路用地</w:t>
            </w:r>
          </w:p>
        </w:tc>
      </w:tr>
      <w:tr w14:paraId="0F4202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82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48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河浦地块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C73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14.2218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186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5.9304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F7BF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41.7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9C97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城市道路用地、防护绿地、公园绿地</w:t>
            </w:r>
          </w:p>
        </w:tc>
      </w:tr>
      <w:tr w14:paraId="1476C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FF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NQ03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C0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树涌工业园地块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21C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93.2563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F57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38.0456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C88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40.8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7A53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体育用地、文化用地、公园绿地、防护绿地、城市道路用地、供电用地、消防用地</w:t>
            </w:r>
          </w:p>
        </w:tc>
      </w:tr>
      <w:tr w14:paraId="2DE0E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DB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273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109.2537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CD3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44.9887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763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41.18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AF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Times New Roman"/>
                <w:b w:val="0"/>
                <w:bCs/>
                <w:snapToGrid w:val="0"/>
                <w:spacing w:val="6"/>
                <w:kern w:val="32"/>
                <w:sz w:val="24"/>
                <w:szCs w:val="24"/>
                <w:lang w:val="en-US" w:eastAsia="zh-CN" w:bidi="ar"/>
              </w:rPr>
              <w:t>——</w:t>
            </w:r>
          </w:p>
        </w:tc>
      </w:tr>
    </w:tbl>
    <w:p w14:paraId="3272F6FD">
      <w:pPr>
        <w:jc w:val="center"/>
        <w:rPr>
          <w:rFonts w:hint="default" w:ascii="Times New Roman" w:hAnsi="Times New Roman" w:eastAsia="仿宋_GB2312" w:cs="Times New Roman"/>
          <w:b/>
          <w:bCs/>
          <w:szCs w:val="21"/>
        </w:rPr>
      </w:pPr>
    </w:p>
    <w:p w14:paraId="7FC0E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t>成片开发效益评估</w:t>
      </w:r>
    </w:p>
    <w:p w14:paraId="43D154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textAlignment w:val="auto"/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（一）土地利用效益评估</w:t>
      </w:r>
    </w:p>
    <w:p w14:paraId="093E8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通过土地征收成片开发，将有效推进用地节约集约利用，实现土地资源的合理配置。在布局优化方面，成片开发范围规划用地符合《中山市城市控制性详细规划实施办法》等相关要求，能够科学合理利用土地资源、优化区域功能布局。</w:t>
      </w:r>
    </w:p>
    <w:p w14:paraId="195A4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textAlignment w:val="auto"/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（二）经济效益评估</w:t>
      </w:r>
    </w:p>
    <w:p w14:paraId="6A86D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成片开发范围经济盈利能力和抗风险能力相对较强，预计可产生良好的经济效益。项目具有较强的辐射带动作用，能够与周边形成联动发展，促进规模化建设，推动经济社会高质量发展。</w:t>
      </w:r>
    </w:p>
    <w:p w14:paraId="673D7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6" w:firstLineChars="200"/>
        <w:textAlignment w:val="auto"/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/>
          <w:bCs w:val="0"/>
          <w:snapToGrid w:val="0"/>
          <w:spacing w:val="6"/>
          <w:kern w:val="32"/>
          <w:sz w:val="28"/>
          <w:szCs w:val="28"/>
          <w:lang w:eastAsia="zh-CN" w:bidi="ar"/>
        </w:rPr>
        <w:t>（三）社会效益评估</w:t>
      </w:r>
    </w:p>
    <w:p w14:paraId="5E476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1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.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公共产品供给</w:t>
      </w:r>
    </w:p>
    <w:p w14:paraId="344A9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在完善生活设施配套方面，成片开发范围内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城镇道路用地、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公园绿地等统筹建设，能够有效保障片区设施配套建设需求。</w:t>
      </w:r>
    </w:p>
    <w:p w14:paraId="09862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2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.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增加就业机会，吸引人口流入</w:t>
      </w:r>
    </w:p>
    <w:p w14:paraId="07373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通过工业产业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项目建设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，统筹促进经济发展和就业增长的良性互动，扩大就业容量，创造大量就业岗位，促进常住人口数量增长，增加政府财政税收，符合国民经济和社会发展规划的要求，保障城市开发建设科学有序地推进。</w:t>
      </w:r>
    </w:p>
    <w:p w14:paraId="50160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3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.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带动地方、社会经济发展</w:t>
      </w:r>
    </w:p>
    <w:p w14:paraId="18F87C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本次土地征收成片开发土地补偿费和安置补助费标准将按照《中山市人民政府关于公布实施征收农用地区片综合地价的公告》对被征地农民进行补偿。同时，区域基础设施配套提升完善，为城市提供了更多休憩、休闲空间，在带动社会经济发展中的作用越来越明显，能够使周边地区的地价及不动产升值，吸引投资，从而推动该区域的经济和社会发展。</w:t>
      </w:r>
    </w:p>
    <w:p w14:paraId="17528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（四）生态效益评估</w:t>
      </w:r>
    </w:p>
    <w:p w14:paraId="7254E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本次土地征收成片开发范围不涉及永久基本农田、自然保护区、森林公园、地质公园、列入省级以上保护名录的野生动植物栖息地、水源保护区核心区、蓄滞洪区、地质灾害易发区等相关区域，且开发过程不会对大气、水等环境造成显著负面影响。综合考虑本次土地征收成片开发方案对生态环境影响较小。</w:t>
      </w:r>
    </w:p>
    <w:p w14:paraId="43F12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line="336" w:lineRule="auto"/>
        <w:ind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七、结论</w:t>
      </w:r>
    </w:p>
    <w:p w14:paraId="5CE8F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《中山市2021年度土地征收成片开发方案（第二批）（南区街道第二次调整）》符合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《自然资源部关于印发&lt;土地征收成片开发标准&gt;的通知》（自然资规〔2023〕7号）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以及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《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广东省自然资源厅关于进一步规范土地征收成片开发工作的通知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》（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粤自然资规字〔2024〕7号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）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等相关文件的要求，对完善城市建设、促进区域经济和社会发展均具有积极意义。</w:t>
      </w:r>
    </w:p>
    <w:p w14:paraId="22B91B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</w:p>
    <w:p w14:paraId="1C020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附图：</w:t>
      </w:r>
      <w:bookmarkStart w:id="0" w:name="_GoBack"/>
      <w:bookmarkEnd w:id="0"/>
    </w:p>
    <w:p w14:paraId="18C28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1.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  <w:t>中山市南区街道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土地征收成片开发范围位置示意图（调整后）</w:t>
      </w:r>
    </w:p>
    <w:p w14:paraId="517358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84" w:firstLineChars="200"/>
        <w:textAlignment w:val="auto"/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eastAsia="zh-CN" w:bidi="ar"/>
        </w:rPr>
      </w:pP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2.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中山市</w:t>
      </w:r>
      <w:r>
        <w:rPr>
          <w:rFonts w:hint="eastAsia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南区街道</w:t>
      </w:r>
      <w:r>
        <w:rPr>
          <w:rFonts w:hint="default" w:ascii="仿宋_GB2312" w:hAnsi="宋体" w:eastAsia="仿宋_GB2312" w:cs="Times New Roman"/>
          <w:bCs/>
          <w:snapToGrid w:val="0"/>
          <w:spacing w:val="6"/>
          <w:kern w:val="32"/>
          <w:sz w:val="28"/>
          <w:szCs w:val="28"/>
          <w:lang w:val="en-US" w:eastAsia="zh-CN" w:bidi="ar"/>
        </w:rPr>
        <w:t>土地征收成片开发范围开发时序图（调整后）</w:t>
      </w:r>
    </w:p>
    <w:p w14:paraId="0703423F">
      <w:pPr>
        <w:spacing w:beforeLines="0" w:afterLines="0" w:line="360" w:lineRule="auto"/>
        <w:ind w:firstLine="1400" w:firstLineChars="500"/>
        <w:outlineLvl w:val="1"/>
        <w:rPr>
          <w:rFonts w:hint="eastAsia" w:ascii="Times New Roman" w:hAnsi="Times New Roman" w:eastAsia="仿宋_GB2312" w:cs="Times New Roman"/>
          <w:sz w:val="28"/>
          <w:szCs w:val="28"/>
          <w:lang w:bidi="ar"/>
        </w:rPr>
      </w:pPr>
    </w:p>
    <w:p w14:paraId="4C2AC318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  <w:highlight w:val="yellow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CCEFC3E"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0" w:firstLineChars="0"/>
        <w:textAlignment w:val="auto"/>
        <w:outlineLvl w:val="1"/>
        <w:rPr>
          <w:rFonts w:hint="eastAsia" w:ascii="Times New Roman" w:hAnsi="Times New Roman" w:eastAsia="仿宋_GB2312" w:cs="Times New Roman"/>
          <w:sz w:val="28"/>
          <w:szCs w:val="28"/>
          <w:lang w:bidi="ar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 w:bidi="ar"/>
        </w:rPr>
        <w:t>附图1：</w:t>
      </w:r>
      <w:r>
        <w:rPr>
          <w:rFonts w:hint="eastAsia" w:ascii="Times New Roman" w:hAnsi="Times New Roman" w:eastAsia="仿宋_GB2312" w:cs="Times New Roman"/>
          <w:sz w:val="28"/>
          <w:szCs w:val="28"/>
          <w:lang w:bidi="ar"/>
        </w:rPr>
        <w:t>中山市南区街道土地征收成片开发范围位置示意图（调整后）</w:t>
      </w:r>
    </w:p>
    <w:p w14:paraId="6A947133">
      <w:pPr>
        <w:widowControl/>
        <w:jc w:val="center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inline distT="0" distB="0" distL="114300" distR="114300">
            <wp:extent cx="12574905" cy="7384415"/>
            <wp:effectExtent l="0" t="0" r="0" b="0"/>
            <wp:docPr id="3" name="图片 3" descr="中山市南区街道土地征收成片开发范围拟征收地块示意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山市南区街道土地征收成片开发范围拟征收地块示意图（调整后）"/>
                    <pic:cNvPicPr>
                      <a:picLocks noChangeAspect="1"/>
                    </pic:cNvPicPr>
                  </pic:nvPicPr>
                  <pic:blipFill>
                    <a:blip r:embed="rId4"/>
                    <a:srcRect t="5666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1257490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1DA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br w:type="page"/>
      </w:r>
    </w:p>
    <w:p w14:paraId="1BAA77C8"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0" w:firstLineChars="0"/>
        <w:textAlignment w:val="auto"/>
        <w:outlineLvl w:val="1"/>
        <w:rPr>
          <w:rFonts w:hint="eastAsia" w:ascii="Times New Roman" w:hAnsi="Times New Roman" w:eastAsia="仿宋_GB2312" w:cs="Times New Roman"/>
          <w:sz w:val="28"/>
          <w:szCs w:val="28"/>
          <w:lang w:bidi="ar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 w:bidi="ar"/>
        </w:rPr>
        <w:t>附图2：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中山市南区街道土地征收成片开发范围开发时序图</w:t>
      </w:r>
    </w:p>
    <w:p w14:paraId="0834072B">
      <w:pPr>
        <w:widowControl/>
        <w:jc w:val="center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inline distT="0" distB="0" distL="114300" distR="114300">
            <wp:extent cx="12574905" cy="7425690"/>
            <wp:effectExtent l="0" t="0" r="0" b="0"/>
            <wp:docPr id="4" name="图片 4" descr="中山市南区街道土地征收成片开发范围开发时序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山市南区街道土地征收成片开发范围开发时序图（调整后）"/>
                    <pic:cNvPicPr>
                      <a:picLocks noChangeAspect="1"/>
                    </pic:cNvPicPr>
                  </pic:nvPicPr>
                  <pic:blipFill>
                    <a:blip r:embed="rId5"/>
                    <a:srcRect t="5340" b="6082"/>
                    <a:stretch>
                      <a:fillRect/>
                    </a:stretch>
                  </pic:blipFill>
                  <pic:spPr>
                    <a:xfrm>
                      <a:off x="0" y="0"/>
                      <a:ext cx="1257490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mODdhNWIwN2Q4ZGY3ZmNlZDAyN2YzNWQ5Yzg5MzYifQ=="/>
  </w:docVars>
  <w:rsids>
    <w:rsidRoot w:val="00652F85"/>
    <w:rsid w:val="000757D8"/>
    <w:rsid w:val="000B1C34"/>
    <w:rsid w:val="00161975"/>
    <w:rsid w:val="001B54BC"/>
    <w:rsid w:val="002558E5"/>
    <w:rsid w:val="0028696F"/>
    <w:rsid w:val="00293245"/>
    <w:rsid w:val="00424BAF"/>
    <w:rsid w:val="004729E6"/>
    <w:rsid w:val="005262AD"/>
    <w:rsid w:val="00607349"/>
    <w:rsid w:val="00652F85"/>
    <w:rsid w:val="006A03EC"/>
    <w:rsid w:val="006A2597"/>
    <w:rsid w:val="0080083A"/>
    <w:rsid w:val="00932775"/>
    <w:rsid w:val="00C6080C"/>
    <w:rsid w:val="00D45427"/>
    <w:rsid w:val="00F00B36"/>
    <w:rsid w:val="01265713"/>
    <w:rsid w:val="02AA0DBD"/>
    <w:rsid w:val="04D51379"/>
    <w:rsid w:val="08B148AB"/>
    <w:rsid w:val="0EAA34D5"/>
    <w:rsid w:val="11714EA3"/>
    <w:rsid w:val="13C202D8"/>
    <w:rsid w:val="160F633E"/>
    <w:rsid w:val="16B07A6A"/>
    <w:rsid w:val="1A9029C7"/>
    <w:rsid w:val="1C6218FA"/>
    <w:rsid w:val="1C952A2F"/>
    <w:rsid w:val="26A25B54"/>
    <w:rsid w:val="26E943C2"/>
    <w:rsid w:val="2A7123CC"/>
    <w:rsid w:val="2CD64120"/>
    <w:rsid w:val="318C4856"/>
    <w:rsid w:val="32CE0DE1"/>
    <w:rsid w:val="34E060B2"/>
    <w:rsid w:val="3FA30D17"/>
    <w:rsid w:val="41415CCC"/>
    <w:rsid w:val="43AB3A41"/>
    <w:rsid w:val="4430453E"/>
    <w:rsid w:val="45356D8E"/>
    <w:rsid w:val="459567E7"/>
    <w:rsid w:val="462B6D83"/>
    <w:rsid w:val="462E1F88"/>
    <w:rsid w:val="4A243455"/>
    <w:rsid w:val="4F413F9A"/>
    <w:rsid w:val="51FC0C31"/>
    <w:rsid w:val="55856631"/>
    <w:rsid w:val="55C5051F"/>
    <w:rsid w:val="56AC7807"/>
    <w:rsid w:val="570875FD"/>
    <w:rsid w:val="5733016C"/>
    <w:rsid w:val="60130FE1"/>
    <w:rsid w:val="604E6F52"/>
    <w:rsid w:val="609640D6"/>
    <w:rsid w:val="63155BA3"/>
    <w:rsid w:val="67DF34E0"/>
    <w:rsid w:val="693905FF"/>
    <w:rsid w:val="6BB70557"/>
    <w:rsid w:val="6C360CAD"/>
    <w:rsid w:val="6FC92ABE"/>
    <w:rsid w:val="730912CE"/>
    <w:rsid w:val="746421F9"/>
    <w:rsid w:val="77B57D7F"/>
    <w:rsid w:val="796D3584"/>
    <w:rsid w:val="7AC17B80"/>
    <w:rsid w:val="7B9B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unhideWhenUsed/>
    <w:qFormat/>
    <w:uiPriority w:val="0"/>
    <w:pPr>
      <w:widowControl/>
      <w:spacing w:before="260" w:after="260" w:line="413" w:lineRule="auto"/>
      <w:outlineLvl w:val="1"/>
    </w:pPr>
    <w:rPr>
      <w:rFonts w:ascii="Arial" w:hAnsi="Arial" w:cs="Arial"/>
      <w:b/>
      <w:bCs/>
      <w:kern w:val="0"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4"/>
    <w:autoRedefine/>
    <w:qFormat/>
    <w:uiPriority w:val="1"/>
    <w:pPr>
      <w:autoSpaceDE w:val="0"/>
      <w:autoSpaceDN w:val="0"/>
      <w:jc w:val="left"/>
    </w:pPr>
    <w:rPr>
      <w:rFonts w:ascii="仿宋" w:hAnsi="仿宋" w:eastAsia="仿宋" w:cs="仿宋"/>
      <w:kern w:val="0"/>
      <w:sz w:val="28"/>
      <w:szCs w:val="28"/>
      <w:lang w:eastAsia="en-US"/>
    </w:r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  <w:rPr>
      <w:rFonts w:ascii="Times New Roman" w:hAnsi="Times New Roman" w:eastAsia="宋体" w:cs="Times New Roman"/>
      <w:szCs w:val="20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5"/>
    <w:next w:val="1"/>
    <w:qFormat/>
    <w:uiPriority w:val="0"/>
    <w:pPr>
      <w:ind w:firstLine="420"/>
    </w:p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4">
    <w:name w:val="正文文本 字符"/>
    <w:basedOn w:val="11"/>
    <w:link w:val="4"/>
    <w:autoRedefine/>
    <w:qFormat/>
    <w:uiPriority w:val="1"/>
    <w:rPr>
      <w:rFonts w:ascii="仿宋" w:hAnsi="仿宋" w:eastAsia="仿宋" w:cs="仿宋"/>
      <w:kern w:val="0"/>
      <w:sz w:val="28"/>
      <w:szCs w:val="28"/>
      <w:lang w:eastAsia="en-US"/>
    </w:rPr>
  </w:style>
  <w:style w:type="paragraph" w:customStyle="1" w:styleId="15">
    <w:name w:val="Table Paragraph"/>
    <w:basedOn w:val="1"/>
    <w:autoRedefine/>
    <w:qFormat/>
    <w:uiPriority w:val="1"/>
    <w:pPr>
      <w:autoSpaceDE w:val="0"/>
      <w:autoSpaceDN w:val="0"/>
      <w:jc w:val="center"/>
    </w:pPr>
    <w:rPr>
      <w:rFonts w:ascii="仿宋" w:hAnsi="仿宋" w:eastAsia="仿宋" w:cs="仿宋"/>
      <w:kern w:val="0"/>
      <w:sz w:val="22"/>
      <w:lang w:eastAsia="en-US"/>
    </w:rPr>
  </w:style>
  <w:style w:type="paragraph" w:customStyle="1" w:styleId="16">
    <w:name w:val="Revision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7">
    <w:name w:val="font11"/>
    <w:basedOn w:val="11"/>
    <w:autoRedefine/>
    <w:qFormat/>
    <w:uiPriority w:val="0"/>
    <w:rPr>
      <w:rFonts w:hint="default" w:ascii="仿宋_GB2312" w:eastAsia="仿宋_GB2312" w:cs="仿宋_GB2312"/>
      <w:b/>
      <w:bCs/>
      <w:color w:val="000000"/>
      <w:sz w:val="21"/>
      <w:szCs w:val="21"/>
      <w:u w:val="none"/>
    </w:rPr>
  </w:style>
  <w:style w:type="character" w:customStyle="1" w:styleId="18">
    <w:name w:val="font21"/>
    <w:basedOn w:val="11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9">
    <w:name w:val="font31"/>
    <w:basedOn w:val="11"/>
    <w:autoRedefine/>
    <w:qFormat/>
    <w:uiPriority w:val="0"/>
    <w:rPr>
      <w:rFonts w:hint="default" w:ascii="仿宋_GB2312" w:eastAsia="仿宋_GB2312" w:cs="仿宋_GB2312"/>
      <w:color w:val="000000"/>
      <w:sz w:val="21"/>
      <w:szCs w:val="21"/>
      <w:u w:val="none"/>
    </w:rPr>
  </w:style>
  <w:style w:type="character" w:customStyle="1" w:styleId="20">
    <w:name w:val="font41"/>
    <w:basedOn w:val="11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21">
    <w:name w:val="font5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22">
    <w:name w:val="p0"/>
    <w:basedOn w:val="1"/>
    <w:qFormat/>
    <w:uiPriority w:val="0"/>
    <w:pPr>
      <w:widowControl/>
      <w:overflowPunct/>
      <w:autoSpaceDE/>
      <w:autoSpaceDN/>
      <w:adjustRightInd/>
      <w:snapToGrid/>
      <w:spacing w:line="365" w:lineRule="atLeast"/>
      <w:ind w:left="1"/>
    </w:pPr>
    <w:rPr>
      <w:rFonts w:eastAsia="宋体"/>
      <w:snapToGrid/>
      <w:spacing w:val="0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2471</Words>
  <Characters>2835</Characters>
  <Lines>24</Lines>
  <Paragraphs>6</Paragraphs>
  <TotalTime>91</TotalTime>
  <ScaleCrop>false</ScaleCrop>
  <LinksUpToDate>false</LinksUpToDate>
  <CharactersWithSpaces>2847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2021-10-15T06:11:00Z</dcterms:created>
  <dc:creator>q x</dc:creator>
  <cp:lastModifiedBy>莫湖燕</cp:lastModifiedBy>
  <cp:lastPrinted>2025-04-08T02:08:00Z</cp:lastPrinted>
  <dcterms:modified xsi:type="dcterms:W3CDTF">2025-10-09T09:02:21Z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C487B87485A34293A9D015C8C89FC99F</vt:lpwstr>
  </property>
  <property fmtid="{D5CDD505-2E9C-101B-9397-08002B2CF9AE}" pid="4" name="KSOTemplateDocerSaveRecord">
    <vt:lpwstr>eyJoZGlkIjoiNmJmODdhNWIwN2Q4ZGY3ZmNlZDAyN2YzNWQ5Yzg5MzYiLCJ1c2VySWQiOiIyNzY3NTcxNjYifQ==</vt:lpwstr>
  </property>
</Properties>
</file>