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粤中三角执催字〔2024〕832号</w:t>
      </w:r>
      <w:bookmarkEnd w:id="0"/>
    </w:p>
    <w:p w14:paraId="14328970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：李陈</w:t>
      </w:r>
    </w:p>
    <w:p w14:paraId="1E8B7579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驾驶证：34022219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12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70E4B2B4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山东省菏泽市鄄城县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从事无证无照经营烧烤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2025年3月11日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《行政处罚决定书》（粤中三角执罚字〔2024〕832号）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2025年6月6日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13312C2"/>
    <w:rsid w:val="077010BF"/>
    <w:rsid w:val="14140B0E"/>
    <w:rsid w:val="68E0343C"/>
    <w:rsid w:val="7F77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f293770a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c5e2d0b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d3cd7be2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7eff7b4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70f4e038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cfea40bd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ae34ce7c"/>
    <w:semiHidden/>
    <w:unhideWhenUsed/>
    <w:qFormat/>
    <w:uiPriority w:val="1"/>
  </w:style>
  <w:style w:type="table" w:customStyle="1" w:styleId="24">
    <w:name w:val="Normal Table5b10063a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4d8ccde7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88c00f1f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c7e7529e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b2c25139"/>
    <w:semiHidden/>
    <w:unhideWhenUsed/>
    <w:qFormat/>
    <w:uiPriority w:val="1"/>
  </w:style>
  <w:style w:type="table" w:customStyle="1" w:styleId="30">
    <w:name w:val="Normal Table512d75eb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9d4b6e7f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bdffcb84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1457d119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60e14ad7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54bd725c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1f7c6c20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ba638324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41829dab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208659de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51b7e801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SelectedStyle="\APASixthEditionOfficeOnline.xsl" Version="6" StyleName="APA" xmlns:b="http://schemas.openxmlformats.org/officeDocument/2006/bibliography"/>
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dcterms:modified xsi:type="dcterms:W3CDTF">2025-09-23T09:06:49Z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BE05CDD270BD4B76A9F2D168CCF17613_43</vt:lpwstr>
  </property>
</Properties>
</file>