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359139">
      <w:pPr>
        <w:jc w:val="center"/>
        <w:outlineLvl w:val="0"/>
        <w:rPr>
          <w:rFonts w:ascii="Times New Roman" w:hAnsi="Times New Roman" w:eastAsia="仿宋_GB2312" w:cs="Times New Roman"/>
          <w:b/>
          <w:bCs/>
          <w:sz w:val="28"/>
          <w:szCs w:val="28"/>
        </w:rPr>
      </w:pPr>
      <w:r>
        <w:rPr>
          <w:rFonts w:hint="default" w:ascii="Times New Roman" w:hAnsi="Times New Roman" w:eastAsia="仿宋_GB2312" w:cs="Times New Roman"/>
          <w:b/>
          <w:bCs/>
          <w:sz w:val="44"/>
          <w:szCs w:val="44"/>
        </w:rPr>
        <w:t>中山市板芙镇2025年度BF17地块土地征收成片开发方案（公示</w:t>
      </w:r>
      <w:r>
        <w:rPr>
          <w:rFonts w:hint="eastAsia" w:ascii="Times New Roman" w:hAnsi="Times New Roman" w:eastAsia="仿宋_GB2312" w:cs="Times New Roman"/>
          <w:b/>
          <w:bCs/>
          <w:sz w:val="44"/>
          <w:szCs w:val="44"/>
          <w:lang w:eastAsia="zh-CN"/>
        </w:rPr>
        <w:t>稿</w:t>
      </w:r>
      <w:r>
        <w:rPr>
          <w:rFonts w:hint="default" w:ascii="Times New Roman" w:hAnsi="Times New Roman" w:eastAsia="仿宋_GB2312" w:cs="Times New Roman"/>
          <w:b/>
          <w:bCs/>
          <w:sz w:val="44"/>
          <w:szCs w:val="44"/>
        </w:rPr>
        <w:t>）</w:t>
      </w:r>
    </w:p>
    <w:p w14:paraId="203ECB3C">
      <w:pPr>
        <w:snapToGrid w:val="0"/>
        <w:spacing w:before="95" w:beforeLines="30" w:after="95" w:afterLines="30" w:line="336" w:lineRule="auto"/>
        <w:ind w:firstLine="640" w:firstLineChars="200"/>
        <w:outlineLvl w:val="1"/>
        <w:rPr>
          <w:rFonts w:hint="eastAsia" w:ascii="黑体" w:hAnsi="黑体" w:eastAsia="黑体" w:cs="黑体"/>
          <w:b w:val="0"/>
          <w:bCs w:val="0"/>
          <w:sz w:val="32"/>
          <w:szCs w:val="32"/>
        </w:rPr>
      </w:pPr>
      <w:r>
        <w:rPr>
          <w:rFonts w:hint="eastAsia" w:ascii="黑体" w:hAnsi="黑体" w:eastAsia="黑体" w:cs="黑体"/>
          <w:b w:val="0"/>
          <w:bCs w:val="0"/>
          <w:sz w:val="32"/>
          <w:szCs w:val="32"/>
        </w:rPr>
        <w:t>一、编制依据</w:t>
      </w:r>
    </w:p>
    <w:p w14:paraId="7A542368">
      <w:pPr>
        <w:spacing w:line="360" w:lineRule="auto"/>
        <w:ind w:firstLine="560" w:firstLineChars="200"/>
        <w:rPr>
          <w:rFonts w:ascii="Times New Roman" w:hAnsi="Times New Roman" w:eastAsia="仿宋_GB2312" w:cs="Times New Roman"/>
          <w:sz w:val="28"/>
          <w:szCs w:val="28"/>
        </w:rPr>
      </w:pPr>
      <w:r>
        <w:rPr>
          <w:rFonts w:hint="default" w:ascii="Times New Roman" w:hAnsi="Times New Roman" w:eastAsia="仿宋_GB2312" w:cs="Times New Roman"/>
          <w:sz w:val="28"/>
          <w:szCs w:val="28"/>
        </w:rPr>
        <w:t>为</w:t>
      </w:r>
      <w:r>
        <w:rPr>
          <w:rFonts w:hint="eastAsia" w:ascii="Times New Roman" w:hAnsi="Times New Roman" w:eastAsia="仿宋_GB2312" w:cs="Times New Roman"/>
          <w:sz w:val="28"/>
          <w:szCs w:val="28"/>
          <w:lang w:val="en-US" w:eastAsia="zh-CN"/>
        </w:rPr>
        <w:t>推进</w:t>
      </w:r>
      <w:r>
        <w:rPr>
          <w:rFonts w:hint="default" w:ascii="Times New Roman" w:hAnsi="Times New Roman" w:eastAsia="仿宋_GB2312" w:cs="Times New Roman"/>
          <w:sz w:val="28"/>
          <w:szCs w:val="28"/>
        </w:rPr>
        <w:t>土地节约集约利用，根据《中华人民共和国土地管理法》《自然资源部关于印发&lt;土地征收成片开发标准&gt;的通知》（自然资规〔2023〕7号）</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rPr>
        <w:t>《</w:t>
      </w:r>
      <w:r>
        <w:rPr>
          <w:rFonts w:hint="default" w:ascii="Times New Roman" w:hAnsi="Times New Roman" w:eastAsia="仿宋_GB2312" w:cs="Times New Roman"/>
          <w:sz w:val="28"/>
          <w:lang w:val="en-US" w:eastAsia="zh-CN"/>
        </w:rPr>
        <w:t>广东省自然资源厅关于进一步规范土地征收成片开发工作的通知</w:t>
      </w:r>
      <w:r>
        <w:rPr>
          <w:rFonts w:hint="default" w:ascii="Times New Roman" w:hAnsi="Times New Roman" w:eastAsia="仿宋_GB2312" w:cs="Times New Roman"/>
          <w:sz w:val="28"/>
        </w:rPr>
        <w:t>》（</w:t>
      </w:r>
      <w:r>
        <w:rPr>
          <w:rFonts w:hint="default" w:ascii="Times New Roman" w:hAnsi="Times New Roman" w:eastAsia="仿宋_GB2312" w:cs="Times New Roman"/>
          <w:sz w:val="28"/>
          <w:lang w:val="en-US" w:eastAsia="zh-CN"/>
        </w:rPr>
        <w:t>粤自然资规字〔2024〕7号</w:t>
      </w:r>
      <w:r>
        <w:rPr>
          <w:rFonts w:hint="default" w:ascii="Times New Roman" w:hAnsi="Times New Roman" w:eastAsia="仿宋_GB2312" w:cs="Times New Roman"/>
          <w:sz w:val="28"/>
        </w:rPr>
        <w:t>）</w:t>
      </w:r>
      <w:r>
        <w:rPr>
          <w:rFonts w:hint="default" w:ascii="Times New Roman" w:hAnsi="Times New Roman" w:eastAsia="仿宋_GB2312" w:cs="Times New Roman"/>
          <w:sz w:val="28"/>
          <w:szCs w:val="28"/>
        </w:rPr>
        <w:t>等</w:t>
      </w:r>
      <w:r>
        <w:rPr>
          <w:rFonts w:hint="eastAsia" w:ascii="Times New Roman" w:hAnsi="Times New Roman" w:eastAsia="仿宋_GB2312" w:cs="Times New Roman"/>
          <w:sz w:val="28"/>
          <w:szCs w:val="28"/>
          <w:lang w:val="en-US" w:eastAsia="zh-CN"/>
        </w:rPr>
        <w:t>相关文件</w:t>
      </w:r>
      <w:r>
        <w:rPr>
          <w:rFonts w:hint="default" w:ascii="Times New Roman" w:hAnsi="Times New Roman" w:eastAsia="仿宋_GB2312" w:cs="Times New Roman"/>
          <w:sz w:val="28"/>
          <w:szCs w:val="28"/>
        </w:rPr>
        <w:t>，</w:t>
      </w:r>
      <w:r>
        <w:rPr>
          <w:rFonts w:ascii="Times New Roman" w:hAnsi="Times New Roman" w:eastAsia="仿宋_GB2312" w:cs="Times New Roman"/>
          <w:sz w:val="28"/>
          <w:szCs w:val="28"/>
        </w:rPr>
        <w:t>编制《</w:t>
      </w:r>
      <w:r>
        <w:rPr>
          <w:rFonts w:hint="default" w:ascii="Times New Roman" w:hAnsi="Times New Roman" w:eastAsia="仿宋_GB2312" w:cs="Times New Roman"/>
          <w:sz w:val="28"/>
          <w:szCs w:val="28"/>
        </w:rPr>
        <w:t>中山市板芙镇2025年度BF17地块土地征收成片开发方案</w:t>
      </w:r>
      <w:r>
        <w:rPr>
          <w:rFonts w:ascii="Times New Roman" w:hAnsi="Times New Roman" w:eastAsia="仿宋_GB2312" w:cs="Times New Roman"/>
          <w:sz w:val="28"/>
          <w:szCs w:val="28"/>
        </w:rPr>
        <w:t>》。</w:t>
      </w:r>
    </w:p>
    <w:p w14:paraId="4317C915">
      <w:pPr>
        <w:snapToGrid w:val="0"/>
        <w:spacing w:before="95" w:beforeLines="30" w:after="95" w:afterLines="30" w:line="336" w:lineRule="auto"/>
        <w:ind w:firstLine="640" w:firstLineChars="200"/>
        <w:outlineLvl w:val="1"/>
        <w:rPr>
          <w:rFonts w:hint="eastAsia" w:ascii="黑体" w:hAnsi="黑体" w:eastAsia="黑体" w:cs="黑体"/>
          <w:b w:val="0"/>
          <w:bCs w:val="0"/>
          <w:sz w:val="32"/>
          <w:szCs w:val="32"/>
        </w:rPr>
      </w:pPr>
      <w:r>
        <w:rPr>
          <w:rFonts w:hint="eastAsia" w:ascii="黑体" w:hAnsi="黑体" w:eastAsia="黑体" w:cs="黑体"/>
          <w:b w:val="0"/>
          <w:bCs w:val="0"/>
          <w:sz w:val="32"/>
          <w:szCs w:val="32"/>
        </w:rPr>
        <w:t>二、基本情况</w:t>
      </w:r>
    </w:p>
    <w:p w14:paraId="089ECB42">
      <w:pPr>
        <w:ind w:firstLine="560" w:firstLineChars="200"/>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rPr>
        <w:t>本次成片开发方案包含</w:t>
      </w: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个成片开发地块（地块编号为</w:t>
      </w:r>
      <w:r>
        <w:rPr>
          <w:rFonts w:hint="eastAsia" w:ascii="Times New Roman" w:hAnsi="Times New Roman" w:eastAsia="仿宋_GB2312" w:cs="Times New Roman"/>
          <w:sz w:val="28"/>
          <w:szCs w:val="28"/>
          <w:lang w:val="en-US" w:eastAsia="zh-CN"/>
        </w:rPr>
        <w:t>BF17</w:t>
      </w:r>
      <w:r>
        <w:rPr>
          <w:rFonts w:hint="default" w:ascii="Times New Roman" w:hAnsi="Times New Roman" w:eastAsia="仿宋_GB2312" w:cs="Times New Roman"/>
          <w:sz w:val="28"/>
          <w:szCs w:val="28"/>
        </w:rPr>
        <w:t>），位于中山市</w:t>
      </w:r>
      <w:r>
        <w:rPr>
          <w:rFonts w:hint="eastAsia" w:ascii="Times New Roman" w:hAnsi="Times New Roman" w:eastAsia="仿宋_GB2312" w:cs="Times New Roman"/>
          <w:sz w:val="28"/>
          <w:szCs w:val="28"/>
          <w:lang w:val="en-US" w:eastAsia="zh-CN"/>
        </w:rPr>
        <w:t>板芙镇深湾村</w:t>
      </w:r>
      <w:r>
        <w:rPr>
          <w:rFonts w:hint="default" w:ascii="Times New Roman" w:hAnsi="Times New Roman" w:eastAsia="仿宋_GB2312" w:cs="Times New Roman"/>
          <w:sz w:val="28"/>
          <w:szCs w:val="28"/>
        </w:rPr>
        <w:t>，总面积为</w:t>
      </w:r>
      <w:r>
        <w:rPr>
          <w:rFonts w:hint="eastAsia" w:ascii="Times New Roman" w:hAnsi="Times New Roman" w:eastAsia="仿宋_GB2312" w:cs="Times New Roman"/>
          <w:sz w:val="28"/>
          <w:szCs w:val="28"/>
          <w:lang w:val="en-US" w:eastAsia="zh-CN"/>
        </w:rPr>
        <w:t>5.7014</w:t>
      </w:r>
      <w:r>
        <w:rPr>
          <w:rFonts w:hint="default" w:ascii="Times New Roman" w:hAnsi="Times New Roman" w:eastAsia="仿宋_GB2312" w:cs="Times New Roman"/>
          <w:sz w:val="28"/>
          <w:szCs w:val="28"/>
        </w:rPr>
        <w:t>公顷，拟征收土地面积为3.8417公顷，占成片开发总面积的</w:t>
      </w:r>
      <w:r>
        <w:rPr>
          <w:rFonts w:hint="eastAsia" w:ascii="Times New Roman" w:hAnsi="Times New Roman" w:eastAsia="仿宋_GB2312" w:cs="Times New Roman"/>
          <w:sz w:val="28"/>
          <w:szCs w:val="28"/>
          <w:lang w:val="en-US" w:eastAsia="zh-CN"/>
        </w:rPr>
        <w:t>67.38</w:t>
      </w:r>
      <w:r>
        <w:rPr>
          <w:rFonts w:hint="default" w:ascii="Times New Roman" w:hAnsi="Times New Roman" w:eastAsia="仿宋_GB2312" w:cs="Times New Roman"/>
          <w:sz w:val="28"/>
          <w:szCs w:val="28"/>
        </w:rPr>
        <w:t>%。详细信息见下表。</w:t>
      </w:r>
    </w:p>
    <w:p w14:paraId="1E52DC82">
      <w:pPr>
        <w:pageBreakBefore w:val="0"/>
        <w:widowControl w:val="0"/>
        <w:kinsoku/>
        <w:overflowPunct/>
        <w:topLinePunct w:val="0"/>
        <w:autoSpaceDE/>
        <w:autoSpaceDN/>
        <w:bidi w:val="0"/>
        <w:adjustRightInd/>
        <w:snapToGrid/>
        <w:spacing w:line="300" w:lineRule="exact"/>
        <w:ind w:firstLine="482" w:firstLineChars="200"/>
        <w:jc w:val="center"/>
        <w:textAlignment w:val="auto"/>
        <w:rPr>
          <w:rFonts w:eastAsia="仿宋_GB2312"/>
          <w:b/>
          <w:bCs/>
          <w:sz w:val="24"/>
        </w:rPr>
      </w:pPr>
      <w:r>
        <w:rPr>
          <w:rFonts w:eastAsia="仿宋_GB2312"/>
          <w:b/>
          <w:bCs/>
          <w:sz w:val="24"/>
        </w:rPr>
        <w:t>表1  成片开发区域详细信息一览表</w:t>
      </w:r>
    </w:p>
    <w:p w14:paraId="3FFC3849">
      <w:pPr>
        <w:pStyle w:val="4"/>
        <w:pageBreakBefore w:val="0"/>
        <w:widowControl w:val="0"/>
        <w:kinsoku/>
        <w:wordWrap w:val="0"/>
        <w:overflowPunct/>
        <w:topLinePunct w:val="0"/>
        <w:autoSpaceDE/>
        <w:autoSpaceDN/>
        <w:bidi w:val="0"/>
        <w:adjustRightInd/>
        <w:snapToGrid/>
        <w:spacing w:before="0" w:after="0" w:line="300" w:lineRule="exact"/>
        <w:jc w:val="right"/>
        <w:textAlignment w:val="auto"/>
        <w:rPr>
          <w:rFonts w:hint="default" w:eastAsia="仿宋_GB2312"/>
          <w:kern w:val="2"/>
          <w:sz w:val="24"/>
          <w:szCs w:val="24"/>
          <w:lang w:val="en-US" w:eastAsia="zh-CN"/>
        </w:rPr>
      </w:pPr>
      <w:r>
        <w:rPr>
          <w:rFonts w:hint="eastAsia" w:eastAsia="仿宋_GB2312"/>
          <w:kern w:val="2"/>
          <w:sz w:val="24"/>
          <w:szCs w:val="24"/>
        </w:rPr>
        <w:t>单位：公顷</w:t>
      </w:r>
      <w:r>
        <w:rPr>
          <w:rFonts w:hint="eastAsia" w:eastAsia="仿宋_GB2312"/>
          <w:kern w:val="2"/>
          <w:sz w:val="24"/>
          <w:szCs w:val="24"/>
          <w:lang w:val="en-US" w:eastAsia="zh-CN"/>
        </w:rPr>
        <w:t xml:space="preserve">  %</w:t>
      </w:r>
    </w:p>
    <w:tbl>
      <w:tblPr>
        <w:tblStyle w:val="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12"/>
        <w:gridCol w:w="1730"/>
        <w:gridCol w:w="1392"/>
        <w:gridCol w:w="1358"/>
        <w:gridCol w:w="1273"/>
        <w:gridCol w:w="1554"/>
      </w:tblGrid>
      <w:tr w14:paraId="2BD32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FF7A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eastAsia="仿宋_GB2312" w:cs="Times New Roman"/>
                <w:b/>
                <w:bCs/>
                <w:color w:val="000000"/>
                <w:kern w:val="0"/>
                <w:szCs w:val="21"/>
                <w:lang w:bidi="ar"/>
              </w:rPr>
            </w:pPr>
            <w:r>
              <w:rPr>
                <w:rFonts w:hint="default" w:ascii="Times New Roman" w:hAnsi="Times New Roman" w:eastAsia="仿宋_GB2312" w:cs="Times New Roman"/>
                <w:b/>
                <w:bCs/>
                <w:color w:val="000000"/>
                <w:kern w:val="0"/>
                <w:szCs w:val="21"/>
                <w:lang w:val="en-US" w:eastAsia="zh-CN" w:bidi="ar"/>
              </w:rPr>
              <w:t>成片开发地块编号</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6D9C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kern w:val="0"/>
                <w:szCs w:val="21"/>
                <w:lang w:bidi="ar"/>
              </w:rPr>
            </w:pPr>
            <w:r>
              <w:rPr>
                <w:rFonts w:hint="default" w:ascii="Times New Roman" w:hAnsi="Times New Roman" w:eastAsia="仿宋_GB2312" w:cs="Times New Roman"/>
                <w:b/>
                <w:bCs/>
                <w:color w:val="000000"/>
                <w:kern w:val="0"/>
                <w:szCs w:val="21"/>
                <w:lang w:val="en-US" w:eastAsia="zh-CN" w:bidi="ar"/>
              </w:rPr>
              <w:t>成片开发地块名称</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1BE6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kern w:val="0"/>
                <w:szCs w:val="21"/>
                <w:lang w:bidi="ar"/>
              </w:rPr>
            </w:pPr>
            <w:r>
              <w:rPr>
                <w:rFonts w:hint="default" w:ascii="Times New Roman" w:hAnsi="Times New Roman" w:eastAsia="仿宋_GB2312" w:cs="Times New Roman"/>
                <w:b/>
                <w:bCs/>
                <w:color w:val="000000"/>
                <w:kern w:val="0"/>
                <w:szCs w:val="21"/>
                <w:lang w:val="en-US" w:eastAsia="zh-CN" w:bidi="ar"/>
              </w:rPr>
              <w:t>所在社区（村）</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5419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kern w:val="0"/>
                <w:szCs w:val="21"/>
                <w:lang w:bidi="ar"/>
              </w:rPr>
            </w:pPr>
            <w:r>
              <w:rPr>
                <w:rFonts w:hint="default" w:ascii="Times New Roman" w:hAnsi="Times New Roman" w:eastAsia="仿宋_GB2312" w:cs="Times New Roman"/>
                <w:b/>
                <w:bCs/>
                <w:color w:val="000000"/>
                <w:kern w:val="0"/>
                <w:szCs w:val="21"/>
                <w:lang w:val="en-US" w:eastAsia="zh-CN" w:bidi="ar"/>
              </w:rPr>
              <w:t>成片开发地块面积</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532E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kern w:val="0"/>
                <w:szCs w:val="21"/>
                <w:lang w:bidi="ar"/>
              </w:rPr>
            </w:pPr>
            <w:r>
              <w:rPr>
                <w:rFonts w:hint="default" w:ascii="Times New Roman" w:hAnsi="Times New Roman" w:eastAsia="仿宋_GB2312" w:cs="Times New Roman"/>
                <w:b/>
                <w:bCs/>
                <w:color w:val="000000"/>
                <w:kern w:val="0"/>
                <w:szCs w:val="21"/>
                <w:lang w:val="en-US" w:eastAsia="zh-CN" w:bidi="ar"/>
              </w:rPr>
              <w:t>拟征收土地面积</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1A54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kern w:val="0"/>
                <w:szCs w:val="21"/>
                <w:lang w:bidi="ar"/>
              </w:rPr>
            </w:pPr>
            <w:r>
              <w:rPr>
                <w:rFonts w:hint="default" w:ascii="Times New Roman" w:hAnsi="Times New Roman" w:eastAsia="仿宋_GB2312" w:cs="Times New Roman"/>
                <w:b/>
                <w:bCs/>
                <w:color w:val="000000"/>
                <w:kern w:val="0"/>
                <w:szCs w:val="21"/>
                <w:lang w:val="en-US" w:eastAsia="zh-CN" w:bidi="ar"/>
              </w:rPr>
              <w:t>征收土地占比</w:t>
            </w:r>
          </w:p>
        </w:tc>
      </w:tr>
      <w:tr w14:paraId="277A0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A3F7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Cs w:val="21"/>
                <w:lang w:bidi="ar"/>
              </w:rPr>
            </w:pPr>
            <w:r>
              <w:rPr>
                <w:rFonts w:hint="default" w:ascii="Times New Roman" w:hAnsi="Times New Roman" w:eastAsia="仿宋_GB2312" w:cs="Times New Roman"/>
                <w:color w:val="000000"/>
                <w:kern w:val="0"/>
                <w:szCs w:val="21"/>
                <w:lang w:bidi="ar"/>
              </w:rPr>
              <w:t>BF17</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7221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Cs w:val="21"/>
                <w:lang w:val="en-US" w:eastAsia="zh-CN" w:bidi="ar"/>
              </w:rPr>
            </w:pPr>
            <w:r>
              <w:rPr>
                <w:rFonts w:hint="eastAsia" w:ascii="Times New Roman" w:hAnsi="Times New Roman" w:eastAsia="仿宋_GB2312" w:cs="Times New Roman"/>
                <w:color w:val="000000"/>
                <w:kern w:val="0"/>
                <w:szCs w:val="21"/>
                <w:lang w:val="en-US" w:eastAsia="zh-CN" w:bidi="ar"/>
              </w:rPr>
              <w:t>深湾村工业地块</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F314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Cs w:val="21"/>
                <w:lang w:bidi="ar"/>
              </w:rPr>
            </w:pPr>
            <w:r>
              <w:rPr>
                <w:rFonts w:hint="default" w:ascii="Times New Roman" w:hAnsi="Times New Roman" w:eastAsia="仿宋_GB2312" w:cs="Times New Roman"/>
                <w:color w:val="000000"/>
                <w:kern w:val="0"/>
                <w:szCs w:val="21"/>
                <w:lang w:val="en-US" w:eastAsia="zh-CN" w:bidi="ar"/>
              </w:rPr>
              <w:t>深湾村</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E575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b w:val="0"/>
                <w:bCs w:val="0"/>
                <w:color w:val="000000"/>
                <w:kern w:val="0"/>
                <w:szCs w:val="21"/>
                <w:lang w:val="en-US" w:eastAsia="zh-CN" w:bidi="ar"/>
              </w:rPr>
            </w:pPr>
            <w:r>
              <w:rPr>
                <w:rFonts w:hint="default" w:ascii="Times New Roman" w:hAnsi="Times New Roman" w:eastAsia="仿宋_GB2312" w:cs="Times New Roman"/>
                <w:b w:val="0"/>
                <w:bCs w:val="0"/>
                <w:color w:val="000000"/>
                <w:kern w:val="0"/>
                <w:szCs w:val="21"/>
                <w:lang w:val="en-US" w:eastAsia="zh-CN" w:bidi="ar"/>
              </w:rPr>
              <w:t>5.7014</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0674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b w:val="0"/>
                <w:bCs w:val="0"/>
                <w:color w:val="000000"/>
                <w:kern w:val="0"/>
                <w:szCs w:val="21"/>
                <w:lang w:val="en-US" w:eastAsia="zh-CN" w:bidi="ar"/>
              </w:rPr>
            </w:pPr>
            <w:r>
              <w:rPr>
                <w:rFonts w:hint="default" w:ascii="Times New Roman" w:hAnsi="Times New Roman" w:eastAsia="仿宋_GB2312" w:cs="Times New Roman"/>
                <w:b w:val="0"/>
                <w:bCs w:val="0"/>
                <w:color w:val="000000"/>
                <w:kern w:val="0"/>
                <w:szCs w:val="21"/>
                <w:lang w:val="en-US" w:eastAsia="zh-CN" w:bidi="ar"/>
              </w:rPr>
              <w:t>3.8417</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228C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b w:val="0"/>
                <w:bCs w:val="0"/>
                <w:color w:val="000000"/>
                <w:kern w:val="0"/>
                <w:szCs w:val="21"/>
                <w:lang w:val="en-US" w:eastAsia="zh-CN" w:bidi="ar"/>
              </w:rPr>
            </w:pPr>
            <w:r>
              <w:rPr>
                <w:rFonts w:hint="eastAsia" w:ascii="Times New Roman" w:hAnsi="Times New Roman" w:eastAsia="仿宋_GB2312" w:cs="Times New Roman"/>
                <w:b w:val="0"/>
                <w:bCs w:val="0"/>
                <w:color w:val="000000"/>
                <w:kern w:val="0"/>
                <w:szCs w:val="21"/>
                <w:lang w:val="en-US" w:eastAsia="zh-CN" w:bidi="ar"/>
              </w:rPr>
              <w:t>67.38</w:t>
            </w:r>
          </w:p>
        </w:tc>
      </w:tr>
      <w:tr w14:paraId="7CABA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 w:hRule="atLeast"/>
        </w:trPr>
        <w:tc>
          <w:tcPr>
            <w:tcW w:w="25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557C0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kern w:val="0"/>
                <w:szCs w:val="21"/>
                <w:lang w:bidi="ar"/>
              </w:rPr>
            </w:pPr>
            <w:r>
              <w:rPr>
                <w:rFonts w:hint="default" w:ascii="Times New Roman" w:hAnsi="Times New Roman" w:eastAsia="仿宋_GB2312" w:cs="Times New Roman"/>
                <w:b/>
                <w:bCs/>
                <w:color w:val="000000"/>
                <w:kern w:val="0"/>
                <w:szCs w:val="21"/>
                <w:lang w:val="en-US" w:eastAsia="zh-CN" w:bidi="ar"/>
              </w:rPr>
              <w:t>合计</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A8F2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b/>
                <w:bCs/>
                <w:color w:val="000000"/>
                <w:kern w:val="0"/>
                <w:szCs w:val="21"/>
                <w:lang w:val="en-US" w:eastAsia="zh-CN" w:bidi="ar"/>
              </w:rPr>
            </w:pPr>
            <w:r>
              <w:rPr>
                <w:rFonts w:hint="default" w:ascii="Times New Roman" w:hAnsi="Times New Roman" w:eastAsia="仿宋_GB2312" w:cs="Times New Roman"/>
                <w:b/>
                <w:bCs/>
                <w:color w:val="000000"/>
                <w:kern w:val="0"/>
                <w:szCs w:val="21"/>
                <w:lang w:val="en-US" w:eastAsia="zh-CN" w:bidi="ar"/>
              </w:rPr>
              <w:t>5.7014</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3C7D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b/>
                <w:bCs/>
                <w:color w:val="000000"/>
                <w:kern w:val="0"/>
                <w:szCs w:val="21"/>
                <w:lang w:val="en-US" w:eastAsia="zh-CN" w:bidi="ar"/>
              </w:rPr>
            </w:pPr>
            <w:r>
              <w:rPr>
                <w:rFonts w:hint="default" w:ascii="Times New Roman" w:hAnsi="Times New Roman" w:eastAsia="仿宋_GB2312" w:cs="Times New Roman"/>
                <w:b/>
                <w:bCs/>
                <w:color w:val="000000"/>
                <w:kern w:val="0"/>
                <w:szCs w:val="21"/>
                <w:lang w:val="en-US" w:eastAsia="zh-CN" w:bidi="ar"/>
              </w:rPr>
              <w:t>3.8417</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1E69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b/>
                <w:bCs/>
                <w:color w:val="000000"/>
                <w:kern w:val="0"/>
                <w:szCs w:val="21"/>
                <w:lang w:val="en-US" w:eastAsia="zh-CN" w:bidi="ar"/>
              </w:rPr>
            </w:pPr>
            <w:r>
              <w:rPr>
                <w:rFonts w:hint="default" w:ascii="Times New Roman" w:hAnsi="Times New Roman" w:eastAsia="仿宋_GB2312" w:cs="Times New Roman"/>
                <w:b/>
                <w:bCs/>
                <w:color w:val="000000"/>
                <w:kern w:val="0"/>
                <w:szCs w:val="21"/>
                <w:lang w:val="en-US" w:eastAsia="zh-CN" w:bidi="ar"/>
              </w:rPr>
              <w:t>67.38</w:t>
            </w:r>
          </w:p>
        </w:tc>
      </w:tr>
    </w:tbl>
    <w:p w14:paraId="42346860">
      <w:pPr>
        <w:snapToGrid w:val="0"/>
        <w:spacing w:before="95" w:beforeLines="30" w:after="95" w:afterLines="30" w:line="336" w:lineRule="auto"/>
        <w:ind w:firstLine="640" w:firstLineChars="200"/>
        <w:outlineLvl w:val="1"/>
        <w:rPr>
          <w:rFonts w:hint="eastAsia" w:ascii="黑体" w:hAnsi="黑体" w:eastAsia="黑体" w:cs="黑体"/>
          <w:b w:val="0"/>
          <w:bCs w:val="0"/>
          <w:sz w:val="32"/>
          <w:szCs w:val="32"/>
        </w:rPr>
      </w:pPr>
      <w:r>
        <w:rPr>
          <w:rFonts w:hint="eastAsia" w:ascii="黑体" w:hAnsi="黑体" w:eastAsia="黑体" w:cs="黑体"/>
          <w:b w:val="0"/>
          <w:bCs w:val="0"/>
          <w:sz w:val="32"/>
          <w:szCs w:val="32"/>
        </w:rPr>
        <w:t>三、成片开发条件分析</w:t>
      </w:r>
    </w:p>
    <w:p w14:paraId="047440DA">
      <w:pPr>
        <w:snapToGrid w:val="0"/>
        <w:spacing w:before="0" w:beforeLines="-2147483648" w:after="0" w:afterLines="-2147483648" w:line="336" w:lineRule="auto"/>
        <w:ind w:firstLine="640" w:firstLineChars="200"/>
        <w:outlineLvl w:val="2"/>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（一）必要性分析</w:t>
      </w:r>
    </w:p>
    <w:p w14:paraId="15CFC209">
      <w:pPr>
        <w:spacing w:before="156" w:beforeLines="50" w:after="156" w:afterLines="50" w:line="360" w:lineRule="auto"/>
        <w:ind w:firstLine="560" w:firstLineChars="200"/>
        <w:outlineLvl w:val="1"/>
        <w:rPr>
          <w:rFonts w:hint="default" w:ascii="Times New Roman" w:hAnsi="Times New Roman" w:eastAsia="仿宋_GB2312" w:cs="Times New Roman"/>
          <w:b/>
          <w:bCs/>
          <w:sz w:val="32"/>
          <w:szCs w:val="32"/>
        </w:rPr>
      </w:pPr>
      <w:r>
        <w:rPr>
          <w:rFonts w:hint="default" w:ascii="Times New Roman" w:hAnsi="Times New Roman" w:eastAsia="仿宋_GB2312" w:cs="Times New Roman"/>
          <w:sz w:val="28"/>
          <w:szCs w:val="28"/>
        </w:rPr>
        <w:t>本次成片开发是落实中山市国民经济和社会发展第十四个五年规划定位的需要，是保障重点项目</w:t>
      </w:r>
      <w:r>
        <w:rPr>
          <w:rFonts w:hint="eastAsia" w:ascii="Times New Roman" w:hAnsi="Times New Roman" w:eastAsia="仿宋_GB2312" w:cs="Times New Roman"/>
          <w:sz w:val="28"/>
          <w:szCs w:val="28"/>
          <w:lang w:eastAsia="zh-CN"/>
        </w:rPr>
        <w:t>落地、</w:t>
      </w:r>
      <w:r>
        <w:rPr>
          <w:rFonts w:hint="default" w:ascii="Times New Roman" w:hAnsi="Times New Roman" w:eastAsia="仿宋_GB2312" w:cs="Times New Roman"/>
          <w:sz w:val="28"/>
          <w:szCs w:val="28"/>
        </w:rPr>
        <w:t>推进区域开发建设</w:t>
      </w:r>
      <w:r>
        <w:rPr>
          <w:rFonts w:hint="eastAsia" w:ascii="Times New Roman" w:hAnsi="Times New Roman" w:eastAsia="仿宋_GB2312" w:cs="Times New Roman"/>
          <w:sz w:val="28"/>
          <w:szCs w:val="28"/>
          <w:lang w:eastAsia="zh-CN"/>
        </w:rPr>
        <w:t>和</w:t>
      </w:r>
      <w:r>
        <w:rPr>
          <w:rFonts w:hint="default" w:ascii="Times New Roman" w:hAnsi="Times New Roman" w:eastAsia="仿宋_GB2312" w:cs="Times New Roman"/>
          <w:sz w:val="28"/>
          <w:szCs w:val="28"/>
        </w:rPr>
        <w:t>优化城镇功能布局的需要，</w:t>
      </w:r>
      <w:r>
        <w:rPr>
          <w:rFonts w:hint="eastAsia" w:ascii="Times New Roman" w:hAnsi="Times New Roman" w:eastAsia="仿宋_GB2312" w:cs="Times New Roman"/>
          <w:sz w:val="28"/>
          <w:szCs w:val="28"/>
          <w:lang w:eastAsia="zh-CN"/>
        </w:rPr>
        <w:t>对片区建设和发展具有积极意义</w:t>
      </w:r>
      <w:r>
        <w:rPr>
          <w:rFonts w:hint="default" w:ascii="Times New Roman" w:hAnsi="Times New Roman" w:eastAsia="仿宋_GB2312" w:cs="Times New Roman"/>
          <w:sz w:val="28"/>
          <w:szCs w:val="28"/>
        </w:rPr>
        <w:t>。</w:t>
      </w:r>
    </w:p>
    <w:p w14:paraId="252EED87">
      <w:pPr>
        <w:snapToGrid w:val="0"/>
        <w:spacing w:before="0" w:beforeLines="-2147483648" w:after="0" w:afterLines="-2147483648" w:line="336" w:lineRule="auto"/>
        <w:ind w:firstLine="640" w:firstLineChars="200"/>
        <w:outlineLvl w:val="2"/>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（二）合规性分析</w:t>
      </w:r>
    </w:p>
    <w:p w14:paraId="120E87EF">
      <w:pPr>
        <w:ind w:firstLine="560" w:firstLineChars="200"/>
        <w:rPr>
          <w:rFonts w:ascii="Times New Roman" w:hAnsi="Times New Roman" w:eastAsia="仿宋_GB2312" w:cs="Times New Roman"/>
          <w:sz w:val="28"/>
          <w:szCs w:val="28"/>
        </w:rPr>
      </w:pPr>
      <w:r>
        <w:rPr>
          <w:rFonts w:hint="default" w:ascii="Times New Roman" w:hAnsi="Times New Roman" w:eastAsia="仿宋_GB2312" w:cs="Times New Roman"/>
          <w:sz w:val="28"/>
          <w:szCs w:val="28"/>
        </w:rPr>
        <w:t>本次成片开发地块不涉及占用永久基本农田和生态保护红线，片区</w:t>
      </w:r>
      <w:r>
        <w:rPr>
          <w:rFonts w:hint="default" w:ascii="Times New Roman" w:hAnsi="Times New Roman" w:eastAsia="仿宋_GB2312" w:cs="Times New Roman"/>
          <w:sz w:val="28"/>
          <w:szCs w:val="28"/>
          <w:lang w:bidi="ar"/>
        </w:rPr>
        <w:t>公益性用地整体比例</w:t>
      </w:r>
      <w:r>
        <w:rPr>
          <w:rFonts w:hint="default" w:ascii="Times New Roman" w:hAnsi="Times New Roman" w:eastAsia="仿宋_GB2312" w:cs="Times New Roman"/>
          <w:sz w:val="28"/>
          <w:szCs w:val="28"/>
        </w:rPr>
        <w:t>在</w:t>
      </w:r>
      <w:r>
        <w:rPr>
          <w:rFonts w:hint="eastAsia" w:ascii="Times New Roman" w:hAnsi="Times New Roman" w:eastAsia="仿宋_GB2312" w:cs="Times New Roman"/>
          <w:sz w:val="28"/>
          <w:szCs w:val="28"/>
          <w:lang w:val="en-US" w:eastAsia="zh-CN"/>
        </w:rPr>
        <w:t>30</w:t>
      </w:r>
      <w:r>
        <w:rPr>
          <w:rFonts w:ascii="Times New Roman" w:hAnsi="Times New Roman" w:eastAsia="仿宋_GB2312" w:cs="Times New Roman"/>
          <w:sz w:val="28"/>
          <w:szCs w:val="28"/>
        </w:rPr>
        <w:t>%以上。本次土地征收成片开发方案符合国民经济和社会发展规划、</w:t>
      </w:r>
      <w:r>
        <w:rPr>
          <w:rFonts w:hint="eastAsia" w:ascii="Times New Roman" w:hAnsi="Times New Roman" w:eastAsia="仿宋_GB2312" w:cs="Times New Roman"/>
          <w:sz w:val="28"/>
          <w:szCs w:val="28"/>
          <w:lang w:val="en-US" w:eastAsia="zh-CN"/>
        </w:rPr>
        <w:t>国土空间总体规划</w:t>
      </w:r>
      <w:r>
        <w:rPr>
          <w:rFonts w:ascii="Times New Roman" w:hAnsi="Times New Roman" w:eastAsia="仿宋_GB2312" w:cs="Times New Roman"/>
          <w:sz w:val="28"/>
          <w:szCs w:val="28"/>
        </w:rPr>
        <w:t>和专项规划，能够促进经济社会可持续发展。</w:t>
      </w:r>
    </w:p>
    <w:p w14:paraId="6DE4E3DC">
      <w:pPr>
        <w:keepNext w:val="0"/>
        <w:keepLines w:val="0"/>
        <w:pageBreakBefore w:val="0"/>
        <w:widowControl/>
        <w:kinsoku/>
        <w:wordWrap/>
        <w:overflowPunct/>
        <w:topLinePunct w:val="0"/>
        <w:autoSpaceDE/>
        <w:autoSpaceDN/>
        <w:bidi w:val="0"/>
        <w:adjustRightInd/>
        <w:snapToGrid w:val="0"/>
        <w:spacing w:before="95" w:beforeLines="30" w:after="95" w:afterLines="30" w:line="336" w:lineRule="auto"/>
        <w:ind w:firstLine="640" w:firstLineChars="200"/>
        <w:textAlignment w:val="auto"/>
        <w:outlineLvl w:val="1"/>
        <w:rPr>
          <w:rFonts w:hint="default" w:ascii="黑体" w:hAnsi="黑体" w:eastAsia="黑体" w:cs="黑体"/>
          <w:b w:val="0"/>
          <w:bCs w:val="0"/>
          <w:sz w:val="32"/>
          <w:szCs w:val="32"/>
        </w:rPr>
      </w:pPr>
      <w:r>
        <w:rPr>
          <w:rFonts w:hint="default" w:ascii="黑体" w:hAnsi="黑体" w:eastAsia="黑体" w:cs="黑体"/>
          <w:b w:val="0"/>
          <w:bCs w:val="0"/>
          <w:sz w:val="32"/>
          <w:szCs w:val="32"/>
        </w:rPr>
        <w:t>四、拟安排项目及实施计划</w:t>
      </w:r>
    </w:p>
    <w:p w14:paraId="30CCA804">
      <w:pPr>
        <w:keepNext w:val="0"/>
        <w:keepLines w:val="0"/>
        <w:pageBreakBefore w:val="0"/>
        <w:widowControl/>
        <w:kinsoku/>
        <w:wordWrap/>
        <w:overflowPunct/>
        <w:topLinePunct w:val="0"/>
        <w:autoSpaceDE/>
        <w:autoSpaceDN/>
        <w:bidi w:val="0"/>
        <w:adjustRightInd/>
        <w:snapToGrid/>
        <w:spacing w:line="240" w:lineRule="auto"/>
        <w:ind w:firstLine="560" w:firstLineChars="200"/>
        <w:textAlignment w:val="auto"/>
        <w:rPr>
          <w:rFonts w:ascii="Times New Roman" w:hAnsi="Times New Roman" w:eastAsia="仿宋_GB2312" w:cs="Times New Roman"/>
          <w:sz w:val="28"/>
          <w:szCs w:val="28"/>
        </w:rPr>
      </w:pPr>
      <w:r>
        <w:rPr>
          <w:rFonts w:ascii="Times New Roman" w:hAnsi="Times New Roman" w:eastAsia="仿宋_GB2312" w:cs="Times New Roman"/>
          <w:sz w:val="28"/>
          <w:szCs w:val="28"/>
        </w:rPr>
        <w:t>本方案由</w:t>
      </w:r>
      <w:r>
        <w:rPr>
          <w:rFonts w:hint="eastAsia" w:ascii="Times New Roman" w:hAnsi="Times New Roman" w:eastAsia="仿宋_GB2312" w:cs="Times New Roman"/>
          <w:sz w:val="28"/>
          <w:szCs w:val="28"/>
          <w:lang w:val="en-US" w:eastAsia="zh-CN"/>
        </w:rPr>
        <w:t>1</w:t>
      </w:r>
      <w:r>
        <w:rPr>
          <w:rFonts w:ascii="Times New Roman" w:hAnsi="Times New Roman" w:eastAsia="仿宋_GB2312" w:cs="Times New Roman"/>
          <w:sz w:val="28"/>
          <w:szCs w:val="28"/>
        </w:rPr>
        <w:t>个</w:t>
      </w:r>
      <w:r>
        <w:rPr>
          <w:rFonts w:hint="eastAsia" w:ascii="Times New Roman" w:hAnsi="Times New Roman" w:eastAsia="仿宋_GB2312" w:cs="Times New Roman"/>
          <w:sz w:val="28"/>
          <w:szCs w:val="28"/>
          <w:lang w:eastAsia="zh-CN"/>
        </w:rPr>
        <w:t>成片开发</w:t>
      </w:r>
      <w:r>
        <w:rPr>
          <w:rFonts w:hint="default" w:ascii="Times New Roman" w:hAnsi="Times New Roman" w:eastAsia="仿宋_GB2312" w:cs="Times New Roman"/>
          <w:sz w:val="28"/>
          <w:szCs w:val="28"/>
        </w:rPr>
        <w:t>地块</w:t>
      </w:r>
      <w:r>
        <w:rPr>
          <w:rFonts w:ascii="Times New Roman" w:hAnsi="Times New Roman" w:eastAsia="仿宋_GB2312" w:cs="Times New Roman"/>
          <w:sz w:val="28"/>
          <w:szCs w:val="28"/>
        </w:rPr>
        <w:t>组成，总面积为</w:t>
      </w:r>
      <w:r>
        <w:rPr>
          <w:rFonts w:hint="eastAsia" w:ascii="Times New Roman" w:hAnsi="Times New Roman" w:eastAsia="仿宋_GB2312" w:cs="Times New Roman"/>
          <w:sz w:val="28"/>
          <w:szCs w:val="28"/>
          <w:lang w:val="en-US" w:eastAsia="zh-CN"/>
        </w:rPr>
        <w:t>5.7014</w:t>
      </w:r>
      <w:r>
        <w:rPr>
          <w:rFonts w:ascii="Times New Roman" w:hAnsi="Times New Roman" w:eastAsia="仿宋_GB2312" w:cs="Times New Roman"/>
          <w:sz w:val="28"/>
          <w:szCs w:val="28"/>
        </w:rPr>
        <w:t>公顷。</w:t>
      </w:r>
      <w:r>
        <w:rPr>
          <w:rFonts w:hint="eastAsia" w:ascii="Times New Roman" w:hAnsi="Times New Roman" w:eastAsia="仿宋_GB2312" w:cs="Times New Roman"/>
          <w:sz w:val="28"/>
          <w:szCs w:val="28"/>
          <w:lang w:eastAsia="zh-CN"/>
        </w:rPr>
        <w:t>根据开发</w:t>
      </w:r>
      <w:r>
        <w:rPr>
          <w:rFonts w:hint="eastAsia" w:ascii="Times New Roman" w:hAnsi="Times New Roman" w:eastAsia="仿宋_GB2312" w:cs="Times New Roman"/>
          <w:sz w:val="28"/>
          <w:szCs w:val="28"/>
        </w:rPr>
        <w:t>建设计划、被征地单位意愿、征地资金、土地审批信息等因素，综合分析论证后制定拟建项目开发时序为</w:t>
      </w:r>
      <w:r>
        <w:rPr>
          <w:rFonts w:hint="eastAsia"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rPr>
        <w:t>年，即202</w:t>
      </w:r>
      <w:r>
        <w:rPr>
          <w:rFonts w:hint="eastAsia" w:ascii="Times New Roman" w:hAnsi="Times New Roman" w:eastAsia="仿宋_GB2312" w:cs="Times New Roman"/>
          <w:sz w:val="28"/>
          <w:szCs w:val="28"/>
          <w:lang w:val="en-US" w:eastAsia="zh-CN"/>
        </w:rPr>
        <w:t>7</w:t>
      </w:r>
      <w:r>
        <w:rPr>
          <w:rFonts w:hint="eastAsia" w:ascii="Times New Roman" w:hAnsi="Times New Roman" w:eastAsia="仿宋_GB2312" w:cs="Times New Roman"/>
          <w:sz w:val="28"/>
          <w:szCs w:val="28"/>
        </w:rPr>
        <w:t>年。</w:t>
      </w:r>
    </w:p>
    <w:p w14:paraId="16F99456">
      <w:pPr>
        <w:pageBreakBefore w:val="0"/>
        <w:widowControl w:val="0"/>
        <w:kinsoku/>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表2  成片开发项目一览表</w:t>
      </w:r>
    </w:p>
    <w:p w14:paraId="45ED17C1">
      <w:pPr>
        <w:pStyle w:val="4"/>
        <w:pageBreakBefore w:val="0"/>
        <w:widowControl w:val="0"/>
        <w:kinsoku/>
        <w:wordWrap w:val="0"/>
        <w:overflowPunct/>
        <w:topLinePunct w:val="0"/>
        <w:autoSpaceDE/>
        <w:autoSpaceDN/>
        <w:bidi w:val="0"/>
        <w:adjustRightInd/>
        <w:snapToGrid/>
        <w:spacing w:before="0" w:after="0" w:line="300" w:lineRule="exact"/>
        <w:jc w:val="right"/>
        <w:textAlignment w:val="auto"/>
        <w:rPr>
          <w:rFonts w:hint="eastAsia" w:eastAsia="仿宋_GB2312"/>
          <w:kern w:val="2"/>
          <w:sz w:val="24"/>
          <w:szCs w:val="24"/>
          <w:lang w:val="en-US" w:eastAsia="zh-CN"/>
        </w:rPr>
      </w:pPr>
      <w:r>
        <w:rPr>
          <w:rFonts w:hint="eastAsia" w:eastAsia="仿宋_GB2312"/>
          <w:kern w:val="2"/>
          <w:sz w:val="24"/>
          <w:szCs w:val="24"/>
        </w:rPr>
        <w:t>单位：公顷</w:t>
      </w:r>
      <w:r>
        <w:rPr>
          <w:rFonts w:hint="eastAsia" w:eastAsia="仿宋_GB2312"/>
          <w:kern w:val="2"/>
          <w:sz w:val="24"/>
          <w:szCs w:val="24"/>
          <w:lang w:val="en-US" w:eastAsia="zh-CN"/>
        </w:rPr>
        <w:t xml:space="preserve">  %</w:t>
      </w:r>
    </w:p>
    <w:tbl>
      <w:tblPr>
        <w:tblStyle w:val="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95"/>
        <w:gridCol w:w="1585"/>
        <w:gridCol w:w="1302"/>
        <w:gridCol w:w="1583"/>
        <w:gridCol w:w="1952"/>
        <w:gridCol w:w="1202"/>
      </w:tblGrid>
      <w:tr w14:paraId="7D39D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4DCCB">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kern w:val="0"/>
                <w:sz w:val="21"/>
                <w:szCs w:val="21"/>
                <w:u w:val="none"/>
                <w:lang w:val="en-US" w:eastAsia="zh-CN" w:bidi="ar"/>
              </w:rPr>
            </w:pPr>
            <w:r>
              <w:rPr>
                <w:rFonts w:hint="default" w:ascii="Times New Roman" w:hAnsi="Times New Roman" w:eastAsia="仿宋_GB2312" w:cs="Times New Roman"/>
                <w:b/>
                <w:bCs/>
                <w:i w:val="0"/>
                <w:iCs w:val="0"/>
                <w:color w:val="000000"/>
                <w:kern w:val="0"/>
                <w:sz w:val="21"/>
                <w:szCs w:val="21"/>
                <w:u w:val="none"/>
                <w:lang w:val="en-US" w:eastAsia="zh-CN" w:bidi="ar"/>
              </w:rPr>
              <w:t>成片开发地块编号</w:t>
            </w:r>
          </w:p>
        </w:tc>
        <w:tc>
          <w:tcPr>
            <w:tcW w:w="9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175EC">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kern w:val="0"/>
                <w:sz w:val="21"/>
                <w:szCs w:val="21"/>
                <w:u w:val="none"/>
                <w:lang w:val="en-US" w:eastAsia="zh-CN" w:bidi="ar"/>
              </w:rPr>
            </w:pPr>
            <w:r>
              <w:rPr>
                <w:rFonts w:hint="default" w:ascii="Times New Roman" w:hAnsi="Times New Roman" w:eastAsia="仿宋_GB2312" w:cs="Times New Roman"/>
                <w:b/>
                <w:bCs/>
                <w:i w:val="0"/>
                <w:iCs w:val="0"/>
                <w:color w:val="000000"/>
                <w:kern w:val="0"/>
                <w:sz w:val="21"/>
                <w:szCs w:val="21"/>
                <w:u w:val="none"/>
                <w:lang w:val="en-US" w:eastAsia="zh-CN" w:bidi="ar"/>
              </w:rPr>
              <w:t>成片开发地块名称</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27401">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kern w:val="0"/>
                <w:sz w:val="21"/>
                <w:szCs w:val="21"/>
                <w:u w:val="none"/>
                <w:lang w:val="en-US" w:eastAsia="zh-CN" w:bidi="ar"/>
              </w:rPr>
            </w:pPr>
            <w:r>
              <w:rPr>
                <w:rFonts w:hint="default" w:ascii="Times New Roman" w:hAnsi="Times New Roman" w:eastAsia="仿宋_GB2312" w:cs="Times New Roman"/>
                <w:b/>
                <w:bCs/>
                <w:i w:val="0"/>
                <w:iCs w:val="0"/>
                <w:color w:val="000000"/>
                <w:kern w:val="0"/>
                <w:sz w:val="21"/>
                <w:szCs w:val="21"/>
                <w:u w:val="none"/>
                <w:lang w:val="en-US" w:eastAsia="zh-CN" w:bidi="ar"/>
              </w:rPr>
              <w:t>成片开发地块面积</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5C6F3">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kern w:val="0"/>
                <w:sz w:val="21"/>
                <w:szCs w:val="21"/>
                <w:u w:val="none"/>
                <w:lang w:val="en-US" w:eastAsia="zh-CN" w:bidi="ar"/>
              </w:rPr>
            </w:pPr>
            <w:r>
              <w:rPr>
                <w:rFonts w:hint="default" w:ascii="Times New Roman" w:hAnsi="Times New Roman" w:eastAsia="仿宋_GB2312" w:cs="Times New Roman"/>
                <w:b/>
                <w:bCs/>
                <w:i w:val="0"/>
                <w:iCs w:val="0"/>
                <w:color w:val="000000"/>
                <w:kern w:val="0"/>
                <w:sz w:val="21"/>
                <w:szCs w:val="21"/>
                <w:u w:val="none"/>
                <w:lang w:val="en-US" w:eastAsia="zh-CN" w:bidi="ar"/>
              </w:rPr>
              <w:t>拟征收土地面积</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EE717">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kern w:val="0"/>
                <w:sz w:val="21"/>
                <w:szCs w:val="21"/>
                <w:u w:val="none"/>
                <w:lang w:val="en-US" w:eastAsia="zh-CN" w:bidi="ar"/>
              </w:rPr>
            </w:pPr>
            <w:r>
              <w:rPr>
                <w:rFonts w:hint="default" w:ascii="Times New Roman" w:hAnsi="Times New Roman" w:eastAsia="仿宋_GB2312" w:cs="Times New Roman"/>
                <w:b/>
                <w:bCs/>
                <w:i w:val="0"/>
                <w:iCs w:val="0"/>
                <w:color w:val="000000"/>
                <w:kern w:val="0"/>
                <w:sz w:val="21"/>
                <w:szCs w:val="21"/>
                <w:u w:val="none"/>
                <w:lang w:val="en-US" w:eastAsia="zh-CN" w:bidi="ar"/>
              </w:rPr>
              <w:t>主要用途</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FB127">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kern w:val="0"/>
                <w:sz w:val="21"/>
                <w:szCs w:val="21"/>
                <w:u w:val="none"/>
                <w:lang w:val="en-US" w:eastAsia="zh-CN" w:bidi="ar"/>
              </w:rPr>
            </w:pPr>
            <w:r>
              <w:rPr>
                <w:rFonts w:hint="default" w:ascii="Times New Roman" w:hAnsi="Times New Roman" w:eastAsia="仿宋_GB2312" w:cs="Times New Roman"/>
                <w:b/>
                <w:bCs/>
                <w:i w:val="0"/>
                <w:iCs w:val="0"/>
                <w:color w:val="000000"/>
                <w:kern w:val="0"/>
                <w:sz w:val="21"/>
                <w:szCs w:val="21"/>
                <w:u w:val="none"/>
                <w:lang w:val="en-US" w:eastAsia="zh-CN" w:bidi="ar"/>
              </w:rPr>
              <w:t>取得批文</w:t>
            </w:r>
          </w:p>
        </w:tc>
      </w:tr>
      <w:tr w14:paraId="28C82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8163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BF17</w:t>
            </w:r>
          </w:p>
        </w:tc>
        <w:tc>
          <w:tcPr>
            <w:tcW w:w="9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F8CB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深湾村工业地块</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1DEF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b w:val="0"/>
                <w:bCs w:val="0"/>
                <w:color w:val="000000"/>
                <w:kern w:val="0"/>
                <w:szCs w:val="21"/>
                <w:lang w:val="en-US" w:eastAsia="zh-CN" w:bidi="ar"/>
              </w:rPr>
              <w:t>5.7014</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C125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b w:val="0"/>
                <w:bCs w:val="0"/>
                <w:color w:val="000000"/>
                <w:kern w:val="0"/>
                <w:szCs w:val="21"/>
                <w:lang w:val="en-US" w:eastAsia="zh-CN" w:bidi="ar"/>
              </w:rPr>
              <w:t>3.8417</w:t>
            </w:r>
          </w:p>
        </w:tc>
        <w:tc>
          <w:tcPr>
            <w:tcW w:w="1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4687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仿宋_GB2312" w:hAnsi="宋体" w:eastAsia="仿宋_GB2312" w:cs="仿宋_GB2312"/>
                <w:i w:val="0"/>
                <w:iCs w:val="0"/>
                <w:color w:val="000000"/>
                <w:kern w:val="0"/>
                <w:sz w:val="21"/>
                <w:szCs w:val="21"/>
                <w:u w:val="none"/>
                <w:lang w:val="en-US" w:eastAsia="zh-CN" w:bidi="ar"/>
              </w:rPr>
              <w:t>一类工业用地、城镇道路用地、防护绿地、公园绿地</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1ADA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2027</w:t>
            </w:r>
            <w:r>
              <w:rPr>
                <w:rFonts w:hint="eastAsia" w:ascii="宋体" w:hAnsi="宋体" w:eastAsia="宋体" w:cs="宋体"/>
                <w:i w:val="0"/>
                <w:iCs w:val="0"/>
                <w:color w:val="000000"/>
                <w:kern w:val="0"/>
                <w:sz w:val="21"/>
                <w:szCs w:val="21"/>
                <w:u w:val="none"/>
                <w:lang w:val="en-US" w:eastAsia="zh-CN" w:bidi="ar"/>
              </w:rPr>
              <w:t>年</w:t>
            </w:r>
          </w:p>
        </w:tc>
      </w:tr>
      <w:tr w14:paraId="4F4A3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C0D36A">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kern w:val="0"/>
                <w:sz w:val="21"/>
                <w:szCs w:val="21"/>
                <w:u w:val="none"/>
                <w:lang w:val="en-US" w:eastAsia="zh-CN" w:bidi="ar"/>
              </w:rPr>
            </w:pPr>
            <w:r>
              <w:rPr>
                <w:rFonts w:hint="default" w:ascii="Times New Roman" w:hAnsi="Times New Roman" w:eastAsia="仿宋_GB2312" w:cs="Times New Roman"/>
                <w:b/>
                <w:bCs/>
                <w:i w:val="0"/>
                <w:iCs w:val="0"/>
                <w:color w:val="000000"/>
                <w:kern w:val="0"/>
                <w:sz w:val="21"/>
                <w:szCs w:val="21"/>
                <w:u w:val="none"/>
                <w:lang w:val="en-US" w:eastAsia="zh-CN" w:bidi="ar"/>
              </w:rPr>
              <w:t>合计</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CDC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b/>
                <w:bCs/>
                <w:i w:val="0"/>
                <w:iCs w:val="0"/>
                <w:color w:val="000000"/>
                <w:kern w:val="0"/>
                <w:sz w:val="21"/>
                <w:szCs w:val="21"/>
                <w:u w:val="none"/>
                <w:lang w:val="en-US" w:eastAsia="zh-CN" w:bidi="ar"/>
              </w:rPr>
            </w:pPr>
            <w:r>
              <w:rPr>
                <w:rFonts w:hint="default" w:ascii="Times New Roman" w:hAnsi="Times New Roman" w:eastAsia="仿宋_GB2312" w:cs="Times New Roman"/>
                <w:b/>
                <w:bCs/>
                <w:color w:val="000000"/>
                <w:kern w:val="0"/>
                <w:szCs w:val="21"/>
                <w:lang w:val="en-US" w:eastAsia="zh-CN" w:bidi="ar"/>
              </w:rPr>
              <w:t>5.7014</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30F9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b/>
                <w:bCs/>
                <w:i w:val="0"/>
                <w:iCs w:val="0"/>
                <w:color w:val="000000"/>
                <w:kern w:val="0"/>
                <w:sz w:val="21"/>
                <w:szCs w:val="21"/>
                <w:u w:val="none"/>
                <w:lang w:val="en-US" w:eastAsia="zh-CN" w:bidi="ar"/>
              </w:rPr>
            </w:pPr>
            <w:r>
              <w:rPr>
                <w:rFonts w:hint="default" w:ascii="Times New Roman" w:hAnsi="Times New Roman" w:eastAsia="仿宋_GB2312" w:cs="Times New Roman"/>
                <w:b/>
                <w:bCs/>
                <w:color w:val="000000"/>
                <w:kern w:val="0"/>
                <w:szCs w:val="21"/>
                <w:lang w:val="en-US" w:eastAsia="zh-CN" w:bidi="ar"/>
              </w:rPr>
              <w:t>3.8417</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71083">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kern w:val="0"/>
                <w:sz w:val="21"/>
                <w:szCs w:val="21"/>
                <w:u w:val="none"/>
                <w:lang w:val="en-US" w:eastAsia="zh-CN" w:bidi="ar"/>
              </w:rPr>
            </w:pPr>
            <w:r>
              <w:rPr>
                <w:rFonts w:hint="default" w:ascii="Times New Roman" w:hAnsi="Times New Roman" w:eastAsia="仿宋_GB2312" w:cs="Times New Roman"/>
                <w:b/>
                <w:bCs/>
                <w:i w:val="0"/>
                <w:iCs w:val="0"/>
                <w:color w:val="000000"/>
                <w:kern w:val="0"/>
                <w:sz w:val="21"/>
                <w:szCs w:val="21"/>
                <w:u w:val="none"/>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CB8E2">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kern w:val="0"/>
                <w:sz w:val="21"/>
                <w:szCs w:val="21"/>
                <w:u w:val="none"/>
                <w:lang w:val="en-US" w:eastAsia="zh-CN" w:bidi="ar"/>
              </w:rPr>
            </w:pPr>
            <w:r>
              <w:rPr>
                <w:rFonts w:hint="default" w:ascii="Times New Roman" w:hAnsi="Times New Roman" w:eastAsia="仿宋_GB2312" w:cs="Times New Roman"/>
                <w:b/>
                <w:bCs/>
                <w:i w:val="0"/>
                <w:iCs w:val="0"/>
                <w:color w:val="000000"/>
                <w:kern w:val="0"/>
                <w:sz w:val="21"/>
                <w:szCs w:val="21"/>
                <w:u w:val="none"/>
                <w:lang w:val="en-US" w:eastAsia="zh-CN" w:bidi="ar"/>
              </w:rPr>
              <w:t>——</w:t>
            </w:r>
          </w:p>
        </w:tc>
      </w:tr>
    </w:tbl>
    <w:p w14:paraId="5A9C742B">
      <w:pPr>
        <w:pStyle w:val="2"/>
        <w:rPr>
          <w:rFonts w:hint="default"/>
          <w:lang w:val="en-US" w:eastAsia="zh-CN"/>
        </w:rPr>
      </w:pPr>
    </w:p>
    <w:p w14:paraId="272EFDFB">
      <w:pPr>
        <w:widowControl/>
        <w:numPr>
          <w:ilvl w:val="-1"/>
          <w:numId w:val="0"/>
        </w:numPr>
        <w:snapToGrid w:val="0"/>
        <w:spacing w:before="95" w:beforeLines="30" w:after="95" w:afterLines="30" w:line="336" w:lineRule="auto"/>
        <w:ind w:firstLine="640" w:firstLineChars="200"/>
        <w:outlineLvl w:val="1"/>
        <w:rPr>
          <w:rFonts w:ascii="黑体" w:hAnsi="黑体" w:eastAsia="黑体" w:cs="黑体"/>
          <w:b w:val="0"/>
          <w:bCs w:val="0"/>
          <w:sz w:val="32"/>
          <w:szCs w:val="32"/>
        </w:rPr>
      </w:pPr>
      <w:r>
        <w:rPr>
          <w:rFonts w:hint="default" w:ascii="黑体" w:hAnsi="黑体" w:eastAsia="黑体" w:cs="黑体"/>
          <w:b w:val="0"/>
          <w:bCs w:val="0"/>
          <w:sz w:val="32"/>
          <w:szCs w:val="32"/>
          <w:lang w:val="en-US" w:eastAsia="zh-CN"/>
        </w:rPr>
        <w:t>五、</w:t>
      </w:r>
      <w:r>
        <w:rPr>
          <w:rFonts w:hint="default" w:ascii="黑体" w:hAnsi="黑体" w:eastAsia="黑体" w:cs="黑体"/>
          <w:b w:val="0"/>
          <w:bCs w:val="0"/>
          <w:sz w:val="32"/>
          <w:szCs w:val="32"/>
        </w:rPr>
        <w:t>公益性用地情况</w:t>
      </w:r>
    </w:p>
    <w:p w14:paraId="41027257">
      <w:pPr>
        <w:spacing w:before="156" w:beforeLines="50" w:after="156" w:afterLines="50" w:line="360" w:lineRule="auto"/>
        <w:ind w:firstLine="560" w:firstLineChars="200"/>
        <w:outlineLvl w:val="1"/>
        <w:rPr>
          <w:rFonts w:ascii="Times New Roman" w:hAnsi="Times New Roman" w:eastAsia="仿宋_GB2312" w:cs="Times New Roman"/>
          <w:sz w:val="28"/>
          <w:szCs w:val="28"/>
          <w:lang w:bidi="ar"/>
        </w:rPr>
      </w:pPr>
      <w:r>
        <w:rPr>
          <w:rFonts w:hint="default" w:ascii="Times New Roman" w:hAnsi="Times New Roman" w:eastAsia="仿宋_GB2312" w:cs="Times New Roman"/>
          <w:sz w:val="28"/>
          <w:szCs w:val="28"/>
          <w:lang w:bidi="ar"/>
        </w:rPr>
        <w:t>成片开发区域内公益性用地主要为</w:t>
      </w:r>
      <w:r>
        <w:rPr>
          <w:rFonts w:hint="default" w:ascii="Times New Roman" w:hAnsi="Times New Roman" w:eastAsia="仿宋_GB2312" w:cs="Times New Roman"/>
          <w:sz w:val="28"/>
          <w:szCs w:val="28"/>
          <w:lang w:val="en-US" w:eastAsia="zh-CN" w:bidi="ar"/>
        </w:rPr>
        <w:t>城镇道路用地</w:t>
      </w:r>
      <w:r>
        <w:rPr>
          <w:rFonts w:hint="eastAsia" w:ascii="Times New Roman" w:hAnsi="Times New Roman" w:eastAsia="仿宋_GB2312" w:cs="Times New Roman"/>
          <w:sz w:val="28"/>
          <w:szCs w:val="28"/>
          <w:lang w:val="en-US" w:eastAsia="zh-CN" w:bidi="ar"/>
        </w:rPr>
        <w:t>和防护绿地</w:t>
      </w:r>
      <w:r>
        <w:rPr>
          <w:rFonts w:hint="default" w:ascii="Times New Roman" w:hAnsi="Times New Roman" w:eastAsia="仿宋_GB2312" w:cs="Times New Roman"/>
          <w:sz w:val="28"/>
          <w:szCs w:val="28"/>
          <w:lang w:bidi="ar"/>
        </w:rPr>
        <w:t>。经核查，成片开发范围</w:t>
      </w:r>
      <w:r>
        <w:rPr>
          <w:rFonts w:hint="eastAsia" w:ascii="Times New Roman" w:hAnsi="Times New Roman" w:eastAsia="仿宋_GB2312" w:cs="Times New Roman"/>
          <w:kern w:val="2"/>
          <w:sz w:val="28"/>
          <w:szCs w:val="22"/>
          <w:lang w:val="en-US" w:eastAsia="zh-CN" w:bidi="ar-SA"/>
        </w:rPr>
        <w:t>符合《广东省自然资源厅关于进一步规范土地征收成片开发工作的通知》（粤自然资规字〔2024〕7号）除广州、深圳、佛山、东莞外其他地区公益性用地比例一般不低于30%的要求</w:t>
      </w:r>
      <w:r>
        <w:rPr>
          <w:rFonts w:hint="default" w:ascii="Times New Roman" w:hAnsi="Times New Roman" w:eastAsia="仿宋_GB2312" w:cs="Times New Roman"/>
          <w:sz w:val="28"/>
          <w:szCs w:val="28"/>
          <w:lang w:bidi="ar"/>
        </w:rPr>
        <w:t>。</w:t>
      </w:r>
    </w:p>
    <w:p w14:paraId="52D98D03">
      <w:pPr>
        <w:jc w:val="center"/>
        <w:rPr>
          <w:rFonts w:hint="default" w:ascii="Times New Roman" w:hAnsi="Times New Roman" w:eastAsia="仿宋_GB2312" w:cs="Times New Roman"/>
          <w:b/>
          <w:bCs/>
          <w:szCs w:val="21"/>
        </w:rPr>
      </w:pPr>
    </w:p>
    <w:p w14:paraId="5EE5FFF3">
      <w:pPr>
        <w:jc w:val="center"/>
        <w:rPr>
          <w:rFonts w:hint="default" w:ascii="Times New Roman" w:hAnsi="Times New Roman" w:eastAsia="仿宋_GB2312" w:cs="Times New Roman"/>
          <w:b/>
          <w:bCs/>
          <w:szCs w:val="21"/>
        </w:rPr>
      </w:pPr>
    </w:p>
    <w:p w14:paraId="2C3681C7">
      <w:pPr>
        <w:jc w:val="center"/>
        <w:rPr>
          <w:rFonts w:hint="default" w:ascii="Times New Roman" w:hAnsi="Times New Roman" w:eastAsia="仿宋_GB2312" w:cs="Times New Roman"/>
          <w:b/>
          <w:bCs/>
          <w:szCs w:val="21"/>
        </w:rPr>
      </w:pPr>
    </w:p>
    <w:p w14:paraId="472D4CEC">
      <w:pPr>
        <w:pStyle w:val="2"/>
        <w:rPr>
          <w:rFonts w:hint="default"/>
        </w:rPr>
      </w:pPr>
    </w:p>
    <w:p w14:paraId="59C3FF4E">
      <w:pPr>
        <w:jc w:val="center"/>
        <w:rPr>
          <w:rFonts w:hint="default" w:ascii="Times New Roman" w:hAnsi="Times New Roman" w:eastAsia="仿宋_GB2312" w:cs="Times New Roman"/>
          <w:b/>
          <w:bCs/>
          <w:szCs w:val="21"/>
        </w:rPr>
      </w:pPr>
    </w:p>
    <w:p w14:paraId="2A456EFC">
      <w:pPr>
        <w:pStyle w:val="2"/>
        <w:rPr>
          <w:rFonts w:hint="default"/>
        </w:rPr>
      </w:pPr>
    </w:p>
    <w:p w14:paraId="62C07D2F">
      <w:pPr>
        <w:jc w:val="center"/>
        <w:rPr>
          <w:rFonts w:hint="default" w:ascii="Times New Roman" w:hAnsi="Times New Roman" w:eastAsia="仿宋_GB2312" w:cs="Times New Roman"/>
          <w:b/>
          <w:bCs/>
          <w:szCs w:val="21"/>
        </w:rPr>
      </w:pPr>
      <w:r>
        <w:rPr>
          <w:rFonts w:hint="default" w:ascii="Times New Roman" w:hAnsi="Times New Roman" w:eastAsia="仿宋_GB2312" w:cs="Times New Roman"/>
          <w:b/>
          <w:bCs/>
          <w:szCs w:val="21"/>
        </w:rPr>
        <w:t>表</w:t>
      </w:r>
      <w:r>
        <w:rPr>
          <w:rFonts w:hint="eastAsia" w:ascii="Times New Roman" w:hAnsi="Times New Roman" w:eastAsia="仿宋_GB2312" w:cs="Times New Roman"/>
          <w:b/>
          <w:bCs/>
          <w:szCs w:val="21"/>
          <w:lang w:val="en-US" w:eastAsia="zh-CN"/>
        </w:rPr>
        <w:t>3</w:t>
      </w:r>
      <w:r>
        <w:rPr>
          <w:rFonts w:hint="default" w:ascii="Times New Roman" w:hAnsi="Times New Roman" w:eastAsia="仿宋_GB2312" w:cs="Times New Roman"/>
          <w:b/>
          <w:bCs/>
          <w:szCs w:val="21"/>
        </w:rPr>
        <w:t>公益性用地情况一览表</w:t>
      </w:r>
    </w:p>
    <w:p w14:paraId="71127651">
      <w:pPr>
        <w:pStyle w:val="4"/>
        <w:pageBreakBefore w:val="0"/>
        <w:widowControl w:val="0"/>
        <w:kinsoku/>
        <w:wordWrap w:val="0"/>
        <w:overflowPunct/>
        <w:topLinePunct w:val="0"/>
        <w:autoSpaceDE/>
        <w:autoSpaceDN/>
        <w:bidi w:val="0"/>
        <w:adjustRightInd/>
        <w:snapToGrid/>
        <w:spacing w:before="0" w:after="0" w:line="300" w:lineRule="exact"/>
        <w:jc w:val="right"/>
        <w:textAlignment w:val="auto"/>
        <w:rPr>
          <w:rFonts w:hint="default" w:eastAsia="仿宋_GB2312"/>
          <w:kern w:val="2"/>
          <w:sz w:val="24"/>
          <w:szCs w:val="24"/>
          <w:lang w:val="en-US" w:eastAsia="zh-CN"/>
        </w:rPr>
      </w:pPr>
      <w:r>
        <w:rPr>
          <w:rFonts w:hint="eastAsia" w:eastAsia="仿宋_GB2312"/>
          <w:kern w:val="2"/>
          <w:sz w:val="24"/>
          <w:szCs w:val="24"/>
        </w:rPr>
        <w:t>单位：公顷</w:t>
      </w:r>
      <w:r>
        <w:rPr>
          <w:rFonts w:hint="eastAsia" w:eastAsia="仿宋_GB2312"/>
          <w:kern w:val="2"/>
          <w:sz w:val="24"/>
          <w:szCs w:val="24"/>
          <w:lang w:val="en-US" w:eastAsia="zh-CN"/>
        </w:rPr>
        <w:t xml:space="preserve">  %</w:t>
      </w:r>
    </w:p>
    <w:tbl>
      <w:tblPr>
        <w:tblStyle w:val="9"/>
        <w:tblW w:w="497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5"/>
        <w:gridCol w:w="1669"/>
        <w:gridCol w:w="1170"/>
        <w:gridCol w:w="1107"/>
        <w:gridCol w:w="1214"/>
        <w:gridCol w:w="2051"/>
      </w:tblGrid>
      <w:tr w14:paraId="59A65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746" w:type="pct"/>
            <w:vAlign w:val="center"/>
          </w:tcPr>
          <w:p w14:paraId="6F3D1BBF">
            <w:pPr>
              <w:keepNext w:val="0"/>
              <w:keepLines w:val="0"/>
              <w:widowControl/>
              <w:suppressLineNumbers w:val="0"/>
              <w:jc w:val="center"/>
              <w:textAlignment w:val="center"/>
              <w:rPr>
                <w:vertAlign w:val="baseline"/>
              </w:rPr>
            </w:pPr>
            <w:r>
              <w:rPr>
                <w:rFonts w:hint="default" w:ascii="仿宋_GB2312" w:hAnsi="宋体" w:eastAsia="仿宋_GB2312" w:cs="仿宋_GB2312"/>
                <w:b/>
                <w:bCs/>
                <w:i w:val="0"/>
                <w:iCs w:val="0"/>
                <w:color w:val="000000"/>
                <w:kern w:val="0"/>
                <w:sz w:val="21"/>
                <w:szCs w:val="21"/>
                <w:u w:val="none"/>
                <w:lang w:val="en-US" w:eastAsia="zh-CN" w:bidi="ar"/>
              </w:rPr>
              <w:t>成片开发地块编号</w:t>
            </w:r>
          </w:p>
        </w:tc>
        <w:tc>
          <w:tcPr>
            <w:tcW w:w="984" w:type="pct"/>
            <w:vAlign w:val="center"/>
          </w:tcPr>
          <w:p w14:paraId="35DDDDFF">
            <w:pPr>
              <w:keepNext w:val="0"/>
              <w:keepLines w:val="0"/>
              <w:widowControl/>
              <w:suppressLineNumbers w:val="0"/>
              <w:jc w:val="center"/>
              <w:textAlignment w:val="center"/>
              <w:rPr>
                <w:vertAlign w:val="baseline"/>
              </w:rPr>
            </w:pPr>
            <w:r>
              <w:rPr>
                <w:rFonts w:hint="default" w:ascii="仿宋_GB2312" w:hAnsi="宋体" w:eastAsia="仿宋_GB2312" w:cs="仿宋_GB2312"/>
                <w:b/>
                <w:bCs/>
                <w:i w:val="0"/>
                <w:iCs w:val="0"/>
                <w:color w:val="000000"/>
                <w:kern w:val="0"/>
                <w:sz w:val="21"/>
                <w:szCs w:val="21"/>
                <w:u w:val="none"/>
                <w:lang w:val="en-US" w:eastAsia="zh-CN" w:bidi="ar"/>
              </w:rPr>
              <w:t>成片开发地块名称</w:t>
            </w:r>
          </w:p>
        </w:tc>
        <w:tc>
          <w:tcPr>
            <w:tcW w:w="690" w:type="pct"/>
            <w:vAlign w:val="center"/>
          </w:tcPr>
          <w:p w14:paraId="1AC0B940">
            <w:pPr>
              <w:keepNext w:val="0"/>
              <w:keepLines w:val="0"/>
              <w:widowControl/>
              <w:suppressLineNumbers w:val="0"/>
              <w:jc w:val="center"/>
              <w:textAlignment w:val="center"/>
              <w:rPr>
                <w:vertAlign w:val="baseline"/>
              </w:rPr>
            </w:pPr>
            <w:r>
              <w:rPr>
                <w:rFonts w:hint="default" w:ascii="Times New Roman" w:hAnsi="Times New Roman" w:eastAsia="仿宋_GB2312" w:cs="Times New Roman"/>
                <w:b/>
                <w:bCs/>
                <w:i w:val="0"/>
                <w:iCs w:val="0"/>
                <w:color w:val="000000"/>
                <w:kern w:val="0"/>
                <w:sz w:val="21"/>
                <w:szCs w:val="21"/>
                <w:u w:val="none"/>
                <w:lang w:val="en-US" w:eastAsia="zh-CN" w:bidi="ar"/>
              </w:rPr>
              <w:t>成片开发地块面积</w:t>
            </w:r>
          </w:p>
        </w:tc>
        <w:tc>
          <w:tcPr>
            <w:tcW w:w="653" w:type="pct"/>
            <w:vAlign w:val="center"/>
          </w:tcPr>
          <w:p w14:paraId="5851BFAE">
            <w:pPr>
              <w:keepNext w:val="0"/>
              <w:keepLines w:val="0"/>
              <w:widowControl/>
              <w:suppressLineNumbers w:val="0"/>
              <w:jc w:val="center"/>
              <w:textAlignment w:val="center"/>
              <w:rPr>
                <w:vertAlign w:val="baseline"/>
              </w:rPr>
            </w:pPr>
            <w:r>
              <w:rPr>
                <w:rFonts w:hint="default" w:ascii="仿宋_GB2312" w:hAnsi="宋体" w:eastAsia="仿宋_GB2312" w:cs="仿宋_GB2312"/>
                <w:b/>
                <w:bCs/>
                <w:i w:val="0"/>
                <w:iCs w:val="0"/>
                <w:color w:val="000000"/>
                <w:kern w:val="0"/>
                <w:sz w:val="21"/>
                <w:szCs w:val="21"/>
                <w:u w:val="none"/>
                <w:lang w:val="en-US" w:eastAsia="zh-CN" w:bidi="ar"/>
              </w:rPr>
              <w:t>公益性用地</w:t>
            </w:r>
          </w:p>
        </w:tc>
        <w:tc>
          <w:tcPr>
            <w:tcW w:w="716" w:type="pct"/>
            <w:vAlign w:val="center"/>
          </w:tcPr>
          <w:p w14:paraId="46B42E3E">
            <w:pPr>
              <w:keepNext w:val="0"/>
              <w:keepLines w:val="0"/>
              <w:widowControl/>
              <w:suppressLineNumbers w:val="0"/>
              <w:jc w:val="center"/>
              <w:textAlignment w:val="center"/>
              <w:rPr>
                <w:vertAlign w:val="baseline"/>
              </w:rPr>
            </w:pPr>
            <w:r>
              <w:rPr>
                <w:rFonts w:hint="default" w:ascii="仿宋_GB2312" w:hAnsi="宋体" w:eastAsia="仿宋_GB2312" w:cs="仿宋_GB2312"/>
                <w:b/>
                <w:bCs/>
                <w:i w:val="0"/>
                <w:iCs w:val="0"/>
                <w:color w:val="000000"/>
                <w:kern w:val="0"/>
                <w:sz w:val="21"/>
                <w:szCs w:val="21"/>
                <w:u w:val="none"/>
                <w:lang w:val="en-US" w:eastAsia="zh-CN" w:bidi="ar"/>
              </w:rPr>
              <w:t>公益性用地比例</w:t>
            </w:r>
          </w:p>
        </w:tc>
        <w:tc>
          <w:tcPr>
            <w:tcW w:w="1209" w:type="pct"/>
            <w:vAlign w:val="center"/>
          </w:tcPr>
          <w:p w14:paraId="7F77B23F">
            <w:pPr>
              <w:keepNext w:val="0"/>
              <w:keepLines w:val="0"/>
              <w:widowControl/>
              <w:suppressLineNumbers w:val="0"/>
              <w:jc w:val="center"/>
              <w:textAlignment w:val="center"/>
              <w:rPr>
                <w:vertAlign w:val="baseline"/>
              </w:rPr>
            </w:pPr>
            <w:r>
              <w:rPr>
                <w:rFonts w:hint="default" w:ascii="仿宋_GB2312" w:hAnsi="宋体" w:eastAsia="仿宋_GB2312" w:cs="仿宋_GB2312"/>
                <w:b/>
                <w:bCs/>
                <w:i w:val="0"/>
                <w:iCs w:val="0"/>
                <w:color w:val="000000"/>
                <w:kern w:val="0"/>
                <w:sz w:val="21"/>
                <w:szCs w:val="21"/>
                <w:u w:val="none"/>
                <w:lang w:val="en-US" w:eastAsia="zh-CN" w:bidi="ar"/>
              </w:rPr>
              <w:t>公益性用地地类</w:t>
            </w:r>
          </w:p>
        </w:tc>
      </w:tr>
      <w:tr w14:paraId="7300C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746" w:type="pct"/>
            <w:vAlign w:val="center"/>
          </w:tcPr>
          <w:p w14:paraId="48B939ED">
            <w:pPr>
              <w:keepNext w:val="0"/>
              <w:keepLines w:val="0"/>
              <w:widowControl/>
              <w:suppressLineNumbers w:val="0"/>
              <w:jc w:val="center"/>
              <w:textAlignment w:val="center"/>
              <w:rPr>
                <w:vertAlign w:val="baseline"/>
              </w:rPr>
            </w:pPr>
            <w:r>
              <w:rPr>
                <w:rFonts w:hint="default" w:ascii="Times New Roman" w:hAnsi="Times New Roman" w:eastAsia="仿宋_GB2312" w:cs="Times New Roman"/>
                <w:i w:val="0"/>
                <w:iCs w:val="0"/>
                <w:color w:val="000000"/>
                <w:kern w:val="0"/>
                <w:sz w:val="21"/>
                <w:szCs w:val="21"/>
                <w:u w:val="none"/>
                <w:lang w:val="en-US" w:eastAsia="zh-CN" w:bidi="ar"/>
              </w:rPr>
              <w:t>BF17</w:t>
            </w:r>
          </w:p>
        </w:tc>
        <w:tc>
          <w:tcPr>
            <w:tcW w:w="984" w:type="pct"/>
            <w:vAlign w:val="center"/>
          </w:tcPr>
          <w:p w14:paraId="6061372C">
            <w:pPr>
              <w:keepNext w:val="0"/>
              <w:keepLines w:val="0"/>
              <w:widowControl/>
              <w:suppressLineNumbers w:val="0"/>
              <w:jc w:val="center"/>
              <w:textAlignment w:val="center"/>
              <w:rPr>
                <w:vertAlign w:val="baseline"/>
              </w:rPr>
            </w:pPr>
            <w:r>
              <w:rPr>
                <w:rFonts w:hint="default" w:ascii="Times New Roman" w:hAnsi="Times New Roman" w:eastAsia="仿宋_GB2312" w:cs="Times New Roman"/>
                <w:i w:val="0"/>
                <w:iCs w:val="0"/>
                <w:color w:val="000000"/>
                <w:kern w:val="0"/>
                <w:sz w:val="21"/>
                <w:szCs w:val="21"/>
                <w:u w:val="none"/>
                <w:lang w:val="en-US" w:eastAsia="zh-CN" w:bidi="ar"/>
              </w:rPr>
              <w:t>深湾村工业地块</w:t>
            </w:r>
          </w:p>
        </w:tc>
        <w:tc>
          <w:tcPr>
            <w:tcW w:w="690" w:type="pct"/>
            <w:vAlign w:val="center"/>
          </w:tcPr>
          <w:p w14:paraId="52F3570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b w:val="0"/>
                <w:bCs w:val="0"/>
                <w:color w:val="000000"/>
                <w:kern w:val="0"/>
                <w:szCs w:val="21"/>
                <w:lang w:val="en-US" w:eastAsia="zh-CN" w:bidi="ar"/>
              </w:rPr>
              <w:t>5.7014</w:t>
            </w:r>
          </w:p>
        </w:tc>
        <w:tc>
          <w:tcPr>
            <w:tcW w:w="653" w:type="pct"/>
            <w:shd w:val="clear" w:color="auto" w:fill="auto"/>
            <w:vAlign w:val="center"/>
          </w:tcPr>
          <w:p w14:paraId="46D5A03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b w:val="0"/>
                <w:bCs w:val="0"/>
                <w:color w:val="000000"/>
                <w:kern w:val="0"/>
                <w:szCs w:val="21"/>
                <w:lang w:val="en-US" w:eastAsia="zh-CN" w:bidi="ar"/>
              </w:rPr>
            </w:pPr>
            <w:r>
              <w:rPr>
                <w:rFonts w:hint="eastAsia" w:ascii="Times New Roman" w:hAnsi="Times New Roman" w:eastAsia="仿宋_GB2312" w:cs="Times New Roman"/>
                <w:b w:val="0"/>
                <w:bCs w:val="0"/>
                <w:color w:val="000000"/>
                <w:kern w:val="0"/>
                <w:szCs w:val="21"/>
                <w:lang w:val="en-US" w:eastAsia="zh-CN" w:bidi="ar"/>
              </w:rPr>
              <w:t>1.8103</w:t>
            </w:r>
          </w:p>
        </w:tc>
        <w:tc>
          <w:tcPr>
            <w:tcW w:w="716" w:type="pct"/>
            <w:vAlign w:val="center"/>
          </w:tcPr>
          <w:p w14:paraId="0EF2070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b w:val="0"/>
                <w:bCs w:val="0"/>
                <w:color w:val="000000"/>
                <w:kern w:val="0"/>
                <w:szCs w:val="21"/>
                <w:lang w:val="en-US" w:eastAsia="zh-CN" w:bidi="ar"/>
              </w:rPr>
            </w:pPr>
            <w:r>
              <w:rPr>
                <w:rFonts w:hint="eastAsia" w:ascii="Times New Roman" w:hAnsi="Times New Roman" w:eastAsia="仿宋_GB2312" w:cs="Times New Roman"/>
                <w:b w:val="0"/>
                <w:bCs w:val="0"/>
                <w:color w:val="000000"/>
                <w:kern w:val="0"/>
                <w:szCs w:val="21"/>
                <w:lang w:val="en-US" w:eastAsia="zh-CN" w:bidi="ar"/>
              </w:rPr>
              <w:t>31.75</w:t>
            </w:r>
          </w:p>
        </w:tc>
        <w:tc>
          <w:tcPr>
            <w:tcW w:w="1209" w:type="pct"/>
            <w:vAlign w:val="center"/>
          </w:tcPr>
          <w:p w14:paraId="60ABA108">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城镇道路用地、防护绿地、公园绿地</w:t>
            </w:r>
          </w:p>
        </w:tc>
      </w:tr>
      <w:tr w14:paraId="7C3A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730" w:type="pct"/>
            <w:gridSpan w:val="2"/>
            <w:vAlign w:val="center"/>
          </w:tcPr>
          <w:p w14:paraId="103D605B">
            <w:pPr>
              <w:keepNext w:val="0"/>
              <w:keepLines w:val="0"/>
              <w:widowControl/>
              <w:suppressLineNumbers w:val="0"/>
              <w:jc w:val="center"/>
              <w:textAlignment w:val="center"/>
              <w:rPr>
                <w:vertAlign w:val="baseline"/>
              </w:rPr>
            </w:pPr>
            <w:r>
              <w:rPr>
                <w:rFonts w:hint="default" w:ascii="Times New Roman" w:hAnsi="Times New Roman" w:eastAsia="仿宋_GB2312" w:cs="Times New Roman"/>
                <w:b/>
                <w:bCs/>
                <w:i w:val="0"/>
                <w:iCs w:val="0"/>
                <w:color w:val="000000"/>
                <w:kern w:val="0"/>
                <w:sz w:val="21"/>
                <w:szCs w:val="21"/>
                <w:u w:val="none"/>
                <w:lang w:val="en-US" w:eastAsia="zh-CN" w:bidi="ar"/>
              </w:rPr>
              <w:t>合计</w:t>
            </w:r>
          </w:p>
        </w:tc>
        <w:tc>
          <w:tcPr>
            <w:tcW w:w="690" w:type="pct"/>
            <w:vAlign w:val="center"/>
          </w:tcPr>
          <w:p w14:paraId="6A12A2EC">
            <w:pPr>
              <w:keepNext w:val="0"/>
              <w:keepLines w:val="0"/>
              <w:pageBreakBefore w:val="0"/>
              <w:widowControl/>
              <w:kinsoku/>
              <w:wordWrap/>
              <w:overflowPunct/>
              <w:topLinePunct w:val="0"/>
              <w:autoSpaceDE/>
              <w:autoSpaceDN/>
              <w:bidi w:val="0"/>
              <w:adjustRightInd/>
              <w:snapToGrid/>
              <w:spacing w:line="240" w:lineRule="exact"/>
              <w:jc w:val="center"/>
              <w:textAlignment w:val="center"/>
              <w:rPr>
                <w:vertAlign w:val="baseline"/>
              </w:rPr>
            </w:pPr>
            <w:r>
              <w:rPr>
                <w:rFonts w:hint="default" w:ascii="Times New Roman" w:hAnsi="Times New Roman" w:eastAsia="仿宋_GB2312" w:cs="Times New Roman"/>
                <w:b/>
                <w:bCs/>
                <w:color w:val="000000"/>
                <w:kern w:val="0"/>
                <w:szCs w:val="21"/>
                <w:lang w:val="en-US" w:eastAsia="zh-CN" w:bidi="ar"/>
              </w:rPr>
              <w:t>5.7014</w:t>
            </w:r>
          </w:p>
        </w:tc>
        <w:tc>
          <w:tcPr>
            <w:tcW w:w="653" w:type="pct"/>
            <w:shd w:val="clear" w:color="auto" w:fill="auto"/>
            <w:vAlign w:val="center"/>
          </w:tcPr>
          <w:p w14:paraId="4C87857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b/>
                <w:bCs/>
                <w:color w:val="000000"/>
                <w:kern w:val="0"/>
                <w:szCs w:val="21"/>
                <w:lang w:val="en-US" w:eastAsia="zh-CN" w:bidi="ar"/>
              </w:rPr>
            </w:pPr>
            <w:r>
              <w:rPr>
                <w:rFonts w:hint="eastAsia" w:ascii="Times New Roman" w:hAnsi="Times New Roman" w:eastAsia="仿宋_GB2312" w:cs="Times New Roman"/>
                <w:b/>
                <w:bCs/>
                <w:color w:val="000000"/>
                <w:kern w:val="0"/>
                <w:szCs w:val="21"/>
                <w:lang w:val="en-US" w:eastAsia="zh-CN" w:bidi="ar"/>
              </w:rPr>
              <w:t>1.8103</w:t>
            </w:r>
          </w:p>
        </w:tc>
        <w:tc>
          <w:tcPr>
            <w:tcW w:w="716" w:type="pct"/>
            <w:vAlign w:val="center"/>
          </w:tcPr>
          <w:p w14:paraId="5C41FD8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b/>
                <w:bCs/>
                <w:color w:val="000000"/>
                <w:kern w:val="0"/>
                <w:szCs w:val="21"/>
                <w:lang w:val="en-US" w:eastAsia="zh-CN" w:bidi="ar"/>
              </w:rPr>
            </w:pPr>
            <w:r>
              <w:rPr>
                <w:rFonts w:hint="eastAsia" w:ascii="Times New Roman" w:hAnsi="Times New Roman" w:eastAsia="仿宋_GB2312" w:cs="Times New Roman"/>
                <w:b/>
                <w:bCs/>
                <w:color w:val="000000"/>
                <w:kern w:val="0"/>
                <w:szCs w:val="21"/>
                <w:lang w:val="en-US" w:eastAsia="zh-CN" w:bidi="ar"/>
              </w:rPr>
              <w:t>31.75</w:t>
            </w:r>
          </w:p>
        </w:tc>
        <w:tc>
          <w:tcPr>
            <w:tcW w:w="1209" w:type="pct"/>
            <w:vAlign w:val="center"/>
          </w:tcPr>
          <w:p w14:paraId="42ADE619">
            <w:pPr>
              <w:keepNext w:val="0"/>
              <w:keepLines w:val="0"/>
              <w:widowControl/>
              <w:suppressLineNumbers w:val="0"/>
              <w:jc w:val="center"/>
              <w:textAlignment w:val="center"/>
              <w:rPr>
                <w:vertAlign w:val="baseline"/>
              </w:rPr>
            </w:pPr>
            <w:r>
              <w:rPr>
                <w:rFonts w:hint="default" w:ascii="Times New Roman" w:hAnsi="Times New Roman" w:eastAsia="仿宋_GB2312" w:cs="Times New Roman"/>
                <w:b/>
                <w:bCs/>
                <w:i w:val="0"/>
                <w:iCs w:val="0"/>
                <w:color w:val="000000"/>
                <w:kern w:val="0"/>
                <w:sz w:val="21"/>
                <w:szCs w:val="21"/>
                <w:u w:val="none"/>
                <w:lang w:val="en-US" w:eastAsia="zh-CN" w:bidi="ar"/>
              </w:rPr>
              <w:t>——</w:t>
            </w:r>
          </w:p>
        </w:tc>
      </w:tr>
    </w:tbl>
    <w:p w14:paraId="6EA675AA">
      <w:pPr>
        <w:jc w:val="center"/>
        <w:rPr>
          <w:rFonts w:hint="default" w:ascii="Times New Roman" w:hAnsi="Times New Roman" w:eastAsia="仿宋_GB2312" w:cs="Times New Roman"/>
          <w:b/>
          <w:bCs/>
          <w:szCs w:val="21"/>
        </w:rPr>
      </w:pPr>
    </w:p>
    <w:p w14:paraId="7FC0EFB2">
      <w:pPr>
        <w:widowControl/>
        <w:numPr>
          <w:ilvl w:val="-1"/>
          <w:numId w:val="0"/>
        </w:numPr>
        <w:snapToGrid w:val="0"/>
        <w:spacing w:before="95" w:beforeLines="30" w:after="95" w:afterLines="30" w:line="336" w:lineRule="auto"/>
        <w:ind w:firstLine="640" w:firstLineChars="200"/>
        <w:outlineLvl w:val="1"/>
        <w:rPr>
          <w:rFonts w:ascii="黑体" w:hAnsi="黑体" w:eastAsia="黑体" w:cs="黑体"/>
          <w:b w:val="0"/>
          <w:bCs w:val="0"/>
          <w:sz w:val="32"/>
          <w:szCs w:val="32"/>
        </w:rPr>
      </w:pPr>
      <w:r>
        <w:rPr>
          <w:rFonts w:hint="eastAsia" w:ascii="黑体" w:hAnsi="黑体" w:eastAsia="黑体" w:cs="黑体"/>
          <w:b w:val="0"/>
          <w:bCs w:val="0"/>
          <w:sz w:val="32"/>
          <w:szCs w:val="32"/>
          <w:lang w:val="en-US" w:eastAsia="zh-CN"/>
        </w:rPr>
        <w:t>六、</w:t>
      </w:r>
      <w:r>
        <w:rPr>
          <w:rFonts w:hint="default" w:ascii="黑体" w:hAnsi="黑体" w:eastAsia="黑体" w:cs="黑体"/>
          <w:b w:val="0"/>
          <w:bCs w:val="0"/>
          <w:sz w:val="32"/>
          <w:szCs w:val="32"/>
        </w:rPr>
        <w:t>成片开发效益评估</w:t>
      </w:r>
    </w:p>
    <w:p w14:paraId="43D1543D">
      <w:pPr>
        <w:snapToGrid w:val="0"/>
        <w:spacing w:before="0" w:beforeLines="-2147483648" w:after="0" w:afterLines="-2147483648" w:line="336" w:lineRule="auto"/>
        <w:ind w:firstLine="640" w:firstLineChars="200"/>
        <w:outlineLvl w:val="2"/>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（一）土地利用效益评估</w:t>
      </w:r>
    </w:p>
    <w:p w14:paraId="093E8C00">
      <w:pPr>
        <w:spacing w:before="0" w:beforeLines="0" w:after="0" w:afterLines="0" w:line="360" w:lineRule="auto"/>
        <w:ind w:firstLine="560" w:firstLineChars="200"/>
        <w:outlineLvl w:val="1"/>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通过土地征收成片开发，将有效推进用地节约集约利用，避免用地浪费，实现土地资源的合理配置。在布局优化方面，成片开发范围规划用地符合《中山市城市控制性详细规划实施办法》等相关要求，能够科学合理</w:t>
      </w:r>
      <w:r>
        <w:rPr>
          <w:rFonts w:hint="eastAsia" w:ascii="Times New Roman" w:hAnsi="Times New Roman" w:eastAsia="仿宋_GB2312" w:cs="Times New Roman"/>
          <w:sz w:val="28"/>
          <w:szCs w:val="28"/>
          <w:lang w:eastAsia="zh-CN" w:bidi="ar"/>
        </w:rPr>
        <w:t>利用土地资源</w:t>
      </w:r>
      <w:r>
        <w:rPr>
          <w:rFonts w:hint="eastAsia" w:ascii="Times New Roman" w:hAnsi="Times New Roman" w:eastAsia="仿宋_GB2312" w:cs="Times New Roman"/>
          <w:sz w:val="28"/>
          <w:szCs w:val="28"/>
          <w:lang w:bidi="ar"/>
        </w:rPr>
        <w:t>、优化区域功能</w:t>
      </w:r>
      <w:r>
        <w:rPr>
          <w:rFonts w:hint="eastAsia" w:ascii="Times New Roman" w:hAnsi="Times New Roman" w:eastAsia="仿宋_GB2312" w:cs="Times New Roman"/>
          <w:sz w:val="28"/>
          <w:szCs w:val="28"/>
          <w:lang w:eastAsia="zh-CN" w:bidi="ar"/>
        </w:rPr>
        <w:t>布局</w:t>
      </w:r>
      <w:r>
        <w:rPr>
          <w:rFonts w:hint="eastAsia" w:ascii="Times New Roman" w:hAnsi="Times New Roman" w:eastAsia="仿宋_GB2312" w:cs="Times New Roman"/>
          <w:sz w:val="28"/>
          <w:szCs w:val="28"/>
          <w:lang w:bidi="ar"/>
        </w:rPr>
        <w:t>。</w:t>
      </w:r>
    </w:p>
    <w:p w14:paraId="195A4893">
      <w:pPr>
        <w:snapToGrid w:val="0"/>
        <w:spacing w:line="336" w:lineRule="auto"/>
        <w:ind w:firstLine="640" w:firstLineChars="200"/>
        <w:outlineLvl w:val="2"/>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（二）经济效益评估</w:t>
      </w:r>
    </w:p>
    <w:p w14:paraId="6A86D5E0">
      <w:pPr>
        <w:keepNext w:val="0"/>
        <w:keepLines w:val="0"/>
        <w:pageBreakBefore w:val="0"/>
        <w:kinsoku/>
        <w:wordWrap/>
        <w:overflowPunct/>
        <w:topLinePunct w:val="0"/>
        <w:autoSpaceDE/>
        <w:autoSpaceDN/>
        <w:bidi w:val="0"/>
        <w:adjustRightInd/>
        <w:snapToGrid/>
        <w:spacing w:before="0" w:beforeLines="0" w:after="0" w:afterLines="0" w:line="360" w:lineRule="auto"/>
        <w:ind w:firstLine="560" w:firstLineChars="200"/>
        <w:textAlignment w:val="auto"/>
        <w:outlineLvl w:val="1"/>
        <w:rPr>
          <w:rFonts w:hint="eastAsia"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成片开发范围经济盈利能力和抗风险能力相对较强，预计可产生良好的经济效益。项目具有较强的辐射带动作用，能够与周边形成联动发展，改善投资环境促进规模化发展建设，推动经济社会高质量发展。</w:t>
      </w:r>
    </w:p>
    <w:p w14:paraId="673D77CC">
      <w:pPr>
        <w:snapToGrid w:val="0"/>
        <w:spacing w:before="0" w:beforeLines="-2147483648" w:after="0" w:afterLines="-2147483648" w:line="336" w:lineRule="auto"/>
        <w:ind w:firstLine="640" w:firstLineChars="200"/>
        <w:outlineLvl w:val="2"/>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（三）社会效益评估</w:t>
      </w:r>
    </w:p>
    <w:p w14:paraId="5E47602A">
      <w:pPr>
        <w:keepNext w:val="0"/>
        <w:keepLines w:val="0"/>
        <w:pageBreakBefore w:val="0"/>
        <w:kinsoku/>
        <w:wordWrap/>
        <w:overflowPunct/>
        <w:topLinePunct w:val="0"/>
        <w:autoSpaceDE/>
        <w:autoSpaceDN/>
        <w:bidi w:val="0"/>
        <w:adjustRightInd/>
        <w:snapToGrid/>
        <w:spacing w:before="0" w:beforeLines="0" w:after="0" w:afterLines="0" w:line="360" w:lineRule="auto"/>
        <w:ind w:firstLine="560" w:firstLineChars="200"/>
        <w:textAlignment w:val="auto"/>
        <w:outlineLvl w:val="1"/>
        <w:rPr>
          <w:rFonts w:hint="eastAsia" w:ascii="Times New Roman" w:hAnsi="Times New Roman" w:eastAsia="仿宋_GB2312" w:cs="Times New Roman"/>
          <w:b w:val="0"/>
          <w:bCs w:val="0"/>
          <w:sz w:val="28"/>
          <w:szCs w:val="28"/>
          <w:lang w:bidi="ar"/>
        </w:rPr>
      </w:pPr>
      <w:r>
        <w:rPr>
          <w:rFonts w:hint="eastAsia" w:ascii="Times New Roman" w:hAnsi="Times New Roman" w:eastAsia="仿宋_GB2312" w:cs="Times New Roman"/>
          <w:b w:val="0"/>
          <w:bCs w:val="0"/>
          <w:sz w:val="28"/>
          <w:szCs w:val="28"/>
          <w:lang w:bidi="ar"/>
        </w:rPr>
        <w:t>1</w:t>
      </w:r>
      <w:r>
        <w:rPr>
          <w:rFonts w:hint="eastAsia" w:ascii="Times New Roman" w:hAnsi="Times New Roman" w:eastAsia="仿宋_GB2312" w:cs="Times New Roman"/>
          <w:b w:val="0"/>
          <w:bCs w:val="0"/>
          <w:sz w:val="28"/>
          <w:szCs w:val="28"/>
          <w:lang w:eastAsia="zh-CN" w:bidi="ar"/>
        </w:rPr>
        <w:t>.</w:t>
      </w:r>
      <w:r>
        <w:rPr>
          <w:rFonts w:hint="eastAsia" w:ascii="Times New Roman" w:hAnsi="Times New Roman" w:eastAsia="仿宋_GB2312" w:cs="Times New Roman"/>
          <w:b w:val="0"/>
          <w:bCs w:val="0"/>
          <w:sz w:val="28"/>
          <w:szCs w:val="28"/>
          <w:lang w:val="en-US" w:eastAsia="zh-CN" w:bidi="ar"/>
        </w:rPr>
        <w:t xml:space="preserve"> </w:t>
      </w:r>
      <w:r>
        <w:rPr>
          <w:rFonts w:hint="eastAsia" w:ascii="Times New Roman" w:hAnsi="Times New Roman" w:eastAsia="仿宋_GB2312" w:cs="Times New Roman"/>
          <w:b w:val="0"/>
          <w:bCs w:val="0"/>
          <w:sz w:val="28"/>
          <w:szCs w:val="28"/>
          <w:lang w:bidi="ar"/>
        </w:rPr>
        <w:t>公共产品供给</w:t>
      </w:r>
    </w:p>
    <w:p w14:paraId="344A98EA">
      <w:pPr>
        <w:keepNext w:val="0"/>
        <w:keepLines w:val="0"/>
        <w:pageBreakBefore w:val="0"/>
        <w:kinsoku/>
        <w:wordWrap/>
        <w:overflowPunct/>
        <w:topLinePunct w:val="0"/>
        <w:autoSpaceDE/>
        <w:autoSpaceDN/>
        <w:bidi w:val="0"/>
        <w:adjustRightInd/>
        <w:snapToGrid/>
        <w:spacing w:before="0" w:beforeLines="0" w:after="0" w:afterLines="0" w:line="360" w:lineRule="auto"/>
        <w:ind w:firstLine="560" w:firstLineChars="200"/>
        <w:textAlignment w:val="auto"/>
        <w:outlineLvl w:val="1"/>
        <w:rPr>
          <w:rFonts w:hint="eastAsia"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在完善生活设施配套方面，成片开发范围内</w:t>
      </w:r>
      <w:r>
        <w:rPr>
          <w:rFonts w:hint="eastAsia" w:ascii="Times New Roman" w:hAnsi="Times New Roman" w:eastAsia="仿宋_GB2312" w:cs="Times New Roman"/>
          <w:sz w:val="28"/>
          <w:szCs w:val="28"/>
          <w:lang w:val="en-US" w:eastAsia="zh-CN" w:bidi="ar"/>
        </w:rPr>
        <w:t>城镇道路用地、防护</w:t>
      </w:r>
      <w:r>
        <w:rPr>
          <w:rFonts w:hint="eastAsia" w:ascii="Times New Roman" w:hAnsi="Times New Roman" w:eastAsia="仿宋_GB2312" w:cs="Times New Roman"/>
          <w:sz w:val="28"/>
          <w:szCs w:val="28"/>
          <w:lang w:bidi="ar"/>
        </w:rPr>
        <w:t>绿地等统筹建设，能够有效保障片区设施配套建设需求。</w:t>
      </w:r>
    </w:p>
    <w:p w14:paraId="09862C2F">
      <w:pPr>
        <w:keepNext w:val="0"/>
        <w:keepLines w:val="0"/>
        <w:pageBreakBefore w:val="0"/>
        <w:numPr>
          <w:ilvl w:val="0"/>
          <w:numId w:val="1"/>
        </w:numPr>
        <w:kinsoku/>
        <w:wordWrap/>
        <w:overflowPunct/>
        <w:topLinePunct w:val="0"/>
        <w:autoSpaceDE/>
        <w:autoSpaceDN/>
        <w:bidi w:val="0"/>
        <w:adjustRightInd/>
        <w:snapToGrid/>
        <w:spacing w:before="0" w:beforeLines="0" w:after="0" w:afterLines="0" w:line="360" w:lineRule="auto"/>
        <w:ind w:firstLine="560" w:firstLineChars="200"/>
        <w:textAlignment w:val="auto"/>
        <w:outlineLvl w:val="1"/>
        <w:rPr>
          <w:rFonts w:hint="eastAsia" w:ascii="Times New Roman" w:hAnsi="Times New Roman" w:eastAsia="仿宋_GB2312" w:cs="Times New Roman"/>
          <w:b w:val="0"/>
          <w:bCs w:val="0"/>
          <w:sz w:val="28"/>
          <w:szCs w:val="28"/>
          <w:lang w:bidi="ar"/>
        </w:rPr>
      </w:pPr>
      <w:r>
        <w:rPr>
          <w:rFonts w:hint="eastAsia" w:ascii="Times New Roman" w:hAnsi="Times New Roman" w:eastAsia="仿宋_GB2312" w:cs="Times New Roman"/>
          <w:b w:val="0"/>
          <w:bCs w:val="0"/>
          <w:sz w:val="28"/>
          <w:szCs w:val="28"/>
          <w:lang w:bidi="ar"/>
        </w:rPr>
        <w:t>增加就业机会，吸引人口流入</w:t>
      </w:r>
    </w:p>
    <w:p w14:paraId="0737375F">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560" w:firstLineChars="200"/>
        <w:textAlignment w:val="auto"/>
        <w:outlineLvl w:val="1"/>
        <w:rPr>
          <w:rFonts w:hint="eastAsia"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通过</w:t>
      </w:r>
      <w:r>
        <w:rPr>
          <w:rFonts w:hint="eastAsia" w:ascii="Times New Roman" w:hAnsi="Times New Roman" w:eastAsia="仿宋_GB2312" w:cs="Times New Roman"/>
          <w:sz w:val="28"/>
          <w:szCs w:val="28"/>
          <w:lang w:eastAsia="zh-CN" w:bidi="ar"/>
        </w:rPr>
        <w:t>工业产业</w:t>
      </w:r>
      <w:r>
        <w:rPr>
          <w:rFonts w:hint="eastAsia" w:ascii="Times New Roman" w:hAnsi="Times New Roman" w:eastAsia="仿宋_GB2312" w:cs="Times New Roman"/>
          <w:sz w:val="28"/>
          <w:szCs w:val="28"/>
          <w:lang w:val="en-US" w:eastAsia="zh-CN" w:bidi="ar"/>
        </w:rPr>
        <w:t>项目建设</w:t>
      </w:r>
      <w:r>
        <w:rPr>
          <w:rFonts w:hint="eastAsia" w:ascii="Times New Roman" w:hAnsi="Times New Roman" w:eastAsia="仿宋_GB2312" w:cs="Times New Roman"/>
          <w:sz w:val="28"/>
          <w:szCs w:val="28"/>
          <w:lang w:bidi="ar"/>
        </w:rPr>
        <w:t>，统筹促进经济发展和就业增长的良性互动，扩大就业容量，创造大量就业岗位，促进常住人口数量增长，</w:t>
      </w:r>
      <w:r>
        <w:rPr>
          <w:rFonts w:hint="eastAsia" w:ascii="Times New Roman" w:hAnsi="Times New Roman" w:eastAsia="仿宋_GB2312" w:cs="Times New Roman"/>
          <w:spacing w:val="0"/>
          <w:sz w:val="28"/>
          <w:szCs w:val="28"/>
          <w:lang w:bidi="ar"/>
        </w:rPr>
        <w:t>增加政府财政税收，符合国民经济和社会发展规划的要求，保障城市开发建设科学有序地推进。</w:t>
      </w:r>
    </w:p>
    <w:p w14:paraId="5016019C">
      <w:pPr>
        <w:keepNext w:val="0"/>
        <w:keepLines w:val="0"/>
        <w:pageBreakBefore w:val="0"/>
        <w:widowControl/>
        <w:numPr>
          <w:ilvl w:val="0"/>
          <w:numId w:val="1"/>
        </w:numPr>
        <w:kinsoku/>
        <w:wordWrap/>
        <w:overflowPunct/>
        <w:topLinePunct w:val="0"/>
        <w:autoSpaceDE/>
        <w:autoSpaceDN/>
        <w:bidi w:val="0"/>
        <w:adjustRightInd/>
        <w:snapToGrid/>
        <w:spacing w:before="0" w:beforeLines="0" w:after="0" w:afterLines="0" w:line="360" w:lineRule="auto"/>
        <w:ind w:left="0" w:leftChars="0" w:firstLine="560" w:firstLineChars="200"/>
        <w:textAlignment w:val="auto"/>
        <w:outlineLvl w:val="1"/>
        <w:rPr>
          <w:rFonts w:hint="eastAsia" w:ascii="Times New Roman" w:hAnsi="Times New Roman" w:eastAsia="仿宋_GB2312" w:cs="Times New Roman"/>
          <w:b w:val="0"/>
          <w:bCs w:val="0"/>
          <w:sz w:val="28"/>
          <w:szCs w:val="28"/>
          <w:lang w:bidi="ar"/>
        </w:rPr>
      </w:pPr>
      <w:r>
        <w:rPr>
          <w:rFonts w:hint="eastAsia" w:ascii="Times New Roman" w:hAnsi="Times New Roman" w:eastAsia="仿宋_GB2312" w:cs="Times New Roman"/>
          <w:b w:val="0"/>
          <w:bCs w:val="0"/>
          <w:sz w:val="28"/>
          <w:szCs w:val="28"/>
          <w:lang w:bidi="ar"/>
        </w:rPr>
        <w:t>带动地方、社会经济发展</w:t>
      </w:r>
    </w:p>
    <w:p w14:paraId="18F87CDC">
      <w:pPr>
        <w:keepNext w:val="0"/>
        <w:keepLines w:val="0"/>
        <w:pageBreakBefore w:val="0"/>
        <w:kinsoku/>
        <w:wordWrap/>
        <w:overflowPunct/>
        <w:topLinePunct w:val="0"/>
        <w:autoSpaceDE/>
        <w:autoSpaceDN/>
        <w:bidi w:val="0"/>
        <w:adjustRightInd/>
        <w:snapToGrid/>
        <w:spacing w:before="0" w:beforeLines="0" w:after="0" w:afterLines="0" w:line="360" w:lineRule="auto"/>
        <w:ind w:firstLine="560" w:firstLineChars="200"/>
        <w:textAlignment w:val="auto"/>
        <w:outlineLvl w:val="1"/>
        <w:rPr>
          <w:rFonts w:eastAsia="仿宋_GB2312"/>
          <w:sz w:val="28"/>
          <w:szCs w:val="28"/>
        </w:rPr>
      </w:pPr>
      <w:r>
        <w:rPr>
          <w:rFonts w:hint="eastAsia" w:ascii="Times New Roman" w:hAnsi="Times New Roman" w:eastAsia="仿宋_GB2312" w:cs="Times New Roman"/>
          <w:sz w:val="28"/>
          <w:szCs w:val="28"/>
          <w:lang w:bidi="ar"/>
        </w:rPr>
        <w:t>本次土地征收成片开发土地补偿费和安置补助费标准将按照《中山市人民政府关于公布实施征收农用地区片综合地价的公告》对被征地农民进行补偿。同时，区域基础设施配套提升完善，为城市提供了更多休憩、休闲空间，在带动社会经济发展中的作用越来越明显，能够使周边地区的地价及不动产升值，吸引投资，从而推动该区域的经济和社会发展。</w:t>
      </w:r>
    </w:p>
    <w:p w14:paraId="17528391">
      <w:pPr>
        <w:snapToGrid w:val="0"/>
        <w:spacing w:before="0" w:beforeLines="-2147483648" w:after="0" w:afterLines="-2147483648" w:line="336" w:lineRule="auto"/>
        <w:ind w:firstLine="640" w:firstLineChars="200"/>
        <w:outlineLvl w:val="2"/>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（四）生态效益评估</w:t>
      </w:r>
    </w:p>
    <w:p w14:paraId="7254EC2A">
      <w:pPr>
        <w:spacing w:beforeLines="0" w:afterLines="0" w:line="360" w:lineRule="auto"/>
        <w:ind w:firstLine="560" w:firstLineChars="200"/>
        <w:outlineLvl w:val="1"/>
        <w:rPr>
          <w:rFonts w:hint="eastAsia"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本次土地征收成片开发范围不涉及永久基本农田、自然保护区、森林公园、地质公园、列入省级以上保护名录的野生动植物栖息地、水源保护区核心区、蓄滞洪区、地质灾害易发区等相关区域，且开发过程不会对大气、水等环境造成显著</w:t>
      </w:r>
      <w:r>
        <w:rPr>
          <w:rFonts w:hint="eastAsia" w:ascii="Times New Roman" w:hAnsi="Times New Roman" w:eastAsia="仿宋_GB2312" w:cs="Times New Roman"/>
          <w:sz w:val="28"/>
          <w:szCs w:val="28"/>
          <w:lang w:eastAsia="zh-CN" w:bidi="ar"/>
        </w:rPr>
        <w:t>负面</w:t>
      </w:r>
      <w:r>
        <w:rPr>
          <w:rFonts w:hint="eastAsia" w:ascii="Times New Roman" w:hAnsi="Times New Roman" w:eastAsia="仿宋_GB2312" w:cs="Times New Roman"/>
          <w:sz w:val="28"/>
          <w:szCs w:val="28"/>
          <w:lang w:bidi="ar"/>
        </w:rPr>
        <w:t>影响。综合考虑本次土地征收成片开发方案对生态环境影响</w:t>
      </w:r>
      <w:r>
        <w:rPr>
          <w:rFonts w:hint="eastAsia" w:ascii="Times New Roman" w:hAnsi="Times New Roman" w:eastAsia="仿宋_GB2312" w:cs="Times New Roman"/>
          <w:sz w:val="28"/>
          <w:szCs w:val="28"/>
          <w:lang w:eastAsia="zh-CN" w:bidi="ar"/>
        </w:rPr>
        <w:t>较</w:t>
      </w:r>
      <w:r>
        <w:rPr>
          <w:rFonts w:hint="eastAsia" w:ascii="Times New Roman" w:hAnsi="Times New Roman" w:eastAsia="仿宋_GB2312" w:cs="Times New Roman"/>
          <w:sz w:val="28"/>
          <w:szCs w:val="28"/>
          <w:lang w:bidi="ar"/>
        </w:rPr>
        <w:t>小。</w:t>
      </w:r>
    </w:p>
    <w:p w14:paraId="43F126C2">
      <w:pPr>
        <w:widowControl/>
        <w:numPr>
          <w:ilvl w:val="0"/>
          <w:numId w:val="2"/>
        </w:numPr>
        <w:snapToGrid w:val="0"/>
        <w:spacing w:before="95" w:beforeLines="30" w:after="95" w:afterLines="30" w:line="336" w:lineRule="auto"/>
        <w:ind w:firstLine="640" w:firstLineChars="200"/>
        <w:outlineLvl w:val="1"/>
        <w:rPr>
          <w:rFonts w:hint="eastAsia" w:ascii="黑体" w:hAnsi="黑体" w:eastAsia="黑体" w:cs="黑体"/>
          <w:b w:val="0"/>
          <w:bCs w:val="0"/>
          <w:sz w:val="32"/>
          <w:szCs w:val="32"/>
        </w:rPr>
      </w:pPr>
      <w:r>
        <w:rPr>
          <w:rFonts w:hint="eastAsia" w:ascii="黑体" w:hAnsi="黑体" w:eastAsia="黑体" w:cs="黑体"/>
          <w:b w:val="0"/>
          <w:bCs w:val="0"/>
          <w:sz w:val="32"/>
          <w:szCs w:val="32"/>
        </w:rPr>
        <w:t>结论</w:t>
      </w:r>
    </w:p>
    <w:p w14:paraId="5CE8F35F">
      <w:pPr>
        <w:spacing w:beforeLines="0" w:afterLines="0" w:line="360" w:lineRule="auto"/>
        <w:ind w:firstLine="560" w:firstLineChars="200"/>
        <w:outlineLvl w:val="1"/>
        <w:rPr>
          <w:rFonts w:hint="eastAsia" w:ascii="Times New Roman" w:hAnsi="Times New Roman" w:eastAsia="仿宋_GB2312" w:cs="Times New Roman"/>
          <w:sz w:val="28"/>
          <w:szCs w:val="28"/>
          <w:lang w:eastAsia="zh-CN" w:bidi="ar"/>
        </w:rPr>
      </w:pPr>
      <w:r>
        <w:rPr>
          <w:rFonts w:hint="eastAsia" w:ascii="Times New Roman" w:hAnsi="Times New Roman" w:eastAsia="仿宋_GB2312" w:cs="Times New Roman"/>
          <w:sz w:val="28"/>
          <w:szCs w:val="28"/>
          <w:lang w:bidi="ar"/>
        </w:rPr>
        <w:t>《中山市板芙镇2025年度BF17地块土地征收成片开发方案》符合</w:t>
      </w:r>
      <w:r>
        <w:rPr>
          <w:rFonts w:hint="default" w:ascii="Times New Roman" w:hAnsi="Times New Roman" w:eastAsia="仿宋_GB2312" w:cs="Times New Roman"/>
          <w:sz w:val="28"/>
          <w:szCs w:val="28"/>
        </w:rPr>
        <w:t>《自然资源部关于印发&lt;土地征收成片开发标准&gt;的通知》（自然资规〔2023〕7号）</w:t>
      </w:r>
      <w:r>
        <w:rPr>
          <w:rFonts w:hint="eastAsia" w:ascii="Times New Roman" w:hAnsi="Times New Roman" w:eastAsia="仿宋_GB2312" w:cs="Times New Roman"/>
          <w:sz w:val="28"/>
          <w:szCs w:val="28"/>
          <w:lang w:val="en-US" w:eastAsia="zh-CN"/>
        </w:rPr>
        <w:t>以及</w:t>
      </w:r>
      <w:r>
        <w:rPr>
          <w:rFonts w:hint="default" w:ascii="Times New Roman" w:hAnsi="Times New Roman" w:eastAsia="仿宋_GB2312" w:cs="Times New Roman"/>
          <w:sz w:val="28"/>
        </w:rPr>
        <w:t>《</w:t>
      </w:r>
      <w:r>
        <w:rPr>
          <w:rFonts w:hint="default" w:ascii="Times New Roman" w:hAnsi="Times New Roman" w:eastAsia="仿宋_GB2312" w:cs="Times New Roman"/>
          <w:sz w:val="28"/>
          <w:lang w:val="en-US" w:eastAsia="zh-CN"/>
        </w:rPr>
        <w:t>广东省自然资源厅关于进一步规范土地征收成片开发工作的通知</w:t>
      </w:r>
      <w:r>
        <w:rPr>
          <w:rFonts w:hint="default" w:ascii="Times New Roman" w:hAnsi="Times New Roman" w:eastAsia="仿宋_GB2312" w:cs="Times New Roman"/>
          <w:sz w:val="28"/>
        </w:rPr>
        <w:t>》（</w:t>
      </w:r>
      <w:r>
        <w:rPr>
          <w:rFonts w:hint="default" w:ascii="Times New Roman" w:hAnsi="Times New Roman" w:eastAsia="仿宋_GB2312" w:cs="Times New Roman"/>
          <w:sz w:val="28"/>
          <w:lang w:val="en-US" w:eastAsia="zh-CN"/>
        </w:rPr>
        <w:t>粤自然资规字〔2024〕7号</w:t>
      </w:r>
      <w:r>
        <w:rPr>
          <w:rFonts w:hint="default" w:ascii="Times New Roman" w:hAnsi="Times New Roman" w:eastAsia="仿宋_GB2312" w:cs="Times New Roman"/>
          <w:sz w:val="28"/>
        </w:rPr>
        <w:t>）</w:t>
      </w:r>
      <w:r>
        <w:rPr>
          <w:rFonts w:hint="eastAsia" w:ascii="Times New Roman" w:hAnsi="Times New Roman" w:eastAsia="仿宋_GB2312" w:cs="Times New Roman"/>
          <w:sz w:val="28"/>
          <w:szCs w:val="28"/>
          <w:lang w:bidi="ar"/>
        </w:rPr>
        <w:t>等相关文件的要求</w:t>
      </w:r>
      <w:r>
        <w:rPr>
          <w:rFonts w:hint="eastAsia" w:ascii="Times New Roman" w:hAnsi="Times New Roman" w:eastAsia="仿宋_GB2312" w:cs="Times New Roman"/>
          <w:sz w:val="28"/>
          <w:szCs w:val="28"/>
          <w:lang w:eastAsia="zh-CN" w:bidi="ar"/>
        </w:rPr>
        <w:t>，对完善城</w:t>
      </w:r>
      <w:bookmarkStart w:id="0" w:name="_GoBack"/>
      <w:bookmarkEnd w:id="0"/>
      <w:r>
        <w:rPr>
          <w:rFonts w:hint="eastAsia" w:ascii="Times New Roman" w:hAnsi="Times New Roman" w:eastAsia="仿宋_GB2312" w:cs="Times New Roman"/>
          <w:sz w:val="28"/>
          <w:szCs w:val="28"/>
          <w:lang w:eastAsia="zh-CN" w:bidi="ar"/>
        </w:rPr>
        <w:t>市建设、促进区域经济和社会发展均具有积极意义。</w:t>
      </w:r>
    </w:p>
    <w:p w14:paraId="33266D5D">
      <w:pPr>
        <w:spacing w:beforeLines="0" w:afterLines="0" w:line="360" w:lineRule="auto"/>
        <w:ind w:firstLine="560" w:firstLineChars="200"/>
        <w:outlineLvl w:val="1"/>
        <w:rPr>
          <w:rFonts w:hint="eastAsia" w:ascii="Times New Roman" w:hAnsi="Times New Roman" w:eastAsia="仿宋_GB2312" w:cs="Times New Roman"/>
          <w:sz w:val="28"/>
          <w:szCs w:val="28"/>
          <w:lang w:bidi="ar"/>
        </w:rPr>
      </w:pPr>
    </w:p>
    <w:p w14:paraId="22B91B15">
      <w:pPr>
        <w:spacing w:beforeLines="0" w:afterLines="0" w:line="360" w:lineRule="auto"/>
        <w:ind w:firstLine="560" w:firstLineChars="200"/>
        <w:outlineLvl w:val="1"/>
        <w:rPr>
          <w:rFonts w:hint="eastAsia" w:ascii="Times New Roman" w:hAnsi="Times New Roman" w:eastAsia="仿宋_GB2312" w:cs="Times New Roman"/>
          <w:sz w:val="28"/>
          <w:szCs w:val="28"/>
          <w:lang w:bidi="ar"/>
        </w:rPr>
      </w:pPr>
    </w:p>
    <w:p w14:paraId="1C020BDD">
      <w:pPr>
        <w:pageBreakBefore w:val="0"/>
        <w:kinsoku/>
        <w:wordWrap/>
        <w:overflowPunct/>
        <w:topLinePunct w:val="0"/>
        <w:autoSpaceDE/>
        <w:autoSpaceDN/>
        <w:bidi w:val="0"/>
        <w:adjustRightInd/>
        <w:snapToGrid/>
        <w:spacing w:beforeLines="0" w:afterLines="0" w:line="360" w:lineRule="auto"/>
        <w:ind w:left="420" w:leftChars="200" w:firstLine="0" w:firstLineChars="0"/>
        <w:textAlignment w:val="auto"/>
        <w:outlineLvl w:val="1"/>
        <w:rPr>
          <w:rFonts w:hint="eastAsia" w:ascii="Times New Roman" w:hAnsi="Times New Roman" w:eastAsia="仿宋_GB2312" w:cs="Times New Roman"/>
          <w:b w:val="0"/>
          <w:bCs w:val="0"/>
          <w:sz w:val="28"/>
          <w:szCs w:val="28"/>
          <w:lang w:bidi="ar"/>
        </w:rPr>
      </w:pPr>
      <w:r>
        <w:rPr>
          <w:rFonts w:hint="eastAsia" w:ascii="Times New Roman" w:hAnsi="Times New Roman" w:eastAsia="仿宋_GB2312" w:cs="Times New Roman"/>
          <w:b w:val="0"/>
          <w:bCs w:val="0"/>
          <w:sz w:val="28"/>
          <w:szCs w:val="28"/>
          <w:lang w:bidi="ar"/>
        </w:rPr>
        <w:t>附图：</w:t>
      </w:r>
    </w:p>
    <w:p w14:paraId="18C2891B">
      <w:pPr>
        <w:pageBreakBefore w:val="0"/>
        <w:numPr>
          <w:ilvl w:val="0"/>
          <w:numId w:val="3"/>
        </w:numPr>
        <w:kinsoku/>
        <w:wordWrap/>
        <w:overflowPunct/>
        <w:topLinePunct w:val="0"/>
        <w:autoSpaceDE/>
        <w:autoSpaceDN/>
        <w:bidi w:val="0"/>
        <w:adjustRightInd/>
        <w:snapToGrid/>
        <w:spacing w:beforeLines="0" w:afterLines="0" w:line="360" w:lineRule="auto"/>
        <w:ind w:left="420" w:leftChars="200" w:firstLine="0" w:firstLineChars="0"/>
        <w:textAlignment w:val="auto"/>
        <w:outlineLvl w:val="1"/>
        <w:rPr>
          <w:rFonts w:hint="eastAsia" w:ascii="Times New Roman" w:hAnsi="Times New Roman" w:eastAsia="仿宋_GB2312" w:cs="Times New Roman"/>
          <w:sz w:val="28"/>
          <w:szCs w:val="28"/>
          <w:lang w:bidi="ar"/>
        </w:rPr>
      </w:pPr>
      <w:r>
        <w:rPr>
          <w:rFonts w:hint="default" w:ascii="Times New Roman" w:hAnsi="Times New Roman" w:eastAsia="仿宋_GB2312" w:cs="Times New Roman"/>
          <w:sz w:val="28"/>
          <w:szCs w:val="28"/>
        </w:rPr>
        <w:t>中山市</w:t>
      </w:r>
      <w:r>
        <w:rPr>
          <w:rFonts w:hint="eastAsia" w:ascii="Times New Roman" w:hAnsi="Times New Roman" w:eastAsia="仿宋_GB2312" w:cs="Times New Roman"/>
          <w:sz w:val="28"/>
          <w:szCs w:val="28"/>
          <w:lang w:val="en-US" w:eastAsia="zh-CN"/>
        </w:rPr>
        <w:t>板芙镇</w:t>
      </w:r>
      <w:r>
        <w:rPr>
          <w:rFonts w:hint="default" w:ascii="Times New Roman" w:hAnsi="Times New Roman" w:eastAsia="仿宋_GB2312" w:cs="Times New Roman"/>
          <w:sz w:val="28"/>
          <w:szCs w:val="28"/>
        </w:rPr>
        <w:t>土地征收成片开发范围位置示意图</w:t>
      </w:r>
    </w:p>
    <w:p w14:paraId="5173583A">
      <w:pPr>
        <w:pageBreakBefore w:val="0"/>
        <w:numPr>
          <w:ilvl w:val="0"/>
          <w:numId w:val="3"/>
        </w:numPr>
        <w:kinsoku/>
        <w:wordWrap/>
        <w:overflowPunct/>
        <w:topLinePunct w:val="0"/>
        <w:autoSpaceDE/>
        <w:autoSpaceDN/>
        <w:bidi w:val="0"/>
        <w:adjustRightInd/>
        <w:snapToGrid/>
        <w:spacing w:beforeLines="0" w:afterLines="0" w:line="360" w:lineRule="auto"/>
        <w:ind w:left="420" w:leftChars="200" w:firstLine="0" w:firstLineChars="0"/>
        <w:textAlignment w:val="auto"/>
        <w:outlineLvl w:val="1"/>
        <w:rPr>
          <w:rFonts w:hint="eastAsia" w:ascii="Times New Roman" w:hAnsi="Times New Roman" w:eastAsia="仿宋_GB2312" w:cs="Times New Roman"/>
          <w:sz w:val="28"/>
          <w:szCs w:val="28"/>
          <w:lang w:bidi="ar"/>
        </w:rPr>
      </w:pPr>
      <w:r>
        <w:rPr>
          <w:rFonts w:hint="default" w:ascii="Times New Roman" w:hAnsi="Times New Roman" w:eastAsia="仿宋_GB2312" w:cs="Times New Roman"/>
          <w:sz w:val="28"/>
          <w:szCs w:val="28"/>
        </w:rPr>
        <w:t>中山市</w:t>
      </w:r>
      <w:r>
        <w:rPr>
          <w:rFonts w:hint="eastAsia" w:ascii="Times New Roman" w:hAnsi="Times New Roman" w:eastAsia="仿宋_GB2312" w:cs="Times New Roman"/>
          <w:sz w:val="28"/>
          <w:szCs w:val="28"/>
          <w:lang w:val="en-US" w:eastAsia="zh-CN"/>
        </w:rPr>
        <w:t>板芙镇</w:t>
      </w:r>
      <w:r>
        <w:rPr>
          <w:rFonts w:hint="default" w:ascii="Times New Roman" w:hAnsi="Times New Roman" w:eastAsia="仿宋_GB2312" w:cs="Times New Roman"/>
          <w:sz w:val="28"/>
          <w:szCs w:val="28"/>
        </w:rPr>
        <w:t>土地征收成片开发范围开发时序图</w:t>
      </w:r>
    </w:p>
    <w:p w14:paraId="0703423F">
      <w:pPr>
        <w:spacing w:beforeLines="0" w:afterLines="0" w:line="360" w:lineRule="auto"/>
        <w:ind w:firstLine="1400" w:firstLineChars="500"/>
        <w:outlineLvl w:val="1"/>
        <w:rPr>
          <w:rFonts w:hint="eastAsia" w:ascii="Times New Roman" w:hAnsi="Times New Roman" w:eastAsia="仿宋_GB2312" w:cs="Times New Roman"/>
          <w:sz w:val="28"/>
          <w:szCs w:val="28"/>
          <w:lang w:bidi="ar"/>
        </w:rPr>
      </w:pPr>
    </w:p>
    <w:p w14:paraId="2C569F15">
      <w:pPr>
        <w:widowControl/>
        <w:numPr>
          <w:ilvl w:val="0"/>
          <w:numId w:val="0"/>
        </w:numPr>
        <w:snapToGrid w:val="0"/>
        <w:spacing w:before="0" w:beforeLines="0" w:after="0" w:afterLines="0" w:line="360" w:lineRule="auto"/>
        <w:ind w:firstLine="560" w:firstLineChars="200"/>
        <w:outlineLvl w:val="1"/>
        <w:rPr>
          <w:rFonts w:hint="default" w:ascii="Times New Roman" w:hAnsi="Times New Roman" w:eastAsia="仿宋_GB2312" w:cs="Times New Roman"/>
          <w:sz w:val="28"/>
          <w:szCs w:val="28"/>
        </w:rPr>
      </w:pPr>
    </w:p>
    <w:p w14:paraId="6E6C5AF9">
      <w:pPr>
        <w:spacing w:before="156" w:beforeLines="50" w:after="156" w:afterLines="50" w:line="360" w:lineRule="auto"/>
        <w:ind w:firstLine="280" w:firstLineChars="100"/>
        <w:jc w:val="right"/>
        <w:outlineLvl w:val="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中山市</w:t>
      </w:r>
      <w:r>
        <w:rPr>
          <w:rFonts w:hint="eastAsia" w:ascii="Times New Roman" w:hAnsi="Times New Roman" w:eastAsia="仿宋_GB2312" w:cs="Times New Roman"/>
          <w:sz w:val="28"/>
          <w:szCs w:val="28"/>
          <w:lang w:val="en-US" w:eastAsia="zh-CN"/>
        </w:rPr>
        <w:t>板芙镇</w:t>
      </w:r>
      <w:r>
        <w:rPr>
          <w:rFonts w:hint="default" w:ascii="Times New Roman" w:hAnsi="Times New Roman" w:eastAsia="仿宋_GB2312" w:cs="Times New Roman"/>
          <w:sz w:val="28"/>
          <w:szCs w:val="28"/>
        </w:rPr>
        <w:t>人民政府</w:t>
      </w:r>
    </w:p>
    <w:p w14:paraId="31A56C10">
      <w:pPr>
        <w:wordWrap w:val="0"/>
        <w:spacing w:before="156" w:beforeLines="50" w:after="156" w:afterLines="50" w:line="360" w:lineRule="auto"/>
        <w:jc w:val="right"/>
        <w:outlineLvl w:val="0"/>
        <w:rPr>
          <w:rFonts w:ascii="Times New Roman" w:hAnsi="Times New Roman" w:eastAsia="仿宋_GB2312" w:cs="Times New Roman"/>
          <w:sz w:val="28"/>
          <w:szCs w:val="28"/>
        </w:rPr>
      </w:pPr>
      <w:r>
        <w:rPr>
          <w:rFonts w:ascii="Times New Roman" w:hAnsi="Times New Roman" w:eastAsia="仿宋_GB2312" w:cs="Times New Roman"/>
          <w:sz w:val="28"/>
          <w:szCs w:val="28"/>
        </w:rPr>
        <w:t>202</w:t>
      </w:r>
      <w:r>
        <w:rPr>
          <w:rFonts w:hint="eastAsia" w:ascii="Times New Roman" w:hAnsi="Times New Roman" w:eastAsia="仿宋_GB2312" w:cs="Times New Roman"/>
          <w:sz w:val="28"/>
          <w:szCs w:val="28"/>
          <w:lang w:val="en-US" w:eastAsia="zh-CN"/>
        </w:rPr>
        <w:t>5</w:t>
      </w:r>
      <w:r>
        <w:rPr>
          <w:rFonts w:ascii="Times New Roman" w:hAnsi="Times New Roman" w:eastAsia="仿宋_GB2312" w:cs="Times New Roman"/>
          <w:sz w:val="28"/>
          <w:szCs w:val="28"/>
        </w:rPr>
        <w:t>年</w:t>
      </w:r>
      <w:r>
        <w:rPr>
          <w:rFonts w:hint="eastAsia" w:ascii="Times New Roman" w:hAnsi="Times New Roman" w:eastAsia="仿宋_GB2312" w:cs="Times New Roman"/>
          <w:sz w:val="28"/>
          <w:szCs w:val="28"/>
          <w:lang w:val="en-US" w:eastAsia="zh-CN"/>
        </w:rPr>
        <w:t>9</w:t>
      </w:r>
      <w:r>
        <w:rPr>
          <w:rFonts w:ascii="Times New Roman" w:hAnsi="Times New Roman" w:eastAsia="仿宋_GB2312" w:cs="Times New Roman"/>
          <w:sz w:val="28"/>
          <w:szCs w:val="28"/>
        </w:rPr>
        <w:t>月</w:t>
      </w:r>
      <w:r>
        <w:rPr>
          <w:rFonts w:hint="eastAsia" w:ascii="Times New Roman" w:hAnsi="Times New Roman" w:eastAsia="仿宋_GB2312" w:cs="Times New Roman"/>
          <w:sz w:val="28"/>
          <w:szCs w:val="28"/>
          <w:lang w:val="en-US" w:eastAsia="zh-CN"/>
        </w:rPr>
        <w:t>11</w:t>
      </w:r>
      <w:r>
        <w:rPr>
          <w:rFonts w:ascii="Times New Roman" w:hAnsi="Times New Roman" w:eastAsia="仿宋_GB2312" w:cs="Times New Roman"/>
          <w:sz w:val="28"/>
          <w:szCs w:val="28"/>
        </w:rPr>
        <w:t>日</w:t>
      </w:r>
      <w:r>
        <w:rPr>
          <w:rFonts w:hint="default" w:ascii="Times New Roman" w:hAnsi="Times New Roman" w:eastAsia="仿宋_GB2312" w:cs="Times New Roman"/>
          <w:sz w:val="28"/>
          <w:szCs w:val="28"/>
        </w:rPr>
        <w:t xml:space="preserve">  </w:t>
      </w:r>
    </w:p>
    <w:p w14:paraId="089AA1E1">
      <w:pPr>
        <w:widowControl/>
        <w:jc w:val="left"/>
        <w:rPr>
          <w:rFonts w:ascii="Times New Roman" w:hAnsi="Times New Roman" w:eastAsia="仿宋_GB2312" w:cs="Times New Roman"/>
          <w:sz w:val="28"/>
          <w:szCs w:val="28"/>
        </w:rPr>
        <w:sectPr>
          <w:footerReference r:id="rId3" w:type="default"/>
          <w:pgSz w:w="11906" w:h="16838"/>
          <w:pgMar w:top="1440" w:right="1800" w:bottom="1440" w:left="1800" w:header="851" w:footer="992" w:gutter="0"/>
          <w:cols w:space="425" w:num="1"/>
          <w:docGrid w:type="lines" w:linePitch="312" w:charSpace="0"/>
        </w:sectPr>
      </w:pPr>
    </w:p>
    <w:p w14:paraId="6CCEFC3E">
      <w:pPr>
        <w:pageBreakBefore w:val="0"/>
        <w:numPr>
          <w:ilvl w:val="-1"/>
          <w:numId w:val="0"/>
        </w:numPr>
        <w:kinsoku/>
        <w:wordWrap/>
        <w:overflowPunct/>
        <w:topLinePunct w:val="0"/>
        <w:autoSpaceDE/>
        <w:autoSpaceDN/>
        <w:bidi w:val="0"/>
        <w:adjustRightInd/>
        <w:snapToGrid/>
        <w:spacing w:beforeLines="0" w:afterLines="0" w:line="360" w:lineRule="auto"/>
        <w:ind w:left="0" w:leftChars="0" w:firstLine="0" w:firstLineChars="0"/>
        <w:textAlignment w:val="auto"/>
        <w:outlineLvl w:val="1"/>
        <w:rPr>
          <w:rFonts w:hint="eastAsia"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val="en-US" w:eastAsia="zh-CN" w:bidi="ar"/>
        </w:rPr>
        <w:t>附图1：</w:t>
      </w:r>
      <w:r>
        <w:rPr>
          <w:rFonts w:hint="eastAsia" w:ascii="Times New Roman" w:hAnsi="Times New Roman" w:eastAsia="仿宋_GB2312" w:cs="Times New Roman"/>
          <w:sz w:val="28"/>
          <w:szCs w:val="28"/>
          <w:lang w:bidi="ar"/>
        </w:rPr>
        <w:t>中山市</w:t>
      </w:r>
      <w:r>
        <w:rPr>
          <w:rFonts w:hint="eastAsia" w:ascii="Times New Roman" w:hAnsi="Times New Roman" w:eastAsia="仿宋_GB2312" w:cs="Times New Roman"/>
          <w:sz w:val="28"/>
          <w:szCs w:val="28"/>
          <w:lang w:val="en-US" w:eastAsia="zh-CN" w:bidi="ar"/>
        </w:rPr>
        <w:t>板芙镇</w:t>
      </w:r>
      <w:r>
        <w:rPr>
          <w:rFonts w:hint="eastAsia" w:ascii="Times New Roman" w:hAnsi="Times New Roman" w:eastAsia="仿宋_GB2312" w:cs="Times New Roman"/>
          <w:sz w:val="28"/>
          <w:szCs w:val="28"/>
          <w:lang w:bidi="ar"/>
        </w:rPr>
        <w:t>土地征收成片开发范围位置示意图</w:t>
      </w:r>
    </w:p>
    <w:p w14:paraId="6A947133">
      <w:pPr>
        <w:widowControl/>
        <w:jc w:val="center"/>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drawing>
          <wp:inline distT="0" distB="0" distL="114300" distR="114300">
            <wp:extent cx="11520170" cy="7680325"/>
            <wp:effectExtent l="0" t="0" r="5080" b="15875"/>
            <wp:docPr id="1" name="图片 1" descr="中山市板芙镇土地征收成片开发范围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山市板芙镇土地征收成片开发范围位置示意图"/>
                    <pic:cNvPicPr>
                      <a:picLocks noChangeAspect="1"/>
                    </pic:cNvPicPr>
                  </pic:nvPicPr>
                  <pic:blipFill>
                    <a:blip r:embed="rId5"/>
                    <a:stretch>
                      <a:fillRect/>
                    </a:stretch>
                  </pic:blipFill>
                  <pic:spPr>
                    <a:xfrm>
                      <a:off x="0" y="0"/>
                      <a:ext cx="11520170" cy="7680325"/>
                    </a:xfrm>
                    <a:prstGeom prst="rect">
                      <a:avLst/>
                    </a:prstGeom>
                  </pic:spPr>
                </pic:pic>
              </a:graphicData>
            </a:graphic>
          </wp:inline>
        </w:drawing>
      </w:r>
    </w:p>
    <w:p w14:paraId="285C81DA">
      <w:pPr>
        <w:widowControl/>
        <w:jc w:val="left"/>
        <w:rPr>
          <w:rFonts w:ascii="Times New Roman" w:hAnsi="Times New Roman" w:eastAsia="仿宋_GB2312" w:cs="Times New Roman"/>
          <w:sz w:val="28"/>
          <w:szCs w:val="28"/>
        </w:rPr>
      </w:pPr>
      <w:r>
        <w:rPr>
          <w:rFonts w:ascii="Times New Roman" w:hAnsi="Times New Roman" w:eastAsia="仿宋_GB2312" w:cs="Times New Roman"/>
          <w:sz w:val="28"/>
          <w:szCs w:val="28"/>
        </w:rPr>
        <w:br w:type="page"/>
      </w:r>
    </w:p>
    <w:p w14:paraId="1BAA77C8">
      <w:pPr>
        <w:pageBreakBefore w:val="0"/>
        <w:numPr>
          <w:ilvl w:val="-1"/>
          <w:numId w:val="0"/>
        </w:numPr>
        <w:kinsoku/>
        <w:wordWrap/>
        <w:overflowPunct/>
        <w:topLinePunct w:val="0"/>
        <w:autoSpaceDE/>
        <w:autoSpaceDN/>
        <w:bidi w:val="0"/>
        <w:adjustRightInd/>
        <w:snapToGrid/>
        <w:spacing w:beforeLines="0" w:afterLines="0" w:line="360" w:lineRule="auto"/>
        <w:ind w:left="0" w:leftChars="0" w:firstLine="0" w:firstLineChars="0"/>
        <w:textAlignment w:val="auto"/>
        <w:outlineLvl w:val="1"/>
        <w:rPr>
          <w:rFonts w:hint="eastAsia"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val="en-US" w:eastAsia="zh-CN" w:bidi="ar"/>
        </w:rPr>
        <w:t>附图2：</w:t>
      </w:r>
      <w:r>
        <w:rPr>
          <w:rFonts w:hint="default" w:ascii="Times New Roman" w:hAnsi="Times New Roman" w:eastAsia="仿宋_GB2312" w:cs="Times New Roman"/>
          <w:sz w:val="28"/>
          <w:szCs w:val="28"/>
        </w:rPr>
        <w:t>中山市</w:t>
      </w:r>
      <w:r>
        <w:rPr>
          <w:rFonts w:hint="eastAsia" w:ascii="Times New Roman" w:hAnsi="Times New Roman" w:eastAsia="仿宋_GB2312" w:cs="Times New Roman"/>
          <w:sz w:val="28"/>
          <w:szCs w:val="28"/>
          <w:lang w:val="en-US" w:eastAsia="zh-CN"/>
        </w:rPr>
        <w:t>板芙镇</w:t>
      </w:r>
      <w:r>
        <w:rPr>
          <w:rFonts w:hint="default" w:ascii="Times New Roman" w:hAnsi="Times New Roman" w:eastAsia="仿宋_GB2312" w:cs="Times New Roman"/>
          <w:sz w:val="28"/>
          <w:szCs w:val="28"/>
        </w:rPr>
        <w:t>土地征收成片开发范围开发时序图</w:t>
      </w:r>
    </w:p>
    <w:p w14:paraId="0834072B">
      <w:pPr>
        <w:widowControl/>
        <w:jc w:val="center"/>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drawing>
          <wp:inline distT="0" distB="0" distL="114300" distR="114300">
            <wp:extent cx="11520170" cy="7680325"/>
            <wp:effectExtent l="0" t="0" r="5080" b="15875"/>
            <wp:docPr id="2" name="图片 2" descr="中山市板芙镇土地征收成片开发范围开发时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山市板芙镇土地征收成片开发范围开发时序图"/>
                    <pic:cNvPicPr>
                      <a:picLocks noChangeAspect="1"/>
                    </pic:cNvPicPr>
                  </pic:nvPicPr>
                  <pic:blipFill>
                    <a:blip r:embed="rId6"/>
                    <a:stretch>
                      <a:fillRect/>
                    </a:stretch>
                  </pic:blipFill>
                  <pic:spPr>
                    <a:xfrm>
                      <a:off x="0" y="0"/>
                      <a:ext cx="11520170" cy="7680325"/>
                    </a:xfrm>
                    <a:prstGeom prst="rect">
                      <a:avLst/>
                    </a:prstGeom>
                  </pic:spPr>
                </pic:pic>
              </a:graphicData>
            </a:graphic>
          </wp:inline>
        </w:drawing>
      </w:r>
    </w:p>
    <w:sectPr>
      <w:pgSz w:w="23811" w:h="16838" w:orient="landscape"/>
      <w:pgMar w:top="1803" w:right="1440" w:bottom="1803" w:left="144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7DDFC">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E5894F2">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14:paraId="3E5894F2">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3B3EC9"/>
    <w:multiLevelType w:val="singleLevel"/>
    <w:tmpl w:val="8D3B3EC9"/>
    <w:lvl w:ilvl="0" w:tentative="0">
      <w:start w:val="2"/>
      <w:numFmt w:val="decimal"/>
      <w:suff w:val="space"/>
      <w:lvlText w:val="%1."/>
      <w:lvlJc w:val="left"/>
    </w:lvl>
  </w:abstractNum>
  <w:abstractNum w:abstractNumId="1">
    <w:nsid w:val="E4B4689B"/>
    <w:multiLevelType w:val="singleLevel"/>
    <w:tmpl w:val="E4B4689B"/>
    <w:lvl w:ilvl="0" w:tentative="0">
      <w:start w:val="1"/>
      <w:numFmt w:val="decimal"/>
      <w:lvlText w:val="%1."/>
      <w:lvlJc w:val="left"/>
      <w:pPr>
        <w:tabs>
          <w:tab w:val="left" w:pos="312"/>
        </w:tabs>
      </w:pPr>
    </w:lvl>
  </w:abstractNum>
  <w:abstractNum w:abstractNumId="2">
    <w:nsid w:val="68B26048"/>
    <w:multiLevelType w:val="singleLevel"/>
    <w:tmpl w:val="68B26048"/>
    <w:lvl w:ilvl="0" w:tentative="0">
      <w:start w:val="7"/>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JmODdhNWIwN2Q4ZGY3ZmNlZDAyN2YzNWQ5Yzg5MzYifQ=="/>
  </w:docVars>
  <w:rsids>
    <w:rsidRoot w:val="00652F85"/>
    <w:rsid w:val="000757D8"/>
    <w:rsid w:val="000B1C34"/>
    <w:rsid w:val="00161975"/>
    <w:rsid w:val="001B54BC"/>
    <w:rsid w:val="002558E5"/>
    <w:rsid w:val="0028696F"/>
    <w:rsid w:val="00293245"/>
    <w:rsid w:val="00424BAF"/>
    <w:rsid w:val="004729E6"/>
    <w:rsid w:val="005262AD"/>
    <w:rsid w:val="00607349"/>
    <w:rsid w:val="00652F85"/>
    <w:rsid w:val="006A03EC"/>
    <w:rsid w:val="006A2597"/>
    <w:rsid w:val="0080083A"/>
    <w:rsid w:val="00932775"/>
    <w:rsid w:val="00C6080C"/>
    <w:rsid w:val="00D45427"/>
    <w:rsid w:val="00F00B36"/>
    <w:rsid w:val="01265713"/>
    <w:rsid w:val="02AA0DBD"/>
    <w:rsid w:val="04D51379"/>
    <w:rsid w:val="08B148AB"/>
    <w:rsid w:val="0EAA34D5"/>
    <w:rsid w:val="160F633E"/>
    <w:rsid w:val="16B07A6A"/>
    <w:rsid w:val="1A9029C7"/>
    <w:rsid w:val="1C6218FA"/>
    <w:rsid w:val="1C952A2F"/>
    <w:rsid w:val="240727A8"/>
    <w:rsid w:val="250C6835"/>
    <w:rsid w:val="26A25B54"/>
    <w:rsid w:val="26E943C2"/>
    <w:rsid w:val="2CD64120"/>
    <w:rsid w:val="2ED85B6C"/>
    <w:rsid w:val="318C4856"/>
    <w:rsid w:val="32CB163C"/>
    <w:rsid w:val="32CE0DE1"/>
    <w:rsid w:val="34E060B2"/>
    <w:rsid w:val="38FA0C66"/>
    <w:rsid w:val="41415CCC"/>
    <w:rsid w:val="45356D8E"/>
    <w:rsid w:val="459567E7"/>
    <w:rsid w:val="462B6D83"/>
    <w:rsid w:val="462E1F88"/>
    <w:rsid w:val="48093744"/>
    <w:rsid w:val="4E192F31"/>
    <w:rsid w:val="4F413F9A"/>
    <w:rsid w:val="51FC0C31"/>
    <w:rsid w:val="56AC7807"/>
    <w:rsid w:val="570875FD"/>
    <w:rsid w:val="5D22016B"/>
    <w:rsid w:val="60130FE1"/>
    <w:rsid w:val="604E6F52"/>
    <w:rsid w:val="609640D6"/>
    <w:rsid w:val="63155BA3"/>
    <w:rsid w:val="67DF34E0"/>
    <w:rsid w:val="693905FF"/>
    <w:rsid w:val="6BB70557"/>
    <w:rsid w:val="6C360CAD"/>
    <w:rsid w:val="730912CE"/>
    <w:rsid w:val="746421F9"/>
    <w:rsid w:val="76F87FD3"/>
    <w:rsid w:val="796D3584"/>
    <w:rsid w:val="79D74247"/>
    <w:rsid w:val="7B9B63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autoRedefine/>
    <w:qFormat/>
    <w:uiPriority w:val="9"/>
    <w:pPr>
      <w:keepNext/>
      <w:keepLines/>
      <w:spacing w:before="340" w:after="330" w:line="578" w:lineRule="auto"/>
      <w:outlineLvl w:val="0"/>
    </w:pPr>
    <w:rPr>
      <w:b/>
      <w:bCs/>
      <w:kern w:val="44"/>
      <w:sz w:val="44"/>
      <w:szCs w:val="44"/>
    </w:rPr>
  </w:style>
  <w:style w:type="character" w:default="1" w:styleId="10">
    <w:name w:val="Default Paragraph Font"/>
    <w:autoRedefine/>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pPr>
  </w:style>
  <w:style w:type="paragraph" w:styleId="3">
    <w:name w:val="Body Text Indent"/>
    <w:basedOn w:val="1"/>
    <w:unhideWhenUsed/>
    <w:qFormat/>
    <w:uiPriority w:val="99"/>
    <w:pPr>
      <w:spacing w:after="120"/>
      <w:ind w:left="420" w:leftChars="200"/>
    </w:pPr>
    <w:rPr>
      <w:rFonts w:ascii="Times New Roman" w:hAnsi="Times New Roman" w:eastAsia="宋体" w:cs="Times New Roman"/>
      <w:szCs w:val="20"/>
    </w:rPr>
  </w:style>
  <w:style w:type="paragraph" w:styleId="5">
    <w:name w:val="Body Text"/>
    <w:basedOn w:val="1"/>
    <w:link w:val="13"/>
    <w:autoRedefine/>
    <w:qFormat/>
    <w:uiPriority w:val="1"/>
    <w:pPr>
      <w:autoSpaceDE w:val="0"/>
      <w:autoSpaceDN w:val="0"/>
      <w:jc w:val="left"/>
    </w:pPr>
    <w:rPr>
      <w:rFonts w:ascii="仿宋" w:hAnsi="仿宋" w:eastAsia="仿宋" w:cs="仿宋"/>
      <w:kern w:val="0"/>
      <w:sz w:val="28"/>
      <w:szCs w:val="28"/>
      <w:lang w:eastAsia="en-US"/>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7"/>
    <w:autoRedefine/>
    <w:qFormat/>
    <w:uiPriority w:val="99"/>
    <w:rPr>
      <w:sz w:val="18"/>
      <w:szCs w:val="18"/>
    </w:rPr>
  </w:style>
  <w:style w:type="character" w:customStyle="1" w:styleId="12">
    <w:name w:val="页脚 字符"/>
    <w:basedOn w:val="10"/>
    <w:link w:val="6"/>
    <w:autoRedefine/>
    <w:qFormat/>
    <w:uiPriority w:val="99"/>
    <w:rPr>
      <w:sz w:val="18"/>
      <w:szCs w:val="18"/>
    </w:rPr>
  </w:style>
  <w:style w:type="character" w:customStyle="1" w:styleId="13">
    <w:name w:val="正文文本 字符"/>
    <w:basedOn w:val="10"/>
    <w:link w:val="5"/>
    <w:autoRedefine/>
    <w:qFormat/>
    <w:uiPriority w:val="1"/>
    <w:rPr>
      <w:rFonts w:ascii="仿宋" w:hAnsi="仿宋" w:eastAsia="仿宋" w:cs="仿宋"/>
      <w:kern w:val="0"/>
      <w:sz w:val="28"/>
      <w:szCs w:val="28"/>
      <w:lang w:eastAsia="en-US"/>
    </w:rPr>
  </w:style>
  <w:style w:type="paragraph" w:customStyle="1" w:styleId="14">
    <w:name w:val="Table Paragraph"/>
    <w:basedOn w:val="1"/>
    <w:autoRedefine/>
    <w:qFormat/>
    <w:uiPriority w:val="1"/>
    <w:pPr>
      <w:autoSpaceDE w:val="0"/>
      <w:autoSpaceDN w:val="0"/>
      <w:jc w:val="center"/>
    </w:pPr>
    <w:rPr>
      <w:rFonts w:ascii="仿宋" w:hAnsi="仿宋" w:eastAsia="仿宋" w:cs="仿宋"/>
      <w:kern w:val="0"/>
      <w:sz w:val="22"/>
      <w:lang w:eastAsia="en-US"/>
    </w:rPr>
  </w:style>
  <w:style w:type="paragraph" w:customStyle="1" w:styleId="15">
    <w:name w:val="Revision"/>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6">
    <w:name w:val="font11"/>
    <w:basedOn w:val="10"/>
    <w:autoRedefine/>
    <w:qFormat/>
    <w:uiPriority w:val="0"/>
    <w:rPr>
      <w:rFonts w:hint="default" w:ascii="仿宋_GB2312" w:eastAsia="仿宋_GB2312" w:cs="仿宋_GB2312"/>
      <w:b/>
      <w:bCs/>
      <w:color w:val="000000"/>
      <w:sz w:val="21"/>
      <w:szCs w:val="21"/>
      <w:u w:val="none"/>
    </w:rPr>
  </w:style>
  <w:style w:type="character" w:customStyle="1" w:styleId="17">
    <w:name w:val="font21"/>
    <w:basedOn w:val="10"/>
    <w:autoRedefine/>
    <w:qFormat/>
    <w:uiPriority w:val="0"/>
    <w:rPr>
      <w:rFonts w:hint="default" w:ascii="Times New Roman" w:hAnsi="Times New Roman" w:cs="Times New Roman"/>
      <w:color w:val="000000"/>
      <w:sz w:val="21"/>
      <w:szCs w:val="21"/>
      <w:u w:val="none"/>
    </w:rPr>
  </w:style>
  <w:style w:type="character" w:customStyle="1" w:styleId="18">
    <w:name w:val="font31"/>
    <w:basedOn w:val="10"/>
    <w:autoRedefine/>
    <w:qFormat/>
    <w:uiPriority w:val="0"/>
    <w:rPr>
      <w:rFonts w:hint="default" w:ascii="仿宋_GB2312" w:eastAsia="仿宋_GB2312" w:cs="仿宋_GB2312"/>
      <w:color w:val="000000"/>
      <w:sz w:val="21"/>
      <w:szCs w:val="21"/>
      <w:u w:val="none"/>
    </w:rPr>
  </w:style>
  <w:style w:type="character" w:customStyle="1" w:styleId="19">
    <w:name w:val="font41"/>
    <w:basedOn w:val="10"/>
    <w:qFormat/>
    <w:uiPriority w:val="0"/>
    <w:rPr>
      <w:rFonts w:hint="eastAsia" w:ascii="宋体" w:hAnsi="宋体" w:eastAsia="宋体" w:cs="宋体"/>
      <w:b/>
      <w:bCs/>
      <w:color w:val="000000"/>
      <w:sz w:val="20"/>
      <w:szCs w:val="20"/>
      <w:u w:val="none"/>
    </w:rPr>
  </w:style>
  <w:style w:type="character" w:customStyle="1" w:styleId="20">
    <w:name w:val="font51"/>
    <w:basedOn w:val="10"/>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1927</Words>
  <Characters>2085</Characters>
  <Lines>24</Lines>
  <Paragraphs>6</Paragraphs>
  <TotalTime>3</TotalTime>
  <ScaleCrop>false</ScaleCrop>
  <LinksUpToDate>false</LinksUpToDate>
  <CharactersWithSpaces>2097</CharactersWithSpaces>
  <Application>WPS Office_12.8.2.18606_F1E327BC-269C-435d-A152-05C5408002CA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2021-10-15T06:11:00Z</dcterms:created>
  <dc:creator>q x</dc:creator>
  <cp:lastModifiedBy>郑伟权</cp:lastModifiedBy>
  <cp:lastPrinted>2025-04-08T02:08:00Z</cp:lastPrinted>
  <dcterms:modified xsi:type="dcterms:W3CDTF">2025-09-11T02:26:18Z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2052-12.8.2.18606</vt:lpwstr>
  </property>
  <property fmtid="{D5CDD505-2E9C-101B-9397-08002B2CF9AE}" pid="3" name="ICV">
    <vt:lpwstr>C487B87485A34293A9D015C8C89FC99F</vt:lpwstr>
  </property>
  <property fmtid="{D5CDD505-2E9C-101B-9397-08002B2CF9AE}" pid="4" name="KSOTemplateDocerSaveRecord">
    <vt:lpwstr>eyJoZGlkIjoiNmJmODdhNWIwN2Q4ZGY3ZmNlZDAyN2YzNWQ5Yzg5MzYiLCJ1c2VySWQiOiIyNzY3NTcxNjYifQ==</vt:lpwstr>
  </property>
</Properties>
</file>