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B80457">
      <w:pPr>
        <w:pStyle w:val="2"/>
        <w:keepNext/>
        <w:keepLines/>
        <w:pageBreakBefore w:val="0"/>
        <w:widowControl w:val="0"/>
        <w:kinsoku/>
        <w:wordWrap/>
        <w:overflowPunct/>
        <w:topLinePunct w:val="0"/>
        <w:autoSpaceDE/>
        <w:autoSpaceDN/>
        <w:bidi w:val="0"/>
        <w:adjustRightInd w:val="0"/>
        <w:snapToGrid w:val="0"/>
        <w:spacing w:before="0" w:line="240" w:lineRule="auto"/>
        <w:ind w:left="1140" w:hanging="720"/>
        <w:jc w:val="left"/>
        <w:textAlignment w:val="auto"/>
        <w:rPr>
          <w:rFonts w:hint="default" w:ascii="黑体" w:hAnsi="黑体" w:eastAsia="黑体" w:cs="黑体"/>
          <w:b/>
          <w:bCs w:val="0"/>
          <w:color w:val="auto"/>
          <w:highlight w:val="none"/>
          <w:lang w:val="en-US" w:eastAsia="zh-CN"/>
        </w:rPr>
      </w:pPr>
      <w:bookmarkStart w:id="0" w:name="_Toc25048"/>
      <w:r>
        <w:rPr>
          <w:rFonts w:hint="eastAsia" w:ascii="黑体" w:hAnsi="黑体" w:eastAsia="黑体" w:cs="黑体"/>
          <w:b/>
          <w:bCs w:val="0"/>
          <w:color w:val="auto"/>
          <w:highlight w:val="none"/>
          <w:lang w:val="en-US" w:eastAsia="zh-CN"/>
        </w:rPr>
        <w:t>附件1</w:t>
      </w:r>
    </w:p>
    <w:p w14:paraId="5EA9F987">
      <w:pPr>
        <w:pStyle w:val="2"/>
        <w:keepNext/>
        <w:keepLines/>
        <w:pageBreakBefore w:val="0"/>
        <w:widowControl w:val="0"/>
        <w:kinsoku/>
        <w:wordWrap/>
        <w:overflowPunct/>
        <w:topLinePunct w:val="0"/>
        <w:autoSpaceDE/>
        <w:autoSpaceDN/>
        <w:bidi w:val="0"/>
        <w:adjustRightInd w:val="0"/>
        <w:snapToGrid w:val="0"/>
        <w:spacing w:before="0" w:line="240" w:lineRule="auto"/>
        <w:ind w:left="1140" w:hanging="720"/>
        <w:textAlignment w:val="auto"/>
        <w:rPr>
          <w:rFonts w:hint="eastAsia" w:ascii="黑体" w:hAnsi="黑体" w:eastAsia="黑体" w:cs="黑体"/>
          <w:b/>
          <w:bCs w:val="0"/>
          <w:color w:val="auto"/>
          <w:highlight w:val="none"/>
          <w:lang w:eastAsia="zh-CN"/>
        </w:rPr>
      </w:pPr>
      <w:r>
        <w:rPr>
          <w:rFonts w:hint="eastAsia" w:ascii="黑体" w:hAnsi="黑体" w:eastAsia="黑体" w:cs="黑体"/>
          <w:b/>
          <w:bCs w:val="0"/>
          <w:color w:val="auto"/>
          <w:highlight w:val="none"/>
          <w:lang w:eastAsia="zh-CN"/>
        </w:rPr>
        <w:t>中山市板芙医院</w:t>
      </w:r>
      <w:r>
        <w:rPr>
          <w:rFonts w:hint="eastAsia" w:ascii="黑体" w:hAnsi="黑体" w:eastAsia="黑体" w:cs="黑体"/>
          <w:b/>
          <w:bCs w:val="0"/>
          <w:color w:val="auto"/>
          <w:highlight w:val="none"/>
          <w:lang w:val="en-US" w:eastAsia="zh-CN"/>
        </w:rPr>
        <w:t>口腔中心分诊系统</w:t>
      </w:r>
      <w:r>
        <w:rPr>
          <w:rFonts w:hint="eastAsia" w:ascii="黑体" w:hAnsi="黑体" w:eastAsia="黑体" w:cs="黑体"/>
          <w:b/>
          <w:bCs w:val="0"/>
          <w:color w:val="auto"/>
          <w:highlight w:val="none"/>
          <w:lang w:eastAsia="zh-CN"/>
        </w:rPr>
        <w:t>采购项目</w:t>
      </w:r>
      <w:bookmarkEnd w:id="0"/>
    </w:p>
    <w:p w14:paraId="4B6C7B1C">
      <w:pPr>
        <w:pStyle w:val="2"/>
        <w:keepNext/>
        <w:keepLines/>
        <w:pageBreakBefore w:val="0"/>
        <w:widowControl w:val="0"/>
        <w:kinsoku/>
        <w:wordWrap/>
        <w:overflowPunct/>
        <w:topLinePunct w:val="0"/>
        <w:autoSpaceDE/>
        <w:autoSpaceDN/>
        <w:bidi w:val="0"/>
        <w:adjustRightInd w:val="0"/>
        <w:snapToGrid w:val="0"/>
        <w:spacing w:before="0" w:line="240" w:lineRule="auto"/>
        <w:ind w:left="1140" w:hanging="720"/>
        <w:textAlignment w:val="auto"/>
        <w:rPr>
          <w:rFonts w:hint="default"/>
          <w:lang w:val="en-US" w:eastAsia="zh-CN"/>
        </w:rPr>
      </w:pPr>
      <w:r>
        <w:rPr>
          <w:rFonts w:hint="eastAsia" w:ascii="黑体" w:hAnsi="黑体" w:eastAsia="黑体" w:cs="黑体"/>
          <w:b/>
          <w:bCs w:val="0"/>
          <w:color w:val="auto"/>
          <w:highlight w:val="none"/>
          <w:lang w:eastAsia="zh-CN"/>
        </w:rPr>
        <w:t>公开比选</w:t>
      </w:r>
      <w:r>
        <w:rPr>
          <w:rFonts w:hint="eastAsia" w:ascii="黑体" w:hAnsi="黑体" w:eastAsia="黑体" w:cs="黑体"/>
          <w:b/>
          <w:bCs w:val="0"/>
          <w:color w:val="auto"/>
          <w:highlight w:val="none"/>
          <w:lang w:val="en-US" w:eastAsia="zh-CN"/>
        </w:rPr>
        <w:t>文件</w:t>
      </w:r>
    </w:p>
    <w:p w14:paraId="600DE201">
      <w:pPr>
        <w:keepNext w:val="0"/>
        <w:keepLines w:val="0"/>
        <w:pageBreakBefore w:val="0"/>
        <w:kinsoku/>
        <w:wordWrap/>
        <w:overflowPunct/>
        <w:topLinePunct w:val="0"/>
        <w:bidi w:val="0"/>
        <w:spacing w:line="360" w:lineRule="exact"/>
        <w:ind w:left="0" w:leftChars="0"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中山市板芙医院现对中山市板芙医院</w:t>
      </w:r>
      <w:r>
        <w:rPr>
          <w:rFonts w:hint="eastAsia" w:ascii="宋体" w:hAnsi="宋体" w:cs="宋体"/>
          <w:bCs/>
          <w:color w:val="auto"/>
          <w:sz w:val="21"/>
          <w:szCs w:val="21"/>
          <w:highlight w:val="none"/>
          <w:lang w:val="en-US" w:eastAsia="zh-CN"/>
        </w:rPr>
        <w:t>口腔中心分诊系统</w:t>
      </w:r>
      <w:r>
        <w:rPr>
          <w:rFonts w:hint="eastAsia" w:ascii="宋体" w:hAnsi="宋体" w:eastAsia="宋体" w:cs="宋体"/>
          <w:bCs/>
          <w:color w:val="auto"/>
          <w:sz w:val="21"/>
          <w:szCs w:val="21"/>
          <w:highlight w:val="none"/>
          <w:lang w:eastAsia="zh-CN"/>
        </w:rPr>
        <w:t>采购项目</w:t>
      </w:r>
      <w:r>
        <w:rPr>
          <w:rFonts w:hint="eastAsia" w:ascii="宋体" w:hAnsi="宋体" w:eastAsia="宋体" w:cs="宋体"/>
          <w:bCs/>
          <w:color w:val="auto"/>
          <w:sz w:val="21"/>
          <w:szCs w:val="21"/>
          <w:highlight w:val="none"/>
        </w:rPr>
        <w:t>采用</w:t>
      </w:r>
      <w:r>
        <w:rPr>
          <w:rFonts w:hint="eastAsia" w:ascii="宋体" w:hAnsi="宋体" w:eastAsia="宋体" w:cs="宋体"/>
          <w:bCs/>
          <w:color w:val="auto"/>
          <w:sz w:val="21"/>
          <w:szCs w:val="21"/>
          <w:highlight w:val="none"/>
          <w:lang w:eastAsia="zh-CN"/>
        </w:rPr>
        <w:t>公开比选</w:t>
      </w:r>
      <w:r>
        <w:rPr>
          <w:rFonts w:hint="eastAsia" w:ascii="宋体" w:hAnsi="宋体" w:eastAsia="宋体" w:cs="宋体"/>
          <w:bCs/>
          <w:color w:val="auto"/>
          <w:sz w:val="21"/>
          <w:szCs w:val="21"/>
          <w:highlight w:val="none"/>
        </w:rPr>
        <w:t>方式组织采购，欢迎符合资格条件的供应商参加。有关事项如下：</w:t>
      </w:r>
    </w:p>
    <w:p w14:paraId="25A43994">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一、</w:t>
      </w:r>
      <w:r>
        <w:rPr>
          <w:rFonts w:hint="eastAsia" w:ascii="宋体" w:hAnsi="宋体" w:eastAsia="宋体" w:cs="宋体"/>
          <w:b/>
          <w:bCs/>
          <w:color w:val="auto"/>
          <w:sz w:val="21"/>
          <w:szCs w:val="21"/>
          <w:highlight w:val="none"/>
        </w:rPr>
        <w:t>项目名称：</w:t>
      </w:r>
      <w:r>
        <w:rPr>
          <w:rFonts w:hint="eastAsia" w:ascii="宋体" w:hAnsi="宋体" w:eastAsia="宋体" w:cs="宋体"/>
          <w:color w:val="auto"/>
          <w:kern w:val="28"/>
          <w:sz w:val="21"/>
          <w:szCs w:val="21"/>
          <w:highlight w:val="none"/>
          <w:lang w:eastAsia="zh-CN"/>
        </w:rPr>
        <w:t>中山市板芙医院</w:t>
      </w:r>
      <w:r>
        <w:rPr>
          <w:rFonts w:hint="eastAsia" w:ascii="宋体" w:hAnsi="宋体" w:cs="宋体"/>
          <w:bCs/>
          <w:color w:val="auto"/>
          <w:sz w:val="21"/>
          <w:szCs w:val="21"/>
          <w:highlight w:val="none"/>
          <w:lang w:val="en-US" w:eastAsia="zh-CN"/>
        </w:rPr>
        <w:t>口腔中心分诊系统</w:t>
      </w:r>
      <w:r>
        <w:rPr>
          <w:rFonts w:hint="eastAsia" w:ascii="宋体" w:hAnsi="宋体" w:eastAsia="宋体" w:cs="宋体"/>
          <w:color w:val="auto"/>
          <w:kern w:val="28"/>
          <w:sz w:val="21"/>
          <w:szCs w:val="21"/>
          <w:highlight w:val="none"/>
          <w:lang w:eastAsia="zh-CN"/>
        </w:rPr>
        <w:t>采购项目</w:t>
      </w:r>
      <w:r>
        <w:rPr>
          <w:rFonts w:hint="eastAsia" w:ascii="宋体" w:hAnsi="宋体" w:eastAsia="宋体" w:cs="宋体"/>
          <w:color w:val="auto"/>
          <w:sz w:val="21"/>
          <w:szCs w:val="21"/>
          <w:highlight w:val="none"/>
        </w:rPr>
        <w:t xml:space="preserve"> </w:t>
      </w:r>
    </w:p>
    <w:p w14:paraId="5377B591">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eastAsia" w:ascii="宋体" w:hAnsi="宋体" w:eastAsia="宋体" w:cs="宋体"/>
          <w:color w:val="auto"/>
          <w:kern w:val="28"/>
          <w:sz w:val="21"/>
          <w:szCs w:val="21"/>
          <w:highlight w:val="none"/>
          <w:lang w:eastAsia="zh-CN"/>
        </w:rPr>
      </w:pPr>
      <w:r>
        <w:rPr>
          <w:rFonts w:hint="eastAsia" w:ascii="宋体" w:hAnsi="宋体" w:eastAsia="宋体" w:cs="宋体"/>
          <w:b/>
          <w:bCs/>
          <w:color w:val="auto"/>
          <w:sz w:val="21"/>
          <w:szCs w:val="21"/>
          <w:highlight w:val="none"/>
          <w:lang w:eastAsia="zh-CN"/>
        </w:rPr>
        <w:t>二、</w:t>
      </w:r>
      <w:r>
        <w:rPr>
          <w:rFonts w:hint="eastAsia" w:ascii="宋体" w:hAnsi="宋体" w:eastAsia="宋体" w:cs="宋体"/>
          <w:b/>
          <w:bCs/>
          <w:color w:val="auto"/>
          <w:sz w:val="21"/>
          <w:szCs w:val="21"/>
          <w:highlight w:val="none"/>
        </w:rPr>
        <w:t>预算金额：</w:t>
      </w:r>
      <w:r>
        <w:rPr>
          <w:rFonts w:hint="eastAsia" w:ascii="宋体" w:hAnsi="宋体" w:cs="宋体"/>
          <w:color w:val="000000" w:themeColor="text1"/>
          <w:sz w:val="21"/>
          <w:szCs w:val="21"/>
          <w:highlight w:val="none"/>
          <w:lang w:val="en-US" w:eastAsia="zh-CN"/>
          <w14:textFill>
            <w14:solidFill>
              <w14:schemeClr w14:val="tx1"/>
            </w14:solidFill>
          </w14:textFill>
        </w:rPr>
        <w:t>49,200</w:t>
      </w:r>
      <w:r>
        <w:rPr>
          <w:rFonts w:hint="eastAsia" w:ascii="宋体" w:hAnsi="宋体" w:eastAsia="宋体" w:cs="宋体"/>
          <w:color w:val="000000" w:themeColor="text1"/>
          <w:sz w:val="21"/>
          <w:szCs w:val="21"/>
          <w:highlight w:val="none"/>
          <w:lang w:val="en-US" w:eastAsia="zh-CN"/>
          <w14:textFill>
            <w14:solidFill>
              <w14:schemeClr w14:val="tx1"/>
            </w14:solidFill>
          </w14:textFill>
        </w:rPr>
        <w:t>.00</w:t>
      </w:r>
      <w:r>
        <w:rPr>
          <w:rFonts w:hint="eastAsia" w:ascii="宋体" w:hAnsi="宋体" w:eastAsia="宋体" w:cs="宋体"/>
          <w:color w:val="auto"/>
          <w:kern w:val="28"/>
          <w:sz w:val="21"/>
          <w:szCs w:val="21"/>
          <w:highlight w:val="none"/>
          <w:lang w:val="en-US" w:eastAsia="zh-CN"/>
        </w:rPr>
        <w:t>元</w:t>
      </w:r>
    </w:p>
    <w:p w14:paraId="33A7D937">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eastAsia" w:ascii="宋体" w:hAnsi="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三、</w:t>
      </w:r>
      <w:r>
        <w:rPr>
          <w:rFonts w:hint="eastAsia" w:ascii="宋体" w:hAnsi="宋体" w:cs="宋体"/>
          <w:b/>
          <w:bCs/>
          <w:color w:val="auto"/>
          <w:sz w:val="21"/>
          <w:szCs w:val="21"/>
          <w:highlight w:val="none"/>
          <w:lang w:val="en-US" w:eastAsia="zh-CN"/>
        </w:rPr>
        <w:t>项目内容</w:t>
      </w:r>
    </w:p>
    <w:tbl>
      <w:tblPr>
        <w:tblStyle w:val="16"/>
        <w:tblpPr w:leftFromText="180" w:rightFromText="180" w:vertAnchor="text" w:tblpX="211" w:tblpY="1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
        <w:gridCol w:w="2280"/>
        <w:gridCol w:w="4656"/>
        <w:gridCol w:w="810"/>
        <w:gridCol w:w="1000"/>
      </w:tblGrid>
      <w:tr w14:paraId="0BDFE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13" w:type="dxa"/>
            <w:noWrap w:val="0"/>
            <w:vAlign w:val="center"/>
          </w:tcPr>
          <w:p w14:paraId="720E3607">
            <w:pPr>
              <w:pStyle w:val="23"/>
              <w:spacing w:before="6" w:line="216" w:lineRule="auto"/>
              <w:jc w:val="center"/>
              <w:rPr>
                <w:rFonts w:hint="default"/>
                <w:spacing w:val="-4"/>
                <w:sz w:val="24"/>
                <w:szCs w:val="24"/>
                <w:highlight w:val="none"/>
                <w:vertAlign w:val="baseline"/>
                <w:lang w:val="en-US" w:eastAsia="zh-CN"/>
              </w:rPr>
            </w:pPr>
            <w:r>
              <w:rPr>
                <w:rFonts w:hint="eastAsia"/>
                <w:spacing w:val="-4"/>
                <w:sz w:val="24"/>
                <w:szCs w:val="24"/>
                <w:highlight w:val="none"/>
                <w:vertAlign w:val="baseline"/>
                <w:lang w:val="en-US" w:eastAsia="zh-CN"/>
              </w:rPr>
              <w:t>序号</w:t>
            </w:r>
          </w:p>
        </w:tc>
        <w:tc>
          <w:tcPr>
            <w:tcW w:w="2280" w:type="dxa"/>
            <w:noWrap w:val="0"/>
            <w:vAlign w:val="center"/>
          </w:tcPr>
          <w:p w14:paraId="69A4CF7F">
            <w:pPr>
              <w:pStyle w:val="23"/>
              <w:spacing w:before="6" w:line="216" w:lineRule="auto"/>
              <w:jc w:val="center"/>
              <w:rPr>
                <w:rFonts w:hint="default"/>
                <w:spacing w:val="-4"/>
                <w:sz w:val="24"/>
                <w:szCs w:val="24"/>
                <w:highlight w:val="none"/>
                <w:vertAlign w:val="baseline"/>
                <w:lang w:val="en-US" w:eastAsia="zh-CN"/>
              </w:rPr>
            </w:pPr>
            <w:r>
              <w:rPr>
                <w:rFonts w:hint="eastAsia"/>
                <w:spacing w:val="-4"/>
                <w:sz w:val="24"/>
                <w:szCs w:val="24"/>
                <w:highlight w:val="none"/>
                <w:vertAlign w:val="baseline"/>
                <w:lang w:val="en-US" w:eastAsia="zh-CN"/>
              </w:rPr>
              <w:t>名称</w:t>
            </w:r>
          </w:p>
        </w:tc>
        <w:tc>
          <w:tcPr>
            <w:tcW w:w="4656" w:type="dxa"/>
            <w:noWrap w:val="0"/>
            <w:vAlign w:val="center"/>
          </w:tcPr>
          <w:p w14:paraId="68854225">
            <w:pPr>
              <w:pStyle w:val="23"/>
              <w:spacing w:before="6" w:line="216" w:lineRule="auto"/>
              <w:jc w:val="center"/>
              <w:rPr>
                <w:rFonts w:hint="default"/>
                <w:spacing w:val="-4"/>
                <w:sz w:val="24"/>
                <w:szCs w:val="24"/>
                <w:highlight w:val="none"/>
                <w:vertAlign w:val="baseline"/>
                <w:lang w:val="en-US" w:eastAsia="zh-CN"/>
              </w:rPr>
            </w:pPr>
            <w:r>
              <w:rPr>
                <w:rFonts w:hint="eastAsia"/>
                <w:spacing w:val="-4"/>
                <w:sz w:val="24"/>
                <w:szCs w:val="24"/>
                <w:highlight w:val="none"/>
                <w:vertAlign w:val="baseline"/>
                <w:lang w:val="en-US" w:eastAsia="zh-CN"/>
              </w:rPr>
              <w:t>内容描述</w:t>
            </w:r>
          </w:p>
        </w:tc>
        <w:tc>
          <w:tcPr>
            <w:tcW w:w="810" w:type="dxa"/>
            <w:noWrap w:val="0"/>
            <w:vAlign w:val="center"/>
          </w:tcPr>
          <w:p w14:paraId="7CD6C7EE">
            <w:pPr>
              <w:pStyle w:val="23"/>
              <w:spacing w:before="6" w:line="216" w:lineRule="auto"/>
              <w:jc w:val="center"/>
              <w:rPr>
                <w:rFonts w:hint="default"/>
                <w:spacing w:val="-4"/>
                <w:sz w:val="24"/>
                <w:szCs w:val="24"/>
                <w:highlight w:val="none"/>
                <w:vertAlign w:val="baseline"/>
                <w:lang w:val="en-US" w:eastAsia="zh-CN"/>
              </w:rPr>
            </w:pPr>
            <w:r>
              <w:rPr>
                <w:rFonts w:hint="eastAsia"/>
                <w:spacing w:val="-4"/>
                <w:sz w:val="24"/>
                <w:szCs w:val="24"/>
                <w:highlight w:val="none"/>
                <w:vertAlign w:val="baseline"/>
                <w:lang w:val="en-US" w:eastAsia="zh-CN"/>
              </w:rPr>
              <w:t>数量</w:t>
            </w:r>
          </w:p>
        </w:tc>
        <w:tc>
          <w:tcPr>
            <w:tcW w:w="1000" w:type="dxa"/>
            <w:noWrap w:val="0"/>
            <w:vAlign w:val="center"/>
          </w:tcPr>
          <w:p w14:paraId="3D75C640">
            <w:pPr>
              <w:pStyle w:val="23"/>
              <w:spacing w:before="6" w:line="216" w:lineRule="auto"/>
              <w:jc w:val="center"/>
              <w:rPr>
                <w:rFonts w:hint="default"/>
                <w:spacing w:val="-4"/>
                <w:sz w:val="24"/>
                <w:szCs w:val="24"/>
                <w:highlight w:val="none"/>
                <w:vertAlign w:val="baseline"/>
                <w:lang w:val="en-US" w:eastAsia="zh-CN"/>
              </w:rPr>
            </w:pPr>
            <w:r>
              <w:rPr>
                <w:rFonts w:hint="eastAsia"/>
                <w:spacing w:val="-4"/>
                <w:sz w:val="24"/>
                <w:szCs w:val="24"/>
                <w:highlight w:val="none"/>
                <w:vertAlign w:val="baseline"/>
                <w:lang w:val="en-US" w:eastAsia="zh-CN"/>
              </w:rPr>
              <w:t>单位</w:t>
            </w:r>
          </w:p>
        </w:tc>
      </w:tr>
      <w:tr w14:paraId="792E2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13" w:type="dxa"/>
            <w:noWrap w:val="0"/>
            <w:vAlign w:val="center"/>
          </w:tcPr>
          <w:p w14:paraId="0A0FB23A">
            <w:pPr>
              <w:pStyle w:val="23"/>
              <w:spacing w:before="6" w:line="216" w:lineRule="auto"/>
              <w:jc w:val="center"/>
              <w:rPr>
                <w:rFonts w:hint="default"/>
                <w:spacing w:val="-4"/>
                <w:sz w:val="24"/>
                <w:szCs w:val="24"/>
                <w:highlight w:val="none"/>
                <w:vertAlign w:val="baseline"/>
                <w:lang w:val="en-US" w:eastAsia="zh-CN"/>
              </w:rPr>
            </w:pPr>
            <w:r>
              <w:rPr>
                <w:rFonts w:hint="eastAsia"/>
                <w:spacing w:val="-4"/>
                <w:sz w:val="24"/>
                <w:szCs w:val="24"/>
                <w:highlight w:val="none"/>
                <w:vertAlign w:val="baseline"/>
                <w:lang w:val="en-US" w:eastAsia="zh-CN"/>
              </w:rPr>
              <w:t>1</w:t>
            </w:r>
          </w:p>
        </w:tc>
        <w:tc>
          <w:tcPr>
            <w:tcW w:w="2280" w:type="dxa"/>
            <w:vMerge w:val="restart"/>
            <w:noWrap w:val="0"/>
            <w:vAlign w:val="center"/>
          </w:tcPr>
          <w:p w14:paraId="64348BE1">
            <w:pPr>
              <w:pStyle w:val="23"/>
              <w:spacing w:before="6" w:line="216" w:lineRule="auto"/>
              <w:jc w:val="center"/>
              <w:rPr>
                <w:rFonts w:hint="default"/>
                <w:spacing w:val="-4"/>
                <w:sz w:val="24"/>
                <w:szCs w:val="24"/>
                <w:highlight w:val="none"/>
                <w:vertAlign w:val="baseline"/>
                <w:lang w:val="en-US" w:eastAsia="zh-CN"/>
              </w:rPr>
            </w:pPr>
            <w:r>
              <w:rPr>
                <w:rFonts w:hint="eastAsia"/>
                <w:spacing w:val="-4"/>
                <w:sz w:val="24"/>
                <w:szCs w:val="24"/>
                <w:highlight w:val="none"/>
                <w:vertAlign w:val="baseline"/>
                <w:lang w:val="en-US" w:eastAsia="zh-CN"/>
              </w:rPr>
              <w:t>口腔中心分诊系统</w:t>
            </w:r>
          </w:p>
        </w:tc>
        <w:tc>
          <w:tcPr>
            <w:tcW w:w="4656" w:type="dxa"/>
            <w:noWrap w:val="0"/>
            <w:vAlign w:val="top"/>
          </w:tcPr>
          <w:p w14:paraId="3190CFFC">
            <w:pPr>
              <w:pStyle w:val="23"/>
              <w:spacing w:before="6" w:line="216" w:lineRule="auto"/>
              <w:rPr>
                <w:rFonts w:hint="eastAsia"/>
                <w:spacing w:val="-4"/>
                <w:sz w:val="24"/>
                <w:szCs w:val="24"/>
                <w:highlight w:val="none"/>
                <w:vertAlign w:val="baseline"/>
                <w:lang w:val="en-US" w:eastAsia="zh-CN"/>
              </w:rPr>
            </w:pPr>
            <w:r>
              <w:rPr>
                <w:rFonts w:hint="eastAsia"/>
                <w:spacing w:val="-4"/>
                <w:sz w:val="24"/>
                <w:szCs w:val="24"/>
                <w:highlight w:val="none"/>
                <w:vertAlign w:val="baseline"/>
                <w:lang w:val="en-US" w:eastAsia="zh-CN"/>
              </w:rPr>
              <w:t>诊室屏</w:t>
            </w:r>
          </w:p>
        </w:tc>
        <w:tc>
          <w:tcPr>
            <w:tcW w:w="810" w:type="dxa"/>
            <w:noWrap w:val="0"/>
            <w:vAlign w:val="center"/>
          </w:tcPr>
          <w:p w14:paraId="6523D045">
            <w:pPr>
              <w:pStyle w:val="23"/>
              <w:spacing w:before="6" w:line="216" w:lineRule="auto"/>
              <w:jc w:val="center"/>
              <w:rPr>
                <w:rFonts w:hint="default"/>
                <w:spacing w:val="-4"/>
                <w:sz w:val="24"/>
                <w:szCs w:val="24"/>
                <w:highlight w:val="none"/>
                <w:vertAlign w:val="baseline"/>
                <w:lang w:val="en-US" w:eastAsia="zh-CN"/>
              </w:rPr>
            </w:pPr>
            <w:r>
              <w:rPr>
                <w:rFonts w:hint="eastAsia"/>
                <w:spacing w:val="-4"/>
                <w:sz w:val="24"/>
                <w:szCs w:val="24"/>
                <w:highlight w:val="none"/>
                <w:vertAlign w:val="baseline"/>
                <w:lang w:val="en-US" w:eastAsia="zh-CN"/>
              </w:rPr>
              <w:t>9</w:t>
            </w:r>
          </w:p>
        </w:tc>
        <w:tc>
          <w:tcPr>
            <w:tcW w:w="1000" w:type="dxa"/>
            <w:noWrap w:val="0"/>
            <w:vAlign w:val="center"/>
          </w:tcPr>
          <w:p w14:paraId="1409A73D">
            <w:pPr>
              <w:pStyle w:val="23"/>
              <w:spacing w:before="6" w:line="216" w:lineRule="auto"/>
              <w:jc w:val="center"/>
              <w:rPr>
                <w:rFonts w:hint="default"/>
                <w:spacing w:val="-4"/>
                <w:sz w:val="24"/>
                <w:szCs w:val="24"/>
                <w:highlight w:val="none"/>
                <w:vertAlign w:val="baseline"/>
                <w:lang w:val="en-US" w:eastAsia="zh-CN"/>
              </w:rPr>
            </w:pPr>
            <w:r>
              <w:rPr>
                <w:rFonts w:hint="eastAsia"/>
                <w:spacing w:val="-4"/>
                <w:sz w:val="24"/>
                <w:szCs w:val="24"/>
                <w:highlight w:val="none"/>
                <w:vertAlign w:val="baseline"/>
                <w:lang w:val="en-US" w:eastAsia="zh-CN"/>
              </w:rPr>
              <w:t>台</w:t>
            </w:r>
          </w:p>
        </w:tc>
      </w:tr>
      <w:tr w14:paraId="1E0C9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13" w:type="dxa"/>
            <w:noWrap w:val="0"/>
            <w:vAlign w:val="center"/>
          </w:tcPr>
          <w:p w14:paraId="4AF47200">
            <w:pPr>
              <w:pStyle w:val="23"/>
              <w:spacing w:before="6" w:line="216" w:lineRule="auto"/>
              <w:jc w:val="center"/>
              <w:rPr>
                <w:rFonts w:hint="default"/>
                <w:spacing w:val="-4"/>
                <w:sz w:val="24"/>
                <w:szCs w:val="24"/>
                <w:highlight w:val="none"/>
                <w:vertAlign w:val="baseline"/>
                <w:lang w:val="en-US" w:eastAsia="zh-CN"/>
              </w:rPr>
            </w:pPr>
            <w:r>
              <w:rPr>
                <w:rFonts w:hint="eastAsia"/>
                <w:spacing w:val="-4"/>
                <w:sz w:val="24"/>
                <w:szCs w:val="24"/>
                <w:highlight w:val="none"/>
                <w:vertAlign w:val="baseline"/>
                <w:lang w:val="en-US" w:eastAsia="zh-CN"/>
              </w:rPr>
              <w:t>2</w:t>
            </w:r>
          </w:p>
        </w:tc>
        <w:tc>
          <w:tcPr>
            <w:tcW w:w="2280" w:type="dxa"/>
            <w:vMerge w:val="continue"/>
            <w:noWrap w:val="0"/>
            <w:vAlign w:val="top"/>
          </w:tcPr>
          <w:p w14:paraId="6743ED3D">
            <w:pPr>
              <w:pStyle w:val="23"/>
              <w:spacing w:before="6" w:line="216" w:lineRule="auto"/>
              <w:jc w:val="center"/>
              <w:rPr>
                <w:rFonts w:hint="eastAsia"/>
                <w:spacing w:val="-4"/>
                <w:sz w:val="24"/>
                <w:szCs w:val="24"/>
                <w:highlight w:val="none"/>
                <w:vertAlign w:val="baseline"/>
                <w:lang w:val="en-US" w:eastAsia="zh-CN"/>
              </w:rPr>
            </w:pPr>
          </w:p>
        </w:tc>
        <w:tc>
          <w:tcPr>
            <w:tcW w:w="4656" w:type="dxa"/>
            <w:noWrap w:val="0"/>
            <w:vAlign w:val="top"/>
          </w:tcPr>
          <w:p w14:paraId="473A6A9D">
            <w:pPr>
              <w:pStyle w:val="23"/>
              <w:spacing w:before="6" w:line="216" w:lineRule="auto"/>
              <w:rPr>
                <w:rFonts w:hint="eastAsia"/>
                <w:spacing w:val="-4"/>
                <w:sz w:val="24"/>
                <w:szCs w:val="24"/>
                <w:highlight w:val="none"/>
                <w:vertAlign w:val="baseline"/>
                <w:lang w:val="en-US" w:eastAsia="zh-CN"/>
              </w:rPr>
            </w:pPr>
            <w:r>
              <w:rPr>
                <w:rFonts w:hint="eastAsia"/>
                <w:spacing w:val="-4"/>
                <w:sz w:val="24"/>
                <w:szCs w:val="24"/>
                <w:highlight w:val="none"/>
                <w:vertAlign w:val="baseline"/>
                <w:lang w:val="en-US" w:eastAsia="zh-CN"/>
              </w:rPr>
              <w:t>候诊屏</w:t>
            </w:r>
          </w:p>
        </w:tc>
        <w:tc>
          <w:tcPr>
            <w:tcW w:w="810" w:type="dxa"/>
            <w:noWrap w:val="0"/>
            <w:vAlign w:val="center"/>
          </w:tcPr>
          <w:p w14:paraId="5EFDCB71">
            <w:pPr>
              <w:pStyle w:val="23"/>
              <w:spacing w:before="6" w:line="216" w:lineRule="auto"/>
              <w:jc w:val="center"/>
              <w:rPr>
                <w:rFonts w:hint="default"/>
                <w:spacing w:val="-4"/>
                <w:sz w:val="24"/>
                <w:szCs w:val="24"/>
                <w:highlight w:val="none"/>
                <w:vertAlign w:val="baseline"/>
                <w:lang w:val="en-US" w:eastAsia="zh-CN"/>
              </w:rPr>
            </w:pPr>
            <w:r>
              <w:rPr>
                <w:rFonts w:hint="eastAsia"/>
                <w:spacing w:val="-4"/>
                <w:sz w:val="24"/>
                <w:szCs w:val="24"/>
                <w:highlight w:val="none"/>
                <w:vertAlign w:val="baseline"/>
                <w:lang w:val="en-US" w:eastAsia="zh-CN"/>
              </w:rPr>
              <w:t>1</w:t>
            </w:r>
          </w:p>
        </w:tc>
        <w:tc>
          <w:tcPr>
            <w:tcW w:w="1000" w:type="dxa"/>
            <w:noWrap w:val="0"/>
            <w:vAlign w:val="center"/>
          </w:tcPr>
          <w:p w14:paraId="287274D4">
            <w:pPr>
              <w:pStyle w:val="23"/>
              <w:spacing w:before="6" w:line="216" w:lineRule="auto"/>
              <w:jc w:val="center"/>
              <w:rPr>
                <w:rFonts w:hint="eastAsia"/>
                <w:spacing w:val="-4"/>
                <w:sz w:val="24"/>
                <w:szCs w:val="24"/>
                <w:highlight w:val="none"/>
                <w:vertAlign w:val="baseline"/>
                <w:lang w:val="en-US" w:eastAsia="zh-CN"/>
              </w:rPr>
            </w:pPr>
            <w:r>
              <w:rPr>
                <w:rFonts w:hint="eastAsia"/>
                <w:spacing w:val="-4"/>
                <w:sz w:val="24"/>
                <w:szCs w:val="24"/>
                <w:highlight w:val="none"/>
                <w:vertAlign w:val="baseline"/>
                <w:lang w:val="en-US" w:eastAsia="zh-CN"/>
              </w:rPr>
              <w:t>台</w:t>
            </w:r>
          </w:p>
        </w:tc>
      </w:tr>
      <w:tr w14:paraId="3A5E3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13" w:type="dxa"/>
            <w:noWrap w:val="0"/>
            <w:vAlign w:val="center"/>
          </w:tcPr>
          <w:p w14:paraId="4F491BF4">
            <w:pPr>
              <w:pStyle w:val="23"/>
              <w:spacing w:before="6" w:line="216" w:lineRule="auto"/>
              <w:jc w:val="center"/>
              <w:rPr>
                <w:rFonts w:hint="default"/>
                <w:spacing w:val="-4"/>
                <w:sz w:val="24"/>
                <w:szCs w:val="24"/>
                <w:highlight w:val="none"/>
                <w:vertAlign w:val="baseline"/>
                <w:lang w:val="en-US" w:eastAsia="zh-CN"/>
              </w:rPr>
            </w:pPr>
            <w:r>
              <w:rPr>
                <w:rFonts w:hint="eastAsia"/>
                <w:spacing w:val="-4"/>
                <w:sz w:val="24"/>
                <w:szCs w:val="24"/>
                <w:highlight w:val="none"/>
                <w:vertAlign w:val="baseline"/>
                <w:lang w:val="en-US" w:eastAsia="zh-CN"/>
              </w:rPr>
              <w:t>3</w:t>
            </w:r>
          </w:p>
        </w:tc>
        <w:tc>
          <w:tcPr>
            <w:tcW w:w="2280" w:type="dxa"/>
            <w:vMerge w:val="continue"/>
            <w:noWrap w:val="0"/>
            <w:vAlign w:val="top"/>
          </w:tcPr>
          <w:p w14:paraId="02F76817">
            <w:pPr>
              <w:pStyle w:val="23"/>
              <w:spacing w:before="6" w:line="216" w:lineRule="auto"/>
              <w:jc w:val="center"/>
              <w:rPr>
                <w:rFonts w:hint="eastAsia"/>
                <w:spacing w:val="-4"/>
                <w:sz w:val="24"/>
                <w:szCs w:val="24"/>
                <w:highlight w:val="none"/>
                <w:vertAlign w:val="baseline"/>
                <w:lang w:val="en-US" w:eastAsia="zh-CN"/>
              </w:rPr>
            </w:pPr>
          </w:p>
        </w:tc>
        <w:tc>
          <w:tcPr>
            <w:tcW w:w="4656" w:type="dxa"/>
            <w:noWrap w:val="0"/>
            <w:vAlign w:val="top"/>
          </w:tcPr>
          <w:p w14:paraId="7B7D62FB">
            <w:pPr>
              <w:pStyle w:val="23"/>
              <w:spacing w:before="6" w:line="216" w:lineRule="auto"/>
              <w:rPr>
                <w:rFonts w:hint="eastAsia"/>
                <w:spacing w:val="-4"/>
                <w:sz w:val="24"/>
                <w:szCs w:val="24"/>
                <w:highlight w:val="none"/>
                <w:vertAlign w:val="baseline"/>
                <w:lang w:val="en-US" w:eastAsia="zh-CN"/>
              </w:rPr>
            </w:pPr>
            <w:r>
              <w:rPr>
                <w:rFonts w:hint="eastAsia"/>
                <w:spacing w:val="-4"/>
                <w:sz w:val="24"/>
                <w:szCs w:val="24"/>
                <w:highlight w:val="none"/>
                <w:vertAlign w:val="baseline"/>
                <w:lang w:val="en-US" w:eastAsia="zh-CN"/>
              </w:rPr>
              <w:t>多媒体医疗导引系统平台软件改造技术服务</w:t>
            </w:r>
          </w:p>
        </w:tc>
        <w:tc>
          <w:tcPr>
            <w:tcW w:w="810" w:type="dxa"/>
            <w:noWrap w:val="0"/>
            <w:vAlign w:val="center"/>
          </w:tcPr>
          <w:p w14:paraId="0068DB1A">
            <w:pPr>
              <w:pStyle w:val="23"/>
              <w:spacing w:before="6" w:line="216" w:lineRule="auto"/>
              <w:jc w:val="center"/>
              <w:rPr>
                <w:rFonts w:hint="default"/>
                <w:spacing w:val="-4"/>
                <w:sz w:val="24"/>
                <w:szCs w:val="24"/>
                <w:highlight w:val="none"/>
                <w:vertAlign w:val="baseline"/>
                <w:lang w:val="en-US" w:eastAsia="zh-CN"/>
              </w:rPr>
            </w:pPr>
            <w:r>
              <w:rPr>
                <w:rFonts w:hint="eastAsia"/>
                <w:spacing w:val="-4"/>
                <w:sz w:val="24"/>
                <w:szCs w:val="24"/>
                <w:highlight w:val="none"/>
                <w:vertAlign w:val="baseline"/>
                <w:lang w:val="en-US" w:eastAsia="zh-CN"/>
              </w:rPr>
              <w:t>1</w:t>
            </w:r>
          </w:p>
        </w:tc>
        <w:tc>
          <w:tcPr>
            <w:tcW w:w="1000" w:type="dxa"/>
            <w:noWrap w:val="0"/>
            <w:vAlign w:val="center"/>
          </w:tcPr>
          <w:p w14:paraId="52696C14">
            <w:pPr>
              <w:pStyle w:val="23"/>
              <w:spacing w:before="6" w:line="216" w:lineRule="auto"/>
              <w:jc w:val="center"/>
              <w:rPr>
                <w:rFonts w:hint="default"/>
                <w:spacing w:val="-4"/>
                <w:sz w:val="24"/>
                <w:szCs w:val="24"/>
                <w:highlight w:val="none"/>
                <w:vertAlign w:val="baseline"/>
                <w:lang w:val="en-US" w:eastAsia="zh-CN"/>
              </w:rPr>
            </w:pPr>
            <w:r>
              <w:rPr>
                <w:rFonts w:hint="eastAsia"/>
                <w:spacing w:val="-4"/>
                <w:sz w:val="24"/>
                <w:szCs w:val="24"/>
                <w:highlight w:val="none"/>
                <w:vertAlign w:val="baseline"/>
                <w:lang w:val="en-US" w:eastAsia="zh-CN"/>
              </w:rPr>
              <w:t>套</w:t>
            </w:r>
          </w:p>
        </w:tc>
      </w:tr>
      <w:tr w14:paraId="0E377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13" w:type="dxa"/>
            <w:noWrap w:val="0"/>
            <w:vAlign w:val="center"/>
          </w:tcPr>
          <w:p w14:paraId="5B453CAB">
            <w:pPr>
              <w:pStyle w:val="23"/>
              <w:spacing w:before="6" w:line="216" w:lineRule="auto"/>
              <w:jc w:val="center"/>
              <w:rPr>
                <w:rFonts w:hint="default"/>
                <w:spacing w:val="-4"/>
                <w:sz w:val="24"/>
                <w:szCs w:val="24"/>
                <w:highlight w:val="none"/>
                <w:vertAlign w:val="baseline"/>
                <w:lang w:val="en-US" w:eastAsia="zh-CN"/>
              </w:rPr>
            </w:pPr>
            <w:r>
              <w:rPr>
                <w:rFonts w:hint="eastAsia"/>
                <w:spacing w:val="-4"/>
                <w:sz w:val="24"/>
                <w:szCs w:val="24"/>
                <w:highlight w:val="none"/>
                <w:vertAlign w:val="baseline"/>
                <w:lang w:val="en-US" w:eastAsia="zh-CN"/>
              </w:rPr>
              <w:t>4</w:t>
            </w:r>
          </w:p>
        </w:tc>
        <w:tc>
          <w:tcPr>
            <w:tcW w:w="2280" w:type="dxa"/>
            <w:vMerge w:val="continue"/>
            <w:noWrap w:val="0"/>
            <w:vAlign w:val="top"/>
          </w:tcPr>
          <w:p w14:paraId="1E71CE29">
            <w:pPr>
              <w:pStyle w:val="23"/>
              <w:spacing w:before="6" w:line="216" w:lineRule="auto"/>
              <w:jc w:val="center"/>
              <w:rPr>
                <w:rFonts w:hint="eastAsia"/>
                <w:spacing w:val="-4"/>
                <w:sz w:val="24"/>
                <w:szCs w:val="24"/>
                <w:highlight w:val="none"/>
                <w:vertAlign w:val="baseline"/>
                <w:lang w:val="en-US" w:eastAsia="zh-CN"/>
              </w:rPr>
            </w:pPr>
          </w:p>
        </w:tc>
        <w:tc>
          <w:tcPr>
            <w:tcW w:w="4656" w:type="dxa"/>
            <w:noWrap w:val="0"/>
            <w:vAlign w:val="top"/>
          </w:tcPr>
          <w:p w14:paraId="0FF15CFA">
            <w:pPr>
              <w:pStyle w:val="23"/>
              <w:spacing w:before="6" w:line="216" w:lineRule="auto"/>
              <w:rPr>
                <w:rFonts w:hint="default"/>
                <w:spacing w:val="-4"/>
                <w:sz w:val="24"/>
                <w:szCs w:val="24"/>
                <w:highlight w:val="none"/>
                <w:vertAlign w:val="baseline"/>
                <w:lang w:val="en-US" w:eastAsia="zh-CN"/>
              </w:rPr>
            </w:pPr>
            <w:r>
              <w:rPr>
                <w:rFonts w:hint="eastAsia"/>
                <w:spacing w:val="-4"/>
                <w:sz w:val="24"/>
                <w:szCs w:val="24"/>
                <w:highlight w:val="none"/>
                <w:vertAlign w:val="baseline"/>
                <w:lang w:val="en-US" w:eastAsia="zh-CN"/>
              </w:rPr>
              <w:t>技术服务</w:t>
            </w:r>
          </w:p>
        </w:tc>
        <w:tc>
          <w:tcPr>
            <w:tcW w:w="810" w:type="dxa"/>
            <w:noWrap w:val="0"/>
            <w:vAlign w:val="center"/>
          </w:tcPr>
          <w:p w14:paraId="65BB2272">
            <w:pPr>
              <w:pStyle w:val="23"/>
              <w:spacing w:before="6" w:line="216" w:lineRule="auto"/>
              <w:jc w:val="center"/>
              <w:rPr>
                <w:rFonts w:hint="default"/>
                <w:spacing w:val="-4"/>
                <w:sz w:val="24"/>
                <w:szCs w:val="24"/>
                <w:highlight w:val="none"/>
                <w:vertAlign w:val="baseline"/>
                <w:lang w:val="en-US" w:eastAsia="zh-CN"/>
              </w:rPr>
            </w:pPr>
            <w:r>
              <w:rPr>
                <w:rFonts w:hint="eastAsia"/>
                <w:spacing w:val="-4"/>
                <w:sz w:val="24"/>
                <w:szCs w:val="24"/>
                <w:highlight w:val="none"/>
                <w:vertAlign w:val="baseline"/>
                <w:lang w:val="en-US" w:eastAsia="zh-CN"/>
              </w:rPr>
              <w:t>1</w:t>
            </w:r>
          </w:p>
        </w:tc>
        <w:tc>
          <w:tcPr>
            <w:tcW w:w="1000" w:type="dxa"/>
            <w:noWrap w:val="0"/>
            <w:vAlign w:val="center"/>
          </w:tcPr>
          <w:p w14:paraId="3BDEF3CD">
            <w:pPr>
              <w:pStyle w:val="23"/>
              <w:spacing w:before="6" w:line="216" w:lineRule="auto"/>
              <w:jc w:val="center"/>
              <w:rPr>
                <w:rFonts w:hint="default"/>
                <w:spacing w:val="-4"/>
                <w:sz w:val="24"/>
                <w:szCs w:val="24"/>
                <w:highlight w:val="none"/>
                <w:vertAlign w:val="baseline"/>
                <w:lang w:val="en-US" w:eastAsia="zh-CN"/>
              </w:rPr>
            </w:pPr>
            <w:r>
              <w:rPr>
                <w:rFonts w:hint="eastAsia"/>
                <w:spacing w:val="-4"/>
                <w:sz w:val="24"/>
                <w:szCs w:val="24"/>
                <w:highlight w:val="none"/>
                <w:vertAlign w:val="baseline"/>
                <w:lang w:val="en-US" w:eastAsia="zh-CN"/>
              </w:rPr>
              <w:t>项</w:t>
            </w:r>
          </w:p>
        </w:tc>
      </w:tr>
      <w:tr w14:paraId="2EBD7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13" w:type="dxa"/>
            <w:noWrap w:val="0"/>
            <w:vAlign w:val="top"/>
          </w:tcPr>
          <w:p w14:paraId="2F76A7CC">
            <w:pPr>
              <w:pStyle w:val="23"/>
              <w:spacing w:before="6" w:line="216" w:lineRule="auto"/>
              <w:jc w:val="center"/>
              <w:rPr>
                <w:rFonts w:hint="default"/>
                <w:spacing w:val="-4"/>
                <w:sz w:val="24"/>
                <w:szCs w:val="24"/>
                <w:highlight w:val="none"/>
                <w:vertAlign w:val="baseline"/>
                <w:lang w:val="en-US" w:eastAsia="zh-CN"/>
              </w:rPr>
            </w:pPr>
            <w:r>
              <w:rPr>
                <w:rFonts w:hint="eastAsia"/>
                <w:spacing w:val="-4"/>
                <w:sz w:val="24"/>
                <w:szCs w:val="24"/>
                <w:highlight w:val="none"/>
                <w:vertAlign w:val="baseline"/>
                <w:lang w:val="en-US" w:eastAsia="zh-CN"/>
              </w:rPr>
              <w:t>5</w:t>
            </w:r>
          </w:p>
        </w:tc>
        <w:tc>
          <w:tcPr>
            <w:tcW w:w="2280" w:type="dxa"/>
            <w:noWrap w:val="0"/>
            <w:vAlign w:val="top"/>
          </w:tcPr>
          <w:p w14:paraId="244E97CA">
            <w:pPr>
              <w:pStyle w:val="23"/>
              <w:spacing w:before="6" w:line="216" w:lineRule="auto"/>
              <w:jc w:val="center"/>
              <w:rPr>
                <w:rFonts w:hint="default"/>
                <w:spacing w:val="-4"/>
                <w:sz w:val="24"/>
                <w:szCs w:val="24"/>
                <w:highlight w:val="none"/>
                <w:vertAlign w:val="baseline"/>
                <w:lang w:val="en-US" w:eastAsia="zh-CN"/>
              </w:rPr>
            </w:pPr>
            <w:r>
              <w:rPr>
                <w:rFonts w:hint="eastAsia"/>
                <w:spacing w:val="-4"/>
                <w:sz w:val="24"/>
                <w:szCs w:val="24"/>
                <w:highlight w:val="none"/>
                <w:vertAlign w:val="baseline"/>
                <w:lang w:val="en-US" w:eastAsia="zh-CN"/>
              </w:rPr>
              <w:t>预算总金额</w:t>
            </w:r>
          </w:p>
        </w:tc>
        <w:tc>
          <w:tcPr>
            <w:tcW w:w="6466" w:type="dxa"/>
            <w:gridSpan w:val="3"/>
            <w:noWrap w:val="0"/>
            <w:vAlign w:val="top"/>
          </w:tcPr>
          <w:p w14:paraId="024B8852">
            <w:pPr>
              <w:pStyle w:val="23"/>
              <w:spacing w:before="6" w:line="216" w:lineRule="auto"/>
              <w:rPr>
                <w:rFonts w:hint="eastAsia"/>
                <w:spacing w:val="-4"/>
                <w:sz w:val="24"/>
                <w:szCs w:val="24"/>
                <w:highlight w:val="none"/>
                <w:vertAlign w:val="baseline"/>
                <w:lang w:val="en-US" w:eastAsia="zh-CN"/>
              </w:rPr>
            </w:pPr>
            <w:r>
              <w:rPr>
                <w:rFonts w:hint="eastAsia"/>
                <w:spacing w:val="-4"/>
                <w:sz w:val="24"/>
                <w:szCs w:val="24"/>
                <w:highlight w:val="none"/>
                <w:vertAlign w:val="baseline"/>
                <w:lang w:val="en-US" w:eastAsia="zh-CN"/>
              </w:rPr>
              <w:t>49,200.00元</w:t>
            </w:r>
          </w:p>
        </w:tc>
      </w:tr>
    </w:tbl>
    <w:p w14:paraId="6359E862">
      <w:pPr>
        <w:keepNext w:val="0"/>
        <w:keepLines w:val="0"/>
        <w:pageBreakBefore w:val="0"/>
        <w:numPr>
          <w:ilvl w:val="0"/>
          <w:numId w:val="0"/>
        </w:numPr>
        <w:kinsoku/>
        <w:wordWrap/>
        <w:overflowPunct/>
        <w:topLinePunct w:val="0"/>
        <w:bidi w:val="0"/>
        <w:spacing w:line="360" w:lineRule="exact"/>
        <w:ind w:firstLine="422" w:firstLineChars="200"/>
        <w:jc w:val="both"/>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四、采购需求书</w:t>
      </w:r>
    </w:p>
    <w:p w14:paraId="220A2A46">
      <w:pPr>
        <w:keepNext w:val="0"/>
        <w:keepLines w:val="0"/>
        <w:pageBreakBefore w:val="0"/>
        <w:numPr>
          <w:ilvl w:val="0"/>
          <w:numId w:val="1"/>
        </w:numPr>
        <w:kinsoku/>
        <w:wordWrap/>
        <w:overflowPunct/>
        <w:topLinePunct w:val="0"/>
        <w:bidi w:val="0"/>
        <w:spacing w:line="360" w:lineRule="exact"/>
        <w:ind w:left="0" w:leftChars="0" w:firstLine="420" w:firstLineChars="200"/>
        <w:jc w:val="both"/>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项目总体需求</w:t>
      </w:r>
    </w:p>
    <w:p w14:paraId="58EC3669">
      <w:pPr>
        <w:keepNext w:val="0"/>
        <w:keepLines w:val="0"/>
        <w:pageBreakBefore w:val="0"/>
        <w:widowControl w:val="0"/>
        <w:kinsoku/>
        <w:wordWrap/>
        <w:overflowPunct/>
        <w:topLinePunct w:val="0"/>
        <w:bidi w:val="0"/>
        <w:adjustRightInd w:val="0"/>
        <w:snapToGrid w:val="0"/>
        <w:spacing w:line="360" w:lineRule="exact"/>
        <w:ind w:left="0" w:leftChars="0" w:firstLine="420" w:firstLineChars="200"/>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我院</w:t>
      </w:r>
      <w:r>
        <w:rPr>
          <w:rFonts w:hint="eastAsia" w:ascii="宋体" w:hAnsi="宋体" w:eastAsia="宋体" w:cs="宋体"/>
          <w:i w:val="0"/>
          <w:iCs w:val="0"/>
          <w:color w:val="auto"/>
          <w:kern w:val="0"/>
          <w:sz w:val="21"/>
          <w:szCs w:val="21"/>
          <w:highlight w:val="none"/>
          <w:u w:val="none"/>
          <w:lang w:val="en-US" w:eastAsia="zh-CN" w:bidi="ar"/>
        </w:rPr>
        <w:t>已经建设了一套多媒体分诊导引系统，口腔科的分诊建设将延续原分诊架构和流程，以便能最大化的节约建设成本和方便进行系统的管理。口腔科门诊是一个集治疗、检查、科普宣教等为一体的诊疗中心，本项目的建设有利于患者满意度的进一步提升。针对口腔科门诊排队叫号需求，结合医院实际现场环境，通过与医院HIS系统进行</w:t>
      </w:r>
      <w:r>
        <w:rPr>
          <w:rFonts w:hint="eastAsia" w:ascii="宋体" w:hAnsi="宋体" w:cs="宋体"/>
          <w:i w:val="0"/>
          <w:iCs w:val="0"/>
          <w:color w:val="auto"/>
          <w:kern w:val="0"/>
          <w:sz w:val="21"/>
          <w:szCs w:val="21"/>
          <w:highlight w:val="none"/>
          <w:u w:val="none"/>
          <w:lang w:val="en-US" w:eastAsia="zh-CN" w:bidi="ar"/>
        </w:rPr>
        <w:t>实</w:t>
      </w:r>
      <w:r>
        <w:rPr>
          <w:rFonts w:hint="eastAsia" w:ascii="宋体" w:hAnsi="宋体" w:eastAsia="宋体" w:cs="宋体"/>
          <w:i w:val="0"/>
          <w:iCs w:val="0"/>
          <w:color w:val="auto"/>
          <w:kern w:val="0"/>
          <w:sz w:val="21"/>
          <w:szCs w:val="21"/>
          <w:highlight w:val="none"/>
          <w:u w:val="none"/>
          <w:lang w:val="en-US" w:eastAsia="zh-CN" w:bidi="ar"/>
        </w:rPr>
        <w:t>时数据交互，建立较为先进的一级、二级分诊模式，及显示排队叫号信息、公共宣教信息。系统主要可实现以下提升。</w:t>
      </w:r>
    </w:p>
    <w:p w14:paraId="0DE675A6">
      <w:pPr>
        <w:keepNext w:val="0"/>
        <w:keepLines w:val="0"/>
        <w:pageBreakBefore w:val="0"/>
        <w:widowControl w:val="0"/>
        <w:kinsoku/>
        <w:wordWrap/>
        <w:overflowPunct/>
        <w:topLinePunct w:val="0"/>
        <w:bidi w:val="0"/>
        <w:adjustRightInd w:val="0"/>
        <w:snapToGrid w:val="0"/>
        <w:spacing w:line="360" w:lineRule="exact"/>
        <w:ind w:left="0" w:leftChars="0" w:firstLine="420" w:firstLineChars="200"/>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合理有效引导来医院口腔科就诊的人流，改善就医环境。</w:t>
      </w:r>
    </w:p>
    <w:p w14:paraId="4E4A5AD0">
      <w:pPr>
        <w:keepNext w:val="0"/>
        <w:keepLines w:val="0"/>
        <w:pageBreakBefore w:val="0"/>
        <w:widowControl w:val="0"/>
        <w:kinsoku/>
        <w:wordWrap/>
        <w:overflowPunct/>
        <w:topLinePunct w:val="0"/>
        <w:bidi w:val="0"/>
        <w:adjustRightInd w:val="0"/>
        <w:snapToGrid w:val="0"/>
        <w:spacing w:line="360" w:lineRule="exact"/>
        <w:ind w:left="0" w:leftChars="0" w:firstLine="420" w:firstLineChars="200"/>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提供明晰有序的分诊显示，减少护士因导医咨询而产生的工作量，缓解医患紧张关系。</w:t>
      </w:r>
    </w:p>
    <w:p w14:paraId="647597EE">
      <w:pPr>
        <w:keepNext w:val="0"/>
        <w:keepLines w:val="0"/>
        <w:pageBreakBefore w:val="0"/>
        <w:widowControl w:val="0"/>
        <w:kinsoku/>
        <w:wordWrap/>
        <w:overflowPunct/>
        <w:topLinePunct w:val="0"/>
        <w:bidi w:val="0"/>
        <w:adjustRightInd w:val="0"/>
        <w:snapToGrid w:val="0"/>
        <w:spacing w:line="360" w:lineRule="exact"/>
        <w:ind w:left="0" w:leftChars="0" w:firstLine="420" w:firstLineChars="200"/>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多媒体精确显示，让患者有序候诊，减少患者间因排队而产生的矛盾与冲突。</w:t>
      </w:r>
    </w:p>
    <w:p w14:paraId="15A7AAA4">
      <w:pPr>
        <w:keepNext w:val="0"/>
        <w:keepLines w:val="0"/>
        <w:pageBreakBefore w:val="0"/>
        <w:widowControl w:val="0"/>
        <w:kinsoku/>
        <w:wordWrap/>
        <w:overflowPunct/>
        <w:topLinePunct w:val="0"/>
        <w:bidi w:val="0"/>
        <w:adjustRightInd w:val="0"/>
        <w:snapToGrid w:val="0"/>
        <w:spacing w:line="360" w:lineRule="exact"/>
        <w:ind w:left="0" w:leftChars="0" w:firstLine="420" w:firstLineChars="200"/>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与医院现有的分诊系统实现统一后台管理及相关业务流程。</w:t>
      </w:r>
    </w:p>
    <w:p w14:paraId="44451B0E">
      <w:pPr>
        <w:keepNext w:val="0"/>
        <w:keepLines w:val="0"/>
        <w:pageBreakBefore w:val="0"/>
        <w:numPr>
          <w:ilvl w:val="0"/>
          <w:numId w:val="0"/>
        </w:numPr>
        <w:kinsoku/>
        <w:wordWrap/>
        <w:overflowPunct/>
        <w:topLinePunct w:val="0"/>
        <w:bidi w:val="0"/>
        <w:spacing w:line="360" w:lineRule="exact"/>
        <w:ind w:firstLine="420" w:firstLineChars="200"/>
        <w:jc w:val="both"/>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（二）技术规格、参数及要求</w:t>
      </w:r>
    </w:p>
    <w:p w14:paraId="0C485789">
      <w:pPr>
        <w:keepNext w:val="0"/>
        <w:keepLines w:val="0"/>
        <w:pageBreakBefore w:val="0"/>
        <w:numPr>
          <w:ilvl w:val="0"/>
          <w:numId w:val="0"/>
        </w:numPr>
        <w:kinsoku/>
        <w:wordWrap/>
        <w:overflowPunct/>
        <w:topLinePunct w:val="0"/>
        <w:bidi w:val="0"/>
        <w:spacing w:line="360" w:lineRule="exact"/>
        <w:ind w:leftChars="200"/>
        <w:jc w:val="both"/>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1.诊室屏</w:t>
      </w:r>
    </w:p>
    <w:p w14:paraId="3B0B559C">
      <w:pPr>
        <w:keepNext w:val="0"/>
        <w:keepLines w:val="0"/>
        <w:pageBreakBefore w:val="0"/>
        <w:numPr>
          <w:ilvl w:val="0"/>
          <w:numId w:val="0"/>
        </w:numPr>
        <w:kinsoku/>
        <w:wordWrap/>
        <w:overflowPunct/>
        <w:topLinePunct w:val="0"/>
        <w:bidi w:val="0"/>
        <w:spacing w:line="360" w:lineRule="exact"/>
        <w:ind w:leftChars="200"/>
        <w:jc w:val="both"/>
        <w:rPr>
          <w:rFonts w:hint="eastAsia" w:ascii="宋体" w:hAnsi="宋体" w:eastAsia="宋体" w:cs="宋体"/>
          <w:sz w:val="21"/>
          <w:szCs w:val="21"/>
          <w:highlight w:val="none"/>
          <w:lang w:eastAsia="zh-CN"/>
        </w:rPr>
      </w:pPr>
      <w:r>
        <w:rPr>
          <w:rFonts w:hint="eastAsia" w:ascii="宋体" w:hAnsi="宋体" w:cs="宋体"/>
          <w:color w:val="auto"/>
          <w:sz w:val="21"/>
          <w:szCs w:val="21"/>
          <w:highlight w:val="none"/>
          <w:lang w:val="en-US" w:eastAsia="zh-CN" w:bidi="ar-SA"/>
        </w:rPr>
        <w:t>1.1基本要求：</w:t>
      </w:r>
      <w:r>
        <w:rPr>
          <w:rFonts w:hint="eastAsia" w:ascii="宋体" w:hAnsi="宋体" w:eastAsia="宋体" w:cs="宋体"/>
          <w:sz w:val="21"/>
          <w:szCs w:val="21"/>
          <w:highlight w:val="none"/>
        </w:rPr>
        <w:t>显示屏尺寸：≥19英寸</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处理器要求：≥四核，1.3GHZ</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内存要求：≥1GB</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外存储：≥8GB</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操作系统：Android</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分辨率≥</w:t>
      </w:r>
      <w:r>
        <w:rPr>
          <w:rFonts w:ascii="宋体" w:hAnsi="宋体" w:eastAsia="宋体" w:cs="宋体"/>
          <w:sz w:val="21"/>
          <w:szCs w:val="21"/>
          <w:highlight w:val="none"/>
        </w:rPr>
        <w:t>1366 x 768</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亮度≥250 cd/m</w:t>
      </w:r>
      <w:r>
        <w:rPr>
          <w:rFonts w:ascii="宋体" w:hAnsi="宋体" w:eastAsia="宋体" w:cs="Calibri"/>
          <w:sz w:val="21"/>
          <w:szCs w:val="21"/>
          <w:highlight w:val="none"/>
        </w:rPr>
        <w:t>²</w:t>
      </w:r>
      <w:r>
        <w:rPr>
          <w:rFonts w:hint="eastAsia" w:ascii="宋体" w:hAnsi="宋体" w:eastAsia="宋体" w:cs="Calibri"/>
          <w:sz w:val="21"/>
          <w:szCs w:val="21"/>
          <w:highlight w:val="none"/>
          <w:lang w:eastAsia="zh-CN"/>
        </w:rPr>
        <w:t>，</w:t>
      </w:r>
      <w:r>
        <w:rPr>
          <w:rFonts w:hint="eastAsia" w:ascii="宋体" w:hAnsi="宋体" w:eastAsia="宋体" w:cs="宋体"/>
          <w:sz w:val="21"/>
          <w:szCs w:val="21"/>
          <w:highlight w:val="none"/>
        </w:rPr>
        <w:t>整机额定功率：≤30W</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待机功率：≤2W</w:t>
      </w:r>
      <w:r>
        <w:rPr>
          <w:rFonts w:hint="eastAsia" w:ascii="宋体" w:hAnsi="宋体" w:eastAsia="宋体" w:cs="宋体"/>
          <w:sz w:val="21"/>
          <w:szCs w:val="21"/>
          <w:highlight w:val="none"/>
          <w:lang w:eastAsia="zh-CN"/>
        </w:rPr>
        <w:t>。</w:t>
      </w:r>
    </w:p>
    <w:p w14:paraId="649157DF">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eastAsia" w:ascii="宋体" w:hAnsi="宋体" w:eastAsia="宋体" w:cs="宋体"/>
          <w:sz w:val="21"/>
          <w:szCs w:val="21"/>
          <w:highlight w:val="none"/>
          <w:lang w:eastAsia="zh-CN"/>
        </w:rPr>
      </w:pPr>
      <w:r>
        <w:rPr>
          <w:rFonts w:hint="eastAsia" w:ascii="宋体" w:hAnsi="宋体" w:eastAsia="宋体"/>
          <w:sz w:val="21"/>
          <w:szCs w:val="21"/>
          <w:highlight w:val="none"/>
          <w:lang w:val="en-US" w:eastAsia="zh-CN"/>
        </w:rPr>
        <w:t>1.2功能与效果：</w:t>
      </w:r>
      <w:r>
        <w:rPr>
          <w:rFonts w:hint="eastAsia" w:ascii="宋体" w:hAnsi="宋体" w:eastAsia="宋体" w:cs="宋体"/>
          <w:sz w:val="21"/>
          <w:szCs w:val="21"/>
          <w:highlight w:val="none"/>
        </w:rPr>
        <w:t>内置RTC时钟，支持全天多时段定时开关机</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设备应支持 7*24 小时运行，应满足无风扇设计标准，为防止患者误操作，机身应无按键设计</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需支持定时开关机，支持定时下载、定时播放、下载限速、断点续传</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支持平衡调节、多段式均衡器、DTS 解码、Dolby解码、自动声音调整、LIPSYNC(音画同步)、立体变频(混合调光)（需提供第三方检测机构出具的检测报告，并加盖</w:t>
      </w:r>
      <w:r>
        <w:rPr>
          <w:rFonts w:hint="eastAsia" w:ascii="宋体" w:hAnsi="宋体" w:eastAsia="宋体"/>
          <w:bCs/>
          <w:kern w:val="0"/>
          <w:sz w:val="21"/>
          <w:szCs w:val="21"/>
          <w:highlight w:val="none"/>
        </w:rPr>
        <w:t>供应商公章</w:t>
      </w:r>
      <w:r>
        <w:rPr>
          <w:rFonts w:hint="eastAsia" w:ascii="宋体" w:hAnsi="宋体" w:eastAsia="宋体" w:cs="宋体"/>
          <w:sz w:val="21"/>
          <w:szCs w:val="21"/>
          <w:highlight w:val="none"/>
        </w:rPr>
        <w:t>）。</w:t>
      </w:r>
    </w:p>
    <w:p w14:paraId="71C28608">
      <w:pPr>
        <w:suppressAutoHyphens/>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.3供应商所投产品须</w:t>
      </w:r>
      <w:r>
        <w:rPr>
          <w:rFonts w:hint="eastAsia" w:ascii="宋体" w:hAnsi="宋体" w:eastAsia="宋体" w:cs="宋体"/>
          <w:sz w:val="21"/>
          <w:szCs w:val="21"/>
          <w:highlight w:val="none"/>
        </w:rPr>
        <w:t>具有国家强制性CCC认证证书、国家强制性产品认证试验报告</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须提供复印件并加盖</w:t>
      </w:r>
      <w:r>
        <w:rPr>
          <w:rFonts w:hint="eastAsia" w:ascii="宋体" w:hAnsi="宋体" w:eastAsia="宋体"/>
          <w:bCs/>
          <w:kern w:val="0"/>
          <w:sz w:val="21"/>
          <w:szCs w:val="21"/>
          <w:highlight w:val="none"/>
        </w:rPr>
        <w:t>供应商公章。</w:t>
      </w:r>
    </w:p>
    <w:p w14:paraId="59B82991">
      <w:pPr>
        <w:keepNext w:val="0"/>
        <w:keepLines w:val="0"/>
        <w:pageBreakBefore w:val="0"/>
        <w:widowControl/>
        <w:numPr>
          <w:ilvl w:val="0"/>
          <w:numId w:val="0"/>
        </w:numPr>
        <w:suppressLineNumbers w:val="0"/>
        <w:kinsoku/>
        <w:overflowPunct/>
        <w:topLinePunct w:val="0"/>
        <w:bidi w:val="0"/>
        <w:spacing w:line="360" w:lineRule="exact"/>
        <w:ind w:firstLine="422" w:firstLineChars="200"/>
        <w:jc w:val="both"/>
        <w:textAlignment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2.候诊屏</w:t>
      </w:r>
    </w:p>
    <w:p w14:paraId="6D019778">
      <w:pPr>
        <w:suppressAutoHyphens/>
        <w:spacing w:line="360" w:lineRule="auto"/>
        <w:ind w:firstLine="420" w:firstLineChars="200"/>
        <w:rPr>
          <w:rFonts w:hint="eastAsia" w:ascii="宋体" w:hAnsi="宋体" w:eastAsia="宋体" w:cs="宋体"/>
          <w:sz w:val="21"/>
          <w:szCs w:val="21"/>
          <w:highlight w:val="none"/>
          <w:lang w:eastAsia="zh-CN"/>
        </w:rPr>
      </w:pPr>
      <w:bookmarkStart w:id="1" w:name="OLE_LINK2"/>
      <w:r>
        <w:rPr>
          <w:rFonts w:hint="eastAsia" w:ascii="宋体" w:hAnsi="宋体" w:cs="宋体"/>
          <w:color w:val="auto"/>
          <w:sz w:val="21"/>
          <w:szCs w:val="21"/>
          <w:highlight w:val="none"/>
          <w:lang w:val="en-US" w:eastAsia="zh-CN" w:bidi="ar-SA"/>
        </w:rPr>
        <w:t>2.1基本要求：</w:t>
      </w:r>
      <w:r>
        <w:rPr>
          <w:rFonts w:hint="eastAsia" w:ascii="宋体" w:hAnsi="宋体" w:eastAsia="宋体" w:cs="宋体"/>
          <w:sz w:val="21"/>
          <w:szCs w:val="21"/>
          <w:highlight w:val="none"/>
        </w:rPr>
        <w:t>显示屏尺寸：≥55英寸</w:t>
      </w:r>
      <w:bookmarkEnd w:id="1"/>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处理器要求：≥Dual-core A73 and dual-core A53</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内存要求：≥2GB</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外存储：≥8GB</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 xml:space="preserve">操作系统：Android </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分辨率≥</w:t>
      </w:r>
      <w:r>
        <w:rPr>
          <w:rFonts w:ascii="宋体" w:hAnsi="宋体" w:eastAsia="宋体" w:cs="宋体"/>
          <w:sz w:val="21"/>
          <w:szCs w:val="21"/>
          <w:highlight w:val="none"/>
        </w:rPr>
        <w:t>3840*2160</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亮度≥350 cd/m</w:t>
      </w:r>
      <w:r>
        <w:rPr>
          <w:rFonts w:ascii="宋体" w:hAnsi="宋体" w:eastAsia="宋体" w:cs="Calibri"/>
          <w:sz w:val="21"/>
          <w:szCs w:val="21"/>
          <w:highlight w:val="none"/>
        </w:rPr>
        <w:t>²</w:t>
      </w:r>
      <w:r>
        <w:rPr>
          <w:rFonts w:hint="eastAsia" w:ascii="宋体" w:hAnsi="宋体" w:eastAsia="宋体" w:cs="Calibri"/>
          <w:sz w:val="21"/>
          <w:szCs w:val="21"/>
          <w:highlight w:val="none"/>
          <w:lang w:eastAsia="zh-CN"/>
        </w:rPr>
        <w:t>，</w:t>
      </w:r>
      <w:r>
        <w:rPr>
          <w:rFonts w:hint="eastAsia" w:ascii="宋体" w:hAnsi="宋体" w:eastAsia="宋体" w:cs="宋体"/>
          <w:sz w:val="21"/>
          <w:szCs w:val="21"/>
          <w:highlight w:val="none"/>
        </w:rPr>
        <w:t>整机额定功率：≤150W</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待机功率：≤2W</w:t>
      </w:r>
      <w:r>
        <w:rPr>
          <w:rFonts w:hint="eastAsia" w:ascii="宋体" w:hAnsi="宋体" w:eastAsia="宋体" w:cs="宋体"/>
          <w:sz w:val="21"/>
          <w:szCs w:val="21"/>
          <w:highlight w:val="none"/>
          <w:lang w:eastAsia="zh-CN"/>
        </w:rPr>
        <w:t>。</w:t>
      </w:r>
    </w:p>
    <w:p w14:paraId="32A46BE0">
      <w:pPr>
        <w:suppressAutoHyphens/>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2.2功能与效果：</w:t>
      </w:r>
      <w:r>
        <w:rPr>
          <w:rFonts w:hint="eastAsia" w:ascii="宋体" w:hAnsi="宋体" w:eastAsia="宋体" w:cs="宋体"/>
          <w:sz w:val="21"/>
          <w:szCs w:val="21"/>
          <w:highlight w:val="none"/>
        </w:rPr>
        <w:t>内置RTC时钟，支持全天多时段定时开关机</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需支持分屏显示，可划分多个显示区域</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需支持定时开关机，支持定时下载、定时播放、下载限速、断点续传</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支持平衡调节、多段式均衡器、DTS 解码、Dolby解码、自动声音调整、LIPSYNC(音画同步)、立体变频(混合调光)（需提供第三方检测机构出具的检测报告，并加盖</w:t>
      </w:r>
      <w:r>
        <w:rPr>
          <w:rFonts w:hint="eastAsia" w:ascii="宋体" w:hAnsi="宋体" w:eastAsia="宋体"/>
          <w:bCs/>
          <w:kern w:val="0"/>
          <w:sz w:val="21"/>
          <w:szCs w:val="21"/>
          <w:highlight w:val="none"/>
        </w:rPr>
        <w:t>供应商公章</w:t>
      </w:r>
      <w:r>
        <w:rPr>
          <w:rFonts w:hint="eastAsia" w:ascii="宋体" w:hAnsi="宋体" w:eastAsia="宋体" w:cs="宋体"/>
          <w:sz w:val="21"/>
          <w:szCs w:val="21"/>
          <w:highlight w:val="none"/>
        </w:rPr>
        <w:t>）。</w:t>
      </w:r>
    </w:p>
    <w:p w14:paraId="6900C0AA">
      <w:pPr>
        <w:suppressAutoHyphens/>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2.3供应商所投产品须</w:t>
      </w:r>
      <w:r>
        <w:rPr>
          <w:rFonts w:hint="eastAsia" w:ascii="宋体" w:hAnsi="宋体" w:eastAsia="宋体" w:cs="宋体"/>
          <w:sz w:val="21"/>
          <w:szCs w:val="21"/>
          <w:highlight w:val="none"/>
        </w:rPr>
        <w:t>具有国家强制性CCC认证证书、国家强制性产品认证试验报告</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须提供复印件并加盖</w:t>
      </w:r>
      <w:r>
        <w:rPr>
          <w:rFonts w:hint="eastAsia" w:ascii="宋体" w:hAnsi="宋体" w:eastAsia="宋体"/>
          <w:bCs/>
          <w:kern w:val="0"/>
          <w:sz w:val="21"/>
          <w:szCs w:val="21"/>
          <w:highlight w:val="none"/>
        </w:rPr>
        <w:t>供应商公章。</w:t>
      </w:r>
    </w:p>
    <w:p w14:paraId="7E029166">
      <w:pPr>
        <w:keepNext w:val="0"/>
        <w:keepLines w:val="0"/>
        <w:pageBreakBefore w:val="0"/>
        <w:widowControl/>
        <w:numPr>
          <w:ilvl w:val="0"/>
          <w:numId w:val="0"/>
        </w:numPr>
        <w:suppressLineNumbers w:val="0"/>
        <w:kinsoku/>
        <w:overflowPunct/>
        <w:topLinePunct w:val="0"/>
        <w:bidi w:val="0"/>
        <w:spacing w:line="360" w:lineRule="exact"/>
        <w:ind w:firstLine="422" w:firstLineChars="200"/>
        <w:jc w:val="both"/>
        <w:textAlignment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3.</w:t>
      </w:r>
      <w:r>
        <w:rPr>
          <w:rFonts w:hint="eastAsia" w:ascii="宋体" w:hAnsi="宋体" w:eastAsia="宋体" w:cs="宋体"/>
          <w:b/>
          <w:bCs/>
          <w:sz w:val="21"/>
          <w:szCs w:val="21"/>
          <w:highlight w:val="none"/>
        </w:rPr>
        <w:t>多媒体医疗导引系统平台软件改造技术服务</w:t>
      </w:r>
    </w:p>
    <w:p w14:paraId="2CE1393C">
      <w:pPr>
        <w:numPr>
          <w:ilvl w:val="0"/>
          <w:numId w:val="0"/>
        </w:numPr>
        <w:suppressAutoHyphens/>
        <w:spacing w:line="360" w:lineRule="auto"/>
        <w:ind w:leftChars="0" w:firstLine="422" w:firstLineChars="200"/>
        <w:rPr>
          <w:rFonts w:hint="eastAsia" w:ascii="宋体" w:hAnsi="宋体" w:eastAsia="宋体" w:cs="宋体"/>
          <w:sz w:val="21"/>
          <w:szCs w:val="21"/>
          <w:highlight w:val="none"/>
        </w:rPr>
      </w:pPr>
      <w:r>
        <w:rPr>
          <w:rFonts w:hint="eastAsia" w:ascii="宋体" w:hAnsi="宋体" w:eastAsia="宋体"/>
          <w:b/>
          <w:bCs/>
          <w:sz w:val="21"/>
          <w:szCs w:val="21"/>
          <w:highlight w:val="none"/>
          <w:lang w:val="en-US" w:eastAsia="zh-CN"/>
        </w:rPr>
        <w:t>3.1</w:t>
      </w:r>
      <w:r>
        <w:rPr>
          <w:rFonts w:hint="eastAsia" w:ascii="宋体" w:hAnsi="宋体" w:eastAsia="宋体"/>
          <w:b/>
          <w:bCs/>
          <w:sz w:val="21"/>
          <w:szCs w:val="21"/>
          <w:highlight w:val="none"/>
        </w:rPr>
        <w:t>软件平台基础功能</w:t>
      </w:r>
    </w:p>
    <w:p w14:paraId="23718C76">
      <w:pPr>
        <w:keepNext w:val="0"/>
        <w:keepLines w:val="0"/>
        <w:pageBreakBefore w:val="0"/>
        <w:widowControl/>
        <w:suppressAutoHyphens/>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highlight w:val="none"/>
        </w:rPr>
      </w:pPr>
      <w:r>
        <w:rPr>
          <w:rFonts w:hint="eastAsia" w:ascii="宋体" w:hAnsi="宋体" w:eastAsia="宋体" w:cs="宋体"/>
          <w:sz w:val="21"/>
          <w:szCs w:val="21"/>
          <w:highlight w:val="none"/>
          <w:lang w:val="en-US" w:eastAsia="zh-CN"/>
        </w:rPr>
        <w:t>3.1.</w:t>
      </w:r>
      <w:r>
        <w:rPr>
          <w:rFonts w:hint="eastAsia" w:ascii="宋体" w:hAnsi="宋体" w:eastAsia="宋体" w:cs="宋体"/>
          <w:sz w:val="21"/>
          <w:szCs w:val="21"/>
          <w:highlight w:val="none"/>
        </w:rPr>
        <w:t>1信息发布系统与排队叫号系统集成于统一平台，方便医院管理维护；叫号系统软件装载在分诊及HIS接口服务器上，该服务器需有良好的数据备份及安全措施。</w:t>
      </w:r>
    </w:p>
    <w:p w14:paraId="367E6BED">
      <w:pPr>
        <w:keepNext w:val="0"/>
        <w:keepLines w:val="0"/>
        <w:pageBreakBefore w:val="0"/>
        <w:widowControl/>
        <w:suppressAutoHyphen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3.1.</w:t>
      </w:r>
      <w:r>
        <w:rPr>
          <w:rFonts w:hint="eastAsia" w:ascii="宋体" w:hAnsi="宋体" w:eastAsia="宋体" w:cs="宋体"/>
          <w:sz w:val="21"/>
          <w:szCs w:val="21"/>
          <w:highlight w:val="none"/>
        </w:rPr>
        <w:t>2系统后台应具备部门管理、用户管理、角色管理功能，终端管理，监控管理等子模块功能，方便后期维护人员对终端、播放内容进行高效管理；系统需支持接收HIS接口数据、医生诊室电脑、护士站电脑传来的信息，实时生成最新的分诊导引排队队列信息，并按显示规则推送到相对应的一级分诊屏、二级分诊屏上。</w:t>
      </w:r>
    </w:p>
    <w:p w14:paraId="73838AA6">
      <w:pPr>
        <w:keepNext w:val="0"/>
        <w:keepLines w:val="0"/>
        <w:pageBreakBefore w:val="0"/>
        <w:widowControl/>
        <w:suppressAutoHyphen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3.1.</w:t>
      </w:r>
      <w:r>
        <w:rPr>
          <w:rFonts w:hint="eastAsia" w:ascii="宋体" w:hAnsi="宋体" w:eastAsia="宋体" w:cs="宋体"/>
          <w:sz w:val="21"/>
          <w:szCs w:val="21"/>
          <w:highlight w:val="none"/>
        </w:rPr>
        <w:t>3可根据一个诊室多医生的实际情况，调整二级屏的显示模式</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一级、二级分诊屏的显示画面可根据医院需求定制且修改方便。</w:t>
      </w:r>
    </w:p>
    <w:p w14:paraId="4E8BA3EB">
      <w:pPr>
        <w:keepNext w:val="0"/>
        <w:keepLines w:val="0"/>
        <w:pageBreakBefore w:val="0"/>
        <w:widowControl/>
        <w:suppressAutoHyphen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3.1.</w:t>
      </w:r>
      <w:r>
        <w:rPr>
          <w:rFonts w:hint="eastAsia" w:ascii="宋体" w:hAnsi="宋体" w:eastAsia="宋体" w:cs="宋体"/>
          <w:sz w:val="21"/>
          <w:szCs w:val="21"/>
          <w:highlight w:val="none"/>
        </w:rPr>
        <w:t>4为满足多系统之间互联互通要求，方便后期对数据接口以及软件故障排查，系统需具备日志可视化管理功能，并能通过日志生成时间、操作者来源、操作类型、操作模块、操作结果、操作时间、耗时等进行快速筛查，极大方便后期日常维护工作。</w:t>
      </w:r>
    </w:p>
    <w:p w14:paraId="508C49DD">
      <w:pPr>
        <w:keepNext w:val="0"/>
        <w:keepLines w:val="0"/>
        <w:pageBreakBefore w:val="0"/>
        <w:widowControl/>
        <w:suppressAutoHyphen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3.1.</w:t>
      </w:r>
      <w:r>
        <w:rPr>
          <w:rFonts w:hint="eastAsia" w:ascii="宋体" w:hAnsi="宋体" w:eastAsia="宋体" w:cs="宋体"/>
          <w:sz w:val="21"/>
          <w:szCs w:val="21"/>
          <w:highlight w:val="none"/>
        </w:rPr>
        <w:t>5为保证系统数据安全，系统后台需支持对数据的可视化管理，支持自定义设置历史数据保留时长，支持对数据进行隐私保护标识符号进行设置，支持选择是否开启数据备份服务，以及备份周期进行选择。</w:t>
      </w:r>
    </w:p>
    <w:p w14:paraId="260489B7">
      <w:pPr>
        <w:keepNext w:val="0"/>
        <w:keepLines w:val="0"/>
        <w:pageBreakBefore w:val="0"/>
        <w:widowControl/>
        <w:suppressAutoHyphen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3.1.</w:t>
      </w:r>
      <w:r>
        <w:rPr>
          <w:rFonts w:hint="eastAsia" w:ascii="宋体" w:hAnsi="宋体" w:eastAsia="宋体" w:cs="宋体"/>
          <w:sz w:val="21"/>
          <w:szCs w:val="21"/>
          <w:highlight w:val="none"/>
        </w:rPr>
        <w:t>6根据医院实际情况，针对预约患者签到规则，系统应具备可视化管理功能，支持选择是否开启预约签到功能，开启后，支持对预约患者提前签到时间、预约迟到条件、迟到患者惩罚机制，叫号策略等做相应的管理；系统需支持自动将患者平均分配到普通号出诊医生队列中，并按顺序叫号；支持自动将挂专家号的患者与专家一一对应，并按顺序叫号；对于患者要选择医生的，可支持由护士站电脑手动选择对应的医生诊室。</w:t>
      </w:r>
    </w:p>
    <w:p w14:paraId="051BF0A8">
      <w:pPr>
        <w:keepNext w:val="0"/>
        <w:keepLines w:val="0"/>
        <w:pageBreakBefore w:val="0"/>
        <w:widowControl/>
        <w:suppressAutoHyphen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3.1.</w:t>
      </w:r>
      <w:r>
        <w:rPr>
          <w:rFonts w:hint="eastAsia" w:ascii="宋体" w:hAnsi="宋体" w:eastAsia="宋体" w:cs="宋体"/>
          <w:sz w:val="21"/>
          <w:szCs w:val="21"/>
          <w:highlight w:val="none"/>
        </w:rPr>
        <w:t>7需满足医院对于多媒体医疗导引系统平台的定制化需求，可进行软件二次开发。</w:t>
      </w:r>
    </w:p>
    <w:p w14:paraId="74A3415A">
      <w:pPr>
        <w:keepNext w:val="0"/>
        <w:keepLines w:val="0"/>
        <w:pageBreakBefore w:val="0"/>
        <w:widowControl/>
        <w:suppressAutoHyphen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3.1.</w:t>
      </w:r>
      <w:r>
        <w:rPr>
          <w:rFonts w:hint="eastAsia" w:ascii="宋体" w:hAnsi="宋体" w:eastAsia="宋体" w:cs="宋体"/>
          <w:sz w:val="21"/>
          <w:szCs w:val="21"/>
          <w:highlight w:val="none"/>
        </w:rPr>
        <w:t>8普通门诊导诊叫号系统软件需支持对分诊台进行添加、编辑、删除等基本操作，需支持对队列类型进行添加、编辑、删除等基本操作，需支持对接口数据源的添加、编辑、删除等基本操作。（需提供具有CSTC或CNAS标志的第三方检测机构出具的检测报告复印件佐证，并加盖供应商公章）。</w:t>
      </w:r>
    </w:p>
    <w:p w14:paraId="738FB37A">
      <w:pPr>
        <w:keepNext w:val="0"/>
        <w:keepLines w:val="0"/>
        <w:pageBreakBefore w:val="0"/>
        <w:widowControl/>
        <w:suppressAutoHyphen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3.1.</w:t>
      </w:r>
      <w:r>
        <w:rPr>
          <w:rFonts w:hint="eastAsia" w:ascii="宋体" w:hAnsi="宋体" w:eastAsia="宋体" w:cs="宋体"/>
          <w:sz w:val="21"/>
          <w:szCs w:val="21"/>
          <w:highlight w:val="none"/>
        </w:rPr>
        <w:t>9支持门诊统计辅助决策系统，系统需支持收集与门诊医疗服务有关的数据资料，并进行整理和分析，具有分时统计、历史统计、医生查询、患者查询等功能等，以图表形式呈现，以数据内容支撑院内门诊的决策；系统需支持智能化、视频化的门诊健康教育功能，可实现通过本次招标中的任意终端设备，提供门诊患者健康教育视频服务功能，支持患者移动端设备如手机访问及使用，可访问云端服务器实现宣教内容的交互式点播查看；系统后台的操作内容主要包括：视频管理、分类管理、科室管理、播放量统计等相关功能。同时需提供具有无版权争议的健康宣教视频不少于300部，每部时长约3</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6分钟，需包含病症、病因、诊断、预防等内容（为避免版权纠纷，需提供相关的佐证材料，并加盖供应商公章），</w:t>
      </w:r>
      <w:r>
        <w:rPr>
          <w:rFonts w:hint="eastAsia" w:ascii="宋体" w:hAnsi="宋体" w:eastAsia="宋体" w:cs="宋体"/>
          <w:sz w:val="21"/>
          <w:szCs w:val="21"/>
          <w:highlight w:val="none"/>
          <w:lang w:val="en-US" w:eastAsia="zh-CN"/>
        </w:rPr>
        <w:t>参选</w:t>
      </w:r>
      <w:r>
        <w:rPr>
          <w:rFonts w:hint="eastAsia" w:ascii="宋体" w:hAnsi="宋体" w:eastAsia="宋体" w:cs="宋体"/>
          <w:sz w:val="21"/>
          <w:szCs w:val="21"/>
          <w:highlight w:val="none"/>
        </w:rPr>
        <w:t>人须在</w:t>
      </w:r>
      <w:r>
        <w:rPr>
          <w:rFonts w:hint="eastAsia" w:ascii="宋体" w:hAnsi="宋体" w:eastAsia="宋体" w:cs="宋体"/>
          <w:sz w:val="21"/>
          <w:szCs w:val="21"/>
          <w:highlight w:val="none"/>
          <w:lang w:val="en-US" w:eastAsia="zh-CN"/>
        </w:rPr>
        <w:t>参选</w:t>
      </w:r>
      <w:r>
        <w:rPr>
          <w:rFonts w:hint="eastAsia" w:ascii="宋体" w:hAnsi="宋体" w:eastAsia="宋体" w:cs="宋体"/>
          <w:sz w:val="21"/>
          <w:szCs w:val="21"/>
          <w:highlight w:val="none"/>
        </w:rPr>
        <w:t>方案中提供健康宣教节目名录列表，并于</w:t>
      </w:r>
      <w:r>
        <w:rPr>
          <w:rFonts w:hint="eastAsia" w:ascii="宋体" w:hAnsi="宋体" w:eastAsia="宋体" w:cs="宋体"/>
          <w:sz w:val="21"/>
          <w:szCs w:val="21"/>
          <w:highlight w:val="none"/>
          <w:lang w:val="en-US" w:eastAsia="zh-CN"/>
        </w:rPr>
        <w:t>中选</w:t>
      </w:r>
      <w:r>
        <w:rPr>
          <w:rFonts w:hint="eastAsia" w:ascii="宋体" w:hAnsi="宋体" w:eastAsia="宋体" w:cs="宋体"/>
          <w:sz w:val="21"/>
          <w:szCs w:val="21"/>
          <w:highlight w:val="none"/>
        </w:rPr>
        <w:t>后三日内将全部视频提供给</w:t>
      </w:r>
      <w:r>
        <w:rPr>
          <w:rFonts w:hint="eastAsia" w:ascii="宋体" w:hAnsi="宋体" w:eastAsia="宋体" w:cs="宋体"/>
          <w:sz w:val="21"/>
          <w:szCs w:val="21"/>
          <w:highlight w:val="none"/>
          <w:lang w:val="en-US" w:eastAsia="zh-CN"/>
        </w:rPr>
        <w:t>采购人</w:t>
      </w:r>
      <w:r>
        <w:rPr>
          <w:rFonts w:hint="eastAsia" w:ascii="宋体" w:hAnsi="宋体" w:eastAsia="宋体" w:cs="宋体"/>
          <w:sz w:val="21"/>
          <w:szCs w:val="21"/>
          <w:highlight w:val="none"/>
        </w:rPr>
        <w:t>进行筛查挑选。</w:t>
      </w:r>
    </w:p>
    <w:p w14:paraId="63925CD8">
      <w:pPr>
        <w:keepNext w:val="0"/>
        <w:keepLines w:val="0"/>
        <w:pageBreakBefore w:val="0"/>
        <w:widowControl/>
        <w:suppressAutoHyphen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3.1.</w:t>
      </w:r>
      <w:r>
        <w:rPr>
          <w:rFonts w:hint="eastAsia" w:ascii="宋体" w:hAnsi="宋体" w:eastAsia="宋体" w:cs="宋体"/>
          <w:sz w:val="21"/>
          <w:szCs w:val="21"/>
          <w:highlight w:val="none"/>
        </w:rPr>
        <w:t>10为保证系统的稳定性和安全性，所投软、硬件为统一品牌（提供承诺函，并加盖供应商公章）；为保障我院分诊导医系统的安全，</w:t>
      </w:r>
      <w:r>
        <w:rPr>
          <w:rFonts w:hint="eastAsia" w:ascii="宋体" w:hAnsi="宋体" w:eastAsia="宋体" w:cs="宋体"/>
          <w:sz w:val="21"/>
          <w:szCs w:val="21"/>
          <w:highlight w:val="none"/>
          <w:lang w:val="en-US" w:eastAsia="zh-CN"/>
        </w:rPr>
        <w:t>参选</w:t>
      </w:r>
      <w:r>
        <w:rPr>
          <w:rFonts w:hint="eastAsia" w:ascii="宋体" w:hAnsi="宋体" w:eastAsia="宋体" w:cs="宋体"/>
          <w:sz w:val="21"/>
          <w:szCs w:val="21"/>
          <w:highlight w:val="none"/>
        </w:rPr>
        <w:t>人或所投品牌应提供网络安全等级保护测评报告关键页，且总测评指标符合项不低于200个，符合率不低于70%，测评分数不低于75分。（需提供第三方检测机构出具的检测报告关键页，并加盖供应商公章）。</w:t>
      </w:r>
    </w:p>
    <w:p w14:paraId="72458332">
      <w:pPr>
        <w:suppressAutoHyphens/>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3.1.</w:t>
      </w:r>
      <w:r>
        <w:rPr>
          <w:rFonts w:hint="eastAsia" w:ascii="宋体" w:hAnsi="宋体" w:cs="宋体"/>
          <w:sz w:val="21"/>
          <w:szCs w:val="21"/>
          <w:highlight w:val="none"/>
          <w:lang w:val="en-US" w:eastAsia="zh-CN"/>
        </w:rPr>
        <w:t>11</w:t>
      </w:r>
      <w:r>
        <w:rPr>
          <w:rFonts w:hint="eastAsia" w:ascii="宋体" w:hAnsi="宋体" w:eastAsia="宋体" w:cs="宋体"/>
          <w:sz w:val="21"/>
          <w:szCs w:val="21"/>
          <w:highlight w:val="none"/>
        </w:rPr>
        <w:t>为方便采购人统一管理，平稳升级，本次项目所投的软、硬件产品需</w:t>
      </w:r>
      <w:bookmarkStart w:id="3" w:name="_GoBack"/>
      <w:bookmarkEnd w:id="3"/>
      <w:r>
        <w:rPr>
          <w:rFonts w:hint="eastAsia" w:ascii="宋体" w:hAnsi="宋体" w:eastAsia="宋体" w:cs="宋体"/>
          <w:sz w:val="21"/>
          <w:szCs w:val="21"/>
          <w:highlight w:val="none"/>
        </w:rPr>
        <w:t>与采购人现有排队叫号系统进行无缝对接（开放源代码等），对接所需的一切费用由</w:t>
      </w:r>
      <w:r>
        <w:rPr>
          <w:rFonts w:hint="eastAsia" w:ascii="宋体" w:hAnsi="宋体" w:eastAsia="宋体" w:cs="宋体"/>
          <w:sz w:val="21"/>
          <w:szCs w:val="21"/>
          <w:highlight w:val="none"/>
          <w:lang w:val="en-US" w:eastAsia="zh-CN"/>
        </w:rPr>
        <w:t>供应商</w:t>
      </w:r>
      <w:r>
        <w:rPr>
          <w:rFonts w:hint="eastAsia" w:ascii="宋体" w:hAnsi="宋体" w:eastAsia="宋体" w:cs="宋体"/>
          <w:sz w:val="21"/>
          <w:szCs w:val="21"/>
          <w:highlight w:val="none"/>
        </w:rPr>
        <w:t>承担。若实施过程中投标软、硬件无法兼容采购人现有排队叫号系统按虚假应标做出相应处理，产生的经济损失</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责任等全部由</w:t>
      </w:r>
      <w:r>
        <w:rPr>
          <w:rFonts w:hint="eastAsia" w:ascii="宋体" w:hAnsi="宋体" w:eastAsia="宋体" w:cs="宋体"/>
          <w:sz w:val="21"/>
          <w:szCs w:val="21"/>
          <w:highlight w:val="none"/>
          <w:lang w:val="en-US" w:eastAsia="zh-CN"/>
        </w:rPr>
        <w:t>供应商</w:t>
      </w:r>
      <w:r>
        <w:rPr>
          <w:rFonts w:hint="eastAsia" w:ascii="宋体" w:hAnsi="宋体" w:eastAsia="宋体" w:cs="宋体"/>
          <w:sz w:val="21"/>
          <w:szCs w:val="21"/>
          <w:highlight w:val="none"/>
        </w:rPr>
        <w:t>承担（</w:t>
      </w:r>
      <w:r>
        <w:rPr>
          <w:rFonts w:hint="eastAsia" w:ascii="宋体" w:hAnsi="宋体" w:eastAsia="宋体" w:cs="宋体"/>
          <w:sz w:val="21"/>
          <w:szCs w:val="21"/>
          <w:highlight w:val="none"/>
          <w:lang w:val="en-US" w:eastAsia="zh-CN"/>
        </w:rPr>
        <w:t>供应商</w:t>
      </w:r>
      <w:r>
        <w:rPr>
          <w:rFonts w:hint="eastAsia" w:ascii="宋体" w:hAnsi="宋体" w:eastAsia="宋体" w:cs="宋体"/>
          <w:sz w:val="21"/>
          <w:szCs w:val="21"/>
          <w:highlight w:val="none"/>
        </w:rPr>
        <w:t>须在</w:t>
      </w:r>
      <w:r>
        <w:rPr>
          <w:rFonts w:hint="eastAsia" w:ascii="宋体" w:hAnsi="宋体" w:eastAsia="宋体" w:cs="宋体"/>
          <w:sz w:val="21"/>
          <w:szCs w:val="21"/>
          <w:highlight w:val="none"/>
          <w:lang w:val="en-US" w:eastAsia="zh-CN"/>
        </w:rPr>
        <w:t>参选</w:t>
      </w:r>
      <w:r>
        <w:rPr>
          <w:rFonts w:hint="eastAsia" w:ascii="宋体" w:hAnsi="宋体" w:eastAsia="宋体" w:cs="宋体"/>
          <w:sz w:val="21"/>
          <w:szCs w:val="21"/>
          <w:highlight w:val="none"/>
        </w:rPr>
        <w:t>文件提供承诺函，并加盖</w:t>
      </w:r>
      <w:r>
        <w:rPr>
          <w:rFonts w:hint="eastAsia" w:ascii="宋体" w:hAnsi="宋体" w:eastAsia="宋体"/>
          <w:bCs/>
          <w:kern w:val="0"/>
          <w:sz w:val="21"/>
          <w:szCs w:val="21"/>
          <w:highlight w:val="none"/>
        </w:rPr>
        <w:t>供应商公章</w:t>
      </w:r>
      <w:r>
        <w:rPr>
          <w:rFonts w:hint="eastAsia" w:ascii="宋体" w:hAnsi="宋体" w:eastAsia="宋体" w:cs="宋体"/>
          <w:sz w:val="21"/>
          <w:szCs w:val="21"/>
          <w:highlight w:val="none"/>
        </w:rPr>
        <w:t>）。</w:t>
      </w:r>
    </w:p>
    <w:p w14:paraId="12584125">
      <w:pPr>
        <w:numPr>
          <w:ilvl w:val="0"/>
          <w:numId w:val="0"/>
        </w:numPr>
        <w:suppressAutoHyphens/>
        <w:spacing w:line="360" w:lineRule="auto"/>
        <w:ind w:leftChars="0" w:firstLine="422" w:firstLineChars="200"/>
        <w:rPr>
          <w:rFonts w:hint="eastAsia" w:ascii="宋体" w:hAnsi="宋体" w:eastAsia="宋体" w:cs="宋体"/>
          <w:sz w:val="21"/>
          <w:szCs w:val="21"/>
          <w:highlight w:val="none"/>
        </w:rPr>
      </w:pPr>
      <w:r>
        <w:rPr>
          <w:rFonts w:hint="eastAsia" w:ascii="宋体" w:hAnsi="宋体" w:eastAsia="宋体"/>
          <w:b/>
          <w:bCs/>
          <w:sz w:val="21"/>
          <w:szCs w:val="21"/>
          <w:highlight w:val="none"/>
          <w:lang w:val="en-US" w:eastAsia="zh-CN"/>
        </w:rPr>
        <w:t>3.2</w:t>
      </w:r>
      <w:r>
        <w:rPr>
          <w:rFonts w:hint="eastAsia" w:ascii="宋体" w:hAnsi="宋体" w:eastAsia="宋体"/>
          <w:b/>
          <w:bCs/>
          <w:sz w:val="21"/>
          <w:szCs w:val="21"/>
          <w:highlight w:val="none"/>
        </w:rPr>
        <w:t>护士分诊台管理端软件</w:t>
      </w:r>
    </w:p>
    <w:p w14:paraId="788B6919">
      <w:pPr>
        <w:keepNext w:val="0"/>
        <w:keepLines w:val="0"/>
        <w:pageBreakBefore w:val="0"/>
        <w:widowControl/>
        <w:suppressAutoHyphens/>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highlight w:val="none"/>
        </w:rPr>
      </w:pPr>
      <w:r>
        <w:rPr>
          <w:rFonts w:hint="eastAsia" w:ascii="宋体" w:hAnsi="宋体" w:eastAsia="宋体" w:cs="宋体"/>
          <w:sz w:val="21"/>
          <w:szCs w:val="21"/>
          <w:highlight w:val="none"/>
          <w:lang w:val="en-US" w:eastAsia="zh-CN"/>
        </w:rPr>
        <w:t>3.2.1</w:t>
      </w:r>
      <w:r>
        <w:rPr>
          <w:rFonts w:hint="eastAsia" w:ascii="宋体" w:hAnsi="宋体" w:eastAsia="宋体" w:cs="宋体"/>
          <w:sz w:val="21"/>
          <w:szCs w:val="21"/>
          <w:highlight w:val="none"/>
        </w:rPr>
        <w:t>支持查看当前诊区的每个队列叫号情况（如：排队队列名称、候诊人数、已就诊人数、未到过号人数、当前队列最后一次呼叫的患者姓名、排队序号、呼叫医生或诊位、叫号时间等）。</w:t>
      </w:r>
    </w:p>
    <w:p w14:paraId="0626B6EA">
      <w:pPr>
        <w:keepNext w:val="0"/>
        <w:keepLines w:val="0"/>
        <w:pageBreakBefore w:val="0"/>
        <w:widowControl/>
        <w:suppressAutoHyphen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3.2.</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支持同步HIS系统中医生排班数据，并支持临时手动调整功能；支持编辑周期内医生排班功能，并支持对医生每天出诊情况进行手动调整；支持刷卡、扫描条码、手工录入等多种方式进行初诊患者签到、复诊患者二次签到、过号患者再报到、患者状态查询、患者排序调号、患者预约等；在普通号情况下，分诊台系统需支持将患者手动分配至指定医生或诊室下排队候诊。</w:t>
      </w:r>
    </w:p>
    <w:p w14:paraId="0C9B64CC">
      <w:pPr>
        <w:keepNext w:val="0"/>
        <w:keepLines w:val="0"/>
        <w:pageBreakBefore w:val="0"/>
        <w:widowControl/>
        <w:suppressAutoHyphen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3.2.</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系统需支持对“特殊”患者进行标识，并对此类患者进行优先就诊操作，例如老、幼、军人、离休等患者可优先就诊，同时叫号屏幕可显示此类患者标识，如“军”、“幼”等，并用其他颜色以示区别，打消其他患者疑虑。</w:t>
      </w:r>
    </w:p>
    <w:p w14:paraId="177269D8">
      <w:pPr>
        <w:keepNext w:val="0"/>
        <w:keepLines w:val="0"/>
        <w:pageBreakBefore w:val="0"/>
        <w:widowControl/>
        <w:suppressAutoHyphen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3.2.</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需要支持同一诊区下转诊功能，可将患者从一个队列转到另一个队列排队；需支持复诊（回诊）患者签到再次进入队列功能，同时可根据需求设置复诊插队策略，例如：优先插队、间隔插队；支持绿色通道（弃号）功能，可不经叫号直接就诊；支持过号患者签到再次进入队列功能，同时可根据需求设置过号患者优先就诊，延后就诊，延后就诊可设置延后位数。</w:t>
      </w:r>
    </w:p>
    <w:p w14:paraId="6F9D8663">
      <w:pPr>
        <w:keepNext w:val="0"/>
        <w:keepLines w:val="0"/>
        <w:pageBreakBefore w:val="0"/>
        <w:widowControl/>
        <w:suppressAutoHyphen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3.2.</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系统需支持记录护士上一步操作功能，主界面位置显示上一步护士操作信息。</w:t>
      </w:r>
    </w:p>
    <w:p w14:paraId="0F6464DD">
      <w:pPr>
        <w:keepNext w:val="0"/>
        <w:keepLines w:val="0"/>
        <w:pageBreakBefore w:val="0"/>
        <w:widowControl/>
        <w:suppressAutoHyphen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3.2.</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rPr>
        <w:t>可实现当前所有就诊患者队列状态显示及检索，包括：科室的等候队列、已就诊队列、过号队列，医生/诊室的已就诊队列、过号队列等功能。</w:t>
      </w:r>
    </w:p>
    <w:p w14:paraId="14A595F9">
      <w:pPr>
        <w:keepNext w:val="0"/>
        <w:keepLines w:val="0"/>
        <w:pageBreakBefore w:val="0"/>
        <w:widowControl/>
        <w:suppressAutoHyphen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3.2.</w:t>
      </w: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rPr>
        <w:t>护士分诊台应具备基本的分诊操作功能，包括但不限于优先、转诊、挂起、延迟、绿色通道、复诊、批量报到等基本功能。（需提供具有CSTC或CNAS标志的第三方检测机构出具的检测报告复印件佐证，并加盖供应商公章）。</w:t>
      </w:r>
    </w:p>
    <w:p w14:paraId="755AF23B">
      <w:pPr>
        <w:numPr>
          <w:ilvl w:val="0"/>
          <w:numId w:val="0"/>
        </w:numPr>
        <w:suppressAutoHyphens/>
        <w:spacing w:line="360" w:lineRule="auto"/>
        <w:ind w:leftChars="0" w:firstLine="422" w:firstLineChars="200"/>
        <w:rPr>
          <w:rFonts w:hint="eastAsia" w:ascii="宋体" w:hAnsi="宋体" w:eastAsia="宋体" w:cs="宋体"/>
          <w:sz w:val="21"/>
          <w:szCs w:val="21"/>
          <w:highlight w:val="none"/>
        </w:rPr>
      </w:pPr>
      <w:r>
        <w:rPr>
          <w:rFonts w:hint="eastAsia" w:ascii="宋体" w:hAnsi="宋体" w:eastAsia="宋体"/>
          <w:b/>
          <w:sz w:val="21"/>
          <w:szCs w:val="21"/>
          <w:highlight w:val="none"/>
          <w:lang w:val="en-US" w:eastAsia="zh-CN"/>
        </w:rPr>
        <w:t>3.3</w:t>
      </w:r>
      <w:r>
        <w:rPr>
          <w:rFonts w:hint="eastAsia" w:ascii="宋体" w:hAnsi="宋体" w:eastAsia="宋体"/>
          <w:b/>
          <w:sz w:val="21"/>
          <w:szCs w:val="21"/>
          <w:highlight w:val="none"/>
        </w:rPr>
        <w:t>医生工作站客户端软件</w:t>
      </w:r>
    </w:p>
    <w:p w14:paraId="50B372CB">
      <w:pPr>
        <w:suppressAutoHyphens/>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3.3.1</w:t>
      </w:r>
      <w:r>
        <w:rPr>
          <w:rFonts w:hint="eastAsia" w:ascii="宋体" w:hAnsi="宋体" w:eastAsia="宋体" w:cs="宋体"/>
          <w:sz w:val="21"/>
          <w:szCs w:val="21"/>
          <w:highlight w:val="none"/>
        </w:rPr>
        <w:t>支持医生ID号登录</w:t>
      </w:r>
      <w:r>
        <w:rPr>
          <w:rFonts w:hint="eastAsia" w:ascii="宋体" w:hAnsi="宋体" w:eastAsia="宋体" w:cs="宋体"/>
          <w:sz w:val="21"/>
          <w:szCs w:val="21"/>
          <w:highlight w:val="none"/>
          <w:lang w:eastAsia="zh-CN"/>
        </w:rPr>
        <w:t>。</w:t>
      </w:r>
    </w:p>
    <w:p w14:paraId="7C5EFB69">
      <w:pPr>
        <w:suppressAutoHyphens/>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3.3.</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支持叫号、重呼、选呼三种呼叫方式；支持过号（呼叫未到）、诊结两种结束状态；支持暂离、停诊等状态切换</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支持过号（呼叫未到）患者按规则自动重排，并可在后台统一设定诊区过号自动重排的次数；支持可选择呼叫过号患者就诊功能。</w:t>
      </w:r>
    </w:p>
    <w:p w14:paraId="65BE2BD2">
      <w:pPr>
        <w:suppressAutoHyphens/>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3.3.</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医生同时出诊多队列时,可自行设定多队列的呼叫策略</w:t>
      </w:r>
      <w:r>
        <w:rPr>
          <w:rFonts w:hint="eastAsia" w:ascii="宋体" w:hAnsi="宋体" w:eastAsia="宋体" w:cs="宋体"/>
          <w:sz w:val="21"/>
          <w:szCs w:val="21"/>
          <w:highlight w:val="none"/>
          <w:lang w:eastAsia="zh-CN"/>
        </w:rPr>
        <w:t>。</w:t>
      </w:r>
    </w:p>
    <w:p w14:paraId="3BE9BC0E">
      <w:pPr>
        <w:suppressAutoHyphens/>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3.3.</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支持功能按钮快捷键方式，可自定义设置快捷键</w:t>
      </w:r>
      <w:r>
        <w:rPr>
          <w:rFonts w:hint="eastAsia" w:ascii="宋体" w:hAnsi="宋体" w:eastAsia="宋体" w:cs="宋体"/>
          <w:sz w:val="21"/>
          <w:szCs w:val="21"/>
          <w:highlight w:val="none"/>
          <w:lang w:eastAsia="zh-CN"/>
        </w:rPr>
        <w:t>。</w:t>
      </w:r>
    </w:p>
    <w:p w14:paraId="168C7863">
      <w:pPr>
        <w:suppressAutoHyphens/>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3.3.</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支持无等候患者状态下，新患者签到提醒</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同一患者排多个队列，被呼叫时其他队列自动跳过该患者呼叫，诊结后才能对其他队列进行呼叫。</w:t>
      </w:r>
    </w:p>
    <w:p w14:paraId="0CA8290B">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3.3.</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rPr>
        <w:t>医生端虚拟叫号器软件，需支持包含但不限于呼叫、诊结、过号、重呼、停诊功能。（需提供具有CSTC或CNAS标志的第三方检测机构出具的检测报告复印件佐证，并加盖</w:t>
      </w:r>
      <w:r>
        <w:rPr>
          <w:rFonts w:hint="eastAsia" w:ascii="宋体" w:hAnsi="宋体" w:eastAsia="宋体"/>
          <w:bCs/>
          <w:kern w:val="0"/>
          <w:sz w:val="21"/>
          <w:szCs w:val="21"/>
          <w:highlight w:val="none"/>
        </w:rPr>
        <w:t>供应商公章</w:t>
      </w:r>
      <w:r>
        <w:rPr>
          <w:rFonts w:hint="eastAsia" w:ascii="宋体" w:hAnsi="宋体" w:eastAsia="宋体" w:cs="宋体"/>
          <w:sz w:val="21"/>
          <w:szCs w:val="21"/>
          <w:highlight w:val="none"/>
        </w:rPr>
        <w:t>）。</w:t>
      </w:r>
    </w:p>
    <w:p w14:paraId="686340E4">
      <w:pPr>
        <w:keepNext w:val="0"/>
        <w:keepLines w:val="0"/>
        <w:pageBreakBefore w:val="0"/>
        <w:widowControl/>
        <w:numPr>
          <w:ilvl w:val="0"/>
          <w:numId w:val="0"/>
        </w:numPr>
        <w:suppressLineNumbers w:val="0"/>
        <w:kinsoku/>
        <w:overflowPunct/>
        <w:topLinePunct w:val="0"/>
        <w:bidi w:val="0"/>
        <w:spacing w:line="360" w:lineRule="exact"/>
        <w:ind w:firstLine="422" w:firstLineChars="200"/>
        <w:jc w:val="both"/>
        <w:textAlignment w:val="center"/>
        <w:rPr>
          <w:rFonts w:hint="default"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3.4技术服务</w:t>
      </w:r>
      <w:bookmarkStart w:id="2" w:name="OLE_LINK5"/>
      <w:r>
        <w:rPr>
          <w:rFonts w:hint="eastAsia" w:ascii="宋体" w:hAnsi="宋体" w:eastAsia="宋体" w:cs="宋体"/>
          <w:sz w:val="21"/>
          <w:szCs w:val="21"/>
          <w:highlight w:val="none"/>
          <w:lang w:val="en-US" w:eastAsia="zh-CN"/>
        </w:rPr>
        <w:t>：</w:t>
      </w:r>
      <w:r>
        <w:rPr>
          <w:rFonts w:hint="eastAsia" w:ascii="宋体" w:hAnsi="宋体" w:eastAsia="宋体"/>
          <w:bCs/>
          <w:sz w:val="21"/>
          <w:szCs w:val="21"/>
          <w:highlight w:val="none"/>
        </w:rPr>
        <w:t>HIS系统对接接口费；含硬件11个信息点安装人工布线，屏幕调试、网络配置调试，软件调试等</w:t>
      </w:r>
      <w:bookmarkEnd w:id="2"/>
      <w:r>
        <w:rPr>
          <w:rFonts w:hint="eastAsia" w:ascii="宋体" w:hAnsi="宋体" w:eastAsia="宋体"/>
          <w:bCs/>
          <w:sz w:val="21"/>
          <w:szCs w:val="21"/>
          <w:highlight w:val="none"/>
        </w:rPr>
        <w:t>技术服务</w:t>
      </w:r>
      <w:r>
        <w:rPr>
          <w:rFonts w:hint="eastAsia" w:ascii="宋体" w:hAnsi="宋体" w:eastAsia="宋体"/>
          <w:bCs/>
          <w:sz w:val="21"/>
          <w:szCs w:val="21"/>
          <w:highlight w:val="none"/>
          <w:lang w:eastAsia="zh-CN"/>
        </w:rPr>
        <w:t>；</w:t>
      </w:r>
      <w:r>
        <w:rPr>
          <w:rFonts w:hint="eastAsia" w:ascii="宋体" w:hAnsi="宋体" w:eastAsia="宋体"/>
          <w:bCs/>
          <w:sz w:val="21"/>
          <w:szCs w:val="21"/>
          <w:highlight w:val="none"/>
          <w:lang w:val="en-US" w:eastAsia="zh-CN"/>
        </w:rPr>
        <w:t>以上所产生的费用包含在报价中。</w:t>
      </w:r>
    </w:p>
    <w:p w14:paraId="6BEEA899">
      <w:pPr>
        <w:keepNext w:val="0"/>
        <w:keepLines w:val="0"/>
        <w:pageBreakBefore w:val="0"/>
        <w:widowControl/>
        <w:numPr>
          <w:ilvl w:val="0"/>
          <w:numId w:val="0"/>
        </w:numPr>
        <w:suppressLineNumbers w:val="0"/>
        <w:kinsoku/>
        <w:overflowPunct/>
        <w:topLinePunct w:val="0"/>
        <w:bidi w:val="0"/>
        <w:spacing w:line="360" w:lineRule="exact"/>
        <w:ind w:firstLine="420" w:firstLineChars="200"/>
        <w:jc w:val="both"/>
        <w:textAlignment w:val="center"/>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（三）商务要求</w:t>
      </w:r>
    </w:p>
    <w:p w14:paraId="6FEC976C">
      <w:pPr>
        <w:keepNext w:val="0"/>
        <w:keepLines w:val="0"/>
        <w:pageBreakBefore w:val="0"/>
        <w:kinsoku/>
        <w:overflowPunct/>
        <w:topLinePunct w:val="0"/>
        <w:bidi w:val="0"/>
        <w:spacing w:line="360" w:lineRule="exact"/>
        <w:ind w:firstLine="210" w:firstLineChars="100"/>
        <w:jc w:val="left"/>
        <w:rPr>
          <w:rFonts w:hint="default"/>
          <w:color w:val="auto"/>
          <w:highlight w:val="none"/>
          <w:lang w:val="en-US" w:eastAsia="zh-CN"/>
        </w:rPr>
      </w:pPr>
      <w:r>
        <w:rPr>
          <w:rFonts w:hint="eastAsia" w:ascii="宋体" w:hAnsi="宋体" w:cs="Times New Roman"/>
          <w:bCs/>
          <w:color w:val="auto"/>
          <w:szCs w:val="21"/>
          <w:highlight w:val="none"/>
          <w:lang w:val="en-US" w:eastAsia="zh-CN"/>
        </w:rPr>
        <w:t xml:space="preserve"> </w:t>
      </w:r>
      <w:r>
        <w:rPr>
          <w:rFonts w:hint="eastAsia" w:ascii="宋体" w:hAnsi="宋体" w:cs="宋体"/>
          <w:color w:val="auto"/>
          <w:sz w:val="21"/>
          <w:szCs w:val="21"/>
          <w:highlight w:val="none"/>
          <w:lang w:val="en-US" w:eastAsia="zh-CN"/>
        </w:rPr>
        <w:t>★1.供应商须承诺中选后</w:t>
      </w:r>
      <w:r>
        <w:rPr>
          <w:rFonts w:hint="eastAsia" w:ascii="宋体" w:hAnsi="宋体" w:eastAsia="宋体" w:cs="宋体"/>
          <w:color w:val="auto"/>
          <w:sz w:val="21"/>
          <w:szCs w:val="21"/>
          <w:highlight w:val="none"/>
        </w:rPr>
        <w:t>提供</w:t>
      </w:r>
      <w:r>
        <w:rPr>
          <w:rFonts w:hint="eastAsia" w:ascii="宋体" w:hAnsi="宋体" w:cs="宋体"/>
          <w:color w:val="auto"/>
          <w:sz w:val="21"/>
          <w:szCs w:val="21"/>
          <w:highlight w:val="none"/>
          <w:lang w:val="en-US" w:eastAsia="zh-CN"/>
        </w:rPr>
        <w:t>所参选产品的授权文件，在合同签订限期内未能提供的，采购人有权拒绝签订合同。</w:t>
      </w:r>
    </w:p>
    <w:p w14:paraId="4089D5A0">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eastAsia="宋体" w:cs="Times New Roman"/>
          <w:bCs/>
          <w:color w:val="auto"/>
          <w:szCs w:val="21"/>
          <w:highlight w:val="none"/>
          <w:lang w:val="en-US" w:eastAsia="zh-CN"/>
        </w:rPr>
      </w:pPr>
      <w:r>
        <w:rPr>
          <w:rFonts w:hint="eastAsia" w:ascii="宋体" w:hAnsi="宋体" w:cs="Times New Roman"/>
          <w:bCs/>
          <w:color w:val="auto"/>
          <w:szCs w:val="21"/>
          <w:highlight w:val="none"/>
          <w:lang w:val="en-US" w:eastAsia="zh-CN"/>
        </w:rPr>
        <w:t>2.付款方式：</w:t>
      </w:r>
      <w:r>
        <w:rPr>
          <w:rFonts w:hint="eastAsia" w:ascii="宋体" w:hAnsi="宋体" w:eastAsia="宋体" w:cs="Times New Roman"/>
          <w:bCs/>
          <w:color w:val="auto"/>
          <w:szCs w:val="21"/>
          <w:highlight w:val="none"/>
          <w:lang w:val="en-US" w:eastAsia="zh-CN"/>
        </w:rPr>
        <w:t>合同签订后30天内交货，完成安装测试、运行验收合格后第3个月支付合同金额的100%。</w:t>
      </w:r>
    </w:p>
    <w:p w14:paraId="5DB157CB">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eastAsia="宋体" w:cs="Times New Roman"/>
          <w:bCs/>
          <w:color w:val="auto"/>
          <w:szCs w:val="21"/>
          <w:highlight w:val="none"/>
          <w:lang w:val="en-US" w:eastAsia="zh-CN"/>
        </w:rPr>
      </w:pPr>
      <w:r>
        <w:rPr>
          <w:rFonts w:hint="eastAsia" w:ascii="宋体" w:hAnsi="宋体" w:cs="Times New Roman"/>
          <w:bCs/>
          <w:color w:val="auto"/>
          <w:szCs w:val="21"/>
          <w:highlight w:val="none"/>
          <w:lang w:val="en-US" w:eastAsia="zh-CN"/>
        </w:rPr>
        <w:t>3</w:t>
      </w:r>
      <w:r>
        <w:rPr>
          <w:rFonts w:hint="eastAsia" w:ascii="宋体" w:hAnsi="宋体" w:eastAsia="宋体" w:cs="Times New Roman"/>
          <w:bCs/>
          <w:color w:val="auto"/>
          <w:szCs w:val="21"/>
          <w:highlight w:val="none"/>
          <w:lang w:val="en-US" w:eastAsia="zh-CN"/>
        </w:rPr>
        <w:t>.验收标准和方法</w:t>
      </w:r>
    </w:p>
    <w:p w14:paraId="6418390F">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default" w:ascii="宋体" w:hAnsi="宋体" w:eastAsia="宋体" w:cs="Times New Roman"/>
          <w:bCs/>
          <w:color w:val="auto"/>
          <w:szCs w:val="21"/>
          <w:highlight w:val="none"/>
          <w:lang w:val="en-US" w:eastAsia="zh-CN"/>
        </w:rPr>
      </w:pPr>
      <w:r>
        <w:rPr>
          <w:rFonts w:hint="eastAsia" w:ascii="宋体" w:hAnsi="宋体" w:cs="Times New Roman"/>
          <w:bCs/>
          <w:color w:val="auto"/>
          <w:szCs w:val="21"/>
          <w:highlight w:val="none"/>
          <w:lang w:val="en-US" w:eastAsia="zh-CN"/>
        </w:rPr>
        <w:t>3</w:t>
      </w:r>
      <w:r>
        <w:rPr>
          <w:rFonts w:hint="eastAsia" w:ascii="宋体" w:hAnsi="宋体" w:eastAsia="宋体" w:cs="Times New Roman"/>
          <w:bCs/>
          <w:color w:val="auto"/>
          <w:szCs w:val="21"/>
          <w:highlight w:val="none"/>
          <w:lang w:val="en-US" w:eastAsia="zh-CN"/>
        </w:rPr>
        <w:t>.1</w:t>
      </w:r>
      <w:r>
        <w:rPr>
          <w:rFonts w:hint="eastAsia" w:ascii="宋体" w:hAnsi="宋体" w:cs="Times New Roman"/>
          <w:bCs/>
          <w:color w:val="auto"/>
          <w:szCs w:val="21"/>
          <w:highlight w:val="none"/>
          <w:lang w:val="en-US" w:eastAsia="zh-CN"/>
        </w:rPr>
        <w:t>保证所供产品是原厂的全新产品，均为正货，是参选的型号</w:t>
      </w:r>
      <w:r>
        <w:rPr>
          <w:rFonts w:ascii="宋体" w:hAnsi="宋体" w:eastAsia="宋体" w:cs="仿宋"/>
          <w:spacing w:val="-5"/>
          <w:sz w:val="21"/>
          <w:szCs w:val="21"/>
          <w:highlight w:val="none"/>
        </w:rPr>
        <w:t>。</w:t>
      </w:r>
    </w:p>
    <w:p w14:paraId="54DC43ED">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产品</w:t>
      </w:r>
      <w:r>
        <w:rPr>
          <w:rFonts w:hint="eastAsia" w:ascii="宋体" w:hAnsi="宋体" w:eastAsia="宋体" w:cs="宋体"/>
          <w:i w:val="0"/>
          <w:iCs w:val="0"/>
          <w:color w:val="auto"/>
          <w:kern w:val="0"/>
          <w:sz w:val="21"/>
          <w:szCs w:val="21"/>
          <w:highlight w:val="none"/>
          <w:u w:val="none"/>
          <w:lang w:val="en-US" w:eastAsia="zh-CN" w:bidi="ar"/>
        </w:rPr>
        <w:t>验收在</w:t>
      </w:r>
      <w:r>
        <w:rPr>
          <w:rFonts w:hint="eastAsia" w:ascii="宋体" w:hAnsi="宋体" w:cs="宋体"/>
          <w:i w:val="0"/>
          <w:iCs w:val="0"/>
          <w:color w:val="auto"/>
          <w:kern w:val="0"/>
          <w:sz w:val="21"/>
          <w:szCs w:val="21"/>
          <w:highlight w:val="none"/>
          <w:u w:val="none"/>
          <w:lang w:val="en-US" w:eastAsia="zh-CN" w:bidi="ar"/>
        </w:rPr>
        <w:t>采购人</w:t>
      </w:r>
      <w:r>
        <w:rPr>
          <w:rFonts w:hint="eastAsia" w:ascii="宋体" w:hAnsi="宋体" w:eastAsia="宋体" w:cs="宋体"/>
          <w:i w:val="0"/>
          <w:iCs w:val="0"/>
          <w:color w:val="auto"/>
          <w:kern w:val="0"/>
          <w:sz w:val="21"/>
          <w:szCs w:val="21"/>
          <w:highlight w:val="none"/>
          <w:u w:val="none"/>
          <w:lang w:val="en-US" w:eastAsia="zh-CN" w:bidi="ar"/>
        </w:rPr>
        <w:t>和</w:t>
      </w:r>
      <w:r>
        <w:rPr>
          <w:rFonts w:hint="eastAsia" w:ascii="宋体" w:hAnsi="宋体" w:cs="宋体"/>
          <w:i w:val="0"/>
          <w:iCs w:val="0"/>
          <w:color w:val="auto"/>
          <w:kern w:val="0"/>
          <w:sz w:val="21"/>
          <w:szCs w:val="21"/>
          <w:highlight w:val="none"/>
          <w:u w:val="none"/>
          <w:lang w:val="en-US" w:eastAsia="zh-CN" w:bidi="ar"/>
        </w:rPr>
        <w:t>供应商</w:t>
      </w:r>
      <w:r>
        <w:rPr>
          <w:rFonts w:hint="eastAsia" w:ascii="宋体" w:hAnsi="宋体" w:eastAsia="宋体" w:cs="宋体"/>
          <w:i w:val="0"/>
          <w:iCs w:val="0"/>
          <w:color w:val="auto"/>
          <w:kern w:val="0"/>
          <w:sz w:val="21"/>
          <w:szCs w:val="21"/>
          <w:highlight w:val="none"/>
          <w:u w:val="none"/>
          <w:lang w:val="en-US" w:eastAsia="zh-CN" w:bidi="ar"/>
        </w:rPr>
        <w:t>双方共同参与下按国家有关的规定、规范进行</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如发现所交付的设备有短装、次品、损坏或其它不符合本合同规定之情形者，</w:t>
      </w:r>
      <w:r>
        <w:rPr>
          <w:rFonts w:hint="eastAsia" w:ascii="宋体" w:hAnsi="宋体" w:cs="宋体"/>
          <w:i w:val="0"/>
          <w:iCs w:val="0"/>
          <w:color w:val="auto"/>
          <w:kern w:val="0"/>
          <w:sz w:val="21"/>
          <w:szCs w:val="21"/>
          <w:highlight w:val="none"/>
          <w:u w:val="none"/>
          <w:lang w:val="en-US" w:eastAsia="zh-CN" w:bidi="ar"/>
        </w:rPr>
        <w:t>采购人</w:t>
      </w:r>
      <w:r>
        <w:rPr>
          <w:rFonts w:hint="eastAsia" w:ascii="宋体" w:hAnsi="宋体" w:eastAsia="宋体" w:cs="宋体"/>
          <w:i w:val="0"/>
          <w:iCs w:val="0"/>
          <w:color w:val="auto"/>
          <w:kern w:val="0"/>
          <w:sz w:val="21"/>
          <w:szCs w:val="21"/>
          <w:highlight w:val="none"/>
          <w:u w:val="none"/>
          <w:lang w:val="en-US" w:eastAsia="zh-CN" w:bidi="ar"/>
        </w:rPr>
        <w:t>应作出详尽的现场记录，或由</w:t>
      </w:r>
      <w:r>
        <w:rPr>
          <w:rFonts w:hint="eastAsia" w:ascii="宋体" w:hAnsi="宋体" w:cs="宋体"/>
          <w:i w:val="0"/>
          <w:iCs w:val="0"/>
          <w:color w:val="auto"/>
          <w:kern w:val="0"/>
          <w:sz w:val="21"/>
          <w:szCs w:val="21"/>
          <w:highlight w:val="none"/>
          <w:u w:val="none"/>
          <w:lang w:val="en-US" w:eastAsia="zh-CN" w:bidi="ar"/>
        </w:rPr>
        <w:t>采购人</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cs="宋体"/>
          <w:i w:val="0"/>
          <w:iCs w:val="0"/>
          <w:color w:val="auto"/>
          <w:kern w:val="0"/>
          <w:sz w:val="21"/>
          <w:szCs w:val="21"/>
          <w:highlight w:val="none"/>
          <w:u w:val="none"/>
          <w:lang w:val="en-US" w:eastAsia="zh-CN" w:bidi="ar"/>
        </w:rPr>
        <w:t>供应商</w:t>
      </w:r>
      <w:r>
        <w:rPr>
          <w:rFonts w:hint="eastAsia" w:ascii="宋体" w:hAnsi="宋体" w:eastAsia="宋体" w:cs="宋体"/>
          <w:i w:val="0"/>
          <w:iCs w:val="0"/>
          <w:color w:val="auto"/>
          <w:kern w:val="0"/>
          <w:sz w:val="21"/>
          <w:szCs w:val="21"/>
          <w:highlight w:val="none"/>
          <w:u w:val="none"/>
          <w:lang w:val="en-US" w:eastAsia="zh-CN" w:bidi="ar"/>
        </w:rPr>
        <w:t>双方签署备忘录。此现场记录或备忘录可用作补充、缺失和更换损坏部件的有效证据。因此产生的有关费用由</w:t>
      </w:r>
      <w:r>
        <w:rPr>
          <w:rFonts w:hint="eastAsia" w:ascii="宋体" w:hAnsi="宋体" w:cs="宋体"/>
          <w:i w:val="0"/>
          <w:iCs w:val="0"/>
          <w:color w:val="auto"/>
          <w:kern w:val="0"/>
          <w:sz w:val="21"/>
          <w:szCs w:val="21"/>
          <w:highlight w:val="none"/>
          <w:u w:val="none"/>
          <w:lang w:val="en-US" w:eastAsia="zh-CN" w:bidi="ar"/>
        </w:rPr>
        <w:t>供应商</w:t>
      </w:r>
      <w:r>
        <w:rPr>
          <w:rFonts w:hint="eastAsia" w:ascii="宋体" w:hAnsi="宋体" w:eastAsia="宋体" w:cs="宋体"/>
          <w:i w:val="0"/>
          <w:iCs w:val="0"/>
          <w:color w:val="auto"/>
          <w:kern w:val="0"/>
          <w:sz w:val="21"/>
          <w:szCs w:val="21"/>
          <w:highlight w:val="none"/>
          <w:u w:val="none"/>
          <w:lang w:val="en-US" w:eastAsia="zh-CN" w:bidi="ar"/>
        </w:rPr>
        <w:t>承担</w:t>
      </w:r>
      <w:r>
        <w:rPr>
          <w:rFonts w:hint="eastAsia" w:ascii="宋体" w:hAnsi="宋体" w:cs="宋体"/>
          <w:i w:val="0"/>
          <w:iCs w:val="0"/>
          <w:color w:val="auto"/>
          <w:kern w:val="0"/>
          <w:sz w:val="21"/>
          <w:szCs w:val="21"/>
          <w:highlight w:val="none"/>
          <w:u w:val="none"/>
          <w:lang w:val="en-US" w:eastAsia="zh-CN" w:bidi="ar"/>
        </w:rPr>
        <w:t>。</w:t>
      </w:r>
    </w:p>
    <w:p w14:paraId="61283E8F">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3.3</w:t>
      </w:r>
      <w:r>
        <w:rPr>
          <w:rFonts w:ascii="Calibri" w:hAnsi="Calibri" w:eastAsia="宋体" w:cs="Times New Roman"/>
          <w:sz w:val="21"/>
          <w:highlight w:val="none"/>
        </w:rPr>
        <w:t>如在验收中发现</w:t>
      </w:r>
      <w:r>
        <w:rPr>
          <w:rFonts w:hint="eastAsia" w:ascii="Calibri" w:hAnsi="Calibri" w:cs="Times New Roman"/>
          <w:sz w:val="21"/>
          <w:highlight w:val="none"/>
          <w:lang w:val="en-US" w:eastAsia="zh-CN"/>
        </w:rPr>
        <w:t>产品</w:t>
      </w:r>
      <w:r>
        <w:rPr>
          <w:rFonts w:ascii="Calibri" w:hAnsi="Calibri" w:eastAsia="宋体" w:cs="Times New Roman"/>
          <w:sz w:val="21"/>
          <w:highlight w:val="none"/>
        </w:rPr>
        <w:t>达不到验收标准或合同及合同相关技术文件规定，</w:t>
      </w:r>
      <w:r>
        <w:rPr>
          <w:rFonts w:hint="eastAsia" w:ascii="Calibri" w:hAnsi="Calibri" w:eastAsia="宋体" w:cs="Times New Roman"/>
          <w:sz w:val="21"/>
          <w:highlight w:val="none"/>
          <w:lang w:val="en-US" w:eastAsia="zh-CN"/>
        </w:rPr>
        <w:t>供应商</w:t>
      </w:r>
      <w:r>
        <w:rPr>
          <w:rFonts w:ascii="Calibri" w:hAnsi="Calibri" w:eastAsia="宋体" w:cs="Times New Roman"/>
          <w:sz w:val="21"/>
          <w:highlight w:val="none"/>
        </w:rPr>
        <w:t>应及时安排更换，以保证合同</w:t>
      </w:r>
      <w:r>
        <w:rPr>
          <w:rFonts w:hint="eastAsia" w:ascii="Calibri" w:hAnsi="Calibri" w:cs="Times New Roman"/>
          <w:sz w:val="21"/>
          <w:highlight w:val="none"/>
          <w:lang w:val="en-US" w:eastAsia="zh-CN"/>
        </w:rPr>
        <w:t>产品</w:t>
      </w:r>
      <w:r>
        <w:rPr>
          <w:rFonts w:ascii="Calibri" w:hAnsi="Calibri" w:eastAsia="宋体" w:cs="Times New Roman"/>
          <w:sz w:val="21"/>
          <w:highlight w:val="none"/>
        </w:rPr>
        <w:t>安装调试的成功完成</w:t>
      </w:r>
      <w:r>
        <w:rPr>
          <w:rFonts w:hint="eastAsia" w:ascii="Calibri" w:hAnsi="Calibri" w:cs="Times New Roman"/>
          <w:sz w:val="21"/>
          <w:highlight w:val="none"/>
          <w:lang w:eastAsia="zh-CN"/>
        </w:rPr>
        <w:t>，</w:t>
      </w:r>
      <w:r>
        <w:rPr>
          <w:rFonts w:ascii="Calibri" w:hAnsi="Calibri" w:eastAsia="宋体" w:cs="Times New Roman"/>
          <w:sz w:val="21"/>
          <w:highlight w:val="none"/>
        </w:rPr>
        <w:t>使</w:t>
      </w:r>
      <w:r>
        <w:rPr>
          <w:rFonts w:hint="eastAsia" w:ascii="Calibri" w:hAnsi="Calibri" w:cs="Times New Roman"/>
          <w:sz w:val="21"/>
          <w:highlight w:val="none"/>
          <w:lang w:val="en-US" w:eastAsia="zh-CN"/>
        </w:rPr>
        <w:t>产品</w:t>
      </w:r>
      <w:r>
        <w:rPr>
          <w:rFonts w:ascii="Calibri" w:hAnsi="Calibri" w:eastAsia="宋体" w:cs="Times New Roman"/>
          <w:sz w:val="21"/>
          <w:highlight w:val="none"/>
        </w:rPr>
        <w:t>最终达到合同或合同相关技术文件中规定的性能和要求。更换的相关费用</w:t>
      </w:r>
      <w:r>
        <w:rPr>
          <w:rFonts w:hint="eastAsia" w:ascii="Calibri" w:hAnsi="Calibri" w:eastAsia="宋体" w:cs="Times New Roman"/>
          <w:sz w:val="21"/>
          <w:highlight w:val="none"/>
          <w:lang w:val="en-US" w:eastAsia="zh-CN"/>
        </w:rPr>
        <w:t>全部</w:t>
      </w:r>
      <w:r>
        <w:rPr>
          <w:rFonts w:ascii="Calibri" w:hAnsi="Calibri" w:eastAsia="宋体" w:cs="Times New Roman"/>
          <w:sz w:val="21"/>
          <w:highlight w:val="none"/>
        </w:rPr>
        <w:t>由</w:t>
      </w:r>
      <w:r>
        <w:rPr>
          <w:rFonts w:hint="eastAsia" w:ascii="Calibri" w:hAnsi="Calibri" w:eastAsia="宋体" w:cs="Times New Roman"/>
          <w:sz w:val="21"/>
          <w:highlight w:val="none"/>
          <w:lang w:val="en-US" w:eastAsia="zh-CN"/>
        </w:rPr>
        <w:t>供应商</w:t>
      </w:r>
      <w:r>
        <w:rPr>
          <w:rFonts w:ascii="Calibri" w:hAnsi="Calibri" w:eastAsia="宋体" w:cs="Times New Roman"/>
          <w:sz w:val="21"/>
          <w:highlight w:val="none"/>
        </w:rPr>
        <w:t>承担并承担由此造成的一切损失</w:t>
      </w:r>
      <w:r>
        <w:rPr>
          <w:rFonts w:hint="eastAsia" w:ascii="Calibri" w:hAnsi="Calibri" w:eastAsia="宋体" w:cs="Times New Roman"/>
          <w:sz w:val="21"/>
          <w:highlight w:val="none"/>
          <w:lang w:eastAsia="zh-CN"/>
        </w:rPr>
        <w:t>。</w:t>
      </w:r>
      <w:r>
        <w:rPr>
          <w:rFonts w:hint="eastAsia" w:ascii="Calibri" w:hAnsi="Calibri" w:eastAsia="宋体" w:cs="Times New Roman"/>
          <w:sz w:val="21"/>
          <w:highlight w:val="none"/>
          <w:lang w:val="en-US" w:eastAsia="zh-CN"/>
        </w:rPr>
        <w:t>如更换后的</w:t>
      </w:r>
      <w:r>
        <w:rPr>
          <w:rFonts w:hint="eastAsia" w:ascii="Calibri" w:hAnsi="Calibri" w:cs="Times New Roman"/>
          <w:sz w:val="21"/>
          <w:highlight w:val="none"/>
          <w:lang w:val="en-US" w:eastAsia="zh-CN"/>
        </w:rPr>
        <w:t>产品</w:t>
      </w:r>
      <w:r>
        <w:rPr>
          <w:rFonts w:hint="eastAsia" w:ascii="Calibri" w:hAnsi="Calibri" w:eastAsia="宋体" w:cs="Times New Roman"/>
          <w:sz w:val="21"/>
          <w:highlight w:val="none"/>
          <w:lang w:val="en-US" w:eastAsia="zh-CN"/>
        </w:rPr>
        <w:t>仍达不到验收标准或</w:t>
      </w:r>
      <w:r>
        <w:rPr>
          <w:rFonts w:ascii="Calibri" w:hAnsi="Calibri" w:eastAsia="宋体" w:cs="Times New Roman"/>
          <w:sz w:val="21"/>
          <w:highlight w:val="none"/>
        </w:rPr>
        <w:t>合同及合同相关技术文件规定</w:t>
      </w:r>
      <w:r>
        <w:rPr>
          <w:rFonts w:hint="eastAsia" w:ascii="Calibri" w:hAnsi="Calibri" w:cs="Times New Roman"/>
          <w:sz w:val="21"/>
          <w:highlight w:val="none"/>
          <w:lang w:eastAsia="zh-CN"/>
        </w:rPr>
        <w:t>的，</w:t>
      </w:r>
      <w:r>
        <w:rPr>
          <w:rFonts w:hint="eastAsia" w:ascii="Calibri" w:hAnsi="Calibri" w:cs="Times New Roman"/>
          <w:sz w:val="21"/>
          <w:highlight w:val="none"/>
          <w:lang w:val="en-US" w:eastAsia="zh-CN"/>
        </w:rPr>
        <w:t>采购人可</w:t>
      </w:r>
      <w:r>
        <w:rPr>
          <w:rFonts w:hint="eastAsia" w:ascii="Calibri" w:hAnsi="Calibri" w:cs="Times New Roman"/>
          <w:sz w:val="21"/>
          <w:highlight w:val="none"/>
          <w:lang w:eastAsia="zh-CN"/>
        </w:rPr>
        <w:t>终止全部或部分合同，</w:t>
      </w:r>
      <w:r>
        <w:rPr>
          <w:rFonts w:hint="eastAsia" w:ascii="Calibri" w:hAnsi="Calibri" w:cs="Times New Roman"/>
          <w:sz w:val="21"/>
          <w:highlight w:val="none"/>
          <w:lang w:val="en-US" w:eastAsia="zh-CN"/>
        </w:rPr>
        <w:t>采购人</w:t>
      </w:r>
      <w:r>
        <w:rPr>
          <w:rFonts w:hint="eastAsia" w:ascii="Calibri" w:hAnsi="Calibri" w:cs="Times New Roman"/>
          <w:sz w:val="21"/>
          <w:highlight w:val="none"/>
          <w:lang w:eastAsia="zh-CN"/>
        </w:rPr>
        <w:t>可以依其认为适当的条件和方法购买与未交设备类似的</w:t>
      </w:r>
      <w:r>
        <w:rPr>
          <w:rFonts w:hint="eastAsia" w:ascii="Calibri" w:hAnsi="Calibri" w:cs="Times New Roman"/>
          <w:sz w:val="21"/>
          <w:highlight w:val="none"/>
          <w:lang w:val="en-US" w:eastAsia="zh-CN"/>
        </w:rPr>
        <w:t>产品</w:t>
      </w:r>
      <w:r>
        <w:rPr>
          <w:rFonts w:hint="eastAsia" w:ascii="Calibri" w:hAnsi="Calibri" w:cs="Times New Roman"/>
          <w:sz w:val="21"/>
          <w:highlight w:val="none"/>
          <w:lang w:eastAsia="zh-CN"/>
        </w:rPr>
        <w:t>或服务，</w:t>
      </w:r>
      <w:r>
        <w:rPr>
          <w:rFonts w:hint="eastAsia" w:ascii="Calibri" w:hAnsi="Calibri" w:cs="Times New Roman"/>
          <w:sz w:val="21"/>
          <w:highlight w:val="none"/>
          <w:lang w:val="en-US" w:eastAsia="zh-CN"/>
        </w:rPr>
        <w:t>供应商</w:t>
      </w:r>
      <w:r>
        <w:rPr>
          <w:rFonts w:hint="eastAsia" w:ascii="Calibri" w:hAnsi="Calibri" w:cs="Times New Roman"/>
          <w:sz w:val="21"/>
          <w:highlight w:val="none"/>
          <w:lang w:eastAsia="zh-CN"/>
        </w:rPr>
        <w:t>应承担</w:t>
      </w:r>
      <w:r>
        <w:rPr>
          <w:rFonts w:hint="eastAsia" w:ascii="Calibri" w:hAnsi="Calibri" w:cs="Times New Roman"/>
          <w:sz w:val="21"/>
          <w:highlight w:val="none"/>
          <w:lang w:val="en-US" w:eastAsia="zh-CN"/>
        </w:rPr>
        <w:t>采购人</w:t>
      </w:r>
      <w:r>
        <w:rPr>
          <w:rFonts w:hint="eastAsia" w:ascii="Calibri" w:hAnsi="Calibri" w:cs="Times New Roman"/>
          <w:sz w:val="21"/>
          <w:highlight w:val="none"/>
          <w:lang w:eastAsia="zh-CN"/>
        </w:rPr>
        <w:t>因购买类似</w:t>
      </w:r>
      <w:r>
        <w:rPr>
          <w:rFonts w:hint="eastAsia" w:ascii="Calibri" w:hAnsi="Calibri" w:cs="Times New Roman"/>
          <w:sz w:val="21"/>
          <w:highlight w:val="none"/>
          <w:lang w:val="en-US" w:eastAsia="zh-CN"/>
        </w:rPr>
        <w:t>产品</w:t>
      </w:r>
      <w:r>
        <w:rPr>
          <w:rFonts w:hint="eastAsia" w:ascii="Calibri" w:hAnsi="Calibri" w:cs="Times New Roman"/>
          <w:sz w:val="21"/>
          <w:highlight w:val="none"/>
          <w:lang w:eastAsia="zh-CN"/>
        </w:rPr>
        <w:t>或服务而产生的额外支出。但是，</w:t>
      </w:r>
      <w:r>
        <w:rPr>
          <w:rFonts w:hint="eastAsia" w:ascii="Calibri" w:hAnsi="Calibri" w:cs="Times New Roman"/>
          <w:sz w:val="21"/>
          <w:highlight w:val="none"/>
          <w:lang w:val="en-US" w:eastAsia="zh-CN"/>
        </w:rPr>
        <w:t>供应商</w:t>
      </w:r>
      <w:r>
        <w:rPr>
          <w:rFonts w:hint="eastAsia" w:ascii="Calibri" w:hAnsi="Calibri" w:cs="Times New Roman"/>
          <w:sz w:val="21"/>
          <w:highlight w:val="none"/>
          <w:lang w:eastAsia="zh-CN"/>
        </w:rPr>
        <w:t>应继续执行合同中未终止的部分。</w:t>
      </w:r>
      <w:r>
        <w:rPr>
          <w:rFonts w:hint="eastAsia" w:ascii="Calibri" w:hAnsi="Calibri" w:cs="Times New Roman"/>
          <w:sz w:val="21"/>
          <w:highlight w:val="none"/>
          <w:lang w:val="en-US" w:eastAsia="zh-CN"/>
        </w:rPr>
        <w:t>采购人保留法律追究的权利。</w:t>
      </w:r>
    </w:p>
    <w:p w14:paraId="3B5BAE07">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.4如果合同</w:t>
      </w:r>
      <w:r>
        <w:rPr>
          <w:rFonts w:hint="eastAsia" w:ascii="Calibri" w:hAnsi="Calibri" w:cs="Times New Roman"/>
          <w:sz w:val="21"/>
          <w:highlight w:val="none"/>
          <w:lang w:val="en-US" w:eastAsia="zh-CN"/>
        </w:rPr>
        <w:t>产品</w:t>
      </w:r>
      <w:r>
        <w:rPr>
          <w:rFonts w:hint="eastAsia" w:ascii="宋体" w:hAnsi="宋体" w:eastAsia="宋体" w:cs="宋体"/>
          <w:i w:val="0"/>
          <w:iCs w:val="0"/>
          <w:color w:val="auto"/>
          <w:kern w:val="0"/>
          <w:sz w:val="21"/>
          <w:szCs w:val="21"/>
          <w:highlight w:val="none"/>
          <w:u w:val="none"/>
          <w:lang w:val="en-US" w:eastAsia="zh-CN" w:bidi="ar"/>
        </w:rPr>
        <w:t>运输和安装过程中因事故造成货物短缺、损坏，</w:t>
      </w:r>
      <w:r>
        <w:rPr>
          <w:rFonts w:hint="eastAsia" w:ascii="宋体" w:hAnsi="宋体" w:cs="宋体"/>
          <w:i w:val="0"/>
          <w:iCs w:val="0"/>
          <w:color w:val="auto"/>
          <w:kern w:val="0"/>
          <w:sz w:val="21"/>
          <w:szCs w:val="21"/>
          <w:highlight w:val="none"/>
          <w:u w:val="none"/>
          <w:lang w:val="en-US" w:eastAsia="zh-CN" w:bidi="ar"/>
        </w:rPr>
        <w:t>供应商</w:t>
      </w:r>
      <w:r>
        <w:rPr>
          <w:rFonts w:hint="eastAsia" w:ascii="宋体" w:hAnsi="宋体" w:eastAsia="宋体" w:cs="宋体"/>
          <w:i w:val="0"/>
          <w:iCs w:val="0"/>
          <w:color w:val="auto"/>
          <w:kern w:val="0"/>
          <w:sz w:val="21"/>
          <w:szCs w:val="21"/>
          <w:highlight w:val="none"/>
          <w:u w:val="none"/>
          <w:lang w:val="en-US" w:eastAsia="zh-CN" w:bidi="ar"/>
        </w:rPr>
        <w:t>应及时安排补货、换货，以保证合同</w:t>
      </w:r>
      <w:r>
        <w:rPr>
          <w:rFonts w:hint="eastAsia" w:ascii="Calibri" w:hAnsi="Calibri" w:cs="Times New Roman"/>
          <w:sz w:val="21"/>
          <w:highlight w:val="none"/>
          <w:lang w:val="en-US" w:eastAsia="zh-CN"/>
        </w:rPr>
        <w:t>产品</w:t>
      </w:r>
      <w:r>
        <w:rPr>
          <w:rFonts w:hint="eastAsia" w:ascii="宋体" w:hAnsi="宋体" w:eastAsia="宋体" w:cs="宋体"/>
          <w:i w:val="0"/>
          <w:iCs w:val="0"/>
          <w:color w:val="auto"/>
          <w:kern w:val="0"/>
          <w:sz w:val="21"/>
          <w:szCs w:val="21"/>
          <w:highlight w:val="none"/>
          <w:u w:val="none"/>
          <w:lang w:val="en-US" w:eastAsia="zh-CN" w:bidi="ar"/>
        </w:rPr>
        <w:t>安装的成功完成。换货的相关费用由</w:t>
      </w:r>
      <w:r>
        <w:rPr>
          <w:rFonts w:hint="eastAsia" w:ascii="宋体" w:hAnsi="宋体" w:cs="宋体"/>
          <w:i w:val="0"/>
          <w:iCs w:val="0"/>
          <w:color w:val="auto"/>
          <w:kern w:val="0"/>
          <w:sz w:val="21"/>
          <w:szCs w:val="21"/>
          <w:highlight w:val="none"/>
          <w:u w:val="none"/>
          <w:lang w:val="en-US" w:eastAsia="zh-CN" w:bidi="ar"/>
        </w:rPr>
        <w:t>供应商</w:t>
      </w:r>
      <w:r>
        <w:rPr>
          <w:rFonts w:hint="eastAsia" w:ascii="宋体" w:hAnsi="宋体" w:eastAsia="宋体" w:cs="宋体"/>
          <w:i w:val="0"/>
          <w:iCs w:val="0"/>
          <w:color w:val="auto"/>
          <w:kern w:val="0"/>
          <w:sz w:val="21"/>
          <w:szCs w:val="21"/>
          <w:highlight w:val="none"/>
          <w:u w:val="none"/>
          <w:lang w:val="en-US" w:eastAsia="zh-CN" w:bidi="ar"/>
        </w:rPr>
        <w:t>承担</w:t>
      </w:r>
      <w:r>
        <w:rPr>
          <w:rFonts w:hint="eastAsia" w:ascii="宋体" w:hAnsi="宋体" w:cs="宋体"/>
          <w:i w:val="0"/>
          <w:iCs w:val="0"/>
          <w:color w:val="auto"/>
          <w:kern w:val="0"/>
          <w:sz w:val="21"/>
          <w:szCs w:val="21"/>
          <w:highlight w:val="none"/>
          <w:u w:val="none"/>
          <w:lang w:val="en-US" w:eastAsia="zh-CN" w:bidi="ar"/>
        </w:rPr>
        <w:t>。</w:t>
      </w:r>
    </w:p>
    <w:p w14:paraId="1F8082A1">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.5</w:t>
      </w:r>
      <w:r>
        <w:rPr>
          <w:rFonts w:hint="eastAsia" w:ascii="宋体" w:hAnsi="宋体" w:cs="宋体"/>
          <w:i w:val="0"/>
          <w:iCs w:val="0"/>
          <w:color w:val="auto"/>
          <w:kern w:val="0"/>
          <w:sz w:val="21"/>
          <w:szCs w:val="21"/>
          <w:highlight w:val="none"/>
          <w:u w:val="none"/>
          <w:lang w:val="en-US" w:eastAsia="zh-CN" w:bidi="ar"/>
        </w:rPr>
        <w:t>供应商</w:t>
      </w:r>
      <w:r>
        <w:rPr>
          <w:rFonts w:hint="eastAsia" w:ascii="宋体" w:hAnsi="宋体" w:eastAsia="宋体" w:cs="宋体"/>
          <w:i w:val="0"/>
          <w:iCs w:val="0"/>
          <w:color w:val="auto"/>
          <w:kern w:val="0"/>
          <w:sz w:val="21"/>
          <w:szCs w:val="21"/>
          <w:highlight w:val="none"/>
          <w:u w:val="none"/>
          <w:lang w:val="en-US" w:eastAsia="zh-CN" w:bidi="ar"/>
        </w:rPr>
        <w:t>保证合同项下提供的</w:t>
      </w:r>
      <w:r>
        <w:rPr>
          <w:rFonts w:hint="eastAsia" w:ascii="Calibri" w:hAnsi="Calibri" w:cs="Times New Roman"/>
          <w:sz w:val="21"/>
          <w:highlight w:val="none"/>
          <w:lang w:val="en-US" w:eastAsia="zh-CN"/>
        </w:rPr>
        <w:t>产品</w:t>
      </w:r>
      <w:r>
        <w:rPr>
          <w:rFonts w:hint="eastAsia" w:ascii="宋体" w:hAnsi="宋体" w:eastAsia="宋体" w:cs="宋体"/>
          <w:i w:val="0"/>
          <w:iCs w:val="0"/>
          <w:color w:val="auto"/>
          <w:kern w:val="0"/>
          <w:sz w:val="21"/>
          <w:szCs w:val="21"/>
          <w:highlight w:val="none"/>
          <w:u w:val="none"/>
          <w:lang w:val="en-US" w:eastAsia="zh-CN" w:bidi="ar"/>
        </w:rPr>
        <w:t>不侵犯任何第三方的专利、商标或版权。否则，</w:t>
      </w:r>
      <w:r>
        <w:rPr>
          <w:rFonts w:hint="eastAsia" w:ascii="宋体" w:hAnsi="宋体" w:cs="宋体"/>
          <w:i w:val="0"/>
          <w:iCs w:val="0"/>
          <w:color w:val="auto"/>
          <w:kern w:val="0"/>
          <w:sz w:val="21"/>
          <w:szCs w:val="21"/>
          <w:highlight w:val="none"/>
          <w:u w:val="none"/>
          <w:lang w:val="en-US" w:eastAsia="zh-CN" w:bidi="ar"/>
        </w:rPr>
        <w:t>供应商</w:t>
      </w:r>
      <w:r>
        <w:rPr>
          <w:rFonts w:hint="eastAsia" w:ascii="宋体" w:hAnsi="宋体" w:eastAsia="宋体" w:cs="宋体"/>
          <w:i w:val="0"/>
          <w:iCs w:val="0"/>
          <w:color w:val="auto"/>
          <w:kern w:val="0"/>
          <w:sz w:val="21"/>
          <w:szCs w:val="21"/>
          <w:highlight w:val="none"/>
          <w:u w:val="none"/>
          <w:lang w:val="en-US" w:eastAsia="zh-CN" w:bidi="ar"/>
        </w:rPr>
        <w:t>须承担对第三方的专利或版权的侵权责任并承担因此而发生的所有费用。</w:t>
      </w:r>
    </w:p>
    <w:p w14:paraId="52449639">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提供</w:t>
      </w:r>
      <w:r>
        <w:rPr>
          <w:rFonts w:hint="eastAsia" w:ascii="宋体" w:hAnsi="宋体" w:cs="宋体"/>
          <w:i w:val="0"/>
          <w:iCs w:val="0"/>
          <w:color w:val="auto"/>
          <w:kern w:val="0"/>
          <w:sz w:val="21"/>
          <w:szCs w:val="21"/>
          <w:highlight w:val="none"/>
          <w:u w:val="none"/>
          <w:lang w:val="en-US" w:eastAsia="zh-CN" w:bidi="ar"/>
        </w:rPr>
        <w:t>不少于</w:t>
      </w:r>
      <w:r>
        <w:rPr>
          <w:rFonts w:hint="eastAsia" w:ascii="宋体" w:hAnsi="宋体" w:eastAsia="宋体" w:cs="宋体"/>
          <w:i w:val="0"/>
          <w:iCs w:val="0"/>
          <w:color w:val="auto"/>
          <w:kern w:val="0"/>
          <w:sz w:val="21"/>
          <w:szCs w:val="21"/>
          <w:highlight w:val="none"/>
          <w:u w:val="none"/>
          <w:lang w:val="en-US" w:eastAsia="zh-CN" w:bidi="ar"/>
        </w:rPr>
        <w:t>1年</w:t>
      </w:r>
      <w:r>
        <w:rPr>
          <w:rFonts w:hint="eastAsia" w:ascii="宋体" w:hAnsi="宋体" w:cs="宋体"/>
          <w:i w:val="0"/>
          <w:iCs w:val="0"/>
          <w:color w:val="auto"/>
          <w:kern w:val="0"/>
          <w:sz w:val="21"/>
          <w:szCs w:val="21"/>
          <w:highlight w:val="none"/>
          <w:u w:val="none"/>
          <w:lang w:val="en-US" w:eastAsia="zh-CN" w:bidi="ar"/>
        </w:rPr>
        <w:t>的</w:t>
      </w:r>
      <w:r>
        <w:rPr>
          <w:rFonts w:hint="eastAsia" w:ascii="宋体" w:hAnsi="宋体" w:eastAsia="宋体" w:cs="宋体"/>
          <w:i w:val="0"/>
          <w:iCs w:val="0"/>
          <w:color w:val="auto"/>
          <w:kern w:val="0"/>
          <w:sz w:val="21"/>
          <w:szCs w:val="21"/>
          <w:highlight w:val="none"/>
          <w:u w:val="none"/>
          <w:lang w:val="en-US" w:eastAsia="zh-CN" w:bidi="ar"/>
        </w:rPr>
        <w:t>原厂质量保修服务。</w:t>
      </w:r>
    </w:p>
    <w:p w14:paraId="09ADFE53">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5.保密要求：双方合作中涉及的所有业务、技术资料，均有责任对第三方保密。如其中一方擅自将涉及另一方的商业和技术秘密的资料透漏给第三方，则另一方将保留追究对方法律责任的权利。</w:t>
      </w:r>
    </w:p>
    <w:p w14:paraId="5E4E8835">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6.安装调试及技术服务(含培训)要求：供应商负责</w:t>
      </w:r>
      <w:r>
        <w:rPr>
          <w:rFonts w:hint="eastAsia" w:ascii="Calibri" w:hAnsi="Calibri" w:cs="Times New Roman"/>
          <w:sz w:val="21"/>
          <w:highlight w:val="none"/>
          <w:lang w:val="en-US" w:eastAsia="zh-CN"/>
        </w:rPr>
        <w:t>产品</w:t>
      </w:r>
      <w:r>
        <w:rPr>
          <w:rFonts w:hint="eastAsia" w:ascii="宋体" w:hAnsi="宋体" w:cs="宋体"/>
          <w:i w:val="0"/>
          <w:iCs w:val="0"/>
          <w:color w:val="auto"/>
          <w:kern w:val="0"/>
          <w:sz w:val="21"/>
          <w:szCs w:val="21"/>
          <w:highlight w:val="none"/>
          <w:u w:val="none"/>
          <w:lang w:val="en-US" w:eastAsia="zh-CN" w:bidi="ar"/>
        </w:rPr>
        <w:t>的安装调试，供应商负责对科室技术人员、操作人员进行免费业务培训，培训内容包括设备操作、设备维护、专业知识等，培训保证技术人员、操作人员能够掌握并独立操作为止。</w:t>
      </w:r>
    </w:p>
    <w:p w14:paraId="0831F539">
      <w:pPr>
        <w:keepNext w:val="0"/>
        <w:keepLines w:val="0"/>
        <w:pageBreakBefore w:val="0"/>
        <w:numPr>
          <w:ilvl w:val="0"/>
          <w:numId w:val="0"/>
        </w:numPr>
        <w:kinsoku/>
        <w:wordWrap/>
        <w:overflowPunct/>
        <w:topLinePunct w:val="0"/>
        <w:bidi w:val="0"/>
        <w:spacing w:line="360" w:lineRule="exact"/>
        <w:ind w:left="0" w:leftChars="0" w:firstLine="420" w:firstLineChars="200"/>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7.售后服务的要求：供应商</w:t>
      </w:r>
      <w:r>
        <w:rPr>
          <w:rFonts w:hint="eastAsia" w:ascii="宋体" w:hAnsi="宋体" w:eastAsia="宋体"/>
          <w:spacing w:val="-5"/>
          <w:sz w:val="21"/>
          <w:szCs w:val="21"/>
          <w:lang w:val="en-US" w:eastAsia="zh-CN"/>
        </w:rPr>
        <w:t>在质保期内</w:t>
      </w:r>
      <w:r>
        <w:rPr>
          <w:rFonts w:hint="eastAsia" w:ascii="宋体" w:hAnsi="宋体" w:eastAsia="宋体"/>
          <w:spacing w:val="-5"/>
          <w:sz w:val="21"/>
          <w:szCs w:val="21"/>
          <w:lang w:eastAsia="zh-CN"/>
        </w:rPr>
        <w:t>提供</w:t>
      </w:r>
      <w:r>
        <w:rPr>
          <w:rFonts w:hint="eastAsia" w:ascii="宋体" w:hAnsi="宋体" w:eastAsia="宋体"/>
          <w:spacing w:val="-5"/>
          <w:sz w:val="21"/>
          <w:szCs w:val="21"/>
          <w:lang w:val="en-US" w:eastAsia="zh-CN"/>
        </w:rPr>
        <w:t>2</w:t>
      </w:r>
      <w:r>
        <w:rPr>
          <w:rFonts w:hint="eastAsia" w:ascii="宋体" w:hAnsi="宋体" w:eastAsia="宋体"/>
          <w:spacing w:val="-5"/>
          <w:sz w:val="21"/>
          <w:szCs w:val="21"/>
          <w:lang w:eastAsia="zh-CN"/>
        </w:rPr>
        <w:t>次</w:t>
      </w:r>
      <w:r>
        <w:rPr>
          <w:rFonts w:hint="eastAsia" w:ascii="宋体" w:hAnsi="宋体"/>
          <w:spacing w:val="-5"/>
          <w:sz w:val="21"/>
          <w:szCs w:val="21"/>
          <w:lang w:val="en-US" w:eastAsia="zh-CN"/>
        </w:rPr>
        <w:t>免费</w:t>
      </w:r>
      <w:r>
        <w:rPr>
          <w:rFonts w:hint="eastAsia" w:ascii="宋体" w:hAnsi="宋体" w:eastAsia="宋体"/>
          <w:spacing w:val="-5"/>
          <w:sz w:val="21"/>
          <w:szCs w:val="21"/>
          <w:lang w:eastAsia="zh-CN"/>
        </w:rPr>
        <w:t>对</w:t>
      </w:r>
      <w:r>
        <w:rPr>
          <w:rFonts w:hint="eastAsia" w:ascii="Calibri" w:hAnsi="Calibri" w:cs="Times New Roman"/>
          <w:sz w:val="21"/>
          <w:highlight w:val="none"/>
          <w:lang w:val="en-US" w:eastAsia="zh-CN"/>
        </w:rPr>
        <w:t>产品</w:t>
      </w:r>
      <w:r>
        <w:rPr>
          <w:rFonts w:hint="eastAsia" w:ascii="宋体" w:hAnsi="宋体" w:eastAsia="宋体"/>
          <w:spacing w:val="-5"/>
          <w:sz w:val="21"/>
          <w:szCs w:val="21"/>
          <w:lang w:eastAsia="zh-CN"/>
        </w:rPr>
        <w:t>进行运维巡检。</w:t>
      </w:r>
      <w:r>
        <w:rPr>
          <w:rFonts w:hint="eastAsia" w:ascii="宋体" w:hAnsi="宋体" w:cs="宋体"/>
          <w:i w:val="0"/>
          <w:iCs w:val="0"/>
          <w:color w:val="auto"/>
          <w:kern w:val="0"/>
          <w:sz w:val="21"/>
          <w:szCs w:val="21"/>
          <w:highlight w:val="none"/>
          <w:u w:val="none"/>
          <w:lang w:val="en-US" w:eastAsia="zh-CN" w:bidi="ar"/>
        </w:rPr>
        <w:t>维修保修期满,供应商终身提供维修服务，不收取上门费,只收取配件等相关成本费用。仪器出现问题时于1小时内响应，2小时内赶赴现场，24小时内解决故障</w:t>
      </w:r>
      <w:r>
        <w:rPr>
          <w:rFonts w:hint="eastAsia" w:ascii="宋体" w:hAnsi="宋体" w:eastAsia="宋体" w:cs="宋体"/>
          <w:i w:val="0"/>
          <w:iCs w:val="0"/>
          <w:color w:val="auto"/>
          <w:kern w:val="0"/>
          <w:sz w:val="21"/>
          <w:szCs w:val="21"/>
          <w:highlight w:val="none"/>
          <w:u w:val="none"/>
          <w:lang w:val="en-US" w:eastAsia="zh-CN" w:bidi="ar"/>
        </w:rPr>
        <w:t>并负责设备的维修。</w:t>
      </w:r>
    </w:p>
    <w:p w14:paraId="25B8FAFB">
      <w:pPr>
        <w:keepNext w:val="0"/>
        <w:keepLines w:val="0"/>
        <w:pageBreakBefore w:val="0"/>
        <w:numPr>
          <w:ilvl w:val="0"/>
          <w:numId w:val="0"/>
        </w:numPr>
        <w:kinsoku/>
        <w:wordWrap/>
        <w:overflowPunct/>
        <w:topLinePunct w:val="0"/>
        <w:bidi w:val="0"/>
        <w:spacing w:line="360" w:lineRule="exact"/>
        <w:ind w:left="0" w:leftChars="0" w:firstLine="422" w:firstLineChars="200"/>
        <w:jc w:val="both"/>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合格供应商资格要求</w:t>
      </w:r>
    </w:p>
    <w:p w14:paraId="4EF3A67F">
      <w:pPr>
        <w:keepNext w:val="0"/>
        <w:keepLines w:val="0"/>
        <w:pageBreakBefore w:val="0"/>
        <w:numPr>
          <w:ilvl w:val="0"/>
          <w:numId w:val="2"/>
        </w:numPr>
        <w:kinsoku/>
        <w:wordWrap/>
        <w:overflowPunct/>
        <w:topLinePunct w:val="0"/>
        <w:bidi w:val="0"/>
        <w:spacing w:line="360" w:lineRule="exact"/>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供应商应具备《中华人民共和国政府采购法》第二十二条规定的条件</w:t>
      </w:r>
      <w:r>
        <w:rPr>
          <w:rFonts w:hint="eastAsia" w:ascii="宋体" w:hAnsi="宋体" w:eastAsia="宋体" w:cs="宋体"/>
          <w:color w:val="auto"/>
          <w:sz w:val="21"/>
          <w:szCs w:val="21"/>
          <w:highlight w:val="none"/>
          <w:lang w:val="en-US" w:eastAsia="zh-CN"/>
        </w:rPr>
        <w:t>（提供资格声明函）</w:t>
      </w:r>
      <w:r>
        <w:rPr>
          <w:rFonts w:hint="eastAsia" w:ascii="宋体" w:hAnsi="宋体" w:cs="宋体"/>
          <w:color w:val="auto"/>
          <w:sz w:val="21"/>
          <w:szCs w:val="21"/>
          <w:highlight w:val="none"/>
          <w:lang w:eastAsia="zh-CN"/>
        </w:rPr>
        <w:t>。</w:t>
      </w:r>
    </w:p>
    <w:p w14:paraId="10CB3327">
      <w:pPr>
        <w:keepNext w:val="0"/>
        <w:keepLines w:val="0"/>
        <w:pageBreakBefore w:val="0"/>
        <w:numPr>
          <w:ilvl w:val="0"/>
          <w:numId w:val="2"/>
        </w:numPr>
        <w:kinsoku/>
        <w:wordWrap/>
        <w:overflowPunct/>
        <w:topLinePunct w:val="0"/>
        <w:bidi w:val="0"/>
        <w:spacing w:line="360" w:lineRule="exact"/>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供应商须具备相关经营范围</w:t>
      </w:r>
      <w:r>
        <w:rPr>
          <w:rFonts w:hint="eastAsia" w:ascii="宋体" w:hAnsi="宋体" w:cs="宋体"/>
          <w:color w:val="auto"/>
          <w:sz w:val="21"/>
          <w:szCs w:val="21"/>
          <w:highlight w:val="none"/>
          <w:lang w:val="en-US" w:eastAsia="zh-CN"/>
        </w:rPr>
        <w:t>且有效的营业执照</w:t>
      </w:r>
      <w:r>
        <w:rPr>
          <w:rFonts w:hint="eastAsia" w:ascii="宋体" w:hAnsi="宋体" w:eastAsia="宋体" w:cs="宋体"/>
          <w:color w:val="auto"/>
          <w:sz w:val="21"/>
          <w:szCs w:val="21"/>
          <w:highlight w:val="none"/>
        </w:rPr>
        <w:t>（提供证明材料复印件加盖供应商公章）。</w:t>
      </w:r>
    </w:p>
    <w:p w14:paraId="0630AF33">
      <w:pPr>
        <w:keepNext w:val="0"/>
        <w:keepLines w:val="0"/>
        <w:pageBreakBefore w:val="0"/>
        <w:numPr>
          <w:ilvl w:val="0"/>
          <w:numId w:val="2"/>
        </w:numPr>
        <w:kinsoku/>
        <w:wordWrap/>
        <w:overflowPunct/>
        <w:topLinePunct w:val="0"/>
        <w:bidi w:val="0"/>
        <w:spacing w:line="360" w:lineRule="exact"/>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未被列入“信用中国”网站(www.creditchina.gov.cn)“记录失信被执行人或重大税收违法案件当事人名单或政府采购严重违法失信行为”记录名单。同时，不处于中国政府采购网(www.ccgp.gov.cn)“政府采购严重违法失信行为信息记录”中的禁止参加政府采购活动期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提供资格声明函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2D95D5CD">
      <w:pPr>
        <w:keepNext w:val="0"/>
        <w:keepLines w:val="0"/>
        <w:pageBreakBefore w:val="0"/>
        <w:numPr>
          <w:ilvl w:val="0"/>
          <w:numId w:val="2"/>
        </w:numPr>
        <w:kinsoku/>
        <w:wordWrap/>
        <w:overflowPunct/>
        <w:topLinePunct w:val="0"/>
        <w:bidi w:val="0"/>
        <w:spacing w:line="360" w:lineRule="exact"/>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本项目不接受联合体投标，且不允许转包或分包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提供资格声明函</w:t>
      </w:r>
      <w:r>
        <w:rPr>
          <w:rFonts w:hint="eastAsia" w:ascii="宋体" w:hAnsi="宋体" w:eastAsia="宋体" w:cs="宋体"/>
          <w:color w:val="auto"/>
          <w:sz w:val="21"/>
          <w:szCs w:val="21"/>
          <w:highlight w:val="none"/>
          <w:lang w:eastAsia="zh-CN"/>
        </w:rPr>
        <w:t>）。</w:t>
      </w:r>
    </w:p>
    <w:p w14:paraId="19B08C64">
      <w:pPr>
        <w:keepNext w:val="0"/>
        <w:keepLines w:val="0"/>
        <w:pageBreakBefore w:val="0"/>
        <w:numPr>
          <w:ilvl w:val="0"/>
          <w:numId w:val="2"/>
        </w:numPr>
        <w:kinsoku/>
        <w:wordWrap/>
        <w:overflowPunct/>
        <w:topLinePunct w:val="0"/>
        <w:bidi w:val="0"/>
        <w:spacing w:line="360" w:lineRule="exact"/>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单位负责人为同一人或者存在直接控股、管理关系的不同供应商，不得参加同一合同项下的政府采购活动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提供资格声明函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20E798DD">
      <w:pPr>
        <w:keepNext w:val="0"/>
        <w:keepLines w:val="0"/>
        <w:pageBreakBefore w:val="0"/>
        <w:numPr>
          <w:ilvl w:val="0"/>
          <w:numId w:val="0"/>
        </w:numPr>
        <w:kinsoku/>
        <w:wordWrap/>
        <w:overflowPunct/>
        <w:topLinePunct w:val="0"/>
        <w:bidi w:val="0"/>
        <w:spacing w:line="360" w:lineRule="exact"/>
        <w:ind w:firstLine="420" w:firstLineChars="200"/>
        <w:jc w:val="both"/>
        <w:rPr>
          <w:rFonts w:hint="eastAsia" w:ascii="宋体" w:hAnsi="宋体" w:cs="宋体"/>
          <w:b/>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六）</w:t>
      </w:r>
      <w:r>
        <w:rPr>
          <w:rFonts w:hint="eastAsia" w:ascii="宋体" w:hAnsi="宋体" w:eastAsia="宋体" w:cs="宋体"/>
          <w:b w:val="0"/>
          <w:bCs w:val="0"/>
          <w:color w:val="auto"/>
          <w:sz w:val="21"/>
          <w:szCs w:val="21"/>
          <w:highlight w:val="none"/>
        </w:rPr>
        <w:t>为</w:t>
      </w:r>
      <w:r>
        <w:rPr>
          <w:rFonts w:hint="eastAsia" w:ascii="宋体" w:hAnsi="宋体" w:eastAsia="宋体" w:cs="宋体"/>
          <w:color w:val="auto"/>
          <w:sz w:val="21"/>
          <w:szCs w:val="21"/>
          <w:highlight w:val="none"/>
        </w:rPr>
        <w:t>本项目提供整体设计、规范编制或者项目管理、监理、检测等服务的供应商，不得再参与本项目投标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提供资格声明函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7F74161B">
      <w:pPr>
        <w:keepNext w:val="0"/>
        <w:keepLines w:val="0"/>
        <w:pageBreakBefore w:val="0"/>
        <w:widowControl w:val="0"/>
        <w:kinsoku/>
        <w:wordWrap/>
        <w:overflowPunct/>
        <w:topLinePunct w:val="0"/>
        <w:bidi w:val="0"/>
        <w:adjustRightInd w:val="0"/>
        <w:snapToGrid w:val="0"/>
        <w:spacing w:line="360" w:lineRule="exact"/>
        <w:ind w:left="0" w:leftChars="0" w:firstLine="422" w:firstLineChars="200"/>
        <w:jc w:val="both"/>
        <w:rPr>
          <w:rFonts w:hint="eastAsia" w:ascii="宋体" w:hAnsi="宋体" w:eastAsia="宋体" w:cs="宋体"/>
          <w:color w:val="auto"/>
          <w:sz w:val="21"/>
          <w:szCs w:val="21"/>
          <w:highlight w:val="none"/>
        </w:rPr>
      </w:pPr>
      <w:r>
        <w:rPr>
          <w:rFonts w:hint="eastAsia" w:ascii="宋体" w:hAnsi="宋体" w:cs="宋体"/>
          <w:b/>
          <w:color w:val="auto"/>
          <w:sz w:val="21"/>
          <w:szCs w:val="21"/>
          <w:highlight w:val="none"/>
          <w:lang w:val="en-US" w:eastAsia="zh-CN"/>
        </w:rPr>
        <w:t>六</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响应文件递交</w:t>
      </w:r>
      <w:r>
        <w:rPr>
          <w:rFonts w:hint="eastAsia" w:ascii="宋体" w:hAnsi="宋体" w:eastAsia="宋体" w:cs="宋体"/>
          <w:b/>
          <w:color w:val="auto"/>
          <w:sz w:val="21"/>
          <w:szCs w:val="21"/>
          <w:highlight w:val="none"/>
        </w:rPr>
        <w:t>截止时间及地点</w:t>
      </w:r>
    </w:p>
    <w:p w14:paraId="3A19A403">
      <w:pPr>
        <w:keepNext w:val="0"/>
        <w:keepLines w:val="0"/>
        <w:pageBreakBefore w:val="0"/>
        <w:numPr>
          <w:ilvl w:val="0"/>
          <w:numId w:val="3"/>
        </w:numPr>
        <w:kinsoku/>
        <w:wordWrap/>
        <w:overflowPunct/>
        <w:topLinePunct w:val="0"/>
        <w:bidi w:val="0"/>
        <w:spacing w:line="360" w:lineRule="exact"/>
        <w:ind w:left="0" w:lef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响应文件递交截止时间：</w:t>
      </w:r>
      <w:r>
        <w:rPr>
          <w:rFonts w:hint="eastAsia" w:ascii="宋体" w:hAnsi="宋体" w:eastAsia="宋体" w:cs="宋体"/>
          <w:b/>
          <w:bCs/>
          <w:color w:val="auto"/>
          <w:sz w:val="21"/>
          <w:szCs w:val="21"/>
          <w:highlight w:val="none"/>
        </w:rPr>
        <w:t>202</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年</w:t>
      </w: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月</w:t>
      </w: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rPr>
        <w:t>日</w:t>
      </w:r>
      <w:r>
        <w:rPr>
          <w:rFonts w:hint="eastAsia" w:ascii="宋体" w:hAnsi="宋体" w:cs="宋体"/>
          <w:b/>
          <w:bCs/>
          <w:color w:val="auto"/>
          <w:sz w:val="21"/>
          <w:szCs w:val="21"/>
          <w:highlight w:val="none"/>
          <w:lang w:val="en-US" w:eastAsia="zh-CN"/>
        </w:rPr>
        <w:t>17</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0</w:t>
      </w:r>
      <w:r>
        <w:rPr>
          <w:rFonts w:hint="eastAsia" w:ascii="宋体" w:hAnsi="宋体" w:eastAsia="宋体" w:cs="宋体"/>
          <w:b/>
          <w:bCs/>
          <w:color w:val="auto"/>
          <w:sz w:val="21"/>
          <w:szCs w:val="21"/>
          <w:highlight w:val="none"/>
        </w:rPr>
        <w:t>0</w:t>
      </w:r>
      <w:r>
        <w:rPr>
          <w:rFonts w:hint="eastAsia" w:ascii="宋体" w:hAnsi="宋体" w:eastAsia="宋体" w:cs="宋体"/>
          <w:color w:val="auto"/>
          <w:sz w:val="21"/>
          <w:szCs w:val="21"/>
          <w:highlight w:val="none"/>
        </w:rPr>
        <w:t>。</w:t>
      </w:r>
    </w:p>
    <w:p w14:paraId="059789F1">
      <w:pPr>
        <w:keepNext w:val="0"/>
        <w:keepLines w:val="0"/>
        <w:pageBreakBefore w:val="0"/>
        <w:numPr>
          <w:ilvl w:val="0"/>
          <w:numId w:val="0"/>
        </w:numPr>
        <w:kinsoku/>
        <w:wordWrap/>
        <w:overflowPunct/>
        <w:topLinePunct w:val="0"/>
        <w:bidi w:val="0"/>
        <w:spacing w:line="360" w:lineRule="exact"/>
        <w:ind w:firstLine="420" w:firstLineChars="200"/>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资料递交或邮寄地点：</w:t>
      </w:r>
      <w:r>
        <w:rPr>
          <w:rFonts w:hint="eastAsia" w:ascii="宋体" w:hAnsi="宋体" w:eastAsia="宋体" w:cs="宋体"/>
          <w:color w:val="auto"/>
          <w:sz w:val="21"/>
          <w:szCs w:val="21"/>
          <w:highlight w:val="none"/>
          <w:lang w:val="en-US" w:eastAsia="zh-CN"/>
        </w:rPr>
        <w:t>中山市板芙镇芙中路1号板芙医院综合楼</w:t>
      </w:r>
      <w:r>
        <w:rPr>
          <w:rFonts w:hint="eastAsia" w:ascii="宋体" w:hAnsi="宋体" w:cs="宋体"/>
          <w:color w:val="auto"/>
          <w:sz w:val="21"/>
          <w:szCs w:val="21"/>
          <w:highlight w:val="none"/>
          <w:lang w:val="en-US" w:eastAsia="zh-CN"/>
        </w:rPr>
        <w:t>（放射科旁电梯上）八</w:t>
      </w:r>
      <w:r>
        <w:rPr>
          <w:rFonts w:hint="eastAsia" w:ascii="宋体" w:hAnsi="宋体" w:eastAsia="宋体" w:cs="宋体"/>
          <w:color w:val="auto"/>
          <w:sz w:val="21"/>
          <w:szCs w:val="21"/>
          <w:highlight w:val="none"/>
          <w:lang w:val="en-US" w:eastAsia="zh-CN"/>
        </w:rPr>
        <w:t>楼</w:t>
      </w:r>
      <w:r>
        <w:rPr>
          <w:rFonts w:hint="eastAsia" w:ascii="宋体" w:hAnsi="宋体" w:cs="宋体"/>
          <w:color w:val="auto"/>
          <w:sz w:val="21"/>
          <w:szCs w:val="21"/>
          <w:highlight w:val="none"/>
          <w:lang w:val="en-US" w:eastAsia="zh-CN"/>
        </w:rPr>
        <w:t>行政办公区门口</w:t>
      </w:r>
      <w:r>
        <w:rPr>
          <w:rFonts w:hint="eastAsia" w:ascii="宋体" w:hAnsi="宋体" w:cs="宋体"/>
          <w:b w:val="0"/>
          <w:bCs w:val="0"/>
          <w:color w:val="auto"/>
          <w:sz w:val="21"/>
          <w:szCs w:val="21"/>
          <w:highlight w:val="none"/>
          <w:lang w:val="en-US" w:eastAsia="zh-CN"/>
        </w:rPr>
        <w:t>处</w:t>
      </w:r>
      <w:r>
        <w:rPr>
          <w:rFonts w:hint="eastAsia" w:ascii="宋体" w:hAnsi="宋体" w:cs="宋体"/>
          <w:b/>
          <w:bCs/>
          <w:color w:val="auto"/>
          <w:sz w:val="21"/>
          <w:szCs w:val="21"/>
          <w:highlight w:val="none"/>
          <w:lang w:val="en-US" w:eastAsia="zh-CN"/>
        </w:rPr>
        <w:t>“招采资料专用投递箱”</w:t>
      </w:r>
      <w:r>
        <w:rPr>
          <w:rFonts w:hint="eastAsia" w:ascii="宋体" w:hAnsi="宋体" w:cs="宋体"/>
          <w:color w:val="auto"/>
          <w:sz w:val="21"/>
          <w:szCs w:val="21"/>
          <w:highlight w:val="none"/>
          <w:lang w:val="en-US" w:eastAsia="zh-CN"/>
        </w:rPr>
        <w:t>，联系人：招采办杨小姐，联系电话：0760-28218662</w:t>
      </w:r>
      <w:r>
        <w:rPr>
          <w:rFonts w:hint="eastAsia" w:ascii="宋体" w:hAnsi="宋体" w:eastAsia="宋体" w:cs="宋体"/>
          <w:color w:val="auto"/>
          <w:sz w:val="21"/>
          <w:szCs w:val="21"/>
          <w:highlight w:val="none"/>
        </w:rPr>
        <w:t>。</w:t>
      </w:r>
    </w:p>
    <w:p w14:paraId="707DA607">
      <w:pPr>
        <w:keepNext w:val="0"/>
        <w:keepLines w:val="0"/>
        <w:pageBreakBefore w:val="0"/>
        <w:numPr>
          <w:ilvl w:val="0"/>
          <w:numId w:val="0"/>
        </w:numPr>
        <w:kinsoku/>
        <w:wordWrap/>
        <w:overflowPunct/>
        <w:topLinePunct w:val="0"/>
        <w:bidi w:val="0"/>
        <w:spacing w:line="360" w:lineRule="exact"/>
        <w:ind w:firstLine="422" w:firstLineChars="200"/>
        <w:jc w:val="both"/>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七、公告期限</w:t>
      </w:r>
    </w:p>
    <w:p w14:paraId="587CB7F4">
      <w:pPr>
        <w:keepNext w:val="0"/>
        <w:keepLines w:val="0"/>
        <w:pageBreakBefore w:val="0"/>
        <w:numPr>
          <w:ilvl w:val="0"/>
          <w:numId w:val="0"/>
        </w:numPr>
        <w:kinsoku/>
        <w:wordWrap/>
        <w:overflowPunct/>
        <w:topLinePunct w:val="0"/>
        <w:bidi w:val="0"/>
        <w:spacing w:line="360" w:lineRule="exact"/>
        <w:jc w:val="both"/>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自本公告发布之日起3个工作日。</w:t>
      </w:r>
    </w:p>
    <w:p w14:paraId="0B4884EF">
      <w:pPr>
        <w:keepNext w:val="0"/>
        <w:keepLines w:val="0"/>
        <w:pageBreakBefore w:val="0"/>
        <w:widowControl w:val="0"/>
        <w:numPr>
          <w:ilvl w:val="0"/>
          <w:numId w:val="0"/>
        </w:numPr>
        <w:tabs>
          <w:tab w:val="left" w:pos="420"/>
        </w:tabs>
        <w:kinsoku/>
        <w:overflowPunct/>
        <w:topLinePunct w:val="0"/>
        <w:bidi w:val="0"/>
        <w:spacing w:line="360" w:lineRule="exact"/>
        <w:ind w:leftChars="200"/>
        <w:jc w:val="both"/>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响应文件</w:t>
      </w:r>
      <w:r>
        <w:rPr>
          <w:rFonts w:hint="eastAsia" w:ascii="宋体" w:hAnsi="宋体" w:cs="宋体"/>
          <w:b/>
          <w:bCs/>
          <w:color w:val="auto"/>
          <w:sz w:val="21"/>
          <w:szCs w:val="21"/>
          <w:highlight w:val="none"/>
          <w:lang w:val="en-US" w:eastAsia="zh-CN"/>
        </w:rPr>
        <w:t>内容要求</w:t>
      </w:r>
    </w:p>
    <w:p w14:paraId="78CABC3D">
      <w:pPr>
        <w:keepNext w:val="0"/>
        <w:keepLines w:val="0"/>
        <w:pageBreakBefore w:val="0"/>
        <w:widowControl w:val="0"/>
        <w:tabs>
          <w:tab w:val="left" w:pos="420"/>
        </w:tabs>
        <w:kinsoku/>
        <w:overflowPunct/>
        <w:topLinePunct w:val="0"/>
        <w:bidi w:val="0"/>
        <w:spacing w:line="360" w:lineRule="exact"/>
        <w:ind w:left="0" w:leftChars="0" w:firstLine="420" w:firstLineChars="200"/>
        <w:jc w:val="both"/>
        <w:rPr>
          <w:rFonts w:hint="eastAsia" w:ascii="宋体" w:hAnsi="宋体" w:eastAsia="宋体" w:cs="宋体"/>
          <w:b/>
          <w:bCs/>
          <w:color w:val="auto"/>
          <w:sz w:val="21"/>
          <w:szCs w:val="21"/>
          <w:highlight w:val="none"/>
          <w:lang w:eastAsia="zh-CN"/>
        </w:rPr>
      </w:pP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一</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eastAsia="zh-CN"/>
        </w:rPr>
        <w:t>响应文件内容</w:t>
      </w:r>
      <w:r>
        <w:rPr>
          <w:rFonts w:hint="eastAsia" w:ascii="宋体" w:hAnsi="宋体" w:cs="宋体"/>
          <w:b w:val="0"/>
          <w:bCs w:val="0"/>
          <w:color w:val="auto"/>
          <w:sz w:val="21"/>
          <w:szCs w:val="21"/>
          <w:highlight w:val="none"/>
          <w:lang w:val="en-US" w:eastAsia="zh-CN"/>
        </w:rPr>
        <w:t>格式</w:t>
      </w:r>
      <w:r>
        <w:rPr>
          <w:rFonts w:hint="eastAsia" w:ascii="宋体" w:hAnsi="宋体" w:eastAsia="宋体" w:cs="宋体"/>
          <w:b w:val="0"/>
          <w:bCs w:val="0"/>
          <w:color w:val="auto"/>
          <w:sz w:val="21"/>
          <w:szCs w:val="21"/>
          <w:highlight w:val="none"/>
          <w:lang w:eastAsia="zh-CN"/>
        </w:rPr>
        <w:t>要求</w:t>
      </w:r>
    </w:p>
    <w:p w14:paraId="5DA12C82">
      <w:pPr>
        <w:keepNext w:val="0"/>
        <w:keepLines w:val="0"/>
        <w:pageBreakBefore w:val="0"/>
        <w:numPr>
          <w:ilvl w:val="0"/>
          <w:numId w:val="0"/>
        </w:numPr>
        <w:kinsoku/>
        <w:wordWrap/>
        <w:overflowPunct/>
        <w:topLinePunct w:val="0"/>
        <w:bidi w:val="0"/>
        <w:spacing w:line="360" w:lineRule="exact"/>
        <w:ind w:firstLine="422" w:firstLineChars="200"/>
        <w:jc w:val="both"/>
        <w:rPr>
          <w:rFonts w:hint="default"/>
          <w:lang w:val="en-US"/>
        </w:rPr>
      </w:pPr>
      <w:r>
        <w:rPr>
          <w:rFonts w:hint="eastAsia" w:ascii="宋体" w:hAnsi="宋体" w:cs="宋体"/>
          <w:b/>
          <w:bCs/>
          <w:color w:val="auto"/>
          <w:sz w:val="21"/>
          <w:szCs w:val="21"/>
          <w:highlight w:val="none"/>
          <w:lang w:val="en-US" w:eastAsia="zh-CN"/>
        </w:rPr>
        <w:t>须按“附件2参选文件格式”要求提供。</w:t>
      </w:r>
    </w:p>
    <w:p w14:paraId="2AED9136">
      <w:pPr>
        <w:keepNext w:val="0"/>
        <w:keepLines w:val="0"/>
        <w:pageBreakBefore w:val="0"/>
        <w:numPr>
          <w:ilvl w:val="0"/>
          <w:numId w:val="0"/>
        </w:numPr>
        <w:kinsoku/>
        <w:wordWrap/>
        <w:overflowPunct/>
        <w:topLinePunct w:val="0"/>
        <w:bidi w:val="0"/>
        <w:spacing w:line="360" w:lineRule="exact"/>
        <w:ind w:leftChars="200"/>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二）</w:t>
      </w:r>
      <w:r>
        <w:rPr>
          <w:rFonts w:hint="eastAsia" w:ascii="宋体" w:hAnsi="宋体" w:eastAsia="宋体" w:cs="宋体"/>
          <w:color w:val="auto"/>
          <w:sz w:val="21"/>
          <w:szCs w:val="21"/>
          <w:highlight w:val="none"/>
        </w:rPr>
        <w:t>供应商提交的全部材料都必须</w:t>
      </w:r>
      <w:r>
        <w:rPr>
          <w:rFonts w:hint="eastAsia" w:ascii="宋体" w:hAnsi="宋体" w:eastAsia="宋体" w:cs="宋体"/>
          <w:b/>
          <w:bCs/>
          <w:color w:val="auto"/>
          <w:sz w:val="21"/>
          <w:szCs w:val="21"/>
          <w:highlight w:val="none"/>
        </w:rPr>
        <w:t>密封</w:t>
      </w:r>
      <w:r>
        <w:rPr>
          <w:rFonts w:hint="eastAsia" w:ascii="宋体" w:hAnsi="宋体" w:eastAsia="宋体" w:cs="宋体"/>
          <w:color w:val="auto"/>
          <w:sz w:val="21"/>
          <w:szCs w:val="21"/>
          <w:highlight w:val="none"/>
        </w:rPr>
        <w:t>，具体包括：</w:t>
      </w:r>
    </w:p>
    <w:p w14:paraId="07D817EE">
      <w:pPr>
        <w:keepNext w:val="0"/>
        <w:keepLines w:val="0"/>
        <w:pageBreakBefore w:val="0"/>
        <w:widowControl w:val="0"/>
        <w:kinsoku/>
        <w:overflowPunct/>
        <w:topLinePunct w:val="0"/>
        <w:bidi w:val="0"/>
        <w:spacing w:line="360" w:lineRule="exact"/>
        <w:ind w:left="0" w:leftChars="0"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1.纸质</w:t>
      </w:r>
      <w:r>
        <w:rPr>
          <w:rFonts w:hint="eastAsia" w:ascii="宋体" w:hAnsi="宋体" w:eastAsia="宋体" w:cs="宋体"/>
          <w:color w:val="auto"/>
          <w:sz w:val="21"/>
          <w:szCs w:val="21"/>
          <w:highlight w:val="none"/>
        </w:rPr>
        <w:t>响应文件一式</w:t>
      </w: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rPr>
        <w:t>份</w:t>
      </w:r>
      <w:r>
        <w:rPr>
          <w:rFonts w:hint="eastAsia" w:ascii="宋体" w:hAnsi="宋体" w:eastAsia="宋体" w:cs="宋体"/>
          <w:b/>
          <w:bCs/>
          <w:color w:val="auto"/>
          <w:sz w:val="21"/>
          <w:szCs w:val="21"/>
          <w:highlight w:val="none"/>
        </w:rPr>
        <w:t>（正本1份</w:t>
      </w:r>
      <w:r>
        <w:rPr>
          <w:rFonts w:hint="eastAsia" w:ascii="宋体" w:hAnsi="宋体" w:cs="宋体"/>
          <w:b/>
          <w:bCs/>
          <w:color w:val="auto"/>
          <w:sz w:val="21"/>
          <w:szCs w:val="21"/>
          <w:highlight w:val="none"/>
          <w:lang w:val="en-US" w:eastAsia="zh-CN"/>
        </w:rPr>
        <w:t>和</w:t>
      </w:r>
      <w:r>
        <w:rPr>
          <w:rFonts w:hint="eastAsia" w:ascii="宋体" w:hAnsi="宋体" w:eastAsia="宋体" w:cs="宋体"/>
          <w:b/>
          <w:bCs/>
          <w:color w:val="auto"/>
          <w:sz w:val="21"/>
          <w:szCs w:val="21"/>
          <w:highlight w:val="none"/>
        </w:rPr>
        <w:t>副本</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份</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正本及所有副本的封面均须</w:t>
      </w:r>
      <w:r>
        <w:rPr>
          <w:rFonts w:hint="eastAsia" w:ascii="宋体" w:hAnsi="宋体" w:eastAsia="宋体" w:cs="宋体"/>
          <w:b/>
          <w:bCs/>
          <w:color w:val="auto"/>
          <w:sz w:val="21"/>
          <w:szCs w:val="21"/>
          <w:highlight w:val="none"/>
        </w:rPr>
        <w:t>由供应商加盖供应商公章</w:t>
      </w:r>
      <w:r>
        <w:rPr>
          <w:rFonts w:hint="eastAsia" w:ascii="宋体" w:hAnsi="宋体" w:cs="宋体"/>
          <w:b/>
          <w:bCs/>
          <w:color w:val="auto"/>
          <w:sz w:val="21"/>
          <w:szCs w:val="21"/>
          <w:highlight w:val="none"/>
          <w:lang w:val="en-US" w:eastAsia="zh-CN"/>
        </w:rPr>
        <w:t>和加盖骑缝章</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，在每一份响应文件上要明确注明“正本”或“副本”字样，一旦正本和副本内容有差异，以正本为准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每份响应文件应使用A4规格纸张，正副本均须用不褪色墨水书写或打印</w:t>
      </w:r>
      <w:r>
        <w:rPr>
          <w:rFonts w:hint="eastAsia" w:ascii="宋体" w:hAnsi="宋体" w:cs="宋体"/>
          <w:color w:val="auto"/>
          <w:sz w:val="21"/>
          <w:szCs w:val="21"/>
          <w:highlight w:val="none"/>
          <w:lang w:eastAsia="zh-CN"/>
        </w:rPr>
        <w:t>，</w:t>
      </w:r>
      <w:r>
        <w:rPr>
          <w:rFonts w:hint="eastAsia" w:ascii="宋体" w:hAnsi="宋体" w:eastAsia="宋体" w:cs="宋体"/>
          <w:b/>
          <w:bCs/>
          <w:color w:val="auto"/>
          <w:sz w:val="21"/>
          <w:szCs w:val="21"/>
          <w:highlight w:val="none"/>
        </w:rPr>
        <w:t>分别装订成册</w:t>
      </w:r>
      <w:r>
        <w:rPr>
          <w:rFonts w:hint="eastAsia" w:ascii="宋体" w:hAnsi="宋体" w:eastAsia="宋体" w:cs="宋体"/>
          <w:color w:val="auto"/>
          <w:sz w:val="21"/>
          <w:szCs w:val="21"/>
          <w:highlight w:val="none"/>
          <w:lang w:eastAsia="zh-CN"/>
        </w:rPr>
        <w:t>。</w:t>
      </w:r>
    </w:p>
    <w:p w14:paraId="3670D955">
      <w:pPr>
        <w:keepNext w:val="0"/>
        <w:keepLines w:val="0"/>
        <w:pageBreakBefore w:val="0"/>
        <w:numPr>
          <w:ilvl w:val="0"/>
          <w:numId w:val="0"/>
        </w:numPr>
        <w:kinsoku/>
        <w:wordWrap/>
        <w:overflowPunct/>
        <w:topLinePunct w:val="0"/>
        <w:bidi w:val="0"/>
        <w:spacing w:line="360" w:lineRule="exact"/>
        <w:ind w:firstLine="420" w:firstLineChars="200"/>
        <w:jc w:val="both"/>
        <w:rPr>
          <w:rFonts w:hint="default" w:eastAsia="宋体"/>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b w:val="0"/>
          <w:bCs w:val="0"/>
          <w:color w:val="auto"/>
          <w:sz w:val="21"/>
          <w:szCs w:val="21"/>
          <w:highlight w:val="none"/>
        </w:rPr>
        <w:t>正本</w:t>
      </w:r>
      <w:r>
        <w:rPr>
          <w:rFonts w:hint="eastAsia" w:ascii="宋体" w:hAnsi="宋体" w:cs="宋体"/>
          <w:b w:val="0"/>
          <w:bCs w:val="0"/>
          <w:color w:val="auto"/>
          <w:sz w:val="21"/>
          <w:szCs w:val="21"/>
          <w:highlight w:val="none"/>
          <w:lang w:val="en-US" w:eastAsia="zh-CN"/>
        </w:rPr>
        <w:t>和</w:t>
      </w:r>
      <w:r>
        <w:rPr>
          <w:rFonts w:hint="eastAsia" w:ascii="宋体" w:hAnsi="宋体" w:eastAsia="宋体" w:cs="宋体"/>
          <w:b w:val="0"/>
          <w:bCs w:val="0"/>
          <w:color w:val="auto"/>
          <w:sz w:val="21"/>
          <w:szCs w:val="21"/>
          <w:highlight w:val="none"/>
        </w:rPr>
        <w:t>副本一起</w:t>
      </w:r>
      <w:r>
        <w:rPr>
          <w:rFonts w:hint="eastAsia" w:ascii="宋体" w:hAnsi="宋体" w:cs="宋体"/>
          <w:b/>
          <w:bCs/>
          <w:color w:val="auto"/>
          <w:sz w:val="21"/>
          <w:szCs w:val="21"/>
          <w:highlight w:val="none"/>
          <w:lang w:val="en-US" w:eastAsia="zh-CN"/>
        </w:rPr>
        <w:t>密封</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封装的外包装须注明</w:t>
      </w:r>
      <w:r>
        <w:rPr>
          <w:rFonts w:hint="eastAsia" w:ascii="宋体" w:hAnsi="宋体" w:cs="宋体"/>
          <w:b/>
          <w:bCs/>
          <w:color w:val="auto"/>
          <w:sz w:val="21"/>
          <w:szCs w:val="21"/>
          <w:highlight w:val="none"/>
          <w:lang w:val="en-US" w:eastAsia="zh-CN"/>
        </w:rPr>
        <w:t>参选的采购项目名称、参选供应商并加盖供应商公章</w:t>
      </w:r>
      <w:r>
        <w:rPr>
          <w:rFonts w:hint="eastAsia" w:ascii="宋体" w:hAnsi="宋体" w:cs="宋体"/>
          <w:b w:val="0"/>
          <w:bCs w:val="0"/>
          <w:color w:val="auto"/>
          <w:sz w:val="21"/>
          <w:szCs w:val="21"/>
          <w:highlight w:val="none"/>
          <w:lang w:val="en-US" w:eastAsia="zh-CN"/>
        </w:rPr>
        <w:t>。</w:t>
      </w:r>
    </w:p>
    <w:p w14:paraId="3ECB6B05">
      <w:pPr>
        <w:keepNext w:val="0"/>
        <w:keepLines w:val="0"/>
        <w:pageBreakBefore w:val="0"/>
        <w:numPr>
          <w:ilvl w:val="0"/>
          <w:numId w:val="0"/>
        </w:numPr>
        <w:kinsoku/>
        <w:wordWrap/>
        <w:overflowPunct/>
        <w:topLinePunct w:val="0"/>
        <w:bidi w:val="0"/>
        <w:spacing w:line="360" w:lineRule="exact"/>
        <w:ind w:firstLine="420" w:firstLineChars="200"/>
        <w:jc w:val="both"/>
        <w:rPr>
          <w:rFonts w:hint="eastAsia" w:ascii="宋体" w:hAnsi="宋体" w:eastAsia="宋体" w:cs="宋体"/>
          <w:b w:val="0"/>
          <w:bCs w:val="0"/>
          <w:color w:val="auto"/>
          <w:sz w:val="21"/>
          <w:szCs w:val="21"/>
          <w:highlight w:val="none"/>
          <w:u w:val="none"/>
        </w:rPr>
      </w:pPr>
      <w:r>
        <w:rPr>
          <w:rFonts w:hint="eastAsia" w:ascii="宋体" w:hAnsi="宋体" w:cs="宋体"/>
          <w:color w:val="auto"/>
          <w:sz w:val="21"/>
          <w:szCs w:val="21"/>
          <w:highlight w:val="none"/>
          <w:lang w:val="en-US" w:eastAsia="zh-CN"/>
        </w:rPr>
        <w:t>3.</w:t>
      </w:r>
      <w:r>
        <w:rPr>
          <w:rFonts w:hint="eastAsia" w:ascii="宋体" w:hAnsi="宋体" w:eastAsia="宋体" w:cs="宋体"/>
          <w:b w:val="0"/>
          <w:bCs w:val="0"/>
          <w:color w:val="auto"/>
          <w:sz w:val="21"/>
          <w:szCs w:val="21"/>
          <w:highlight w:val="none"/>
          <w:u w:val="none"/>
        </w:rPr>
        <w:t>所有响应文件应在</w:t>
      </w:r>
      <w:r>
        <w:rPr>
          <w:rFonts w:hint="eastAsia" w:ascii="宋体" w:hAnsi="宋体" w:eastAsia="宋体" w:cs="宋体"/>
          <w:b w:val="0"/>
          <w:bCs w:val="0"/>
          <w:color w:val="auto"/>
          <w:sz w:val="21"/>
          <w:szCs w:val="21"/>
          <w:highlight w:val="none"/>
          <w:u w:val="none"/>
          <w:lang w:eastAsia="zh-CN"/>
        </w:rPr>
        <w:t>比选公告</w:t>
      </w:r>
      <w:r>
        <w:rPr>
          <w:rFonts w:hint="eastAsia" w:ascii="宋体" w:hAnsi="宋体" w:eastAsia="宋体" w:cs="宋体"/>
          <w:b w:val="0"/>
          <w:bCs w:val="0"/>
          <w:color w:val="auto"/>
          <w:sz w:val="21"/>
          <w:szCs w:val="21"/>
          <w:highlight w:val="none"/>
          <w:u w:val="none"/>
        </w:rPr>
        <w:t>中规定的截止时间前递交到</w:t>
      </w:r>
      <w:r>
        <w:rPr>
          <w:rFonts w:hint="eastAsia" w:ascii="宋体" w:hAnsi="宋体" w:cs="宋体"/>
          <w:b w:val="0"/>
          <w:bCs w:val="0"/>
          <w:color w:val="auto"/>
          <w:sz w:val="21"/>
          <w:szCs w:val="21"/>
          <w:highlight w:val="none"/>
          <w:u w:val="none"/>
          <w:lang w:val="en-US" w:eastAsia="zh-CN"/>
        </w:rPr>
        <w:t>所要求的地点</w:t>
      </w:r>
      <w:r>
        <w:rPr>
          <w:rFonts w:hint="eastAsia" w:ascii="宋体" w:hAnsi="宋体" w:eastAsia="宋体" w:cs="宋体"/>
          <w:b w:val="0"/>
          <w:bCs w:val="0"/>
          <w:color w:val="auto"/>
          <w:sz w:val="21"/>
          <w:szCs w:val="21"/>
          <w:highlight w:val="none"/>
          <w:u w:val="none"/>
        </w:rPr>
        <w:t>，任何迟于递交截止时间的响应文件将被拒绝，本次</w:t>
      </w:r>
      <w:r>
        <w:rPr>
          <w:rFonts w:hint="eastAsia" w:ascii="宋体" w:hAnsi="宋体" w:eastAsia="宋体" w:cs="宋体"/>
          <w:b w:val="0"/>
          <w:bCs w:val="0"/>
          <w:color w:val="auto"/>
          <w:sz w:val="21"/>
          <w:szCs w:val="21"/>
          <w:highlight w:val="none"/>
          <w:u w:val="none"/>
          <w:lang w:eastAsia="zh-CN"/>
        </w:rPr>
        <w:t>比选</w:t>
      </w:r>
      <w:r>
        <w:rPr>
          <w:rFonts w:hint="eastAsia" w:ascii="宋体" w:hAnsi="宋体" w:eastAsia="宋体" w:cs="宋体"/>
          <w:b w:val="0"/>
          <w:bCs w:val="0"/>
          <w:color w:val="auto"/>
          <w:sz w:val="21"/>
          <w:szCs w:val="21"/>
          <w:highlight w:val="none"/>
          <w:u w:val="none"/>
        </w:rPr>
        <w:t>不接受电报、电话、传真方式报价。</w:t>
      </w:r>
    </w:p>
    <w:p w14:paraId="44FC2B18">
      <w:pPr>
        <w:keepNext w:val="0"/>
        <w:keepLines w:val="0"/>
        <w:pageBreakBefore w:val="0"/>
        <w:numPr>
          <w:ilvl w:val="0"/>
          <w:numId w:val="0"/>
        </w:numPr>
        <w:tabs>
          <w:tab w:val="left" w:pos="424"/>
        </w:tabs>
        <w:kinsoku/>
        <w:overflowPunct/>
        <w:topLinePunct w:val="0"/>
        <w:autoSpaceDE/>
        <w:autoSpaceDN/>
        <w:bidi w:val="0"/>
        <w:spacing w:line="360" w:lineRule="exact"/>
        <w:ind w:leftChars="0" w:firstLine="422" w:firstLineChars="200"/>
        <w:textAlignment w:val="auto"/>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九</w:t>
      </w:r>
      <w:r>
        <w:rPr>
          <w:rFonts w:hint="eastAsia" w:ascii="宋体" w:hAnsi="宋体" w:eastAsia="宋体" w:cs="宋体"/>
          <w:b/>
          <w:bCs/>
          <w:sz w:val="21"/>
          <w:szCs w:val="21"/>
          <w:lang w:val="en-US" w:eastAsia="zh-CN"/>
        </w:rPr>
        <w:t>、评选方法</w:t>
      </w:r>
    </w:p>
    <w:p w14:paraId="6689FEA4">
      <w:pPr>
        <w:keepNext w:val="0"/>
        <w:keepLines w:val="0"/>
        <w:pageBreakBefore w:val="0"/>
        <w:kinsoku/>
        <w:overflowPunct/>
        <w:topLinePunct w:val="0"/>
        <w:autoSpaceDE/>
        <w:autoSpaceDN/>
        <w:bidi w:val="0"/>
        <w:spacing w:line="360" w:lineRule="exact"/>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eastAsia="zh-CN"/>
        </w:rPr>
        <w:t>本次比选的评选方式为综合评分法。本项目确定一名中选人，</w:t>
      </w:r>
      <w:r>
        <w:rPr>
          <w:rFonts w:hint="eastAsia" w:ascii="宋体" w:hAnsi="宋体" w:cs="宋体"/>
          <w:bCs/>
          <w:color w:val="auto"/>
          <w:sz w:val="21"/>
          <w:szCs w:val="21"/>
          <w:highlight w:val="none"/>
          <w:lang w:eastAsia="zh-CN"/>
        </w:rPr>
        <w:t>评选小组</w:t>
      </w:r>
      <w:r>
        <w:rPr>
          <w:rFonts w:hint="eastAsia" w:ascii="宋体" w:hAnsi="宋体" w:eastAsia="宋体" w:cs="宋体"/>
          <w:bCs/>
          <w:color w:val="auto"/>
          <w:sz w:val="21"/>
          <w:szCs w:val="21"/>
          <w:highlight w:val="none"/>
          <w:lang w:eastAsia="zh-CN"/>
        </w:rPr>
        <w:t>将各有效供应商按其综合得分由高到低顺序排序，排名第一的供应商为中选人。如出现供应商综合得分相同的，按报价得分由高到低排列，报价得分相同的按技术得分由高到低排列，技术得分相同的，按商务得分由高到低排列，所有分值均相同的，名次由</w:t>
      </w:r>
      <w:r>
        <w:rPr>
          <w:rFonts w:hint="eastAsia" w:ascii="宋体" w:hAnsi="宋体" w:cs="宋体"/>
          <w:bCs/>
          <w:color w:val="auto"/>
          <w:sz w:val="21"/>
          <w:szCs w:val="21"/>
          <w:highlight w:val="none"/>
          <w:lang w:eastAsia="zh-CN"/>
        </w:rPr>
        <w:t>评选小组</w:t>
      </w:r>
      <w:r>
        <w:rPr>
          <w:rFonts w:hint="eastAsia" w:ascii="宋体" w:hAnsi="宋体" w:eastAsia="宋体" w:cs="宋体"/>
          <w:bCs/>
          <w:color w:val="auto"/>
          <w:sz w:val="21"/>
          <w:szCs w:val="21"/>
          <w:highlight w:val="none"/>
          <w:lang w:eastAsia="zh-CN"/>
        </w:rPr>
        <w:t>投票确定（少数服从多数）</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lang w:eastAsia="zh-CN"/>
        </w:rPr>
        <w:t>当提交响应文件的供应商＜</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家或通过</w:t>
      </w:r>
      <w:r>
        <w:rPr>
          <w:rFonts w:hint="eastAsia" w:ascii="宋体" w:hAnsi="宋体" w:cs="宋体"/>
          <w:bCs/>
          <w:color w:val="auto"/>
          <w:sz w:val="21"/>
          <w:szCs w:val="21"/>
          <w:highlight w:val="none"/>
          <w:lang w:val="en-US" w:eastAsia="zh-CN"/>
        </w:rPr>
        <w:t>资格性、</w:t>
      </w:r>
      <w:r>
        <w:rPr>
          <w:rFonts w:hint="eastAsia" w:ascii="宋体" w:hAnsi="宋体" w:eastAsia="宋体" w:cs="宋体"/>
          <w:bCs/>
          <w:color w:val="auto"/>
          <w:sz w:val="21"/>
          <w:szCs w:val="21"/>
          <w:highlight w:val="none"/>
          <w:lang w:val="en-US" w:eastAsia="zh-CN"/>
        </w:rPr>
        <w:t>符合性审查的供应商＜</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家的，本项目按废标处理。</w:t>
      </w:r>
    </w:p>
    <w:p w14:paraId="47AF8A69">
      <w:pPr>
        <w:pStyle w:val="9"/>
        <w:keepNext w:val="0"/>
        <w:keepLines w:val="0"/>
        <w:pageBreakBefore w:val="0"/>
        <w:numPr>
          <w:ilvl w:val="0"/>
          <w:numId w:val="4"/>
        </w:numPr>
        <w:kinsoku/>
        <w:overflowPunct/>
        <w:topLinePunct w:val="0"/>
        <w:bidi w:val="0"/>
        <w:spacing w:line="360" w:lineRule="exact"/>
        <w:ind w:left="0" w:leftChars="0"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第一阶段：</w:t>
      </w:r>
      <w:r>
        <w:rPr>
          <w:rFonts w:hint="eastAsia" w:ascii="宋体" w:hAnsi="宋体" w:cs="宋体"/>
          <w:b/>
          <w:bCs/>
          <w:color w:val="auto"/>
          <w:kern w:val="0"/>
          <w:sz w:val="21"/>
          <w:szCs w:val="21"/>
          <w:highlight w:val="none"/>
          <w:lang w:val="en-US" w:eastAsia="zh-CN" w:bidi="ar-SA"/>
        </w:rPr>
        <w:t>资格性评审</w:t>
      </w:r>
    </w:p>
    <w:p w14:paraId="3C5B2DB9">
      <w:pPr>
        <w:keepNext w:val="0"/>
        <w:keepLines w:val="0"/>
        <w:pageBreakBefore w:val="0"/>
        <w:kinsoku/>
        <w:overflowPunct/>
        <w:topLinePunct w:val="0"/>
        <w:autoSpaceDE/>
        <w:autoSpaceDN/>
        <w:bidi w:val="0"/>
        <w:spacing w:line="360" w:lineRule="exact"/>
        <w:ind w:left="0" w:leftChars="0" w:firstLine="420" w:firstLineChars="200"/>
        <w:textAlignment w:val="auto"/>
        <w:rPr>
          <w:rFonts w:hint="eastAsia"/>
          <w:lang w:val="en-US" w:eastAsia="zh-CN"/>
        </w:rPr>
      </w:pPr>
      <w:r>
        <w:rPr>
          <w:rFonts w:hint="eastAsia" w:ascii="宋体" w:hAnsi="宋体" w:cs="宋体"/>
          <w:bCs/>
          <w:color w:val="auto"/>
          <w:sz w:val="21"/>
          <w:szCs w:val="21"/>
          <w:highlight w:val="none"/>
          <w:lang w:eastAsia="zh-CN"/>
        </w:rPr>
        <w:t>评选小组</w:t>
      </w:r>
      <w:r>
        <w:rPr>
          <w:rFonts w:hint="eastAsia" w:ascii="宋体" w:hAnsi="宋体" w:eastAsia="宋体" w:cs="宋体"/>
          <w:bCs/>
          <w:color w:val="auto"/>
          <w:sz w:val="21"/>
          <w:szCs w:val="21"/>
          <w:highlight w:val="none"/>
          <w:lang w:eastAsia="zh-CN"/>
        </w:rPr>
        <w:t>根据比选公告对</w:t>
      </w:r>
      <w:r>
        <w:rPr>
          <w:rFonts w:hint="eastAsia" w:ascii="宋体" w:hAnsi="宋体" w:cs="宋体"/>
          <w:bCs/>
          <w:color w:val="auto"/>
          <w:sz w:val="21"/>
          <w:szCs w:val="21"/>
          <w:highlight w:val="none"/>
          <w:lang w:val="en-US" w:eastAsia="zh-CN"/>
        </w:rPr>
        <w:t>参选供应商</w:t>
      </w:r>
      <w:r>
        <w:rPr>
          <w:rFonts w:hint="eastAsia" w:ascii="宋体" w:hAnsi="宋体" w:eastAsia="宋体" w:cs="宋体"/>
          <w:bCs/>
          <w:color w:val="auto"/>
          <w:sz w:val="21"/>
          <w:szCs w:val="21"/>
          <w:highlight w:val="none"/>
          <w:lang w:eastAsia="zh-CN"/>
        </w:rPr>
        <w:t>进行</w:t>
      </w:r>
      <w:r>
        <w:rPr>
          <w:rFonts w:hint="eastAsia" w:ascii="宋体" w:hAnsi="宋体" w:cs="宋体"/>
          <w:bCs/>
          <w:color w:val="auto"/>
          <w:sz w:val="21"/>
          <w:szCs w:val="21"/>
          <w:highlight w:val="none"/>
          <w:lang w:val="en-US" w:eastAsia="zh-CN"/>
        </w:rPr>
        <w:t>资格性</w:t>
      </w:r>
      <w:r>
        <w:rPr>
          <w:rFonts w:hint="eastAsia" w:ascii="宋体" w:hAnsi="宋体" w:eastAsia="宋体" w:cs="宋体"/>
          <w:bCs/>
          <w:color w:val="auto"/>
          <w:sz w:val="21"/>
          <w:szCs w:val="21"/>
          <w:highlight w:val="none"/>
          <w:lang w:eastAsia="zh-CN"/>
        </w:rPr>
        <w:t>审查</w:t>
      </w:r>
      <w:r>
        <w:rPr>
          <w:rFonts w:hint="eastAsia" w:ascii="宋体" w:hAnsi="宋体" w:cs="宋体"/>
          <w:bCs/>
          <w:color w:val="auto"/>
          <w:sz w:val="21"/>
          <w:szCs w:val="21"/>
          <w:highlight w:val="none"/>
          <w:lang w:eastAsia="zh-CN"/>
        </w:rPr>
        <w:t>。</w:t>
      </w:r>
    </w:p>
    <w:p w14:paraId="54B482DB">
      <w:pPr>
        <w:pStyle w:val="9"/>
        <w:keepNext w:val="0"/>
        <w:keepLines w:val="0"/>
        <w:pageBreakBefore w:val="0"/>
        <w:numPr>
          <w:ilvl w:val="0"/>
          <w:numId w:val="4"/>
        </w:numPr>
        <w:kinsoku/>
        <w:overflowPunct/>
        <w:topLinePunct w:val="0"/>
        <w:bidi w:val="0"/>
        <w:spacing w:line="360" w:lineRule="exact"/>
        <w:ind w:left="0" w:leftChars="0"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cs="宋体"/>
          <w:b/>
          <w:bCs/>
          <w:color w:val="auto"/>
          <w:kern w:val="0"/>
          <w:sz w:val="21"/>
          <w:szCs w:val="21"/>
          <w:highlight w:val="none"/>
          <w:lang w:val="en-US" w:eastAsia="zh-CN" w:bidi="ar-SA"/>
        </w:rPr>
        <w:t>第二阶段：</w:t>
      </w:r>
      <w:r>
        <w:rPr>
          <w:rFonts w:hint="eastAsia" w:ascii="宋体" w:hAnsi="宋体" w:eastAsia="宋体" w:cs="宋体"/>
          <w:b/>
          <w:bCs/>
          <w:color w:val="auto"/>
          <w:kern w:val="0"/>
          <w:sz w:val="21"/>
          <w:szCs w:val="21"/>
          <w:highlight w:val="none"/>
          <w:lang w:val="en-US" w:eastAsia="zh-CN" w:bidi="ar-SA"/>
        </w:rPr>
        <w:t>符合性评审</w:t>
      </w:r>
    </w:p>
    <w:p w14:paraId="6A0A519B">
      <w:pPr>
        <w:keepNext w:val="0"/>
        <w:keepLines w:val="0"/>
        <w:pageBreakBefore w:val="0"/>
        <w:kinsoku/>
        <w:overflowPunct/>
        <w:topLinePunct w:val="0"/>
        <w:autoSpaceDE/>
        <w:autoSpaceDN/>
        <w:bidi w:val="0"/>
        <w:spacing w:line="360" w:lineRule="exact"/>
        <w:ind w:left="0" w:leftChars="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eastAsia="zh-CN"/>
        </w:rPr>
        <w:t>评选小组</w:t>
      </w:r>
      <w:r>
        <w:rPr>
          <w:rFonts w:hint="eastAsia" w:ascii="宋体" w:hAnsi="宋体" w:eastAsia="宋体" w:cs="宋体"/>
          <w:bCs/>
          <w:color w:val="auto"/>
          <w:sz w:val="21"/>
          <w:szCs w:val="21"/>
          <w:highlight w:val="none"/>
          <w:lang w:eastAsia="zh-CN"/>
        </w:rPr>
        <w:t>根据比选公告对响应文件进行符合性审查</w:t>
      </w:r>
      <w:r>
        <w:rPr>
          <w:rFonts w:hint="eastAsia" w:ascii="宋体" w:hAnsi="宋体" w:eastAsia="宋体" w:cs="宋体"/>
          <w:color w:val="auto"/>
          <w:spacing w:val="0"/>
          <w:kern w:val="2"/>
          <w:sz w:val="21"/>
          <w:szCs w:val="21"/>
        </w:rPr>
        <w:t>：</w:t>
      </w:r>
    </w:p>
    <w:p w14:paraId="3B40DD4C">
      <w:pPr>
        <w:keepNext w:val="0"/>
        <w:keepLines w:val="0"/>
        <w:pageBreakBefore w:val="0"/>
        <w:kinsoku/>
        <w:overflowPunct/>
        <w:topLinePunct w:val="0"/>
        <w:autoSpaceDE/>
        <w:autoSpaceDN/>
        <w:bidi w:val="0"/>
        <w:spacing w:line="360" w:lineRule="exact"/>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r>
        <w:rPr>
          <w:rFonts w:hint="eastAsia" w:ascii="宋体" w:hAnsi="宋体" w:cs="宋体"/>
          <w:bCs/>
          <w:color w:val="auto"/>
          <w:sz w:val="21"/>
          <w:szCs w:val="21"/>
          <w:highlight w:val="none"/>
          <w:lang w:val="en-US" w:eastAsia="zh-CN"/>
        </w:rPr>
        <w:t>参选文件及报价表有效期符合采购文件要求</w:t>
      </w:r>
      <w:r>
        <w:rPr>
          <w:rFonts w:hint="eastAsia" w:ascii="宋体" w:hAnsi="宋体" w:eastAsia="宋体" w:cs="宋体"/>
          <w:bCs/>
          <w:color w:val="auto"/>
          <w:sz w:val="21"/>
          <w:szCs w:val="21"/>
          <w:highlight w:val="none"/>
          <w:lang w:val="en-US" w:eastAsia="zh-CN"/>
        </w:rPr>
        <w:t>；</w:t>
      </w:r>
    </w:p>
    <w:p w14:paraId="69B7B1B5">
      <w:pPr>
        <w:keepNext w:val="0"/>
        <w:keepLines w:val="0"/>
        <w:pageBreakBefore w:val="0"/>
        <w:kinsoku/>
        <w:overflowPunct/>
        <w:topLinePunct w:val="0"/>
        <w:autoSpaceDE/>
        <w:autoSpaceDN/>
        <w:bidi w:val="0"/>
        <w:spacing w:line="360" w:lineRule="exact"/>
        <w:ind w:left="0" w:leftChars="0"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w:t>
      </w:r>
      <w:r>
        <w:rPr>
          <w:rFonts w:hint="eastAsia" w:ascii="宋体" w:hAnsi="宋体"/>
          <w:color w:val="auto"/>
          <w:highlight w:val="none"/>
          <w:lang w:bidi="ar"/>
        </w:rPr>
        <w:t>已提交法定代表人证明书和授权委托书（供应商代表为法定代表人时则不需要授权委托书）</w:t>
      </w:r>
      <w:r>
        <w:rPr>
          <w:rFonts w:hint="eastAsia" w:ascii="宋体" w:hAnsi="宋体"/>
          <w:color w:val="auto"/>
          <w:highlight w:val="none"/>
          <w:lang w:eastAsia="zh-CN" w:bidi="ar"/>
        </w:rPr>
        <w:t>；</w:t>
      </w:r>
    </w:p>
    <w:p w14:paraId="38E583A7">
      <w:pPr>
        <w:keepNext w:val="0"/>
        <w:keepLines w:val="0"/>
        <w:pageBreakBefore w:val="0"/>
        <w:kinsoku/>
        <w:overflowPunct/>
        <w:topLinePunct w:val="0"/>
        <w:autoSpaceDE/>
        <w:autoSpaceDN/>
        <w:bidi w:val="0"/>
        <w:spacing w:line="360" w:lineRule="exact"/>
        <w:ind w:firstLine="420" w:firstLineChars="200"/>
        <w:textAlignment w:val="auto"/>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3.参选文件主要资料齐全，签字盖章</w:t>
      </w:r>
      <w:r>
        <w:rPr>
          <w:rFonts w:hint="eastAsia" w:ascii="宋体" w:hAnsi="宋体" w:eastAsia="宋体" w:cs="宋体"/>
          <w:bCs/>
          <w:color w:val="auto"/>
          <w:sz w:val="21"/>
          <w:szCs w:val="21"/>
          <w:highlight w:val="none"/>
          <w:lang w:val="en-US" w:eastAsia="zh-CN"/>
        </w:rPr>
        <w:t>符合</w:t>
      </w:r>
      <w:r>
        <w:rPr>
          <w:rFonts w:hint="eastAsia" w:ascii="宋体" w:hAnsi="宋体" w:cs="宋体"/>
          <w:b/>
          <w:bCs w:val="0"/>
          <w:color w:val="auto"/>
          <w:sz w:val="21"/>
          <w:szCs w:val="21"/>
          <w:highlight w:val="none"/>
          <w:lang w:val="en-US" w:eastAsia="zh-CN"/>
        </w:rPr>
        <w:t>“八、响应文件内容要求”</w:t>
      </w:r>
      <w:r>
        <w:rPr>
          <w:rFonts w:hint="eastAsia" w:ascii="宋体" w:hAnsi="宋体" w:cs="宋体"/>
          <w:bCs/>
          <w:color w:val="auto"/>
          <w:sz w:val="21"/>
          <w:szCs w:val="21"/>
          <w:highlight w:val="none"/>
          <w:lang w:val="en-US" w:eastAsia="zh-CN"/>
        </w:rPr>
        <w:t>；</w:t>
      </w:r>
    </w:p>
    <w:p w14:paraId="28BB1480">
      <w:pPr>
        <w:keepNext w:val="0"/>
        <w:keepLines w:val="0"/>
        <w:pageBreakBefore w:val="0"/>
        <w:kinsoku/>
        <w:overflowPunct/>
        <w:topLinePunct w:val="0"/>
        <w:autoSpaceDE/>
        <w:autoSpaceDN/>
        <w:bidi w:val="0"/>
        <w:spacing w:line="360" w:lineRule="exact"/>
        <w:ind w:firstLine="420" w:firstLineChars="200"/>
        <w:textAlignment w:val="auto"/>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4.按本公告规定格式填写，无内容不全或关键字迹模糊、无法辨认；</w:t>
      </w:r>
    </w:p>
    <w:p w14:paraId="65963CE2">
      <w:pPr>
        <w:keepNext w:val="0"/>
        <w:keepLines w:val="0"/>
        <w:pageBreakBefore w:val="0"/>
        <w:kinsoku/>
        <w:overflowPunct/>
        <w:topLinePunct w:val="0"/>
        <w:autoSpaceDE/>
        <w:autoSpaceDN/>
        <w:bidi w:val="0"/>
        <w:spacing w:line="360" w:lineRule="exact"/>
        <w:ind w:firstLine="420" w:firstLineChars="200"/>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5.满足采购</w:t>
      </w:r>
      <w:r>
        <w:rPr>
          <w:rFonts w:hint="default" w:ascii="宋体" w:hAnsi="宋体" w:eastAsia="宋体" w:cs="宋体"/>
          <w:bCs/>
          <w:color w:val="auto"/>
          <w:sz w:val="21"/>
          <w:szCs w:val="21"/>
          <w:highlight w:val="none"/>
          <w:lang w:val="en-US" w:eastAsia="zh-CN"/>
        </w:rPr>
        <w:t>文件中所有带“★”标识的实质性条款</w:t>
      </w:r>
      <w:r>
        <w:rPr>
          <w:rFonts w:hint="eastAsia" w:ascii="宋体" w:hAnsi="宋体" w:eastAsia="宋体" w:cs="宋体"/>
          <w:bCs/>
          <w:color w:val="auto"/>
          <w:sz w:val="21"/>
          <w:szCs w:val="21"/>
          <w:highlight w:val="none"/>
          <w:lang w:val="en-US" w:eastAsia="zh-CN"/>
        </w:rPr>
        <w:t>（如有）；</w:t>
      </w:r>
    </w:p>
    <w:p w14:paraId="466DE528">
      <w:pPr>
        <w:keepNext w:val="0"/>
        <w:keepLines w:val="0"/>
        <w:pageBreakBefore w:val="0"/>
        <w:kinsoku/>
        <w:overflowPunct/>
        <w:topLinePunct w:val="0"/>
        <w:autoSpaceDE/>
        <w:autoSpaceDN/>
        <w:bidi w:val="0"/>
        <w:spacing w:line="360" w:lineRule="exact"/>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6.响应报价未超过采购预算金额的；</w:t>
      </w:r>
    </w:p>
    <w:p w14:paraId="1957CE0A">
      <w:pPr>
        <w:keepNext w:val="0"/>
        <w:keepLines w:val="0"/>
        <w:pageBreakBefore w:val="0"/>
        <w:kinsoku/>
        <w:overflowPunct/>
        <w:topLinePunct w:val="0"/>
        <w:autoSpaceDE/>
        <w:autoSpaceDN/>
        <w:bidi w:val="0"/>
        <w:spacing w:line="360" w:lineRule="exact"/>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7.满足采购文件的其他实质性要求；</w:t>
      </w:r>
    </w:p>
    <w:p w14:paraId="22102E34">
      <w:pPr>
        <w:keepNext w:val="0"/>
        <w:keepLines w:val="0"/>
        <w:pageBreakBefore w:val="0"/>
        <w:kinsoku/>
        <w:overflowPunct/>
        <w:topLinePunct w:val="0"/>
        <w:autoSpaceDE/>
        <w:autoSpaceDN/>
        <w:bidi w:val="0"/>
        <w:spacing w:line="360" w:lineRule="exact"/>
        <w:ind w:firstLine="420" w:firstLineChars="200"/>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8.与本公告内容无其他不相符的。</w:t>
      </w:r>
    </w:p>
    <w:p w14:paraId="1836152F">
      <w:pPr>
        <w:pStyle w:val="9"/>
        <w:keepNext w:val="0"/>
        <w:keepLines w:val="0"/>
        <w:pageBreakBefore w:val="0"/>
        <w:kinsoku/>
        <w:overflowPunct/>
        <w:topLinePunct w:val="0"/>
        <w:bidi w:val="0"/>
        <w:spacing w:line="360" w:lineRule="exact"/>
        <w:ind w:left="0" w:leftChars="0"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w:t>
      </w:r>
      <w:r>
        <w:rPr>
          <w:rFonts w:hint="eastAsia" w:ascii="宋体" w:hAnsi="宋体" w:cs="宋体"/>
          <w:b/>
          <w:bCs/>
          <w:color w:val="auto"/>
          <w:kern w:val="0"/>
          <w:sz w:val="21"/>
          <w:szCs w:val="21"/>
          <w:highlight w:val="none"/>
          <w:lang w:val="en-US" w:eastAsia="zh-CN" w:bidi="ar-SA"/>
        </w:rPr>
        <w:t>三</w:t>
      </w:r>
      <w:r>
        <w:rPr>
          <w:rFonts w:hint="eastAsia" w:ascii="宋体" w:hAnsi="宋体" w:eastAsia="宋体" w:cs="宋体"/>
          <w:b/>
          <w:bCs/>
          <w:color w:val="auto"/>
          <w:kern w:val="0"/>
          <w:sz w:val="21"/>
          <w:szCs w:val="21"/>
          <w:highlight w:val="none"/>
          <w:lang w:val="en-US" w:eastAsia="zh-CN" w:bidi="ar-SA"/>
        </w:rPr>
        <w:t>）</w:t>
      </w:r>
      <w:r>
        <w:rPr>
          <w:rFonts w:hint="eastAsia" w:ascii="宋体" w:hAnsi="宋体" w:cs="宋体"/>
          <w:b/>
          <w:bCs/>
          <w:color w:val="auto"/>
          <w:kern w:val="0"/>
          <w:sz w:val="21"/>
          <w:szCs w:val="21"/>
          <w:highlight w:val="none"/>
          <w:lang w:val="en-US" w:eastAsia="zh-CN" w:bidi="ar-SA"/>
        </w:rPr>
        <w:t>第三</w:t>
      </w:r>
      <w:r>
        <w:rPr>
          <w:rFonts w:hint="eastAsia" w:ascii="宋体" w:hAnsi="宋体" w:eastAsia="宋体" w:cs="宋体"/>
          <w:b/>
          <w:bCs/>
          <w:color w:val="auto"/>
          <w:kern w:val="0"/>
          <w:sz w:val="21"/>
          <w:szCs w:val="21"/>
          <w:highlight w:val="none"/>
          <w:lang w:val="en-US" w:eastAsia="zh-CN" w:bidi="ar-SA"/>
        </w:rPr>
        <w:t>阶段：详细评审</w:t>
      </w:r>
    </w:p>
    <w:p w14:paraId="5499608F">
      <w:pPr>
        <w:keepNext w:val="0"/>
        <w:keepLines w:val="0"/>
        <w:pageBreakBefore w:val="0"/>
        <w:kinsoku/>
        <w:overflowPunct/>
        <w:topLinePunct w:val="0"/>
        <w:autoSpaceDE/>
        <w:autoSpaceDN/>
        <w:bidi w:val="0"/>
        <w:spacing w:line="360" w:lineRule="exact"/>
        <w:ind w:left="0" w:leftChars="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详细评审是对</w:t>
      </w:r>
      <w:r>
        <w:rPr>
          <w:rFonts w:hint="eastAsia" w:ascii="宋体" w:hAnsi="宋体" w:eastAsia="宋体" w:cs="宋体"/>
          <w:b/>
          <w:bCs w:val="0"/>
          <w:color w:val="auto"/>
          <w:sz w:val="21"/>
          <w:szCs w:val="21"/>
          <w:highlight w:val="none"/>
          <w:lang w:eastAsia="zh-CN"/>
        </w:rPr>
        <w:t>通过</w:t>
      </w:r>
      <w:r>
        <w:rPr>
          <w:rFonts w:hint="eastAsia" w:ascii="宋体" w:hAnsi="宋体" w:cs="宋体"/>
          <w:b/>
          <w:bCs w:val="0"/>
          <w:color w:val="auto"/>
          <w:sz w:val="21"/>
          <w:szCs w:val="21"/>
          <w:highlight w:val="none"/>
          <w:lang w:val="en-US" w:eastAsia="zh-CN"/>
        </w:rPr>
        <w:t>资格性、</w:t>
      </w:r>
      <w:r>
        <w:rPr>
          <w:rFonts w:hint="eastAsia" w:ascii="宋体" w:hAnsi="宋体" w:eastAsia="宋体" w:cs="宋体"/>
          <w:b/>
          <w:bCs w:val="0"/>
          <w:color w:val="auto"/>
          <w:sz w:val="21"/>
          <w:szCs w:val="21"/>
          <w:highlight w:val="none"/>
          <w:lang w:eastAsia="zh-CN"/>
        </w:rPr>
        <w:t>符合性</w:t>
      </w:r>
      <w:r>
        <w:rPr>
          <w:rFonts w:hint="eastAsia" w:ascii="宋体" w:hAnsi="宋体" w:cs="宋体"/>
          <w:b/>
          <w:bCs w:val="0"/>
          <w:color w:val="auto"/>
          <w:sz w:val="21"/>
          <w:szCs w:val="21"/>
          <w:highlight w:val="none"/>
          <w:lang w:val="en-US" w:eastAsia="zh-CN"/>
        </w:rPr>
        <w:t>评审</w:t>
      </w:r>
      <w:r>
        <w:rPr>
          <w:rFonts w:hint="eastAsia" w:ascii="宋体" w:hAnsi="宋体" w:eastAsia="宋体" w:cs="宋体"/>
          <w:b/>
          <w:bCs w:val="0"/>
          <w:color w:val="auto"/>
          <w:sz w:val="21"/>
          <w:szCs w:val="21"/>
          <w:highlight w:val="none"/>
          <w:lang w:eastAsia="zh-CN"/>
        </w:rPr>
        <w:t>的响应文件</w:t>
      </w:r>
      <w:r>
        <w:rPr>
          <w:rFonts w:hint="eastAsia" w:ascii="宋体" w:hAnsi="宋体" w:eastAsia="宋体" w:cs="宋体"/>
          <w:bCs/>
          <w:color w:val="auto"/>
          <w:sz w:val="21"/>
          <w:szCs w:val="21"/>
          <w:highlight w:val="none"/>
          <w:lang w:eastAsia="zh-CN"/>
        </w:rPr>
        <w:t>进行技术商务和价格的评审。</w:t>
      </w:r>
    </w:p>
    <w:p w14:paraId="79C851B3">
      <w:pPr>
        <w:spacing w:line="360" w:lineRule="auto"/>
        <w:ind w:firstLine="420" w:firstLineChars="200"/>
        <w:rPr>
          <w:rFonts w:ascii="宋体" w:hAnsi="宋体" w:cs="宋体"/>
          <w:color w:val="auto"/>
          <w:highlight w:val="none"/>
        </w:rPr>
      </w:pPr>
      <w:r>
        <w:rPr>
          <w:rFonts w:hint="eastAsia" w:ascii="宋体" w:hAnsi="宋体" w:eastAsia="宋体" w:cs="宋体"/>
          <w:bCs/>
          <w:color w:val="auto"/>
          <w:sz w:val="21"/>
          <w:szCs w:val="21"/>
          <w:highlight w:val="none"/>
          <w:lang w:val="en-US" w:eastAsia="zh-CN"/>
        </w:rPr>
        <w:t>2.</w:t>
      </w:r>
      <w:r>
        <w:rPr>
          <w:rFonts w:hint="eastAsia" w:ascii="宋体" w:hAnsi="宋体" w:cs="宋体"/>
          <w:color w:val="auto"/>
          <w:highlight w:val="none"/>
        </w:rPr>
        <w:t>评分总值最高为100分，技术、商务及价格评分分值（权重）分配：</w:t>
      </w:r>
    </w:p>
    <w:tbl>
      <w:tblPr>
        <w:tblStyle w:val="1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751"/>
        <w:gridCol w:w="2270"/>
        <w:gridCol w:w="2271"/>
      </w:tblGrid>
      <w:tr w14:paraId="44E4C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3751" w:type="dxa"/>
            <w:noWrap w:val="0"/>
            <w:vAlign w:val="center"/>
          </w:tcPr>
          <w:p w14:paraId="0E108150">
            <w:pPr>
              <w:jc w:val="center"/>
              <w:rPr>
                <w:rFonts w:ascii="宋体" w:hAnsi="宋体"/>
                <w:color w:val="auto"/>
                <w:highlight w:val="none"/>
              </w:rPr>
            </w:pPr>
            <w:r>
              <w:rPr>
                <w:rFonts w:hint="eastAsia" w:ascii="宋体" w:hAnsi="宋体"/>
                <w:color w:val="auto"/>
                <w:highlight w:val="none"/>
              </w:rPr>
              <w:t>评分项目</w:t>
            </w:r>
          </w:p>
        </w:tc>
        <w:tc>
          <w:tcPr>
            <w:tcW w:w="2270" w:type="dxa"/>
            <w:noWrap w:val="0"/>
            <w:vAlign w:val="center"/>
          </w:tcPr>
          <w:p w14:paraId="4BEF0C76">
            <w:pPr>
              <w:jc w:val="center"/>
              <w:rPr>
                <w:rFonts w:ascii="宋体" w:hAnsi="宋体"/>
                <w:color w:val="auto"/>
                <w:highlight w:val="none"/>
              </w:rPr>
            </w:pPr>
            <w:r>
              <w:rPr>
                <w:rFonts w:hint="eastAsia" w:ascii="宋体" w:hAnsi="宋体"/>
                <w:color w:val="auto"/>
                <w:highlight w:val="none"/>
              </w:rPr>
              <w:t>技术商务评分</w:t>
            </w:r>
          </w:p>
        </w:tc>
        <w:tc>
          <w:tcPr>
            <w:tcW w:w="2271" w:type="dxa"/>
            <w:noWrap w:val="0"/>
            <w:vAlign w:val="center"/>
          </w:tcPr>
          <w:p w14:paraId="0D9FE462">
            <w:pPr>
              <w:jc w:val="center"/>
              <w:rPr>
                <w:rFonts w:ascii="宋体" w:hAnsi="宋体"/>
                <w:color w:val="auto"/>
                <w:highlight w:val="none"/>
              </w:rPr>
            </w:pPr>
            <w:r>
              <w:rPr>
                <w:rFonts w:hint="eastAsia" w:ascii="宋体" w:hAnsi="宋体"/>
                <w:color w:val="auto"/>
                <w:highlight w:val="none"/>
              </w:rPr>
              <w:t>价格评分</w:t>
            </w:r>
          </w:p>
        </w:tc>
      </w:tr>
      <w:tr w14:paraId="0C0F3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3751" w:type="dxa"/>
            <w:noWrap w:val="0"/>
            <w:vAlign w:val="center"/>
          </w:tcPr>
          <w:p w14:paraId="64D54E0E">
            <w:pPr>
              <w:jc w:val="center"/>
              <w:rPr>
                <w:rFonts w:ascii="宋体" w:hAnsi="宋体"/>
                <w:color w:val="auto"/>
                <w:highlight w:val="none"/>
              </w:rPr>
            </w:pPr>
            <w:r>
              <w:rPr>
                <w:rFonts w:hint="eastAsia" w:ascii="宋体" w:hAnsi="宋体"/>
                <w:color w:val="auto"/>
                <w:highlight w:val="none"/>
              </w:rPr>
              <w:t>权重（总和为100％）</w:t>
            </w:r>
          </w:p>
        </w:tc>
        <w:tc>
          <w:tcPr>
            <w:tcW w:w="2270" w:type="dxa"/>
            <w:noWrap w:val="0"/>
            <w:vAlign w:val="center"/>
          </w:tcPr>
          <w:p w14:paraId="00993170">
            <w:pPr>
              <w:jc w:val="center"/>
              <w:rPr>
                <w:rFonts w:ascii="宋体" w:hAnsi="宋体"/>
                <w:color w:val="auto"/>
                <w:szCs w:val="21"/>
                <w:highlight w:val="none"/>
              </w:rPr>
            </w:pPr>
            <w:r>
              <w:rPr>
                <w:rFonts w:hint="eastAsia" w:ascii="宋体" w:hAnsi="宋体"/>
                <w:color w:val="auto"/>
                <w:szCs w:val="21"/>
                <w:highlight w:val="none"/>
                <w:lang w:val="en-US" w:eastAsia="zh-CN"/>
              </w:rPr>
              <w:t>90</w:t>
            </w:r>
            <w:r>
              <w:rPr>
                <w:rFonts w:hint="eastAsia" w:ascii="宋体" w:hAnsi="宋体"/>
                <w:color w:val="auto"/>
                <w:szCs w:val="21"/>
                <w:highlight w:val="none"/>
              </w:rPr>
              <w:t>％</w:t>
            </w:r>
          </w:p>
        </w:tc>
        <w:tc>
          <w:tcPr>
            <w:tcW w:w="2271" w:type="dxa"/>
            <w:noWrap w:val="0"/>
            <w:vAlign w:val="center"/>
          </w:tcPr>
          <w:p w14:paraId="5F12E878">
            <w:pPr>
              <w:jc w:val="center"/>
              <w:rPr>
                <w:rFonts w:ascii="宋体" w:hAnsi="宋体"/>
                <w:color w:val="auto"/>
                <w:szCs w:val="21"/>
                <w:highlight w:val="none"/>
              </w:rPr>
            </w:pPr>
            <w:r>
              <w:rPr>
                <w:rFonts w:hint="eastAsia" w:ascii="宋体" w:hAnsi="宋体"/>
                <w:color w:val="auto"/>
                <w:szCs w:val="21"/>
                <w:highlight w:val="none"/>
                <w:lang w:val="en-US" w:eastAsia="zh-CN"/>
              </w:rPr>
              <w:t>10</w:t>
            </w:r>
            <w:r>
              <w:rPr>
                <w:rFonts w:hint="eastAsia" w:ascii="宋体" w:hAnsi="宋体"/>
                <w:color w:val="auto"/>
                <w:szCs w:val="21"/>
                <w:highlight w:val="none"/>
              </w:rPr>
              <w:t>％</w:t>
            </w:r>
          </w:p>
        </w:tc>
      </w:tr>
      <w:tr w14:paraId="0B222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1" w:hRule="atLeast"/>
          <w:jc w:val="center"/>
        </w:trPr>
        <w:tc>
          <w:tcPr>
            <w:tcW w:w="3751" w:type="dxa"/>
            <w:noWrap w:val="0"/>
            <w:vAlign w:val="center"/>
          </w:tcPr>
          <w:p w14:paraId="28CCC5CE">
            <w:pPr>
              <w:jc w:val="center"/>
              <w:rPr>
                <w:rFonts w:ascii="宋体" w:hAnsi="宋体"/>
                <w:color w:val="auto"/>
                <w:highlight w:val="none"/>
              </w:rPr>
            </w:pPr>
            <w:r>
              <w:rPr>
                <w:rFonts w:hint="eastAsia" w:ascii="宋体" w:hAnsi="宋体"/>
                <w:color w:val="auto"/>
                <w:highlight w:val="none"/>
              </w:rPr>
              <w:t>分值（满分为100分）</w:t>
            </w:r>
          </w:p>
        </w:tc>
        <w:tc>
          <w:tcPr>
            <w:tcW w:w="2270" w:type="dxa"/>
            <w:noWrap w:val="0"/>
            <w:vAlign w:val="center"/>
          </w:tcPr>
          <w:p w14:paraId="6AA30264">
            <w:pPr>
              <w:jc w:val="center"/>
              <w:rPr>
                <w:rFonts w:ascii="宋体" w:hAnsi="宋体"/>
                <w:color w:val="auto"/>
                <w:szCs w:val="21"/>
                <w:highlight w:val="none"/>
              </w:rPr>
            </w:pPr>
            <w:r>
              <w:rPr>
                <w:rFonts w:hint="eastAsia" w:ascii="宋体" w:hAnsi="宋体"/>
                <w:color w:val="auto"/>
                <w:szCs w:val="21"/>
                <w:highlight w:val="none"/>
                <w:lang w:val="en-US" w:eastAsia="zh-CN"/>
              </w:rPr>
              <w:t>90</w:t>
            </w:r>
            <w:r>
              <w:rPr>
                <w:rFonts w:hint="eastAsia" w:ascii="宋体" w:hAnsi="宋体"/>
                <w:color w:val="auto"/>
                <w:szCs w:val="21"/>
                <w:highlight w:val="none"/>
              </w:rPr>
              <w:t>分</w:t>
            </w:r>
          </w:p>
        </w:tc>
        <w:tc>
          <w:tcPr>
            <w:tcW w:w="2271" w:type="dxa"/>
            <w:noWrap w:val="0"/>
            <w:vAlign w:val="center"/>
          </w:tcPr>
          <w:p w14:paraId="72A16DBC">
            <w:pPr>
              <w:jc w:val="center"/>
              <w:rPr>
                <w:rFonts w:ascii="宋体" w:hAnsi="宋体"/>
                <w:color w:val="auto"/>
                <w:szCs w:val="21"/>
                <w:highlight w:val="none"/>
              </w:rPr>
            </w:pPr>
            <w:r>
              <w:rPr>
                <w:rFonts w:hint="eastAsia" w:ascii="宋体" w:hAnsi="宋体"/>
                <w:color w:val="auto"/>
                <w:szCs w:val="21"/>
                <w:highlight w:val="none"/>
                <w:lang w:val="en-US" w:eastAsia="zh-CN"/>
              </w:rPr>
              <w:t>10</w:t>
            </w:r>
            <w:r>
              <w:rPr>
                <w:rFonts w:hint="eastAsia" w:ascii="宋体" w:hAnsi="宋体"/>
                <w:color w:val="auto"/>
                <w:szCs w:val="21"/>
                <w:highlight w:val="none"/>
              </w:rPr>
              <w:t>分</w:t>
            </w:r>
          </w:p>
        </w:tc>
      </w:tr>
    </w:tbl>
    <w:p w14:paraId="74D7D2AC">
      <w:pPr>
        <w:keepNext w:val="0"/>
        <w:keepLines w:val="0"/>
        <w:pageBreakBefore w:val="0"/>
        <w:kinsoku/>
        <w:overflowPunct/>
        <w:topLinePunct w:val="0"/>
        <w:autoSpaceDE/>
        <w:autoSpaceDN/>
        <w:bidi w:val="0"/>
        <w:spacing w:line="360" w:lineRule="exact"/>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eastAsia="zh-CN"/>
        </w:rPr>
        <w:t>综合得分按以下公式计算：综合得分=商务技术得分+报价得分</w:t>
      </w:r>
    </w:p>
    <w:tbl>
      <w:tblPr>
        <w:tblStyle w:val="15"/>
        <w:tblW w:w="5019" w:type="pct"/>
        <w:jc w:val="center"/>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autofit"/>
        <w:tblCellMar>
          <w:top w:w="0" w:type="dxa"/>
          <w:left w:w="0" w:type="dxa"/>
          <w:bottom w:w="0" w:type="dxa"/>
          <w:right w:w="0" w:type="dxa"/>
        </w:tblCellMar>
      </w:tblPr>
      <w:tblGrid>
        <w:gridCol w:w="1219"/>
        <w:gridCol w:w="1619"/>
        <w:gridCol w:w="7070"/>
      </w:tblGrid>
      <w:tr w14:paraId="2DEF0DE5">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600" w:hRule="atLeast"/>
          <w:tblHeader/>
          <w:jc w:val="center"/>
        </w:trPr>
        <w:tc>
          <w:tcPr>
            <w:tcW w:w="615" w:type="pct"/>
            <w:tcBorders>
              <w:top w:val="single" w:color="auto" w:sz="4" w:space="0"/>
              <w:left w:val="single" w:color="auto" w:sz="4" w:space="0"/>
              <w:bottom w:val="single" w:color="auto" w:sz="4" w:space="0"/>
              <w:right w:val="single" w:color="auto" w:sz="4" w:space="0"/>
            </w:tcBorders>
            <w:shd w:val="clear" w:color="auto" w:fill="auto"/>
            <w:noWrap w:val="0"/>
            <w:tcMar>
              <w:left w:w="105" w:type="dxa"/>
              <w:right w:w="105" w:type="dxa"/>
            </w:tcMar>
            <w:vAlign w:val="center"/>
          </w:tcPr>
          <w:p w14:paraId="714D5F9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333333"/>
                <w:sz w:val="21"/>
                <w:szCs w:val="21"/>
              </w:rPr>
            </w:pPr>
            <w:r>
              <w:rPr>
                <w:rStyle w:val="18"/>
                <w:rFonts w:hint="eastAsia" w:ascii="宋体" w:hAnsi="宋体" w:eastAsia="宋体" w:cs="宋体"/>
                <w:color w:val="333333"/>
                <w:sz w:val="21"/>
                <w:szCs w:val="21"/>
              </w:rPr>
              <w:t>内容</w:t>
            </w:r>
          </w:p>
        </w:tc>
        <w:tc>
          <w:tcPr>
            <w:tcW w:w="81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15D84A9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left="0" w:leftChars="0" w:right="0" w:firstLine="0" w:firstLineChars="0"/>
              <w:jc w:val="center"/>
              <w:rPr>
                <w:rStyle w:val="18"/>
                <w:rFonts w:hint="eastAsia" w:ascii="宋体" w:hAnsi="宋体" w:eastAsia="宋体" w:cs="宋体"/>
                <w:color w:val="333333"/>
                <w:sz w:val="21"/>
                <w:szCs w:val="21"/>
                <w:lang w:eastAsia="zh-CN"/>
              </w:rPr>
            </w:pPr>
            <w:r>
              <w:rPr>
                <w:rStyle w:val="18"/>
                <w:rFonts w:hint="eastAsia" w:ascii="宋体" w:hAnsi="宋体" w:eastAsia="宋体" w:cs="宋体"/>
                <w:color w:val="333333"/>
                <w:sz w:val="21"/>
                <w:szCs w:val="21"/>
                <w:lang w:eastAsia="zh-CN"/>
              </w:rPr>
              <w:t>评审项目</w:t>
            </w:r>
          </w:p>
        </w:tc>
        <w:tc>
          <w:tcPr>
            <w:tcW w:w="356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7487C8A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left="0" w:right="0" w:firstLine="420"/>
              <w:jc w:val="center"/>
              <w:rPr>
                <w:rFonts w:hint="eastAsia" w:ascii="宋体" w:hAnsi="宋体" w:eastAsia="宋体" w:cs="宋体"/>
                <w:color w:val="333333"/>
                <w:sz w:val="21"/>
                <w:szCs w:val="21"/>
              </w:rPr>
            </w:pPr>
            <w:r>
              <w:rPr>
                <w:rStyle w:val="18"/>
                <w:rFonts w:hint="eastAsia" w:ascii="宋体" w:hAnsi="宋体" w:eastAsia="宋体" w:cs="宋体"/>
                <w:color w:val="333333"/>
                <w:sz w:val="21"/>
                <w:szCs w:val="21"/>
              </w:rPr>
              <w:t>评分标准</w:t>
            </w:r>
          </w:p>
        </w:tc>
      </w:tr>
      <w:tr w14:paraId="7E3DDA69">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15" w:type="pct"/>
            <w:tcBorders>
              <w:top w:val="single" w:color="auto" w:sz="4" w:space="0"/>
              <w:left w:val="single" w:color="auto" w:sz="4" w:space="0"/>
              <w:bottom w:val="single" w:color="auto" w:sz="4" w:space="0"/>
              <w:right w:val="single" w:color="auto" w:sz="4" w:space="0"/>
            </w:tcBorders>
            <w:shd w:val="clear" w:color="auto" w:fill="auto"/>
            <w:noWrap w:val="0"/>
            <w:tcMar>
              <w:left w:w="105" w:type="dxa"/>
              <w:right w:w="105" w:type="dxa"/>
            </w:tcMar>
            <w:vAlign w:val="center"/>
          </w:tcPr>
          <w:p w14:paraId="68B5686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价格部分(</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c>
          <w:tcPr>
            <w:tcW w:w="81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29FBE72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价格得分</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0分</w:t>
            </w:r>
            <w:r>
              <w:rPr>
                <w:rFonts w:hint="eastAsia" w:ascii="宋体" w:hAnsi="宋体" w:eastAsia="宋体" w:cs="宋体"/>
                <w:color w:val="auto"/>
                <w:sz w:val="21"/>
                <w:szCs w:val="21"/>
                <w:highlight w:val="none"/>
                <w:lang w:eastAsia="zh-CN"/>
              </w:rPr>
              <w:t>）</w:t>
            </w:r>
          </w:p>
        </w:tc>
        <w:tc>
          <w:tcPr>
            <w:tcW w:w="356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7FECEC9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价格分采用低价优先法计算，即满足</w:t>
            </w:r>
            <w:r>
              <w:rPr>
                <w:rFonts w:hint="eastAsia" w:ascii="宋体" w:hAnsi="宋体" w:eastAsia="宋体" w:cs="宋体"/>
                <w:color w:val="auto"/>
                <w:sz w:val="21"/>
                <w:szCs w:val="21"/>
                <w:highlight w:val="none"/>
                <w:lang w:eastAsia="zh-CN"/>
              </w:rPr>
              <w:t>比选公告</w:t>
            </w:r>
            <w:r>
              <w:rPr>
                <w:rFonts w:hint="eastAsia" w:ascii="宋体" w:hAnsi="宋体" w:eastAsia="宋体" w:cs="宋体"/>
                <w:color w:val="auto"/>
                <w:sz w:val="21"/>
                <w:szCs w:val="21"/>
                <w:highlight w:val="none"/>
              </w:rPr>
              <w:t>要求且</w:t>
            </w:r>
            <w:r>
              <w:rPr>
                <w:rFonts w:hint="eastAsia" w:ascii="宋体" w:hAnsi="宋体" w:eastAsia="宋体" w:cs="宋体"/>
                <w:color w:val="auto"/>
                <w:sz w:val="21"/>
                <w:szCs w:val="21"/>
                <w:highlight w:val="none"/>
                <w:lang w:eastAsia="zh-CN"/>
              </w:rPr>
              <w:t>报价</w:t>
            </w:r>
            <w:r>
              <w:rPr>
                <w:rFonts w:hint="eastAsia" w:ascii="宋体" w:hAnsi="宋体" w:eastAsia="宋体" w:cs="宋体"/>
                <w:color w:val="auto"/>
                <w:sz w:val="21"/>
                <w:szCs w:val="21"/>
                <w:highlight w:val="none"/>
              </w:rPr>
              <w:t>最低的为评</w:t>
            </w:r>
            <w:r>
              <w:rPr>
                <w:rFonts w:hint="eastAsia" w:ascii="宋体" w:hAnsi="宋体" w:cs="宋体"/>
                <w:color w:val="auto"/>
                <w:sz w:val="21"/>
                <w:szCs w:val="21"/>
                <w:highlight w:val="none"/>
                <w:lang w:val="en-US" w:eastAsia="zh-CN"/>
              </w:rPr>
              <w:t>选</w:t>
            </w:r>
            <w:r>
              <w:rPr>
                <w:rFonts w:hint="eastAsia" w:ascii="宋体" w:hAnsi="宋体" w:eastAsia="宋体" w:cs="宋体"/>
                <w:color w:val="auto"/>
                <w:sz w:val="21"/>
                <w:szCs w:val="21"/>
                <w:highlight w:val="none"/>
              </w:rPr>
              <w:t>基准价，其价格分为满分</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0，其他</w:t>
            </w:r>
            <w:r>
              <w:rPr>
                <w:rFonts w:hint="eastAsia" w:ascii="宋体" w:hAnsi="宋体" w:eastAsia="宋体" w:cs="宋体"/>
                <w:color w:val="auto"/>
                <w:sz w:val="21"/>
                <w:szCs w:val="21"/>
                <w:highlight w:val="none"/>
                <w:lang w:eastAsia="zh-CN"/>
              </w:rPr>
              <w:t>响应供应商</w:t>
            </w:r>
            <w:r>
              <w:rPr>
                <w:rFonts w:hint="eastAsia" w:ascii="宋体" w:hAnsi="宋体" w:eastAsia="宋体" w:cs="宋体"/>
                <w:color w:val="auto"/>
                <w:sz w:val="21"/>
                <w:szCs w:val="21"/>
                <w:highlight w:val="none"/>
              </w:rPr>
              <w:t>的价格分统一按照下列公式计算</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参选</w:t>
            </w:r>
            <w:r>
              <w:rPr>
                <w:rFonts w:hint="eastAsia" w:ascii="宋体" w:hAnsi="宋体" w:eastAsia="宋体" w:cs="宋体"/>
                <w:color w:val="auto"/>
                <w:sz w:val="21"/>
                <w:szCs w:val="21"/>
                <w:highlight w:val="none"/>
                <w:lang w:eastAsia="zh-CN"/>
              </w:rPr>
              <w:t>报价得分</w:t>
            </w:r>
            <w:r>
              <w:rPr>
                <w:rFonts w:hint="eastAsia" w:ascii="宋体" w:hAnsi="宋体" w:eastAsia="宋体" w:cs="宋体"/>
                <w:color w:val="auto"/>
                <w:sz w:val="21"/>
                <w:szCs w:val="21"/>
                <w:highlight w:val="none"/>
              </w:rPr>
              <w:t>四舍五入精确到小数点后2位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14:paraId="7198A3E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参选</w:t>
            </w:r>
            <w:r>
              <w:rPr>
                <w:rFonts w:hint="eastAsia" w:ascii="宋体" w:hAnsi="宋体" w:eastAsia="宋体" w:cs="宋体"/>
                <w:color w:val="auto"/>
                <w:sz w:val="21"/>
                <w:szCs w:val="21"/>
                <w:highlight w:val="none"/>
              </w:rPr>
              <w:t>报价得分=（评</w:t>
            </w:r>
            <w:r>
              <w:rPr>
                <w:rFonts w:hint="eastAsia" w:ascii="宋体" w:hAnsi="宋体" w:cs="宋体"/>
                <w:color w:val="auto"/>
                <w:sz w:val="21"/>
                <w:szCs w:val="21"/>
                <w:highlight w:val="none"/>
                <w:lang w:val="en-US" w:eastAsia="zh-CN"/>
              </w:rPr>
              <w:t>选</w:t>
            </w:r>
            <w:r>
              <w:rPr>
                <w:rFonts w:hint="eastAsia" w:ascii="宋体" w:hAnsi="宋体" w:eastAsia="宋体" w:cs="宋体"/>
                <w:color w:val="auto"/>
                <w:sz w:val="21"/>
                <w:szCs w:val="21"/>
                <w:highlight w:val="none"/>
              </w:rPr>
              <w:t>基准价格/</w:t>
            </w:r>
            <w:r>
              <w:rPr>
                <w:rFonts w:hint="eastAsia" w:ascii="宋体" w:hAnsi="宋体" w:cs="宋体"/>
                <w:color w:val="auto"/>
                <w:sz w:val="21"/>
                <w:szCs w:val="21"/>
                <w:highlight w:val="none"/>
                <w:lang w:val="en-US" w:eastAsia="zh-CN"/>
              </w:rPr>
              <w:t>参选</w:t>
            </w:r>
            <w:r>
              <w:rPr>
                <w:rFonts w:hint="eastAsia" w:ascii="宋体" w:hAnsi="宋体" w:eastAsia="宋体" w:cs="宋体"/>
                <w:color w:val="auto"/>
                <w:sz w:val="21"/>
                <w:szCs w:val="21"/>
                <w:highlight w:val="none"/>
              </w:rPr>
              <w:t>价格）</w:t>
            </w:r>
            <w:r>
              <w:rPr>
                <w:rFonts w:hint="default" w:ascii="Arial" w:hAnsi="Arial" w:eastAsia="宋体" w:cs="Arial"/>
                <w:b w:val="0"/>
                <w:bCs w:val="0"/>
                <w:color w:val="auto"/>
                <w:szCs w:val="21"/>
                <w:highlight w:val="none"/>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0</w:t>
            </w:r>
          </w:p>
        </w:tc>
      </w:tr>
      <w:tr w14:paraId="59BD82CE">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507" w:hRule="atLeast"/>
          <w:jc w:val="center"/>
        </w:trPr>
        <w:tc>
          <w:tcPr>
            <w:tcW w:w="615" w:type="pct"/>
            <w:vMerge w:val="restart"/>
            <w:tcBorders>
              <w:top w:val="single" w:color="auto" w:sz="4" w:space="0"/>
              <w:left w:val="single" w:color="auto" w:sz="4" w:space="0"/>
              <w:right w:val="single" w:color="auto" w:sz="4" w:space="0"/>
            </w:tcBorders>
            <w:shd w:val="clear" w:color="auto" w:fill="auto"/>
            <w:noWrap w:val="0"/>
            <w:tcMar>
              <w:left w:w="105" w:type="dxa"/>
              <w:right w:w="105" w:type="dxa"/>
            </w:tcMar>
            <w:vAlign w:val="center"/>
          </w:tcPr>
          <w:p w14:paraId="3B4C2F5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default" w:ascii="宋体" w:hAnsi="宋体" w:eastAsia="宋体" w:cs="宋体"/>
                <w:color w:val="auto"/>
                <w:sz w:val="21"/>
                <w:szCs w:val="21"/>
                <w:highlight w:val="yellow"/>
                <w:lang w:val="en-US" w:eastAsia="zh-CN"/>
              </w:rPr>
            </w:pPr>
            <w:r>
              <w:rPr>
                <w:rFonts w:hint="eastAsia" w:ascii="宋体" w:hAnsi="宋体" w:cs="宋体"/>
                <w:color w:val="auto"/>
                <w:sz w:val="21"/>
                <w:szCs w:val="21"/>
                <w:highlight w:val="none"/>
                <w:lang w:val="en-US" w:eastAsia="zh-CN"/>
              </w:rPr>
              <w:t>商务技术部分   （90分）</w:t>
            </w:r>
          </w:p>
        </w:tc>
        <w:tc>
          <w:tcPr>
            <w:tcW w:w="81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5400A271">
            <w:pPr>
              <w:spacing w:line="300" w:lineRule="exact"/>
              <w:jc w:val="center"/>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对采购需求书中技术、商务条款的响应程度</w:t>
            </w:r>
          </w:p>
          <w:p w14:paraId="690CE40A">
            <w:pPr>
              <w:spacing w:line="300" w:lineRule="exact"/>
              <w:jc w:val="center"/>
              <w:rPr>
                <w:rFonts w:hint="eastAsia" w:ascii="宋体" w:hAnsi="宋体" w:eastAsia="宋体" w:cs="宋体"/>
                <w:color w:val="auto"/>
                <w:sz w:val="21"/>
                <w:szCs w:val="21"/>
                <w:highlight w:val="yellow"/>
                <w:lang w:eastAsia="zh-CN"/>
              </w:rPr>
            </w:pPr>
            <w:r>
              <w:rPr>
                <w:rFonts w:hint="eastAsia" w:ascii="宋体" w:hAnsi="宋体" w:cs="宋体"/>
                <w:bCs/>
                <w:color w:val="auto"/>
                <w:szCs w:val="21"/>
                <w:highlight w:val="none"/>
                <w:lang w:val="en-US" w:eastAsia="zh-CN"/>
              </w:rPr>
              <w:t>(65分)</w:t>
            </w:r>
          </w:p>
        </w:tc>
        <w:tc>
          <w:tcPr>
            <w:tcW w:w="356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09D7D364">
            <w:pPr>
              <w:pStyle w:val="13"/>
              <w:numPr>
                <w:ilvl w:val="0"/>
                <w:numId w:val="0"/>
              </w:numPr>
              <w:tabs>
                <w:tab w:val="left" w:pos="7740"/>
              </w:tabs>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根据各供应商响应文件对</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val="en-US" w:eastAsia="zh-CN"/>
              </w:rPr>
              <w:t>（二）技术规格、参数及要</w:t>
            </w:r>
            <w:r>
              <w:rPr>
                <w:rFonts w:hint="eastAsia" w:ascii="宋体" w:hAnsi="宋体" w:cs="宋体"/>
                <w:color w:val="auto"/>
                <w:sz w:val="21"/>
                <w:szCs w:val="21"/>
                <w:highlight w:val="none"/>
                <w:lang w:val="en-US" w:eastAsia="zh-CN"/>
              </w:rPr>
              <w:t>求”下列</w:t>
            </w:r>
            <w:r>
              <w:rPr>
                <w:rFonts w:hint="eastAsia" w:ascii="宋体" w:hAnsi="宋体" w:cs="宋体"/>
                <w:color w:val="auto"/>
                <w:szCs w:val="21"/>
                <w:highlight w:val="none"/>
                <w:lang w:val="en-US" w:eastAsia="zh-CN"/>
              </w:rPr>
              <w:t>的所有条款</w:t>
            </w:r>
            <w:r>
              <w:rPr>
                <w:rFonts w:hint="eastAsia" w:ascii="宋体" w:hAnsi="宋体" w:eastAsia="宋体" w:cs="宋体"/>
                <w:color w:val="auto"/>
                <w:szCs w:val="21"/>
                <w:highlight w:val="none"/>
              </w:rPr>
              <w:t>（非“★”、非“▲”号条款）共</w:t>
            </w:r>
            <w:r>
              <w:rPr>
                <w:rFonts w:hint="eastAsia" w:ascii="宋体" w:hAnsi="宋体" w:cs="宋体"/>
                <w:color w:val="auto"/>
                <w:szCs w:val="21"/>
                <w:highlight w:val="none"/>
                <w:lang w:val="en-US" w:eastAsia="zh-CN"/>
              </w:rPr>
              <w:t>30</w:t>
            </w:r>
            <w:r>
              <w:rPr>
                <w:rFonts w:hint="eastAsia" w:ascii="宋体" w:hAnsi="宋体" w:eastAsia="宋体" w:cs="宋体"/>
                <w:color w:val="auto"/>
                <w:szCs w:val="21"/>
                <w:highlight w:val="none"/>
              </w:rPr>
              <w:t>项，</w:t>
            </w:r>
            <w:r>
              <w:rPr>
                <w:rFonts w:hint="eastAsia" w:ascii="宋体" w:hAnsi="宋体" w:eastAsia="宋体" w:cs="宋体"/>
                <w:color w:val="auto"/>
                <w:szCs w:val="21"/>
                <w:highlight w:val="none"/>
                <w:lang w:val="en-US" w:eastAsia="zh-CN"/>
              </w:rPr>
              <w:t>本项目满分</w:t>
            </w:r>
            <w:r>
              <w:rPr>
                <w:rFonts w:hint="eastAsia" w:ascii="宋体" w:hAnsi="宋体" w:cs="宋体"/>
                <w:color w:val="auto"/>
                <w:szCs w:val="21"/>
                <w:highlight w:val="none"/>
                <w:lang w:val="en-US" w:eastAsia="zh-CN"/>
              </w:rPr>
              <w:t>60</w:t>
            </w:r>
            <w:r>
              <w:rPr>
                <w:rFonts w:hint="eastAsia" w:ascii="宋体" w:hAnsi="宋体" w:eastAsia="宋体" w:cs="宋体"/>
                <w:color w:val="auto"/>
                <w:szCs w:val="21"/>
                <w:highlight w:val="none"/>
                <w:lang w:val="en-US" w:eastAsia="zh-CN"/>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评审分数按以下公式计算：优于或完全响应的条款数量</w:t>
            </w:r>
            <w:r>
              <w:rPr>
                <w:rFonts w:hint="default" w:ascii="Arial" w:hAnsi="Arial" w:eastAsia="宋体" w:cs="Arial"/>
                <w:b/>
                <w:bCs/>
                <w:color w:val="auto"/>
                <w:szCs w:val="21"/>
                <w:highlight w:val="none"/>
              </w:rPr>
              <w:t>÷</w:t>
            </w:r>
            <w:r>
              <w:rPr>
                <w:rFonts w:hint="eastAsia" w:ascii="宋体" w:hAnsi="宋体" w:eastAsia="宋体" w:cs="宋体"/>
                <w:color w:val="auto"/>
                <w:szCs w:val="21"/>
                <w:highlight w:val="none"/>
              </w:rPr>
              <w:t>一般条款（非“★”、非“▲”号条款）总数量</w:t>
            </w:r>
            <w:r>
              <w:rPr>
                <w:rFonts w:hint="default" w:ascii="Arial" w:hAnsi="Arial" w:eastAsia="宋体" w:cs="Arial"/>
                <w:b/>
                <w:bCs/>
                <w:color w:val="auto"/>
                <w:szCs w:val="21"/>
                <w:highlight w:val="none"/>
              </w:rPr>
              <w:t>×</w:t>
            </w:r>
            <w:r>
              <w:rPr>
                <w:rFonts w:hint="eastAsia" w:ascii="宋体" w:hAnsi="宋体" w:cs="宋体"/>
                <w:color w:val="auto"/>
                <w:szCs w:val="21"/>
                <w:highlight w:val="none"/>
                <w:lang w:val="en-US" w:eastAsia="zh-CN"/>
              </w:rPr>
              <w:t>60</w:t>
            </w:r>
            <w:r>
              <w:rPr>
                <w:rFonts w:hint="eastAsia" w:ascii="宋体" w:hAnsi="宋体" w:eastAsia="宋体" w:cs="宋体"/>
                <w:color w:val="auto"/>
                <w:szCs w:val="21"/>
                <w:highlight w:val="none"/>
              </w:rPr>
              <w:t>=一般条款响应程度得分（按四舍五入保留两位）。）</w:t>
            </w:r>
          </w:p>
          <w:p w14:paraId="0CDDFC01">
            <w:pPr>
              <w:numPr>
                <w:ilvl w:val="0"/>
                <w:numId w:val="5"/>
              </w:num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根据各供应商响应文件对</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（三）</w:t>
            </w:r>
            <w:r>
              <w:rPr>
                <w:rFonts w:hint="eastAsia" w:ascii="宋体" w:hAnsi="宋体" w:cs="宋体"/>
                <w:color w:val="auto"/>
                <w:sz w:val="21"/>
                <w:szCs w:val="21"/>
                <w:highlight w:val="none"/>
                <w:lang w:val="en-US" w:eastAsia="zh-CN"/>
              </w:rPr>
              <w:t>商务要求”下列</w:t>
            </w:r>
            <w:r>
              <w:rPr>
                <w:rFonts w:hint="eastAsia" w:ascii="宋体" w:hAnsi="宋体" w:cs="宋体"/>
                <w:color w:val="auto"/>
                <w:szCs w:val="21"/>
                <w:highlight w:val="none"/>
                <w:lang w:val="en-US" w:eastAsia="zh-CN"/>
              </w:rPr>
              <w:t>的所有条款</w:t>
            </w:r>
            <w:r>
              <w:rPr>
                <w:rFonts w:hint="eastAsia" w:ascii="宋体" w:hAnsi="宋体" w:eastAsia="宋体" w:cs="宋体"/>
                <w:color w:val="auto"/>
                <w:szCs w:val="21"/>
                <w:highlight w:val="none"/>
              </w:rPr>
              <w:t>（非“★”、非“▲”号条款）共</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项，</w:t>
            </w:r>
            <w:r>
              <w:rPr>
                <w:rFonts w:hint="eastAsia" w:ascii="宋体" w:hAnsi="宋体" w:eastAsia="宋体" w:cs="宋体"/>
                <w:color w:val="auto"/>
                <w:szCs w:val="21"/>
                <w:highlight w:val="none"/>
                <w:lang w:val="en-US" w:eastAsia="zh-CN"/>
              </w:rPr>
              <w:t>本项目满分</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评审分数按以下公式计算：优于或完全响应的条款数量</w:t>
            </w:r>
            <w:r>
              <w:rPr>
                <w:rFonts w:hint="default" w:ascii="Arial" w:hAnsi="Arial" w:eastAsia="宋体" w:cs="Arial"/>
                <w:b/>
                <w:bCs/>
                <w:color w:val="auto"/>
                <w:szCs w:val="21"/>
                <w:highlight w:val="none"/>
              </w:rPr>
              <w:t>÷</w:t>
            </w:r>
            <w:r>
              <w:rPr>
                <w:rFonts w:hint="eastAsia" w:ascii="宋体" w:hAnsi="宋体" w:eastAsia="宋体" w:cs="宋体"/>
                <w:color w:val="auto"/>
                <w:szCs w:val="21"/>
                <w:highlight w:val="none"/>
              </w:rPr>
              <w:t>一般条款（非“★”、非“▲”号条款）总数量</w:t>
            </w:r>
            <w:r>
              <w:rPr>
                <w:rFonts w:hint="default" w:ascii="Arial" w:hAnsi="Arial" w:eastAsia="宋体" w:cs="Arial"/>
                <w:b/>
                <w:bCs/>
                <w:color w:val="auto"/>
                <w:szCs w:val="21"/>
                <w:highlight w:val="none"/>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=一般条款响应程度得分（按四舍五入保留两位）。）</w:t>
            </w:r>
          </w:p>
          <w:p w14:paraId="0006A0C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both"/>
              <w:rPr>
                <w:rFonts w:hint="eastAsia" w:ascii="宋体" w:hAnsi="宋体" w:eastAsia="宋体" w:cs="宋体"/>
                <w:color w:val="auto"/>
                <w:sz w:val="21"/>
                <w:szCs w:val="21"/>
                <w:highlight w:val="yellow"/>
                <w:lang w:val="zh-CN" w:eastAsia="zh-CN"/>
              </w:rPr>
            </w:pPr>
            <w:r>
              <w:rPr>
                <w:rFonts w:hint="eastAsia" w:ascii="宋体" w:hAnsi="宋体" w:cs="宋体"/>
                <w:b/>
                <w:bCs w:val="0"/>
                <w:color w:val="auto"/>
                <w:sz w:val="21"/>
                <w:szCs w:val="21"/>
                <w:highlight w:val="none"/>
                <w:lang w:val="en-US" w:eastAsia="zh-CN"/>
              </w:rPr>
              <w:t>注：本项满分为65分，以采购需求书中要求提供（如有）的证明材料作为评审依据，未按要求提供不得分。</w:t>
            </w:r>
          </w:p>
        </w:tc>
      </w:tr>
      <w:tr w14:paraId="5225A165">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507" w:hRule="atLeast"/>
          <w:jc w:val="center"/>
        </w:trPr>
        <w:tc>
          <w:tcPr>
            <w:tcW w:w="615" w:type="pct"/>
            <w:vMerge w:val="continue"/>
            <w:tcBorders>
              <w:left w:val="single" w:color="auto" w:sz="4" w:space="0"/>
              <w:right w:val="single" w:color="auto" w:sz="4" w:space="0"/>
            </w:tcBorders>
            <w:shd w:val="clear" w:color="auto" w:fill="auto"/>
            <w:noWrap w:val="0"/>
            <w:tcMar>
              <w:left w:w="105" w:type="dxa"/>
              <w:right w:w="105" w:type="dxa"/>
            </w:tcMar>
            <w:vAlign w:val="center"/>
          </w:tcPr>
          <w:p w14:paraId="1C5336D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yellow"/>
                <w:lang w:eastAsia="zh-CN"/>
              </w:rPr>
            </w:pPr>
          </w:p>
        </w:tc>
        <w:tc>
          <w:tcPr>
            <w:tcW w:w="81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0F9F1C1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left="0" w:leftChars="0" w:right="0" w:rightChars="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eastAsia="zh-CN"/>
              </w:rPr>
              <w:t>设备授权情况（</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356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center"/>
          </w:tcPr>
          <w:p w14:paraId="06954925">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供应商提供设备制造商或代理商针对本</w:t>
            </w:r>
            <w:r>
              <w:rPr>
                <w:rFonts w:hint="eastAsia" w:asciiTheme="minorEastAsia" w:hAnsiTheme="minorEastAsia" w:eastAsiaTheme="minorEastAsia" w:cstheme="minorEastAsia"/>
                <w:sz w:val="21"/>
                <w:szCs w:val="21"/>
                <w:highlight w:val="none"/>
                <w:lang w:eastAsia="zh-CN"/>
              </w:rPr>
              <w:t>项目</w:t>
            </w:r>
            <w:r>
              <w:rPr>
                <w:rFonts w:hint="eastAsia" w:asciiTheme="minorEastAsia" w:hAnsiTheme="minorEastAsia" w:eastAsiaTheme="minorEastAsia" w:cstheme="minorEastAsia"/>
                <w:sz w:val="21"/>
                <w:szCs w:val="21"/>
                <w:highlight w:val="none"/>
              </w:rPr>
              <w:t>所投产品有效的授权文件（如为所投产品制造商，则提供制造商证明文件）的</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得</w:t>
            </w:r>
            <w:r>
              <w:rPr>
                <w:rFonts w:hint="eastAsia" w:asciiTheme="minorEastAsia" w:hAnsi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 xml:space="preserve">分，如供应商提供的授权文件为代理商针对本项目所投产品有效的授权文件的，还须同时提供设备制造商对代理商的有效授权文件，未按要求提供的得0分。 </w:t>
            </w:r>
          </w:p>
          <w:p w14:paraId="7DD0FE8F">
            <w:pPr>
              <w:pStyle w:val="25"/>
              <w:numPr>
                <w:ilvl w:val="0"/>
                <w:numId w:val="0"/>
              </w:numPr>
              <w:jc w:val="left"/>
              <w:rPr>
                <w:rFonts w:hint="eastAsia" w:ascii="宋体" w:hAnsi="宋体" w:eastAsia="宋体" w:cs="宋体"/>
                <w:color w:val="auto"/>
                <w:kern w:val="0"/>
                <w:sz w:val="21"/>
                <w:szCs w:val="21"/>
                <w:highlight w:val="none"/>
                <w:lang w:val="zh-CN" w:eastAsia="zh-CN" w:bidi="ar"/>
              </w:rPr>
            </w:pPr>
            <w:r>
              <w:rPr>
                <w:rFonts w:hint="eastAsia" w:asciiTheme="minorEastAsia" w:hAnsiTheme="minorEastAsia" w:eastAsiaTheme="minorEastAsia" w:cstheme="minorEastAsia"/>
                <w:sz w:val="21"/>
                <w:szCs w:val="21"/>
                <w:highlight w:val="none"/>
              </w:rPr>
              <w:t>注：</w:t>
            </w:r>
            <w:r>
              <w:rPr>
                <w:rFonts w:hint="eastAsia" w:asciiTheme="minorEastAsia" w:hAnsiTheme="minorEastAsia" w:eastAsiaTheme="minorEastAsia" w:cstheme="minorEastAsia"/>
                <w:sz w:val="21"/>
                <w:szCs w:val="21"/>
                <w:highlight w:val="none"/>
                <w:lang w:eastAsia="zh-CN"/>
              </w:rPr>
              <w:t>响应</w:t>
            </w:r>
            <w:r>
              <w:rPr>
                <w:rFonts w:hint="eastAsia" w:asciiTheme="minorEastAsia" w:hAnsiTheme="minorEastAsia" w:eastAsiaTheme="minorEastAsia" w:cstheme="minorEastAsia"/>
                <w:sz w:val="21"/>
                <w:szCs w:val="21"/>
                <w:highlight w:val="none"/>
              </w:rPr>
              <w:t>文件中提供授权文件复印件</w:t>
            </w:r>
            <w:r>
              <w:rPr>
                <w:rFonts w:hint="eastAsia" w:asciiTheme="minorEastAsia" w:hAnsiTheme="minorEastAsia" w:eastAsiaTheme="minorEastAsia" w:cstheme="minorEastAsia"/>
                <w:sz w:val="21"/>
                <w:szCs w:val="21"/>
                <w:highlight w:val="none"/>
                <w:lang w:eastAsia="zh-CN"/>
              </w:rPr>
              <w:t>（如为产品制造商的提供相关证明文件）</w:t>
            </w:r>
            <w:r>
              <w:rPr>
                <w:rFonts w:hint="eastAsia" w:asciiTheme="minorEastAsia" w:hAnsiTheme="minorEastAsia" w:eastAsiaTheme="minorEastAsia" w:cstheme="minorEastAsia"/>
                <w:sz w:val="21"/>
                <w:szCs w:val="21"/>
                <w:highlight w:val="none"/>
              </w:rPr>
              <w:t>加盖供应商公章。</w:t>
            </w:r>
          </w:p>
        </w:tc>
      </w:tr>
      <w:tr w14:paraId="4811E1E7">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855" w:hRule="atLeast"/>
          <w:jc w:val="center"/>
        </w:trPr>
        <w:tc>
          <w:tcPr>
            <w:tcW w:w="615" w:type="pct"/>
            <w:vMerge w:val="continue"/>
            <w:tcBorders>
              <w:left w:val="single" w:color="auto" w:sz="4" w:space="0"/>
              <w:right w:val="single" w:color="auto" w:sz="4" w:space="0"/>
            </w:tcBorders>
            <w:shd w:val="clear" w:color="auto" w:fill="auto"/>
            <w:noWrap w:val="0"/>
            <w:tcMar>
              <w:left w:w="105" w:type="dxa"/>
              <w:right w:w="105" w:type="dxa"/>
            </w:tcMar>
            <w:vAlign w:val="center"/>
          </w:tcPr>
          <w:p w14:paraId="4D7D936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auto"/>
                <w:sz w:val="21"/>
                <w:szCs w:val="21"/>
                <w:highlight w:val="yellow"/>
                <w:lang w:eastAsia="zh-CN"/>
              </w:rPr>
            </w:pPr>
          </w:p>
        </w:tc>
        <w:tc>
          <w:tcPr>
            <w:tcW w:w="81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top"/>
          </w:tcPr>
          <w:p w14:paraId="06932EC6">
            <w:pPr>
              <w:keepNext w:val="0"/>
              <w:keepLines w:val="0"/>
              <w:pageBreakBefore w:val="0"/>
              <w:widowControl/>
              <w:kinsoku/>
              <w:wordWrap/>
              <w:overflowPunct/>
              <w:topLinePunct w:val="0"/>
              <w:autoSpaceDE/>
              <w:autoSpaceDN/>
              <w:bidi w:val="0"/>
              <w:adjustRightInd/>
              <w:snapToGrid/>
              <w:spacing w:line="360" w:lineRule="exact"/>
              <w:ind w:left="210" w:leftChars="0" w:hanging="210" w:hangingChars="100"/>
              <w:jc w:val="center"/>
              <w:textAlignment w:val="auto"/>
              <w:rPr>
                <w:rFonts w:hint="eastAsia" w:ascii="宋体" w:hAnsi="宋体" w:eastAsia="宋体" w:cs="宋体"/>
                <w:color w:val="auto"/>
                <w:sz w:val="21"/>
                <w:szCs w:val="21"/>
                <w:highlight w:val="yellow"/>
                <w:lang w:eastAsia="zh-CN"/>
              </w:rPr>
            </w:pPr>
            <w:r>
              <w:rPr>
                <w:rFonts w:hint="eastAsia" w:ascii="宋体" w:hAnsi="宋体" w:cs="宋体"/>
                <w:color w:val="auto"/>
                <w:sz w:val="21"/>
                <w:szCs w:val="21"/>
                <w:highlight w:val="none"/>
                <w:lang w:val="en-US" w:eastAsia="zh-CN" w:bidi="ar"/>
              </w:rPr>
              <w:t>技术服务方案</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356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top"/>
          </w:tcPr>
          <w:p w14:paraId="3A8B11EC">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根据</w:t>
            </w:r>
            <w:r>
              <w:rPr>
                <w:rFonts w:hint="eastAsia" w:asciiTheme="minorEastAsia" w:hAnsiTheme="minorEastAsia" w:eastAsiaTheme="minorEastAsia" w:cstheme="minorEastAsia"/>
                <w:sz w:val="21"/>
                <w:szCs w:val="21"/>
                <w:highlight w:val="none"/>
                <w:lang w:val="en-US" w:eastAsia="zh-CN"/>
              </w:rPr>
              <w:t>供应商</w:t>
            </w:r>
            <w:r>
              <w:rPr>
                <w:rFonts w:hint="eastAsia" w:asciiTheme="minorEastAsia" w:hAnsiTheme="minorEastAsia" w:eastAsiaTheme="minorEastAsia" w:cstheme="minorEastAsia"/>
                <w:sz w:val="21"/>
                <w:szCs w:val="21"/>
                <w:highlight w:val="none"/>
              </w:rPr>
              <w:t>的安装、</w:t>
            </w:r>
            <w:r>
              <w:rPr>
                <w:rFonts w:hint="eastAsia" w:asciiTheme="minorEastAsia" w:hAnsiTheme="minorEastAsia" w:eastAsiaTheme="minorEastAsia" w:cstheme="minorEastAsia"/>
                <w:sz w:val="21"/>
                <w:szCs w:val="21"/>
                <w:highlight w:val="none"/>
                <w:lang w:val="en-US" w:eastAsia="zh-CN"/>
              </w:rPr>
              <w:t>检测、</w:t>
            </w:r>
            <w:r>
              <w:rPr>
                <w:rFonts w:hint="eastAsia" w:asciiTheme="minorEastAsia" w:hAnsiTheme="minorEastAsia" w:eastAsiaTheme="minorEastAsia" w:cstheme="minorEastAsia"/>
                <w:sz w:val="21"/>
                <w:szCs w:val="21"/>
                <w:highlight w:val="none"/>
              </w:rPr>
              <w:t>验收</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 xml:space="preserve">培训计划等情况进行评审： </w:t>
            </w:r>
          </w:p>
          <w:p w14:paraId="56AD8579">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安装、</w:t>
            </w:r>
            <w:r>
              <w:rPr>
                <w:rFonts w:hint="eastAsia" w:asciiTheme="minorEastAsia" w:hAnsiTheme="minorEastAsia" w:eastAsiaTheme="minorEastAsia" w:cstheme="minorEastAsia"/>
                <w:sz w:val="21"/>
                <w:szCs w:val="21"/>
                <w:highlight w:val="none"/>
                <w:lang w:val="en-US" w:eastAsia="zh-CN"/>
              </w:rPr>
              <w:t>检测、</w:t>
            </w:r>
            <w:r>
              <w:rPr>
                <w:rFonts w:hint="eastAsia" w:asciiTheme="minorEastAsia" w:hAnsiTheme="minorEastAsia" w:eastAsiaTheme="minorEastAsia" w:cstheme="minorEastAsia"/>
                <w:sz w:val="21"/>
                <w:szCs w:val="21"/>
                <w:highlight w:val="none"/>
              </w:rPr>
              <w:t>验收</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培训计划条理非常清晰，脉络分明，操作性强，人性化，能体现以人为本、服务至上的售后理念，得</w:t>
            </w:r>
            <w:r>
              <w:rPr>
                <w:rFonts w:hint="eastAsia" w:asciiTheme="minorEastAsia" w:hAnsiTheme="minorEastAsia" w:cstheme="minorEastAsia"/>
                <w:sz w:val="21"/>
                <w:szCs w:val="21"/>
                <w:highlight w:val="none"/>
                <w:lang w:val="en-US" w:eastAsia="zh-CN"/>
              </w:rPr>
              <w:t>10</w:t>
            </w:r>
            <w:r>
              <w:rPr>
                <w:rFonts w:hint="eastAsia" w:asciiTheme="minorEastAsia" w:hAnsiTheme="minorEastAsia" w:eastAsiaTheme="minorEastAsia" w:cstheme="minorEastAsia"/>
                <w:sz w:val="21"/>
                <w:szCs w:val="21"/>
                <w:highlight w:val="none"/>
              </w:rPr>
              <w:t>分；</w:t>
            </w:r>
          </w:p>
          <w:p w14:paraId="2D2D6849">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安装、</w:t>
            </w:r>
            <w:r>
              <w:rPr>
                <w:rFonts w:hint="eastAsia" w:asciiTheme="minorEastAsia" w:hAnsiTheme="minorEastAsia" w:eastAsiaTheme="minorEastAsia" w:cstheme="minorEastAsia"/>
                <w:sz w:val="21"/>
                <w:szCs w:val="21"/>
                <w:highlight w:val="none"/>
                <w:lang w:val="en-US" w:eastAsia="zh-CN"/>
              </w:rPr>
              <w:t>检测、</w:t>
            </w:r>
            <w:r>
              <w:rPr>
                <w:rFonts w:hint="eastAsia" w:asciiTheme="minorEastAsia" w:hAnsiTheme="minorEastAsia" w:eastAsiaTheme="minorEastAsia" w:cstheme="minorEastAsia"/>
                <w:sz w:val="21"/>
                <w:szCs w:val="21"/>
                <w:highlight w:val="none"/>
              </w:rPr>
              <w:t>验收</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培训计划条理较清晰，脉络较分明，操作性较强，基本体现以人为本、服务至上的售后理念，得</w:t>
            </w:r>
            <w:r>
              <w:rPr>
                <w:rFonts w:hint="eastAsia" w:asciiTheme="minorEastAsia" w:hAnsiTheme="minorEastAsia" w:cstheme="minorEastAsia"/>
                <w:sz w:val="21"/>
                <w:szCs w:val="21"/>
                <w:highlight w:val="none"/>
                <w:lang w:val="en-US" w:eastAsia="zh-CN"/>
              </w:rPr>
              <w:t>7</w:t>
            </w:r>
            <w:r>
              <w:rPr>
                <w:rFonts w:hint="eastAsia" w:asciiTheme="minorEastAsia" w:hAnsiTheme="minorEastAsia" w:eastAsiaTheme="minorEastAsia" w:cstheme="minorEastAsia"/>
                <w:sz w:val="21"/>
                <w:szCs w:val="21"/>
                <w:highlight w:val="none"/>
              </w:rPr>
              <w:t>分；</w:t>
            </w:r>
          </w:p>
          <w:p w14:paraId="10E7B917">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安装、</w:t>
            </w:r>
            <w:r>
              <w:rPr>
                <w:rFonts w:hint="eastAsia" w:asciiTheme="minorEastAsia" w:hAnsiTheme="minorEastAsia" w:eastAsiaTheme="minorEastAsia" w:cstheme="minorEastAsia"/>
                <w:sz w:val="21"/>
                <w:szCs w:val="21"/>
                <w:highlight w:val="none"/>
                <w:lang w:val="en-US" w:eastAsia="zh-CN"/>
              </w:rPr>
              <w:t>检测、</w:t>
            </w:r>
            <w:r>
              <w:rPr>
                <w:rFonts w:hint="eastAsia" w:asciiTheme="minorEastAsia" w:hAnsiTheme="minorEastAsia" w:eastAsiaTheme="minorEastAsia" w:cstheme="minorEastAsia"/>
                <w:sz w:val="21"/>
                <w:szCs w:val="21"/>
                <w:highlight w:val="none"/>
              </w:rPr>
              <w:t>验收</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培训计划条理一般，脉络不分明，操作性一般，以人为本、服务至上的售后理念含糊，得</w:t>
            </w:r>
            <w:r>
              <w:rPr>
                <w:rFonts w:hint="eastAsia" w:asciiTheme="minorEastAsia" w:hAnsi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 xml:space="preserve">分； </w:t>
            </w:r>
          </w:p>
          <w:p w14:paraId="146391F5">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安装、</w:t>
            </w:r>
            <w:r>
              <w:rPr>
                <w:rFonts w:hint="eastAsia" w:asciiTheme="minorEastAsia" w:hAnsiTheme="minorEastAsia" w:eastAsiaTheme="minorEastAsia" w:cstheme="minorEastAsia"/>
                <w:sz w:val="21"/>
                <w:szCs w:val="21"/>
                <w:highlight w:val="none"/>
                <w:lang w:val="en-US" w:eastAsia="zh-CN"/>
              </w:rPr>
              <w:t>检测、</w:t>
            </w:r>
            <w:r>
              <w:rPr>
                <w:rFonts w:hint="eastAsia" w:asciiTheme="minorEastAsia" w:hAnsiTheme="minorEastAsia" w:eastAsiaTheme="minorEastAsia" w:cstheme="minorEastAsia"/>
                <w:sz w:val="21"/>
                <w:szCs w:val="21"/>
                <w:highlight w:val="none"/>
              </w:rPr>
              <w:t>验收</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培训计划条理模糊，脉络混乱，操作性差，不能体现以人为本、服务至上的售后理念，得</w:t>
            </w:r>
            <w:r>
              <w:rPr>
                <w:rFonts w:hint="eastAsia" w:asciiTheme="minorEastAsia" w:hAnsi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 xml:space="preserve">分； </w:t>
            </w:r>
          </w:p>
          <w:p w14:paraId="224866DE">
            <w:pPr>
              <w:pStyle w:val="25"/>
              <w:numPr>
                <w:ilvl w:val="0"/>
                <w:numId w:val="0"/>
              </w:numPr>
              <w:jc w:val="left"/>
              <w:rPr>
                <w:rFonts w:hint="eastAsia"/>
                <w:sz w:val="21"/>
                <w:szCs w:val="21"/>
                <w:highlight w:val="none"/>
                <w:lang w:val="zh-CN" w:eastAsia="zh-CN"/>
              </w:rPr>
            </w:pP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不提供方案的不得分。</w:t>
            </w:r>
          </w:p>
        </w:tc>
      </w:tr>
      <w:tr w14:paraId="1EF42395">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553" w:hRule="atLeast"/>
          <w:jc w:val="center"/>
        </w:trPr>
        <w:tc>
          <w:tcPr>
            <w:tcW w:w="615" w:type="pct"/>
            <w:vMerge w:val="continue"/>
            <w:tcBorders>
              <w:left w:val="single" w:color="auto" w:sz="4" w:space="0"/>
              <w:right w:val="single" w:color="auto" w:sz="4" w:space="0"/>
            </w:tcBorders>
            <w:shd w:val="clear" w:color="auto" w:fill="auto"/>
            <w:noWrap w:val="0"/>
            <w:tcMar>
              <w:left w:w="105" w:type="dxa"/>
              <w:right w:w="105" w:type="dxa"/>
            </w:tcMar>
            <w:vAlign w:val="center"/>
          </w:tcPr>
          <w:p w14:paraId="67177B1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exact"/>
              <w:ind w:right="0"/>
              <w:jc w:val="center"/>
              <w:rPr>
                <w:rFonts w:hint="eastAsia" w:ascii="宋体" w:hAnsi="宋体" w:eastAsia="宋体" w:cs="宋体"/>
                <w:color w:val="333333"/>
                <w:sz w:val="21"/>
                <w:szCs w:val="21"/>
                <w:highlight w:val="yellow"/>
                <w:lang w:eastAsia="zh-CN"/>
              </w:rPr>
            </w:pPr>
          </w:p>
        </w:tc>
        <w:tc>
          <w:tcPr>
            <w:tcW w:w="81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top"/>
          </w:tcPr>
          <w:p w14:paraId="3EF9B908">
            <w:pPr>
              <w:keepNext w:val="0"/>
              <w:keepLines w:val="0"/>
              <w:pageBreakBefore w:val="0"/>
              <w:kinsoku/>
              <w:overflowPunct/>
              <w:topLinePunct w:val="0"/>
              <w:bidi w:val="0"/>
              <w:spacing w:line="36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售后服务承诺</w:t>
            </w:r>
            <w:r>
              <w:rPr>
                <w:rFonts w:hint="eastAsia" w:ascii="宋体" w:hAnsi="宋体" w:cs="宋体"/>
                <w:sz w:val="21"/>
                <w:szCs w:val="21"/>
                <w:highlight w:val="none"/>
                <w:lang w:val="en-US" w:eastAsia="zh-CN"/>
              </w:rPr>
              <w:t>方案</w:t>
            </w:r>
            <w:r>
              <w:rPr>
                <w:rFonts w:hint="eastAsia" w:ascii="宋体" w:hAnsi="宋体" w:eastAsia="宋体" w:cs="宋体"/>
                <w:sz w:val="21"/>
                <w:szCs w:val="21"/>
                <w:highlight w:val="none"/>
              </w:rPr>
              <w:t xml:space="preserve"> (</w:t>
            </w:r>
            <w:r>
              <w:rPr>
                <w:rFonts w:hint="eastAsia" w:ascii="宋体" w:hAnsi="宋体" w:cs="宋体"/>
                <w:sz w:val="21"/>
                <w:szCs w:val="21"/>
                <w:highlight w:val="none"/>
                <w:lang w:val="en-US" w:eastAsia="zh-CN"/>
              </w:rPr>
              <w:t>13</w:t>
            </w:r>
            <w:r>
              <w:rPr>
                <w:rFonts w:hint="eastAsia" w:ascii="宋体" w:hAnsi="宋体" w:eastAsia="宋体" w:cs="宋体"/>
                <w:sz w:val="21"/>
                <w:szCs w:val="21"/>
                <w:highlight w:val="none"/>
              </w:rPr>
              <w:t>分)</w:t>
            </w:r>
          </w:p>
        </w:tc>
        <w:tc>
          <w:tcPr>
            <w:tcW w:w="3567" w:type="pct"/>
            <w:tcBorders>
              <w:top w:val="single" w:color="auto" w:sz="4" w:space="0"/>
              <w:left w:val="single" w:color="auto" w:sz="4" w:space="0"/>
              <w:bottom w:val="single" w:color="auto" w:sz="4" w:space="0"/>
              <w:right w:val="single" w:color="auto" w:sz="4" w:space="0"/>
            </w:tcBorders>
            <w:shd w:val="clear" w:color="auto" w:fill="FFFFFF"/>
            <w:noWrap w:val="0"/>
            <w:tcMar>
              <w:left w:w="105" w:type="dxa"/>
              <w:right w:w="105" w:type="dxa"/>
            </w:tcMar>
            <w:vAlign w:val="top"/>
          </w:tcPr>
          <w:p w14:paraId="3A80DEBC">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根据供应商的售后服务承诺方案进行评审（包括质</w:t>
            </w:r>
            <w:r>
              <w:rPr>
                <w:rFonts w:hint="eastAsia" w:asciiTheme="minorEastAsia" w:hAnsiTheme="minorEastAsia" w:eastAsiaTheme="minorEastAsia" w:cstheme="minorEastAsia"/>
                <w:sz w:val="21"/>
                <w:szCs w:val="21"/>
                <w:highlight w:val="none"/>
                <w:lang w:val="en-US" w:eastAsia="zh-CN"/>
              </w:rPr>
              <w:t>量保证</w:t>
            </w:r>
            <w:r>
              <w:rPr>
                <w:rFonts w:hint="eastAsia" w:asciiTheme="minorEastAsia" w:hAnsiTheme="minorEastAsia" w:eastAsiaTheme="minorEastAsia" w:cstheme="minorEastAsia"/>
                <w:sz w:val="21"/>
                <w:szCs w:val="21"/>
                <w:highlight w:val="none"/>
              </w:rPr>
              <w:t>期、</w:t>
            </w:r>
            <w:r>
              <w:rPr>
                <w:rFonts w:hint="eastAsia" w:asciiTheme="minorEastAsia" w:hAnsiTheme="minorEastAsia" w:eastAsiaTheme="minorEastAsia" w:cstheme="minorEastAsia"/>
                <w:sz w:val="21"/>
                <w:szCs w:val="21"/>
                <w:highlight w:val="none"/>
                <w:lang w:val="en-US" w:eastAsia="zh-CN"/>
              </w:rPr>
              <w:t>承诺提供的设备生产日期、</w:t>
            </w:r>
            <w:r>
              <w:rPr>
                <w:rFonts w:hint="eastAsia" w:asciiTheme="minorEastAsia" w:hAnsiTheme="minorEastAsia" w:eastAsiaTheme="minorEastAsia" w:cstheme="minorEastAsia"/>
                <w:sz w:val="21"/>
                <w:szCs w:val="21"/>
                <w:highlight w:val="none"/>
              </w:rPr>
              <w:t>维护保养</w:t>
            </w:r>
            <w:r>
              <w:rPr>
                <w:rFonts w:hint="eastAsia" w:asciiTheme="minorEastAsia" w:hAnsiTheme="minorEastAsia" w:cstheme="minorEastAsia"/>
                <w:sz w:val="21"/>
                <w:szCs w:val="21"/>
                <w:highlight w:val="none"/>
                <w:lang w:eastAsia="zh-CN"/>
              </w:rPr>
              <w:t>、</w:t>
            </w:r>
            <w:r>
              <w:rPr>
                <w:rFonts w:hint="eastAsia" w:asciiTheme="minorEastAsia" w:hAnsiTheme="minorEastAsia" w:cstheme="minorEastAsia"/>
                <w:sz w:val="21"/>
                <w:szCs w:val="21"/>
                <w:highlight w:val="none"/>
                <w:lang w:val="en-US" w:eastAsia="zh-CN"/>
              </w:rPr>
              <w:t>服务响应</w:t>
            </w:r>
            <w:r>
              <w:rPr>
                <w:rFonts w:hint="eastAsia" w:asciiTheme="minorEastAsia" w:hAnsiTheme="minorEastAsia" w:eastAsiaTheme="minorEastAsia" w:cstheme="minorEastAsia"/>
                <w:sz w:val="21"/>
                <w:szCs w:val="21"/>
                <w:highlight w:val="none"/>
              </w:rPr>
              <w:t>等内容）：</w:t>
            </w:r>
          </w:p>
          <w:p w14:paraId="5F071F88">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承诺的质量保证期明确</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质量保证期</w:t>
            </w:r>
            <w:r>
              <w:rPr>
                <w:rFonts w:hint="eastAsia" w:asciiTheme="minorEastAsia" w:hAnsiTheme="minorEastAsia" w:cstheme="minorEastAsia"/>
                <w:sz w:val="21"/>
                <w:szCs w:val="21"/>
                <w:highlight w:val="none"/>
                <w:lang w:val="en-US" w:eastAsia="zh-CN"/>
              </w:rPr>
              <w:t>或所供产品</w:t>
            </w:r>
            <w:r>
              <w:rPr>
                <w:rFonts w:hint="eastAsia" w:asciiTheme="minorEastAsia" w:hAnsiTheme="minorEastAsia" w:eastAsiaTheme="minorEastAsia" w:cstheme="minorEastAsia"/>
                <w:sz w:val="21"/>
                <w:szCs w:val="21"/>
                <w:highlight w:val="none"/>
              </w:rPr>
              <w:t>优于</w:t>
            </w:r>
            <w:r>
              <w:rPr>
                <w:rFonts w:hint="eastAsia" w:asciiTheme="minorEastAsia" w:hAnsiTheme="minorEastAsia" w:eastAsiaTheme="minorEastAsia" w:cstheme="minorEastAsia"/>
                <w:sz w:val="21"/>
                <w:szCs w:val="21"/>
                <w:highlight w:val="none"/>
                <w:lang w:eastAsia="zh-CN"/>
              </w:rPr>
              <w:t>比选</w:t>
            </w:r>
            <w:r>
              <w:rPr>
                <w:rFonts w:hint="eastAsia" w:asciiTheme="minorEastAsia" w:hAnsiTheme="minorEastAsia" w:eastAsiaTheme="minorEastAsia" w:cstheme="minorEastAsia"/>
                <w:sz w:val="21"/>
                <w:szCs w:val="21"/>
                <w:highlight w:val="none"/>
                <w:lang w:val="en-US" w:eastAsia="zh-CN"/>
              </w:rPr>
              <w:t>文件</w:t>
            </w:r>
            <w:r>
              <w:rPr>
                <w:rFonts w:hint="eastAsia" w:asciiTheme="minorEastAsia" w:hAnsiTheme="minorEastAsia" w:eastAsiaTheme="minorEastAsia" w:cstheme="minorEastAsia"/>
                <w:sz w:val="21"/>
                <w:szCs w:val="21"/>
                <w:highlight w:val="none"/>
              </w:rPr>
              <w:t>要求，售后服务内容详细、可行、操作性强，售后服务专业、解决问题效率高，服务响应到场时间短，零配件供应详细、合理，切合实际，完全响应并满足</w:t>
            </w:r>
            <w:r>
              <w:rPr>
                <w:rFonts w:hint="eastAsia" w:asciiTheme="minorEastAsia" w:hAnsiTheme="minorEastAsia" w:eastAsiaTheme="minorEastAsia" w:cstheme="minorEastAsia"/>
                <w:sz w:val="21"/>
                <w:szCs w:val="21"/>
                <w:highlight w:val="none"/>
                <w:lang w:eastAsia="zh-CN"/>
              </w:rPr>
              <w:t>采购需求</w:t>
            </w:r>
            <w:r>
              <w:rPr>
                <w:rFonts w:hint="eastAsia" w:asciiTheme="minorEastAsia" w:hAnsiTheme="minorEastAsia" w:eastAsiaTheme="minorEastAsia" w:cstheme="minorEastAsia"/>
                <w:sz w:val="21"/>
                <w:szCs w:val="21"/>
                <w:highlight w:val="none"/>
              </w:rPr>
              <w:t>的，得</w:t>
            </w:r>
            <w:r>
              <w:rPr>
                <w:rFonts w:hint="eastAsia" w:asciiTheme="minorEastAsia" w:hAnsiTheme="minorEastAsia" w:cstheme="minorEastAsia"/>
                <w:sz w:val="21"/>
                <w:szCs w:val="21"/>
                <w:highlight w:val="none"/>
                <w:lang w:val="en-US" w:eastAsia="zh-CN"/>
              </w:rPr>
              <w:t>13</w:t>
            </w:r>
            <w:r>
              <w:rPr>
                <w:rFonts w:hint="eastAsia" w:asciiTheme="minorEastAsia" w:hAnsiTheme="minorEastAsia" w:eastAsiaTheme="minorEastAsia" w:cstheme="minorEastAsia"/>
                <w:sz w:val="21"/>
                <w:szCs w:val="21"/>
                <w:highlight w:val="none"/>
              </w:rPr>
              <w:t xml:space="preserve">分； </w:t>
            </w:r>
          </w:p>
          <w:p w14:paraId="59589062">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承诺的质量保证期明确，</w:t>
            </w:r>
            <w:r>
              <w:rPr>
                <w:rFonts w:hint="eastAsia" w:asciiTheme="minorEastAsia" w:hAnsiTheme="minorEastAsia" w:eastAsiaTheme="minorEastAsia" w:cstheme="minorEastAsia"/>
                <w:sz w:val="21"/>
                <w:szCs w:val="21"/>
                <w:highlight w:val="none"/>
                <w:lang w:val="en-US" w:eastAsia="zh-CN"/>
              </w:rPr>
              <w:t>质量保证期</w:t>
            </w:r>
            <w:r>
              <w:rPr>
                <w:rFonts w:hint="eastAsia" w:asciiTheme="minorEastAsia" w:hAnsiTheme="minorEastAsia" w:cstheme="minorEastAsia"/>
                <w:sz w:val="21"/>
                <w:szCs w:val="21"/>
                <w:highlight w:val="none"/>
                <w:lang w:val="en-US" w:eastAsia="zh-CN"/>
              </w:rPr>
              <w:t>和所供产品</w:t>
            </w:r>
            <w:r>
              <w:rPr>
                <w:rFonts w:hint="eastAsia" w:asciiTheme="minorEastAsia" w:hAnsiTheme="minorEastAsia" w:eastAsiaTheme="minorEastAsia" w:cstheme="minorEastAsia"/>
                <w:sz w:val="21"/>
                <w:szCs w:val="21"/>
                <w:highlight w:val="none"/>
              </w:rPr>
              <w:t>满足</w:t>
            </w:r>
            <w:r>
              <w:rPr>
                <w:rFonts w:hint="eastAsia" w:asciiTheme="minorEastAsia" w:hAnsiTheme="minorEastAsia" w:eastAsiaTheme="minorEastAsia" w:cstheme="minorEastAsia"/>
                <w:sz w:val="21"/>
                <w:szCs w:val="21"/>
                <w:highlight w:val="none"/>
                <w:lang w:eastAsia="zh-CN"/>
              </w:rPr>
              <w:t>比选</w:t>
            </w:r>
            <w:r>
              <w:rPr>
                <w:rFonts w:hint="eastAsia" w:asciiTheme="minorEastAsia" w:hAnsiTheme="minorEastAsia" w:eastAsiaTheme="minorEastAsia" w:cstheme="minorEastAsia"/>
                <w:sz w:val="21"/>
                <w:szCs w:val="21"/>
                <w:highlight w:val="none"/>
                <w:lang w:val="en-US" w:eastAsia="zh-CN"/>
              </w:rPr>
              <w:t>文件</w:t>
            </w:r>
            <w:r>
              <w:rPr>
                <w:rFonts w:hint="eastAsia" w:asciiTheme="minorEastAsia" w:hAnsiTheme="minorEastAsia" w:eastAsiaTheme="minorEastAsia" w:cstheme="minorEastAsia"/>
                <w:sz w:val="21"/>
                <w:szCs w:val="21"/>
                <w:highlight w:val="none"/>
              </w:rPr>
              <w:t>要求，售后服务内容较详细、可行，售后服务较专业、解决问题效率较高，服务响应到场时间较短，零配件供应较详细、合理，较能满足</w:t>
            </w:r>
            <w:r>
              <w:rPr>
                <w:rFonts w:hint="eastAsia" w:asciiTheme="minorEastAsia" w:hAnsiTheme="minorEastAsia" w:eastAsiaTheme="minorEastAsia" w:cstheme="minorEastAsia"/>
                <w:sz w:val="21"/>
                <w:szCs w:val="21"/>
                <w:highlight w:val="none"/>
                <w:lang w:eastAsia="zh-CN"/>
              </w:rPr>
              <w:t>采购需求</w:t>
            </w:r>
            <w:r>
              <w:rPr>
                <w:rFonts w:hint="eastAsia" w:asciiTheme="minorEastAsia" w:hAnsiTheme="minorEastAsia" w:eastAsiaTheme="minorEastAsia" w:cstheme="minorEastAsia"/>
                <w:sz w:val="21"/>
                <w:szCs w:val="21"/>
                <w:highlight w:val="none"/>
              </w:rPr>
              <w:t>的，得</w:t>
            </w:r>
            <w:r>
              <w:rPr>
                <w:rFonts w:hint="eastAsia" w:asciiTheme="minorEastAsia" w:hAnsiTheme="minorEastAsia" w:cstheme="minorEastAsia"/>
                <w:sz w:val="21"/>
                <w:szCs w:val="21"/>
                <w:highlight w:val="none"/>
                <w:lang w:val="en-US" w:eastAsia="zh-CN"/>
              </w:rPr>
              <w:t>9</w:t>
            </w:r>
            <w:r>
              <w:rPr>
                <w:rFonts w:hint="eastAsia" w:asciiTheme="minorEastAsia" w:hAnsiTheme="minorEastAsia" w:eastAsiaTheme="minorEastAsia" w:cstheme="minorEastAsia"/>
                <w:sz w:val="21"/>
                <w:szCs w:val="21"/>
                <w:highlight w:val="none"/>
              </w:rPr>
              <w:t xml:space="preserve">分； </w:t>
            </w:r>
          </w:p>
          <w:p w14:paraId="6C674721">
            <w:pPr>
              <w:pStyle w:val="25"/>
              <w:numPr>
                <w:ilvl w:val="0"/>
                <w:numId w:val="0"/>
              </w:numPr>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承诺的质量保证期基本明确，</w:t>
            </w:r>
            <w:r>
              <w:rPr>
                <w:rFonts w:hint="eastAsia" w:asciiTheme="minorEastAsia" w:hAnsiTheme="minorEastAsia" w:eastAsiaTheme="minorEastAsia" w:cstheme="minorEastAsia"/>
                <w:sz w:val="21"/>
                <w:szCs w:val="21"/>
                <w:highlight w:val="none"/>
                <w:lang w:val="en-US" w:eastAsia="zh-CN"/>
              </w:rPr>
              <w:t>质量保证期或</w:t>
            </w:r>
            <w:r>
              <w:rPr>
                <w:rFonts w:hint="eastAsia" w:asciiTheme="minorEastAsia" w:hAnsiTheme="minorEastAsia" w:cstheme="minorEastAsia"/>
                <w:sz w:val="21"/>
                <w:szCs w:val="21"/>
                <w:highlight w:val="none"/>
                <w:lang w:val="en-US" w:eastAsia="zh-CN"/>
              </w:rPr>
              <w:t>所供产品基本</w:t>
            </w:r>
            <w:r>
              <w:rPr>
                <w:rFonts w:hint="eastAsia" w:asciiTheme="minorEastAsia" w:hAnsiTheme="minorEastAsia" w:eastAsiaTheme="minorEastAsia" w:cstheme="minorEastAsia"/>
                <w:sz w:val="21"/>
                <w:szCs w:val="21"/>
                <w:highlight w:val="none"/>
                <w:lang w:val="en-US" w:eastAsia="zh-CN"/>
              </w:rPr>
              <w:t>满足比选文件要求，</w:t>
            </w:r>
            <w:r>
              <w:rPr>
                <w:rFonts w:hint="eastAsia" w:asciiTheme="minorEastAsia" w:hAnsiTheme="minorEastAsia" w:eastAsiaTheme="minorEastAsia" w:cstheme="minorEastAsia"/>
                <w:sz w:val="21"/>
                <w:szCs w:val="21"/>
                <w:highlight w:val="none"/>
              </w:rPr>
              <w:t>售后服务内容简单，解决问题效率一般，服务响应到场时间较长，零配件供应不详尽，不能完全响应</w:t>
            </w:r>
            <w:r>
              <w:rPr>
                <w:rFonts w:hint="eastAsia" w:asciiTheme="minorEastAsia" w:hAnsiTheme="minorEastAsia" w:eastAsiaTheme="minorEastAsia" w:cstheme="minorEastAsia"/>
                <w:sz w:val="21"/>
                <w:szCs w:val="21"/>
                <w:highlight w:val="none"/>
                <w:lang w:eastAsia="zh-CN"/>
              </w:rPr>
              <w:t>采购需求</w:t>
            </w:r>
            <w:r>
              <w:rPr>
                <w:rFonts w:hint="eastAsia" w:asciiTheme="minorEastAsia" w:hAnsiTheme="minorEastAsia" w:eastAsiaTheme="minorEastAsia" w:cstheme="minorEastAsia"/>
                <w:sz w:val="21"/>
                <w:szCs w:val="21"/>
                <w:highlight w:val="none"/>
              </w:rPr>
              <w:t>的得</w:t>
            </w:r>
            <w:r>
              <w:rPr>
                <w:rFonts w:hint="eastAsia" w:asciiTheme="minorEastAsia" w:hAnsi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 xml:space="preserve">分； </w:t>
            </w:r>
          </w:p>
          <w:p w14:paraId="710A1AFF">
            <w:pPr>
              <w:pStyle w:val="25"/>
              <w:numPr>
                <w:ilvl w:val="0"/>
                <w:numId w:val="0"/>
              </w:numPr>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售后服务内容、质量保证期模糊不清，</w:t>
            </w:r>
            <w:r>
              <w:rPr>
                <w:rFonts w:hint="eastAsia" w:asciiTheme="minorEastAsia" w:hAnsiTheme="minorEastAsia" w:cstheme="minorEastAsia"/>
                <w:sz w:val="21"/>
                <w:szCs w:val="21"/>
                <w:highlight w:val="none"/>
                <w:lang w:val="en-US" w:eastAsia="zh-CN"/>
              </w:rPr>
              <w:t>所供产品</w:t>
            </w:r>
            <w:r>
              <w:rPr>
                <w:rFonts w:hint="eastAsia" w:asciiTheme="minorEastAsia" w:hAnsiTheme="minorEastAsia" w:eastAsiaTheme="minorEastAsia" w:cstheme="minorEastAsia"/>
                <w:sz w:val="21"/>
                <w:szCs w:val="21"/>
                <w:highlight w:val="none"/>
                <w:lang w:val="en-US" w:eastAsia="zh-CN"/>
              </w:rPr>
              <w:t>不能满足比选文件要求，</w:t>
            </w:r>
            <w:r>
              <w:rPr>
                <w:rFonts w:hint="eastAsia" w:asciiTheme="minorEastAsia" w:hAnsiTheme="minorEastAsia" w:eastAsiaTheme="minorEastAsia" w:cstheme="minorEastAsia"/>
                <w:sz w:val="21"/>
                <w:szCs w:val="21"/>
                <w:highlight w:val="none"/>
              </w:rPr>
              <w:t>售后服务差，服务响应到场时间等不满足</w:t>
            </w:r>
            <w:r>
              <w:rPr>
                <w:rFonts w:hint="eastAsia" w:asciiTheme="minorEastAsia" w:hAnsiTheme="minorEastAsia" w:eastAsiaTheme="minorEastAsia" w:cstheme="minorEastAsia"/>
                <w:sz w:val="21"/>
                <w:szCs w:val="21"/>
                <w:highlight w:val="none"/>
                <w:lang w:eastAsia="zh-CN"/>
              </w:rPr>
              <w:t>采购需求或</w:t>
            </w:r>
            <w:r>
              <w:rPr>
                <w:rFonts w:hint="eastAsia" w:asciiTheme="minorEastAsia" w:hAnsiTheme="minorEastAsia" w:eastAsiaTheme="minorEastAsia" w:cstheme="minorEastAsia"/>
                <w:sz w:val="21"/>
                <w:szCs w:val="21"/>
                <w:highlight w:val="none"/>
              </w:rPr>
              <w:t>不提供方案</w:t>
            </w:r>
            <w:r>
              <w:rPr>
                <w:rFonts w:hint="eastAsia" w:asciiTheme="minorEastAsia" w:hAnsiTheme="minorEastAsia" w:eastAsiaTheme="minorEastAsia" w:cstheme="minorEastAsia"/>
                <w:sz w:val="21"/>
                <w:szCs w:val="21"/>
                <w:highlight w:val="none"/>
                <w:lang w:eastAsia="zh-CN"/>
              </w:rPr>
              <w:t>的</w:t>
            </w:r>
            <w:r>
              <w:rPr>
                <w:rFonts w:hint="eastAsia" w:asciiTheme="minorEastAsia" w:hAnsiTheme="minorEastAsia" w:eastAsiaTheme="minorEastAsia" w:cstheme="minorEastAsia"/>
                <w:sz w:val="21"/>
                <w:szCs w:val="21"/>
                <w:highlight w:val="none"/>
              </w:rPr>
              <w:t>，得</w:t>
            </w:r>
            <w:r>
              <w:rPr>
                <w:rFonts w:hint="eastAsia" w:asciiTheme="minorEastAsia" w:hAnsi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分</w:t>
            </w:r>
            <w:r>
              <w:rPr>
                <w:rFonts w:hint="eastAsia" w:asciiTheme="minorEastAsia" w:hAnsiTheme="minorEastAsia" w:eastAsiaTheme="minorEastAsia" w:cstheme="minorEastAsia"/>
                <w:sz w:val="21"/>
                <w:szCs w:val="21"/>
                <w:highlight w:val="none"/>
                <w:lang w:val="en-US" w:eastAsia="zh-CN"/>
              </w:rPr>
              <w:t>；</w:t>
            </w:r>
          </w:p>
          <w:p w14:paraId="1A42104A">
            <w:pPr>
              <w:pStyle w:val="25"/>
              <w:numPr>
                <w:ilvl w:val="0"/>
                <w:numId w:val="0"/>
              </w:numPr>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lang w:val="en-US" w:eastAsia="zh-CN"/>
              </w:rPr>
              <w:t>不提供方案不得分。</w:t>
            </w:r>
          </w:p>
        </w:tc>
      </w:tr>
    </w:tbl>
    <w:p w14:paraId="7568A1F1">
      <w:pPr>
        <w:keepNext w:val="0"/>
        <w:keepLines w:val="0"/>
        <w:pageBreakBefore w:val="0"/>
        <w:widowControl w:val="0"/>
        <w:kinsoku/>
        <w:wordWrap/>
        <w:overflowPunct/>
        <w:topLinePunct w:val="0"/>
        <w:bidi w:val="0"/>
        <w:adjustRightInd w:val="0"/>
        <w:snapToGrid w:val="0"/>
        <w:spacing w:line="360" w:lineRule="exact"/>
        <w:ind w:left="0" w:leftChars="0" w:firstLine="422" w:firstLineChars="200"/>
        <w:jc w:val="both"/>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val="en-US" w:eastAsia="zh-CN"/>
        </w:rPr>
        <w:t>十</w:t>
      </w:r>
      <w:r>
        <w:rPr>
          <w:rFonts w:hint="eastAsia" w:ascii="宋体" w:hAnsi="宋体" w:eastAsia="宋体" w:cs="宋体"/>
          <w:b/>
          <w:bCs/>
          <w:color w:val="auto"/>
          <w:sz w:val="21"/>
          <w:szCs w:val="21"/>
          <w:highlight w:val="none"/>
          <w:lang w:eastAsia="zh-CN"/>
        </w:rPr>
        <w:t>、</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将不承担供应商准备响应文件和递交响应文件以及参加本次</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活动所发生的任何成本或费用。</w:t>
      </w:r>
    </w:p>
    <w:p w14:paraId="43C3739E">
      <w:pPr>
        <w:keepNext w:val="0"/>
        <w:keepLines w:val="0"/>
        <w:pageBreakBefore w:val="0"/>
        <w:widowControl w:val="0"/>
        <w:kinsoku/>
        <w:wordWrap/>
        <w:overflowPunct/>
        <w:topLinePunct w:val="0"/>
        <w:bidi w:val="0"/>
        <w:adjustRightInd w:val="0"/>
        <w:snapToGrid w:val="0"/>
        <w:spacing w:line="360" w:lineRule="exact"/>
        <w:ind w:left="0" w:leftChars="0" w:firstLine="422" w:firstLineChars="20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十</w:t>
      </w:r>
      <w:r>
        <w:rPr>
          <w:rFonts w:hint="eastAsia" w:ascii="宋体" w:hAnsi="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rPr>
        <w:t>、联系</w:t>
      </w:r>
      <w:r>
        <w:rPr>
          <w:rFonts w:hint="eastAsia" w:ascii="宋体" w:hAnsi="宋体" w:eastAsia="宋体" w:cs="宋体"/>
          <w:b/>
          <w:bCs/>
          <w:color w:val="auto"/>
          <w:sz w:val="21"/>
          <w:szCs w:val="21"/>
          <w:highlight w:val="none"/>
          <w:lang w:eastAsia="zh-CN"/>
        </w:rPr>
        <w:t>信息</w:t>
      </w:r>
    </w:p>
    <w:p w14:paraId="1F80066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default" w:ascii="宋体" w:hAnsi="宋体" w:eastAsia="宋体" w:cs="宋体"/>
          <w:sz w:val="21"/>
          <w:szCs w:val="21"/>
          <w:lang w:val="en-US"/>
        </w:rPr>
      </w:pP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一</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采购人基本信息</w:t>
      </w:r>
    </w:p>
    <w:p w14:paraId="435A6D6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eastAsia="宋体" w:cs="宋体"/>
          <w:sz w:val="21"/>
          <w:szCs w:val="21"/>
        </w:rPr>
      </w:pPr>
      <w:r>
        <w:rPr>
          <w:rFonts w:hint="eastAsia" w:ascii="宋体" w:hAnsi="宋体" w:eastAsia="宋体" w:cs="宋体"/>
          <w:color w:val="000000"/>
          <w:sz w:val="21"/>
          <w:szCs w:val="21"/>
        </w:rPr>
        <w:t>名称：</w:t>
      </w:r>
      <w:r>
        <w:rPr>
          <w:rFonts w:hint="eastAsia" w:ascii="宋体" w:hAnsi="宋体" w:eastAsia="宋体" w:cs="宋体"/>
          <w:color w:val="000000"/>
          <w:sz w:val="21"/>
          <w:szCs w:val="21"/>
          <w:lang w:eastAsia="zh-CN"/>
        </w:rPr>
        <w:t>中山市板芙医院</w:t>
      </w:r>
    </w:p>
    <w:p w14:paraId="33B9F8A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地址：</w:t>
      </w:r>
      <w:r>
        <w:rPr>
          <w:rFonts w:hint="eastAsia" w:ascii="宋体" w:hAnsi="宋体" w:eastAsia="宋体" w:cs="宋体"/>
          <w:color w:val="000000"/>
          <w:sz w:val="21"/>
          <w:szCs w:val="21"/>
          <w:lang w:eastAsia="zh-CN"/>
        </w:rPr>
        <w:t>中山市板芙镇芙中路</w:t>
      </w:r>
      <w:r>
        <w:rPr>
          <w:rFonts w:hint="eastAsia" w:ascii="宋体" w:hAnsi="宋体" w:eastAsia="宋体" w:cs="宋体"/>
          <w:color w:val="000000"/>
          <w:sz w:val="21"/>
          <w:szCs w:val="21"/>
          <w:lang w:val="en-US" w:eastAsia="zh-CN"/>
        </w:rPr>
        <w:t>1号</w:t>
      </w:r>
    </w:p>
    <w:p w14:paraId="7F1F651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联系</w:t>
      </w:r>
      <w:r>
        <w:rPr>
          <w:rFonts w:hint="eastAsia" w:ascii="宋体" w:hAnsi="宋体" w:eastAsia="宋体" w:cs="宋体"/>
          <w:color w:val="000000"/>
          <w:sz w:val="21"/>
          <w:szCs w:val="21"/>
          <w:lang w:eastAsia="zh-CN"/>
        </w:rPr>
        <w:t>人</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招采办杨小姐</w:t>
      </w:r>
    </w:p>
    <w:p w14:paraId="3108906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cs="宋体"/>
          <w:color w:val="000000"/>
          <w:sz w:val="21"/>
          <w:szCs w:val="21"/>
          <w:lang w:val="en-US" w:eastAsia="zh-CN"/>
        </w:rPr>
      </w:pPr>
      <w:r>
        <w:rPr>
          <w:rFonts w:hint="eastAsia" w:ascii="宋体" w:hAnsi="宋体" w:eastAsia="宋体" w:cs="宋体"/>
          <w:color w:val="000000"/>
          <w:sz w:val="21"/>
          <w:szCs w:val="21"/>
          <w:lang w:eastAsia="zh-CN"/>
        </w:rPr>
        <w:t>联系电话：</w:t>
      </w:r>
      <w:r>
        <w:rPr>
          <w:rFonts w:hint="eastAsia" w:ascii="宋体" w:hAnsi="宋体" w:eastAsia="宋体" w:cs="宋体"/>
          <w:color w:val="000000"/>
          <w:sz w:val="21"/>
          <w:szCs w:val="21"/>
          <w:lang w:val="en-US" w:eastAsia="zh-CN"/>
        </w:rPr>
        <w:t>0760-2821866</w:t>
      </w:r>
      <w:r>
        <w:rPr>
          <w:rFonts w:hint="eastAsia" w:ascii="宋体" w:hAnsi="宋体" w:cs="宋体"/>
          <w:color w:val="000000"/>
          <w:sz w:val="21"/>
          <w:szCs w:val="21"/>
          <w:lang w:val="en-US" w:eastAsia="zh-CN"/>
        </w:rPr>
        <w:t>2</w:t>
      </w:r>
    </w:p>
    <w:p w14:paraId="6E944E2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eastAsia="宋体" w:cs="宋体"/>
          <w:color w:val="000000"/>
          <w:sz w:val="21"/>
          <w:szCs w:val="21"/>
        </w:rPr>
      </w:pP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二</w:t>
      </w:r>
      <w:r>
        <w:rPr>
          <w:rFonts w:hint="eastAsia" w:ascii="宋体" w:hAnsi="宋体" w:cs="宋体"/>
          <w:color w:val="000000"/>
          <w:sz w:val="21"/>
          <w:szCs w:val="21"/>
          <w:lang w:eastAsia="zh-CN"/>
        </w:rPr>
        <w:t>）</w:t>
      </w:r>
      <w:r>
        <w:rPr>
          <w:rFonts w:hint="eastAsia" w:ascii="宋体" w:hAnsi="宋体" w:eastAsia="宋体" w:cs="宋体"/>
          <w:color w:val="000000"/>
          <w:sz w:val="21"/>
          <w:szCs w:val="21"/>
        </w:rPr>
        <w:t>监督投诉</w:t>
      </w:r>
    </w:p>
    <w:p w14:paraId="0B7A107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名称：纪检</w:t>
      </w:r>
      <w:r>
        <w:rPr>
          <w:rFonts w:hint="eastAsia" w:ascii="宋体" w:hAnsi="宋体" w:cs="宋体"/>
          <w:color w:val="000000"/>
          <w:sz w:val="21"/>
          <w:szCs w:val="21"/>
          <w:lang w:val="en-US" w:eastAsia="zh-CN"/>
        </w:rPr>
        <w:t>室</w:t>
      </w:r>
    </w:p>
    <w:p w14:paraId="755AAE02">
      <w:pPr>
        <w:keepNext w:val="0"/>
        <w:keepLines w:val="0"/>
        <w:pageBreakBefore w:val="0"/>
        <w:kinsoku/>
        <w:wordWrap/>
        <w:overflowPunct/>
        <w:topLinePunct w:val="0"/>
        <w:bidi w:val="0"/>
        <w:spacing w:line="360" w:lineRule="exact"/>
        <w:ind w:left="0" w:leftChars="0" w:firstLine="420" w:firstLineChars="200"/>
        <w:jc w:val="both"/>
        <w:rPr>
          <w:rFonts w:hint="eastAsia" w:ascii="宋体" w:hAnsi="宋体" w:cs="宋体"/>
          <w:color w:val="000000"/>
          <w:sz w:val="21"/>
          <w:szCs w:val="21"/>
          <w:lang w:val="en-US" w:eastAsia="zh-CN"/>
        </w:rPr>
      </w:pPr>
      <w:r>
        <w:rPr>
          <w:rFonts w:hint="eastAsia" w:ascii="宋体" w:hAnsi="宋体" w:eastAsia="宋体" w:cs="宋体"/>
          <w:color w:val="000000"/>
          <w:sz w:val="21"/>
          <w:szCs w:val="21"/>
          <w:lang w:eastAsia="zh-CN"/>
        </w:rPr>
        <w:t>联系</w:t>
      </w:r>
      <w:r>
        <w:rPr>
          <w:rFonts w:hint="eastAsia" w:ascii="宋体" w:hAnsi="宋体" w:eastAsia="宋体" w:cs="宋体"/>
          <w:color w:val="000000"/>
          <w:sz w:val="21"/>
          <w:szCs w:val="21"/>
        </w:rPr>
        <w:t>电话：</w:t>
      </w:r>
      <w:r>
        <w:rPr>
          <w:rFonts w:hint="eastAsia" w:ascii="宋体" w:hAnsi="宋体" w:eastAsia="宋体" w:cs="宋体"/>
          <w:color w:val="000000"/>
          <w:sz w:val="21"/>
          <w:szCs w:val="21"/>
          <w:lang w:val="en-US" w:eastAsia="zh-CN"/>
        </w:rPr>
        <w:t>0760-282186</w:t>
      </w:r>
      <w:r>
        <w:rPr>
          <w:rFonts w:hint="eastAsia" w:ascii="宋体" w:hAnsi="宋体" w:cs="宋体"/>
          <w:color w:val="000000"/>
          <w:sz w:val="21"/>
          <w:szCs w:val="21"/>
          <w:lang w:val="en-US" w:eastAsia="zh-CN"/>
        </w:rPr>
        <w:t>59</w:t>
      </w:r>
    </w:p>
    <w:p w14:paraId="6D4EBE6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400" w:lineRule="exact"/>
        <w:ind w:left="0" w:leftChars="0" w:right="0" w:firstLine="367" w:firstLineChars="175"/>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如对本公告内容有异议，请在参选文件递交截止时间之前以书面方式提出，逾期不予受理。</w:t>
      </w:r>
    </w:p>
    <w:p w14:paraId="5905438D">
      <w:pPr>
        <w:keepNext w:val="0"/>
        <w:keepLines w:val="0"/>
        <w:pageBreakBefore w:val="0"/>
        <w:kinsoku/>
        <w:wordWrap/>
        <w:overflowPunct/>
        <w:topLinePunct w:val="0"/>
        <w:bidi w:val="0"/>
        <w:spacing w:line="360" w:lineRule="exact"/>
        <w:ind w:left="0" w:leftChars="0" w:firstLine="420" w:firstLineChars="200"/>
        <w:jc w:val="both"/>
        <w:rPr>
          <w:rFonts w:hint="default" w:ascii="宋体" w:hAnsi="宋体" w:cs="宋体"/>
          <w:b w:val="0"/>
          <w:bCs/>
          <w:color w:val="auto"/>
          <w:sz w:val="21"/>
          <w:szCs w:val="21"/>
          <w:highlight w:val="none"/>
          <w:lang w:val="en-US" w:eastAsia="zh-CN"/>
        </w:rPr>
      </w:pPr>
    </w:p>
    <w:p w14:paraId="73F07F02">
      <w:pPr>
        <w:keepNext w:val="0"/>
        <w:keepLines w:val="0"/>
        <w:pageBreakBefore w:val="0"/>
        <w:kinsoku/>
        <w:wordWrap w:val="0"/>
        <w:overflowPunct/>
        <w:topLinePunct w:val="0"/>
        <w:bidi w:val="0"/>
        <w:spacing w:line="360" w:lineRule="exact"/>
        <w:jc w:val="right"/>
        <w:rPr>
          <w:rFonts w:hint="eastAsia" w:ascii="宋体" w:hAnsi="宋体" w:eastAsia="宋体" w:cs="宋体"/>
          <w:b/>
          <w:bCs w:val="0"/>
          <w:color w:val="auto"/>
          <w:sz w:val="21"/>
          <w:szCs w:val="21"/>
          <w:highlight w:val="none"/>
          <w:lang w:eastAsia="zh-CN"/>
        </w:rPr>
      </w:pPr>
    </w:p>
    <w:p w14:paraId="30661C8B">
      <w:pPr>
        <w:keepNext w:val="0"/>
        <w:keepLines w:val="0"/>
        <w:pageBreakBefore w:val="0"/>
        <w:kinsoku/>
        <w:overflowPunct/>
        <w:topLinePunct w:val="0"/>
        <w:bidi w:val="0"/>
        <w:spacing w:line="360" w:lineRule="exact"/>
        <w:rPr>
          <w:rFonts w:hint="eastAsia" w:ascii="宋体" w:hAnsi="宋体" w:eastAsia="宋体" w:cs="宋体"/>
          <w:sz w:val="21"/>
          <w:szCs w:val="21"/>
        </w:rPr>
      </w:pPr>
    </w:p>
    <w:sectPr>
      <w:headerReference r:id="rId3" w:type="default"/>
      <w:footerReference r:id="rId4" w:type="default"/>
      <w:pgSz w:w="11906" w:h="16838"/>
      <w:pgMar w:top="1440" w:right="1066" w:bottom="1440" w:left="11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15C46">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9A9C3A">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9A9C3A">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4B6D5">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DEDF27"/>
    <w:multiLevelType w:val="singleLevel"/>
    <w:tmpl w:val="BFDEDF27"/>
    <w:lvl w:ilvl="0" w:tentative="0">
      <w:start w:val="2"/>
      <w:numFmt w:val="decimal"/>
      <w:lvlText w:val="%1."/>
      <w:lvlJc w:val="left"/>
      <w:pPr>
        <w:tabs>
          <w:tab w:val="left" w:pos="312"/>
        </w:tabs>
      </w:pPr>
    </w:lvl>
  </w:abstractNum>
  <w:abstractNum w:abstractNumId="1">
    <w:nsid w:val="C365D304"/>
    <w:multiLevelType w:val="singleLevel"/>
    <w:tmpl w:val="C365D304"/>
    <w:lvl w:ilvl="0" w:tentative="0">
      <w:start w:val="1"/>
      <w:numFmt w:val="chineseCounting"/>
      <w:suff w:val="nothing"/>
      <w:lvlText w:val="（%1）"/>
      <w:lvlJc w:val="left"/>
      <w:pPr>
        <w:ind w:left="0" w:firstLine="420"/>
      </w:pPr>
      <w:rPr>
        <w:rFonts w:hint="eastAsia"/>
      </w:rPr>
    </w:lvl>
  </w:abstractNum>
  <w:abstractNum w:abstractNumId="2">
    <w:nsid w:val="07222F89"/>
    <w:multiLevelType w:val="singleLevel"/>
    <w:tmpl w:val="07222F89"/>
    <w:lvl w:ilvl="0" w:tentative="0">
      <w:start w:val="1"/>
      <w:numFmt w:val="chineseCounting"/>
      <w:suff w:val="nothing"/>
      <w:lvlText w:val="（%1）"/>
      <w:lvlJc w:val="left"/>
      <w:rPr>
        <w:rFonts w:hint="eastAsia"/>
      </w:rPr>
    </w:lvl>
  </w:abstractNum>
  <w:abstractNum w:abstractNumId="3">
    <w:nsid w:val="25AC67AC"/>
    <w:multiLevelType w:val="singleLevel"/>
    <w:tmpl w:val="25AC67AC"/>
    <w:lvl w:ilvl="0" w:tentative="0">
      <w:start w:val="1"/>
      <w:numFmt w:val="chineseCounting"/>
      <w:suff w:val="nothing"/>
      <w:lvlText w:val="（%1）"/>
      <w:lvlJc w:val="left"/>
      <w:rPr>
        <w:rFonts w:hint="eastAsia"/>
      </w:rPr>
    </w:lvl>
  </w:abstractNum>
  <w:abstractNum w:abstractNumId="4">
    <w:nsid w:val="37C86125"/>
    <w:multiLevelType w:val="singleLevel"/>
    <w:tmpl w:val="37C86125"/>
    <w:lvl w:ilvl="0" w:tentative="0">
      <w:start w:val="1"/>
      <w:numFmt w:val="chineseCounting"/>
      <w:suff w:val="nothing"/>
      <w:lvlText w:val="（%1）"/>
      <w:lvlJc w:val="left"/>
      <w:pPr>
        <w:ind w:left="0" w:firstLine="420"/>
      </w:pPr>
      <w:rPr>
        <w:rFonts w:hint="eastAsia"/>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yNTNhM2Y5OTY0OTJhYTI5NDdhNDQzYjZhODJkNTQifQ=="/>
  </w:docVars>
  <w:rsids>
    <w:rsidRoot w:val="00C87466"/>
    <w:rsid w:val="003E5403"/>
    <w:rsid w:val="00544619"/>
    <w:rsid w:val="00C87466"/>
    <w:rsid w:val="0120118E"/>
    <w:rsid w:val="013C7F41"/>
    <w:rsid w:val="020A5FE5"/>
    <w:rsid w:val="02AD51D0"/>
    <w:rsid w:val="03192A63"/>
    <w:rsid w:val="04E27430"/>
    <w:rsid w:val="05E30E00"/>
    <w:rsid w:val="06CB0177"/>
    <w:rsid w:val="074F28CD"/>
    <w:rsid w:val="075A0C9C"/>
    <w:rsid w:val="075D0E74"/>
    <w:rsid w:val="088C3CD7"/>
    <w:rsid w:val="08B42162"/>
    <w:rsid w:val="08D860D6"/>
    <w:rsid w:val="09D81B4F"/>
    <w:rsid w:val="0A552405"/>
    <w:rsid w:val="0AAA604C"/>
    <w:rsid w:val="0B105E8F"/>
    <w:rsid w:val="0B5A71A0"/>
    <w:rsid w:val="0B816D4C"/>
    <w:rsid w:val="0D303E96"/>
    <w:rsid w:val="0D5356A5"/>
    <w:rsid w:val="0F411E6B"/>
    <w:rsid w:val="10FD2C30"/>
    <w:rsid w:val="11F2677F"/>
    <w:rsid w:val="11FD4E35"/>
    <w:rsid w:val="120A5047"/>
    <w:rsid w:val="12810D5F"/>
    <w:rsid w:val="16AF68E3"/>
    <w:rsid w:val="17AD667F"/>
    <w:rsid w:val="192C5FA8"/>
    <w:rsid w:val="19C23FFF"/>
    <w:rsid w:val="1ACB09B1"/>
    <w:rsid w:val="1B902BD0"/>
    <w:rsid w:val="1D1A254A"/>
    <w:rsid w:val="1DAB3FD6"/>
    <w:rsid w:val="1E431A19"/>
    <w:rsid w:val="20BF43BB"/>
    <w:rsid w:val="21316930"/>
    <w:rsid w:val="219C3D3D"/>
    <w:rsid w:val="21E441D2"/>
    <w:rsid w:val="23093591"/>
    <w:rsid w:val="241A2687"/>
    <w:rsid w:val="253202CD"/>
    <w:rsid w:val="27752D91"/>
    <w:rsid w:val="29B10698"/>
    <w:rsid w:val="2C4E34C1"/>
    <w:rsid w:val="2CB27DEF"/>
    <w:rsid w:val="2F942FD1"/>
    <w:rsid w:val="32301FF4"/>
    <w:rsid w:val="32862630"/>
    <w:rsid w:val="33AD6EE0"/>
    <w:rsid w:val="34D81478"/>
    <w:rsid w:val="35CE7A50"/>
    <w:rsid w:val="39E61657"/>
    <w:rsid w:val="3A822C5D"/>
    <w:rsid w:val="3AEB754D"/>
    <w:rsid w:val="3C11515E"/>
    <w:rsid w:val="3C545C86"/>
    <w:rsid w:val="3D064E51"/>
    <w:rsid w:val="3D0E2820"/>
    <w:rsid w:val="410F24F8"/>
    <w:rsid w:val="41B868E9"/>
    <w:rsid w:val="4590354A"/>
    <w:rsid w:val="47977F8E"/>
    <w:rsid w:val="488A14A0"/>
    <w:rsid w:val="492E32BC"/>
    <w:rsid w:val="49FB0CA3"/>
    <w:rsid w:val="4A612ED3"/>
    <w:rsid w:val="4AE91161"/>
    <w:rsid w:val="4B55323A"/>
    <w:rsid w:val="4C9854C5"/>
    <w:rsid w:val="4E534068"/>
    <w:rsid w:val="4ED176DC"/>
    <w:rsid w:val="4F183C27"/>
    <w:rsid w:val="4FA2515B"/>
    <w:rsid w:val="52D05187"/>
    <w:rsid w:val="53BE1870"/>
    <w:rsid w:val="54FD72FC"/>
    <w:rsid w:val="557E41CD"/>
    <w:rsid w:val="55DF5D85"/>
    <w:rsid w:val="57A26C6F"/>
    <w:rsid w:val="57A47613"/>
    <w:rsid w:val="5966506E"/>
    <w:rsid w:val="59761BA9"/>
    <w:rsid w:val="5AF56DED"/>
    <w:rsid w:val="5B8247AD"/>
    <w:rsid w:val="5BCA515F"/>
    <w:rsid w:val="5DDA7107"/>
    <w:rsid w:val="5E1B2766"/>
    <w:rsid w:val="5E4647B1"/>
    <w:rsid w:val="5FA04E1F"/>
    <w:rsid w:val="5FC6594D"/>
    <w:rsid w:val="60766E58"/>
    <w:rsid w:val="60802BED"/>
    <w:rsid w:val="61560A3B"/>
    <w:rsid w:val="62503D99"/>
    <w:rsid w:val="631B1778"/>
    <w:rsid w:val="63C44A60"/>
    <w:rsid w:val="642705C1"/>
    <w:rsid w:val="657038D9"/>
    <w:rsid w:val="66895538"/>
    <w:rsid w:val="676D3727"/>
    <w:rsid w:val="69D1193E"/>
    <w:rsid w:val="6A256A3F"/>
    <w:rsid w:val="6AD80A32"/>
    <w:rsid w:val="6E11703B"/>
    <w:rsid w:val="70C54A6B"/>
    <w:rsid w:val="71B92164"/>
    <w:rsid w:val="721D6DAF"/>
    <w:rsid w:val="72290B99"/>
    <w:rsid w:val="728C5C5D"/>
    <w:rsid w:val="729B2CA6"/>
    <w:rsid w:val="73314E5B"/>
    <w:rsid w:val="74C9421C"/>
    <w:rsid w:val="7535350C"/>
    <w:rsid w:val="76392FD2"/>
    <w:rsid w:val="773E0750"/>
    <w:rsid w:val="78C30A2E"/>
    <w:rsid w:val="795559D4"/>
    <w:rsid w:val="79B128AE"/>
    <w:rsid w:val="7C69286B"/>
    <w:rsid w:val="7D040732"/>
    <w:rsid w:val="7E540BF3"/>
    <w:rsid w:val="7EFE1AFE"/>
    <w:rsid w:val="7F552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US" w:eastAsia="zh-CN" w:bidi="ar-SA"/>
    </w:rPr>
  </w:style>
  <w:style w:type="paragraph" w:styleId="2">
    <w:name w:val="heading 1"/>
    <w:basedOn w:val="1"/>
    <w:next w:val="1"/>
    <w:qFormat/>
    <w:uiPriority w:val="0"/>
    <w:pPr>
      <w:keepNext/>
      <w:keepLines/>
      <w:widowControl w:val="0"/>
      <w:tabs>
        <w:tab w:val="left" w:pos="840"/>
      </w:tabs>
      <w:adjustRightInd w:val="0"/>
      <w:snapToGrid w:val="0"/>
      <w:spacing w:before="240" w:line="300" w:lineRule="auto"/>
      <w:jc w:val="center"/>
      <w:outlineLvl w:val="0"/>
    </w:pPr>
    <w:rPr>
      <w:rFonts w:ascii="宋体" w:hAnsi="宋体"/>
      <w:kern w:val="44"/>
      <w:sz w:val="36"/>
      <w:szCs w:val="36"/>
    </w:rPr>
  </w:style>
  <w:style w:type="paragraph" w:styleId="3">
    <w:name w:val="heading 4"/>
    <w:basedOn w:val="1"/>
    <w:next w:val="1"/>
    <w:qFormat/>
    <w:uiPriority w:val="0"/>
    <w:pPr>
      <w:widowControl w:val="0"/>
      <w:tabs>
        <w:tab w:val="left" w:pos="864"/>
      </w:tabs>
      <w:autoSpaceDE w:val="0"/>
      <w:autoSpaceDN w:val="0"/>
      <w:adjustRightInd w:val="0"/>
      <w:snapToGrid w:val="0"/>
      <w:spacing w:line="360" w:lineRule="auto"/>
      <w:ind w:left="864" w:hanging="864"/>
      <w:jc w:val="both"/>
      <w:outlineLvl w:val="3"/>
    </w:pPr>
    <w:rPr>
      <w:rFonts w:ascii="宋体" w:hAnsi="Arial"/>
      <w:snapToGrid w:val="0"/>
      <w:color w:val="000000"/>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toa heading"/>
    <w:basedOn w:val="1"/>
    <w:next w:val="1"/>
    <w:qFormat/>
    <w:uiPriority w:val="0"/>
    <w:pPr>
      <w:spacing w:before="120" w:beforeLines="0" w:beforeAutospacing="0"/>
    </w:pPr>
    <w:rPr>
      <w:rFonts w:ascii="Arial" w:hAnsi="Arial"/>
      <w:sz w:val="24"/>
    </w:rPr>
  </w:style>
  <w:style w:type="paragraph" w:styleId="6">
    <w:name w:val="annotation text"/>
    <w:basedOn w:val="1"/>
    <w:qFormat/>
    <w:uiPriority w:val="0"/>
    <w:pPr>
      <w:jc w:val="left"/>
    </w:pPr>
  </w:style>
  <w:style w:type="paragraph" w:styleId="7">
    <w:name w:val="Body Text"/>
    <w:basedOn w:val="1"/>
    <w:next w:val="1"/>
    <w:qFormat/>
    <w:uiPriority w:val="0"/>
    <w:pPr>
      <w:widowControl w:val="0"/>
      <w:jc w:val="both"/>
    </w:pPr>
    <w:rPr>
      <w:kern w:val="2"/>
      <w:sz w:val="28"/>
    </w:rPr>
  </w:style>
  <w:style w:type="paragraph" w:styleId="8">
    <w:name w:val="List 2"/>
    <w:basedOn w:val="1"/>
    <w:qFormat/>
    <w:uiPriority w:val="0"/>
    <w:pPr>
      <w:ind w:left="100" w:leftChars="200" w:hanging="200" w:hangingChars="200"/>
    </w:pPr>
  </w:style>
  <w:style w:type="paragraph" w:styleId="9">
    <w:name w:val="toc 5"/>
    <w:basedOn w:val="1"/>
    <w:next w:val="1"/>
    <w:qFormat/>
    <w:uiPriority w:val="39"/>
    <w:pPr>
      <w:widowControl w:val="0"/>
      <w:ind w:left="1680"/>
      <w:jc w:val="both"/>
    </w:pPr>
    <w:rPr>
      <w:kern w:val="2"/>
    </w:rPr>
  </w:style>
  <w:style w:type="paragraph" w:styleId="10">
    <w:name w:val="footer"/>
    <w:basedOn w:val="1"/>
    <w:qFormat/>
    <w:uiPriority w:val="0"/>
    <w:pPr>
      <w:tabs>
        <w:tab w:val="center" w:pos="4153"/>
        <w:tab w:val="right" w:pos="8306"/>
      </w:tabs>
      <w:snapToGrid w:val="0"/>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index 1"/>
    <w:basedOn w:val="1"/>
    <w:next w:val="1"/>
    <w:unhideWhenUsed/>
    <w:qFormat/>
    <w:uiPriority w:val="0"/>
  </w:style>
  <w:style w:type="paragraph" w:styleId="14">
    <w:name w:val="Title"/>
    <w:basedOn w:val="8"/>
    <w:next w:val="1"/>
    <w:qFormat/>
    <w:uiPriority w:val="0"/>
    <w:pPr>
      <w:widowControl w:val="0"/>
      <w:spacing w:before="240" w:after="60"/>
      <w:jc w:val="center"/>
      <w:outlineLvl w:val="0"/>
    </w:pPr>
    <w:rPr>
      <w:rFonts w:ascii="Cambria" w:hAnsi="Cambria"/>
      <w:b/>
      <w:bCs/>
      <w:kern w:val="2"/>
      <w:sz w:val="32"/>
      <w:szCs w:val="32"/>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Hyperlink"/>
    <w:basedOn w:val="17"/>
    <w:qFormat/>
    <w:uiPriority w:val="0"/>
    <w:rPr>
      <w:color w:val="0000FF"/>
      <w:u w:val="single"/>
    </w:rPr>
  </w:style>
  <w:style w:type="paragraph" w:customStyle="1" w:styleId="20">
    <w:name w:val="正文首行缩进1"/>
    <w:basedOn w:val="7"/>
    <w:qFormat/>
    <w:uiPriority w:val="2457"/>
    <w:pPr>
      <w:spacing w:before="0" w:after="120" w:line="240" w:lineRule="auto"/>
      <w:ind w:left="0" w:right="0" w:firstLine="100"/>
    </w:pPr>
    <w:rPr>
      <w:szCs w:val="24"/>
    </w:rPr>
  </w:style>
  <w:style w:type="paragraph" w:customStyle="1" w:styleId="2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2">
    <w:name w:val="Table Paragraph"/>
    <w:basedOn w:val="1"/>
    <w:qFormat/>
    <w:uiPriority w:val="1"/>
    <w:rPr>
      <w:rFonts w:ascii="宋体" w:hAnsi="宋体" w:eastAsia="宋体" w:cs="宋体"/>
      <w:lang w:val="zh-CN" w:eastAsia="zh-CN" w:bidi="zh-CN"/>
    </w:rPr>
  </w:style>
  <w:style w:type="paragraph" w:customStyle="1" w:styleId="23">
    <w:name w:val="Table Text"/>
    <w:basedOn w:val="1"/>
    <w:semiHidden/>
    <w:qFormat/>
    <w:uiPriority w:val="0"/>
    <w:rPr>
      <w:rFonts w:ascii="仿宋" w:hAnsi="仿宋" w:eastAsia="仿宋" w:cs="仿宋"/>
      <w:sz w:val="28"/>
      <w:szCs w:val="28"/>
      <w:lang w:val="en-US" w:eastAsia="en-US" w:bidi="ar-SA"/>
    </w:rPr>
  </w:style>
  <w:style w:type="table" w:customStyle="1" w:styleId="24">
    <w:name w:val="Table Normal"/>
    <w:unhideWhenUsed/>
    <w:qFormat/>
    <w:uiPriority w:val="0"/>
    <w:tblPr>
      <w:tblCellMar>
        <w:top w:w="0" w:type="dxa"/>
        <w:left w:w="0" w:type="dxa"/>
        <w:bottom w:w="0" w:type="dxa"/>
        <w:right w:w="0" w:type="dxa"/>
      </w:tblCellMar>
    </w:tblPr>
  </w:style>
  <w:style w:type="paragraph" w:customStyle="1" w:styleId="2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6202</Words>
  <Characters>6605</Characters>
  <Lines>0</Lines>
  <Paragraphs>0</Paragraphs>
  <TotalTime>10</TotalTime>
  <ScaleCrop>false</ScaleCrop>
  <LinksUpToDate>false</LinksUpToDate>
  <CharactersWithSpaces>6624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2023-11-10T09:42:00Z</dcterms:created>
  <dc:creator>秋秋秋秋</dc:creator>
  <cp:lastModifiedBy>мìττý</cp:lastModifiedBy>
  <cp:lastPrinted>2025-09-03T03:48:00Z</cp:lastPrinted>
  <dcterms:modified xsi:type="dcterms:W3CDTF">2025-09-03T07:00:27Z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09ECCB05D3B74FB9857E198F7286EE9B_13</vt:lpwstr>
  </property>
  <property fmtid="{D5CDD505-2E9C-101B-9397-08002B2CF9AE}" pid="4" name="KSOTemplateDocerSaveRecord">
    <vt:lpwstr>eyJoZGlkIjoiNmM3OTI1NDk3M2U1M2M4YzY1ZjFmOTc5ZWE5MzZiYzUiLCJ1c2VySWQiOiIzMzc0NDkxODMifQ==</vt:lpwstr>
  </property>
</Properties>
</file>