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B80457">
      <w:pPr>
        <w:pStyle w:val="3"/>
        <w:keepNext/>
        <w:keepLines/>
        <w:pageBreakBefore w:val="0"/>
        <w:widowControl w:val="0"/>
        <w:kinsoku/>
        <w:wordWrap/>
        <w:overflowPunct/>
        <w:topLinePunct w:val="0"/>
        <w:autoSpaceDE/>
        <w:autoSpaceDN/>
        <w:bidi w:val="0"/>
        <w:adjustRightInd w:val="0"/>
        <w:snapToGrid w:val="0"/>
        <w:spacing w:before="0" w:line="240" w:lineRule="auto"/>
        <w:ind w:left="1140" w:hanging="720"/>
        <w:jc w:val="left"/>
        <w:textAlignment w:val="auto"/>
        <w:rPr>
          <w:rFonts w:hint="default" w:ascii="黑体" w:hAnsi="黑体" w:eastAsia="黑体" w:cs="黑体"/>
          <w:b/>
          <w:bCs w:val="0"/>
          <w:color w:val="auto"/>
          <w:highlight w:val="none"/>
          <w:lang w:val="en-US" w:eastAsia="zh-CN"/>
        </w:rPr>
      </w:pPr>
      <w:bookmarkStart w:id="0" w:name="_Toc25048"/>
      <w:r>
        <w:rPr>
          <w:rFonts w:hint="eastAsia" w:ascii="黑体" w:hAnsi="黑体" w:eastAsia="黑体" w:cs="黑体"/>
          <w:b/>
          <w:bCs w:val="0"/>
          <w:color w:val="auto"/>
          <w:highlight w:val="none"/>
          <w:lang w:val="en-US" w:eastAsia="zh-CN"/>
        </w:rPr>
        <w:t>附件1</w:t>
      </w:r>
    </w:p>
    <w:p w14:paraId="5EA9F987">
      <w:pPr>
        <w:pStyle w:val="3"/>
        <w:keepNext/>
        <w:keepLines/>
        <w:pageBreakBefore w:val="0"/>
        <w:widowControl w:val="0"/>
        <w:kinsoku/>
        <w:wordWrap/>
        <w:overflowPunct/>
        <w:topLinePunct w:val="0"/>
        <w:autoSpaceDE/>
        <w:autoSpaceDN/>
        <w:bidi w:val="0"/>
        <w:adjustRightInd w:val="0"/>
        <w:snapToGrid w:val="0"/>
        <w:spacing w:before="0" w:line="240" w:lineRule="auto"/>
        <w:ind w:left="1140" w:hanging="720"/>
        <w:textAlignment w:val="auto"/>
        <w:rPr>
          <w:rFonts w:hint="eastAsia" w:ascii="黑体" w:hAnsi="黑体" w:eastAsia="黑体" w:cs="黑体"/>
          <w:b/>
          <w:bCs w:val="0"/>
          <w:color w:val="auto"/>
          <w:highlight w:val="none"/>
          <w:lang w:eastAsia="zh-CN"/>
        </w:rPr>
      </w:pPr>
      <w:r>
        <w:rPr>
          <w:rFonts w:hint="eastAsia" w:ascii="黑体" w:hAnsi="黑体" w:eastAsia="黑体" w:cs="黑体"/>
          <w:b/>
          <w:bCs w:val="0"/>
          <w:color w:val="auto"/>
          <w:highlight w:val="none"/>
          <w:lang w:eastAsia="zh-CN"/>
        </w:rPr>
        <w:t>中山市板芙医院</w:t>
      </w:r>
      <w:r>
        <w:rPr>
          <w:rFonts w:hint="eastAsia" w:ascii="黑体" w:hAnsi="黑体" w:eastAsia="黑体" w:cs="黑体"/>
          <w:b/>
          <w:bCs w:val="0"/>
          <w:color w:val="auto"/>
          <w:highlight w:val="none"/>
          <w:lang w:val="en-US" w:eastAsia="zh-CN"/>
        </w:rPr>
        <w:t>人证同一认证终端设备</w:t>
      </w:r>
      <w:r>
        <w:rPr>
          <w:rFonts w:hint="eastAsia" w:ascii="黑体" w:hAnsi="黑体" w:eastAsia="黑体" w:cs="黑体"/>
          <w:b/>
          <w:bCs w:val="0"/>
          <w:color w:val="auto"/>
          <w:highlight w:val="none"/>
          <w:lang w:eastAsia="zh-CN"/>
        </w:rPr>
        <w:t>采购项目</w:t>
      </w:r>
      <w:bookmarkEnd w:id="0"/>
    </w:p>
    <w:p w14:paraId="4B6C7B1C">
      <w:pPr>
        <w:pStyle w:val="3"/>
        <w:keepNext/>
        <w:keepLines/>
        <w:pageBreakBefore w:val="0"/>
        <w:widowControl w:val="0"/>
        <w:kinsoku/>
        <w:wordWrap/>
        <w:overflowPunct/>
        <w:topLinePunct w:val="0"/>
        <w:autoSpaceDE/>
        <w:autoSpaceDN/>
        <w:bidi w:val="0"/>
        <w:adjustRightInd w:val="0"/>
        <w:snapToGrid w:val="0"/>
        <w:spacing w:before="0" w:line="240" w:lineRule="auto"/>
        <w:ind w:left="1140" w:hanging="720"/>
        <w:textAlignment w:val="auto"/>
        <w:rPr>
          <w:rFonts w:hint="default"/>
          <w:lang w:val="en-US" w:eastAsia="zh-CN"/>
        </w:rPr>
      </w:pPr>
      <w:r>
        <w:rPr>
          <w:rFonts w:hint="eastAsia" w:ascii="黑体" w:hAnsi="黑体" w:eastAsia="黑体" w:cs="黑体"/>
          <w:b/>
          <w:bCs w:val="0"/>
          <w:color w:val="auto"/>
          <w:highlight w:val="none"/>
          <w:lang w:eastAsia="zh-CN"/>
        </w:rPr>
        <w:t>公开比选</w:t>
      </w:r>
      <w:r>
        <w:rPr>
          <w:rFonts w:hint="eastAsia" w:ascii="黑体" w:hAnsi="黑体" w:eastAsia="黑体" w:cs="黑体"/>
          <w:b/>
          <w:bCs w:val="0"/>
          <w:color w:val="auto"/>
          <w:highlight w:val="none"/>
          <w:lang w:val="en-US" w:eastAsia="zh-CN"/>
        </w:rPr>
        <w:t>文件</w:t>
      </w:r>
    </w:p>
    <w:p w14:paraId="600DE201">
      <w:pPr>
        <w:keepNext w:val="0"/>
        <w:keepLines w:val="0"/>
        <w:pageBreakBefore w:val="0"/>
        <w:kinsoku/>
        <w:wordWrap/>
        <w:overflowPunct/>
        <w:topLinePunct w:val="0"/>
        <w:bidi w:val="0"/>
        <w:spacing w:line="360" w:lineRule="exact"/>
        <w:ind w:left="0" w:leftChars="0"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中山市板芙医院现对中山市板芙医院</w:t>
      </w:r>
      <w:r>
        <w:rPr>
          <w:rFonts w:hint="eastAsia" w:ascii="宋体" w:hAnsi="宋体" w:cs="宋体"/>
          <w:bCs/>
          <w:color w:val="auto"/>
          <w:sz w:val="21"/>
          <w:szCs w:val="21"/>
          <w:highlight w:val="none"/>
          <w:lang w:val="en-US" w:eastAsia="zh-CN"/>
        </w:rPr>
        <w:t>口腔种植机</w:t>
      </w:r>
      <w:r>
        <w:rPr>
          <w:rFonts w:hint="eastAsia" w:ascii="宋体" w:hAnsi="宋体" w:eastAsia="宋体" w:cs="宋体"/>
          <w:bCs/>
          <w:color w:val="auto"/>
          <w:sz w:val="21"/>
          <w:szCs w:val="21"/>
          <w:highlight w:val="none"/>
          <w:lang w:eastAsia="zh-CN"/>
        </w:rPr>
        <w:t>采购项目</w:t>
      </w:r>
      <w:r>
        <w:rPr>
          <w:rFonts w:hint="eastAsia" w:ascii="宋体" w:hAnsi="宋体" w:eastAsia="宋体" w:cs="宋体"/>
          <w:bCs/>
          <w:color w:val="auto"/>
          <w:sz w:val="21"/>
          <w:szCs w:val="21"/>
          <w:highlight w:val="none"/>
        </w:rPr>
        <w:t>采用</w:t>
      </w:r>
      <w:r>
        <w:rPr>
          <w:rFonts w:hint="eastAsia" w:ascii="宋体" w:hAnsi="宋体" w:eastAsia="宋体" w:cs="宋体"/>
          <w:bCs/>
          <w:color w:val="auto"/>
          <w:sz w:val="21"/>
          <w:szCs w:val="21"/>
          <w:highlight w:val="none"/>
          <w:lang w:eastAsia="zh-CN"/>
        </w:rPr>
        <w:t>公开比选</w:t>
      </w:r>
      <w:r>
        <w:rPr>
          <w:rFonts w:hint="eastAsia" w:ascii="宋体" w:hAnsi="宋体" w:eastAsia="宋体" w:cs="宋体"/>
          <w:bCs/>
          <w:color w:val="auto"/>
          <w:sz w:val="21"/>
          <w:szCs w:val="21"/>
          <w:highlight w:val="none"/>
        </w:rPr>
        <w:t>方式组织采购，欢迎符合资格条件的供应商参加。有关事项如下：</w:t>
      </w:r>
    </w:p>
    <w:p w14:paraId="25A43994">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一、</w:t>
      </w:r>
      <w:r>
        <w:rPr>
          <w:rFonts w:hint="eastAsia" w:ascii="宋体" w:hAnsi="宋体" w:eastAsia="宋体" w:cs="宋体"/>
          <w:b/>
          <w:bCs/>
          <w:color w:val="auto"/>
          <w:sz w:val="21"/>
          <w:szCs w:val="21"/>
          <w:highlight w:val="none"/>
        </w:rPr>
        <w:t>项目名称：</w:t>
      </w:r>
      <w:r>
        <w:rPr>
          <w:rFonts w:hint="eastAsia" w:ascii="宋体" w:hAnsi="宋体" w:eastAsia="宋体" w:cs="宋体"/>
          <w:color w:val="auto"/>
          <w:kern w:val="28"/>
          <w:sz w:val="21"/>
          <w:szCs w:val="21"/>
          <w:highlight w:val="none"/>
          <w:lang w:eastAsia="zh-CN"/>
        </w:rPr>
        <w:t>中山市板芙医院</w:t>
      </w:r>
      <w:r>
        <w:rPr>
          <w:rFonts w:hint="eastAsia" w:ascii="宋体" w:hAnsi="宋体" w:cs="宋体"/>
          <w:bCs/>
          <w:color w:val="auto"/>
          <w:sz w:val="21"/>
          <w:szCs w:val="21"/>
          <w:highlight w:val="none"/>
          <w:lang w:val="en-US" w:eastAsia="zh-CN"/>
        </w:rPr>
        <w:t>人证同一认证终端</w:t>
      </w:r>
      <w:r>
        <w:rPr>
          <w:rFonts w:hint="eastAsia" w:ascii="宋体" w:hAnsi="宋体" w:eastAsia="宋体" w:cs="宋体"/>
          <w:color w:val="auto"/>
          <w:kern w:val="28"/>
          <w:sz w:val="21"/>
          <w:szCs w:val="21"/>
          <w:highlight w:val="none"/>
          <w:lang w:eastAsia="zh-CN"/>
        </w:rPr>
        <w:t>采购项目</w:t>
      </w:r>
      <w:r>
        <w:rPr>
          <w:rFonts w:hint="eastAsia" w:ascii="宋体" w:hAnsi="宋体" w:eastAsia="宋体" w:cs="宋体"/>
          <w:color w:val="auto"/>
          <w:sz w:val="21"/>
          <w:szCs w:val="21"/>
          <w:highlight w:val="none"/>
        </w:rPr>
        <w:t xml:space="preserve"> </w:t>
      </w:r>
    </w:p>
    <w:p w14:paraId="5377B591">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eastAsia" w:ascii="宋体" w:hAnsi="宋体" w:eastAsia="宋体" w:cs="宋体"/>
          <w:color w:val="auto"/>
          <w:kern w:val="28"/>
          <w:sz w:val="21"/>
          <w:szCs w:val="21"/>
          <w:highlight w:val="none"/>
          <w:lang w:eastAsia="zh-CN"/>
        </w:rPr>
      </w:pPr>
      <w:r>
        <w:rPr>
          <w:rFonts w:hint="eastAsia" w:ascii="宋体" w:hAnsi="宋体" w:eastAsia="宋体" w:cs="宋体"/>
          <w:b/>
          <w:bCs/>
          <w:color w:val="auto"/>
          <w:sz w:val="21"/>
          <w:szCs w:val="21"/>
          <w:highlight w:val="none"/>
          <w:lang w:eastAsia="zh-CN"/>
        </w:rPr>
        <w:t>二、</w:t>
      </w:r>
      <w:r>
        <w:rPr>
          <w:rFonts w:hint="eastAsia" w:ascii="宋体" w:hAnsi="宋体" w:eastAsia="宋体" w:cs="宋体"/>
          <w:b/>
          <w:bCs/>
          <w:color w:val="auto"/>
          <w:sz w:val="21"/>
          <w:szCs w:val="21"/>
          <w:highlight w:val="none"/>
        </w:rPr>
        <w:t>预算金额：</w:t>
      </w:r>
      <w:r>
        <w:rPr>
          <w:rFonts w:hint="eastAsia" w:ascii="宋体" w:hAnsi="宋体" w:cs="宋体"/>
          <w:color w:val="000000" w:themeColor="text1"/>
          <w:sz w:val="21"/>
          <w:szCs w:val="21"/>
          <w:highlight w:val="none"/>
          <w:lang w:val="en-US" w:eastAsia="zh-CN"/>
          <w14:textFill>
            <w14:solidFill>
              <w14:schemeClr w14:val="tx1"/>
            </w14:solidFill>
          </w14:textFill>
        </w:rPr>
        <w:t>19,500</w:t>
      </w:r>
      <w:r>
        <w:rPr>
          <w:rFonts w:hint="eastAsia" w:ascii="宋体" w:hAnsi="宋体" w:eastAsia="宋体" w:cs="宋体"/>
          <w:color w:val="000000" w:themeColor="text1"/>
          <w:sz w:val="21"/>
          <w:szCs w:val="21"/>
          <w:highlight w:val="none"/>
          <w:lang w:val="en-US" w:eastAsia="zh-CN"/>
          <w14:textFill>
            <w14:solidFill>
              <w14:schemeClr w14:val="tx1"/>
            </w14:solidFill>
          </w14:textFill>
        </w:rPr>
        <w:t>.00</w:t>
      </w:r>
      <w:r>
        <w:rPr>
          <w:rFonts w:hint="eastAsia" w:ascii="宋体" w:hAnsi="宋体" w:eastAsia="宋体" w:cs="宋体"/>
          <w:color w:val="auto"/>
          <w:kern w:val="28"/>
          <w:sz w:val="21"/>
          <w:szCs w:val="21"/>
          <w:highlight w:val="none"/>
          <w:lang w:val="en-US" w:eastAsia="zh-CN"/>
        </w:rPr>
        <w:t>元</w:t>
      </w:r>
    </w:p>
    <w:p w14:paraId="33A7D937">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三、</w:t>
      </w:r>
      <w:r>
        <w:rPr>
          <w:rFonts w:hint="eastAsia" w:ascii="宋体" w:hAnsi="宋体" w:cs="宋体"/>
          <w:b/>
          <w:bCs/>
          <w:color w:val="auto"/>
          <w:sz w:val="21"/>
          <w:szCs w:val="21"/>
          <w:highlight w:val="none"/>
          <w:lang w:val="en-US" w:eastAsia="zh-CN"/>
        </w:rPr>
        <w:t>项目内容</w:t>
      </w:r>
    </w:p>
    <w:tbl>
      <w:tblPr>
        <w:tblStyle w:val="15"/>
        <w:tblpPr w:leftFromText="180" w:rightFromText="180" w:vertAnchor="text" w:horzAnchor="page" w:tblpX="1652" w:tblpY="118"/>
        <w:tblOverlap w:val="never"/>
        <w:tblW w:w="439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348"/>
        <w:gridCol w:w="1373"/>
        <w:gridCol w:w="1701"/>
        <w:gridCol w:w="1767"/>
        <w:gridCol w:w="1500"/>
      </w:tblGrid>
      <w:tr w14:paraId="2E7F30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96" w:hRule="atLeast"/>
        </w:trPr>
        <w:tc>
          <w:tcPr>
            <w:tcW w:w="1351" w:type="pct"/>
            <w:noWrap w:val="0"/>
            <w:vAlign w:val="center"/>
          </w:tcPr>
          <w:p w14:paraId="4FB16E1A">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采购标的</w:t>
            </w:r>
          </w:p>
        </w:tc>
        <w:tc>
          <w:tcPr>
            <w:tcW w:w="790" w:type="pct"/>
            <w:noWrap w:val="0"/>
            <w:vAlign w:val="center"/>
          </w:tcPr>
          <w:p w14:paraId="5F93257A">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数量</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（单位）</w:t>
            </w:r>
          </w:p>
        </w:tc>
        <w:tc>
          <w:tcPr>
            <w:tcW w:w="979" w:type="pct"/>
            <w:noWrap w:val="0"/>
            <w:vAlign w:val="center"/>
          </w:tcPr>
          <w:p w14:paraId="7324883B">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预算单价（元）</w:t>
            </w:r>
          </w:p>
        </w:tc>
        <w:tc>
          <w:tcPr>
            <w:tcW w:w="1017" w:type="pct"/>
            <w:noWrap w:val="0"/>
            <w:vAlign w:val="center"/>
          </w:tcPr>
          <w:p w14:paraId="4CA09F96">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预算总价（元）</w:t>
            </w:r>
          </w:p>
        </w:tc>
        <w:tc>
          <w:tcPr>
            <w:tcW w:w="860" w:type="pct"/>
            <w:noWrap w:val="0"/>
            <w:vAlign w:val="center"/>
          </w:tcPr>
          <w:p w14:paraId="0EFD5871">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是否允许</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进口产品</w:t>
            </w:r>
          </w:p>
        </w:tc>
      </w:tr>
      <w:tr w14:paraId="1A5B37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4" w:hRule="atLeast"/>
        </w:trPr>
        <w:tc>
          <w:tcPr>
            <w:tcW w:w="1351" w:type="pct"/>
            <w:noWrap w:val="0"/>
            <w:vAlign w:val="center"/>
          </w:tcPr>
          <w:p w14:paraId="2B6DC748">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人证同一认证终端设备</w:t>
            </w:r>
          </w:p>
        </w:tc>
        <w:tc>
          <w:tcPr>
            <w:tcW w:w="790" w:type="pct"/>
            <w:noWrap w:val="0"/>
            <w:vAlign w:val="center"/>
          </w:tcPr>
          <w:p w14:paraId="5E40813E">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1套</w:t>
            </w:r>
          </w:p>
        </w:tc>
        <w:tc>
          <w:tcPr>
            <w:tcW w:w="979" w:type="pct"/>
            <w:noWrap w:val="0"/>
            <w:vAlign w:val="center"/>
          </w:tcPr>
          <w:p w14:paraId="4D1CCFC4">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000000" w:themeColor="text1"/>
                <w:sz w:val="21"/>
                <w:szCs w:val="21"/>
                <w:highlight w:val="none"/>
                <w:lang w:val="en-US" w:eastAsia="zh-CN"/>
                <w14:textFill>
                  <w14:solidFill>
                    <w14:schemeClr w14:val="tx1"/>
                  </w14:solidFill>
                </w14:textFill>
              </w:rPr>
              <w:t>19,500</w:t>
            </w:r>
            <w:r>
              <w:rPr>
                <w:rFonts w:hint="eastAsia" w:ascii="宋体" w:hAnsi="宋体" w:eastAsia="宋体" w:cs="宋体"/>
                <w:color w:val="000000" w:themeColor="text1"/>
                <w:sz w:val="21"/>
                <w:szCs w:val="21"/>
                <w:highlight w:val="none"/>
                <w:lang w:val="en-US" w:eastAsia="zh-CN"/>
                <w14:textFill>
                  <w14:solidFill>
                    <w14:schemeClr w14:val="tx1"/>
                  </w14:solidFill>
                </w14:textFill>
              </w:rPr>
              <w:t>.00</w:t>
            </w:r>
          </w:p>
        </w:tc>
        <w:tc>
          <w:tcPr>
            <w:tcW w:w="1017" w:type="pct"/>
            <w:noWrap w:val="0"/>
            <w:vAlign w:val="center"/>
          </w:tcPr>
          <w:p w14:paraId="19C66912">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000000" w:themeColor="text1"/>
                <w:sz w:val="21"/>
                <w:szCs w:val="21"/>
                <w:highlight w:val="none"/>
                <w:lang w:val="en-US" w:eastAsia="zh-CN"/>
                <w14:textFill>
                  <w14:solidFill>
                    <w14:schemeClr w14:val="tx1"/>
                  </w14:solidFill>
                </w14:textFill>
              </w:rPr>
              <w:t>19,500</w:t>
            </w:r>
            <w:r>
              <w:rPr>
                <w:rFonts w:hint="eastAsia" w:ascii="宋体" w:hAnsi="宋体" w:eastAsia="宋体" w:cs="宋体"/>
                <w:color w:val="000000" w:themeColor="text1"/>
                <w:sz w:val="21"/>
                <w:szCs w:val="21"/>
                <w:highlight w:val="none"/>
                <w:lang w:val="en-US" w:eastAsia="zh-CN"/>
                <w14:textFill>
                  <w14:solidFill>
                    <w14:schemeClr w14:val="tx1"/>
                  </w14:solidFill>
                </w14:textFill>
              </w:rPr>
              <w:t>.00</w:t>
            </w:r>
          </w:p>
        </w:tc>
        <w:tc>
          <w:tcPr>
            <w:tcW w:w="860" w:type="pct"/>
            <w:noWrap w:val="0"/>
            <w:vAlign w:val="center"/>
          </w:tcPr>
          <w:p w14:paraId="66F2F41D">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否</w:t>
            </w:r>
          </w:p>
        </w:tc>
      </w:tr>
      <w:tr w14:paraId="3509DB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4" w:hRule="atLeast"/>
        </w:trPr>
        <w:tc>
          <w:tcPr>
            <w:tcW w:w="5000" w:type="pct"/>
            <w:gridSpan w:val="5"/>
            <w:noWrap w:val="0"/>
            <w:vAlign w:val="center"/>
          </w:tcPr>
          <w:p w14:paraId="62568A21">
            <w:pPr>
              <w:keepNext w:val="0"/>
              <w:keepLines w:val="0"/>
              <w:pageBreakBefore w:val="0"/>
              <w:widowControl/>
              <w:suppressLineNumbers w:val="0"/>
              <w:kinsoku/>
              <w:overflowPunct/>
              <w:topLinePunct w:val="0"/>
              <w:bidi w:val="0"/>
              <w:spacing w:line="360" w:lineRule="exact"/>
              <w:ind w:left="0" w:leftChars="0" w:firstLine="0" w:firstLineChars="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注：每套人证同一认证终端设备包括1台一体机终端和2部手持终端设备，须单独进行报价。</w:t>
            </w:r>
          </w:p>
        </w:tc>
      </w:tr>
    </w:tbl>
    <w:p w14:paraId="5922FAC7">
      <w:pPr>
        <w:keepNext w:val="0"/>
        <w:keepLines w:val="0"/>
        <w:pageBreakBefore w:val="0"/>
        <w:numPr>
          <w:ilvl w:val="0"/>
          <w:numId w:val="0"/>
        </w:numPr>
        <w:kinsoku/>
        <w:wordWrap/>
        <w:overflowPunct/>
        <w:topLinePunct w:val="0"/>
        <w:bidi w:val="0"/>
        <w:spacing w:line="360" w:lineRule="exact"/>
        <w:ind w:firstLine="422" w:firstLineChars="200"/>
        <w:jc w:val="both"/>
        <w:rPr>
          <w:rFonts w:hint="eastAsia" w:ascii="宋体" w:hAnsi="宋体" w:cs="宋体"/>
          <w:b/>
          <w:bCs/>
          <w:color w:val="auto"/>
          <w:sz w:val="21"/>
          <w:szCs w:val="21"/>
          <w:highlight w:val="none"/>
          <w:lang w:val="en-US" w:eastAsia="zh-CN"/>
        </w:rPr>
      </w:pPr>
    </w:p>
    <w:p w14:paraId="3E32F1FF">
      <w:pPr>
        <w:keepNext w:val="0"/>
        <w:keepLines w:val="0"/>
        <w:pageBreakBefore w:val="0"/>
        <w:numPr>
          <w:ilvl w:val="0"/>
          <w:numId w:val="0"/>
        </w:numPr>
        <w:kinsoku/>
        <w:wordWrap/>
        <w:overflowPunct/>
        <w:topLinePunct w:val="0"/>
        <w:bidi w:val="0"/>
        <w:spacing w:line="360" w:lineRule="exact"/>
        <w:ind w:firstLine="422" w:firstLineChars="200"/>
        <w:jc w:val="both"/>
        <w:rPr>
          <w:rFonts w:hint="eastAsia" w:ascii="宋体" w:hAnsi="宋体" w:cs="宋体"/>
          <w:b/>
          <w:bCs/>
          <w:color w:val="auto"/>
          <w:sz w:val="21"/>
          <w:szCs w:val="21"/>
          <w:highlight w:val="none"/>
          <w:lang w:val="en-US" w:eastAsia="zh-CN"/>
        </w:rPr>
      </w:pPr>
    </w:p>
    <w:p w14:paraId="5AB13B70">
      <w:pPr>
        <w:keepNext w:val="0"/>
        <w:keepLines w:val="0"/>
        <w:pageBreakBefore w:val="0"/>
        <w:numPr>
          <w:ilvl w:val="0"/>
          <w:numId w:val="0"/>
        </w:numPr>
        <w:kinsoku/>
        <w:wordWrap/>
        <w:overflowPunct/>
        <w:topLinePunct w:val="0"/>
        <w:bidi w:val="0"/>
        <w:spacing w:line="360" w:lineRule="exact"/>
        <w:ind w:firstLine="422" w:firstLineChars="200"/>
        <w:jc w:val="both"/>
        <w:rPr>
          <w:rFonts w:hint="eastAsia" w:ascii="宋体" w:hAnsi="宋体" w:cs="宋体"/>
          <w:b/>
          <w:bCs/>
          <w:color w:val="auto"/>
          <w:sz w:val="21"/>
          <w:szCs w:val="21"/>
          <w:highlight w:val="none"/>
          <w:lang w:val="en-US" w:eastAsia="zh-CN"/>
        </w:rPr>
      </w:pPr>
    </w:p>
    <w:p w14:paraId="66CE94C5">
      <w:pPr>
        <w:keepNext w:val="0"/>
        <w:keepLines w:val="0"/>
        <w:pageBreakBefore w:val="0"/>
        <w:numPr>
          <w:ilvl w:val="0"/>
          <w:numId w:val="0"/>
        </w:numPr>
        <w:kinsoku/>
        <w:wordWrap/>
        <w:overflowPunct/>
        <w:topLinePunct w:val="0"/>
        <w:bidi w:val="0"/>
        <w:spacing w:line="360" w:lineRule="exact"/>
        <w:ind w:firstLine="422" w:firstLineChars="200"/>
        <w:jc w:val="both"/>
        <w:rPr>
          <w:rFonts w:hint="eastAsia" w:ascii="宋体" w:hAnsi="宋体" w:cs="宋体"/>
          <w:b/>
          <w:bCs/>
          <w:color w:val="auto"/>
          <w:sz w:val="21"/>
          <w:szCs w:val="21"/>
          <w:highlight w:val="none"/>
          <w:lang w:val="en-US" w:eastAsia="zh-CN"/>
        </w:rPr>
      </w:pPr>
    </w:p>
    <w:p w14:paraId="41E8408D">
      <w:pPr>
        <w:keepNext w:val="0"/>
        <w:keepLines w:val="0"/>
        <w:pageBreakBefore w:val="0"/>
        <w:numPr>
          <w:ilvl w:val="0"/>
          <w:numId w:val="0"/>
        </w:numPr>
        <w:kinsoku/>
        <w:wordWrap/>
        <w:overflowPunct/>
        <w:topLinePunct w:val="0"/>
        <w:bidi w:val="0"/>
        <w:spacing w:line="360" w:lineRule="exact"/>
        <w:ind w:firstLine="632" w:firstLineChars="300"/>
        <w:jc w:val="both"/>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    </w:t>
      </w:r>
    </w:p>
    <w:p w14:paraId="10BA1405">
      <w:pPr>
        <w:keepNext w:val="0"/>
        <w:keepLines w:val="0"/>
        <w:pageBreakBefore w:val="0"/>
        <w:numPr>
          <w:ilvl w:val="0"/>
          <w:numId w:val="0"/>
        </w:numPr>
        <w:kinsoku/>
        <w:wordWrap/>
        <w:overflowPunct/>
        <w:topLinePunct w:val="0"/>
        <w:bidi w:val="0"/>
        <w:spacing w:line="360" w:lineRule="exact"/>
        <w:jc w:val="both"/>
        <w:rPr>
          <w:rFonts w:hint="eastAsia" w:ascii="宋体" w:hAnsi="宋体" w:cs="宋体"/>
          <w:b/>
          <w:bCs/>
          <w:color w:val="auto"/>
          <w:sz w:val="21"/>
          <w:szCs w:val="21"/>
          <w:highlight w:val="none"/>
          <w:lang w:val="en-US" w:eastAsia="zh-CN"/>
        </w:rPr>
      </w:pPr>
    </w:p>
    <w:p w14:paraId="6359E862">
      <w:pPr>
        <w:keepNext w:val="0"/>
        <w:keepLines w:val="0"/>
        <w:pageBreakBefore w:val="0"/>
        <w:numPr>
          <w:ilvl w:val="0"/>
          <w:numId w:val="0"/>
        </w:numPr>
        <w:kinsoku/>
        <w:wordWrap/>
        <w:overflowPunct/>
        <w:topLinePunct w:val="0"/>
        <w:bidi w:val="0"/>
        <w:spacing w:line="360" w:lineRule="exact"/>
        <w:ind w:firstLine="632" w:firstLineChars="300"/>
        <w:jc w:val="both"/>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四、采购需求书</w:t>
      </w:r>
    </w:p>
    <w:p w14:paraId="21ABB475">
      <w:pPr>
        <w:keepNext w:val="0"/>
        <w:keepLines w:val="0"/>
        <w:pageBreakBefore w:val="0"/>
        <w:kinsoku/>
        <w:wordWrap/>
        <w:overflowPunct/>
        <w:topLinePunct w:val="0"/>
        <w:bidi w:val="0"/>
        <w:spacing w:line="360" w:lineRule="exact"/>
        <w:ind w:left="0" w:leftChars="0" w:firstLine="420" w:firstLineChars="200"/>
        <w:jc w:val="both"/>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（一）用途</w:t>
      </w:r>
    </w:p>
    <w:p w14:paraId="5D844C14">
      <w:pPr>
        <w:keepNext w:val="0"/>
        <w:keepLines w:val="0"/>
        <w:pageBreakBefore w:val="0"/>
        <w:kinsoku/>
        <w:wordWrap/>
        <w:overflowPunct/>
        <w:topLinePunct w:val="0"/>
        <w:bidi w:val="0"/>
        <w:spacing w:line="360" w:lineRule="exact"/>
        <w:ind w:left="0" w:leftChars="0" w:firstLine="420" w:firstLineChars="200"/>
        <w:jc w:val="both"/>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1.用于孕产妇保健服务过程中的人脸识别人证同一核验。</w:t>
      </w:r>
    </w:p>
    <w:p w14:paraId="39147355">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（二）技术规格、参数及要求</w:t>
      </w:r>
    </w:p>
    <w:p w14:paraId="7EBBEB0C">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default"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r>
        <w:rPr>
          <w:rFonts w:hint="eastAsia"/>
          <w:spacing w:val="1"/>
          <w:sz w:val="24"/>
          <w:szCs w:val="24"/>
          <w:lang w:eastAsia="zh-CN"/>
        </w:rPr>
        <w:t xml:space="preserve"> 一体机终端参数要求</w:t>
      </w:r>
    </w:p>
    <w:p w14:paraId="3DB55D44">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1.1 设备主副双屏集成一体化设计，不可分离，副屏可旋转。</w:t>
      </w:r>
    </w:p>
    <w:p w14:paraId="2015BBE9">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1.2 处理器≥4核，主频≥2.0G，内存≥2G，采用Android系统，系统版本不低于安卓10。</w:t>
      </w:r>
    </w:p>
    <w:p w14:paraId="1FA5D320">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1.3 内置全新二代证阅读器符合GA450-2013台式居民身份证阅读器通用技术要求，支持ISO/IEC 14443A/B，阅读距离：0-30mm，读卡响应速度&lt;1s。支持二代证、港澳台居民身份证、2023版外国人永久居留证读取。</w:t>
      </w:r>
    </w:p>
    <w:p w14:paraId="2BFCE444">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1.4 内置指纹模块：符合公安部GA/T 1011-2012居民身份证指纹采集器通用技术要求。</w:t>
      </w:r>
    </w:p>
    <w:p w14:paraId="044CFE3D">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1.5 主副屏支持电容屏并支持多点触控，屏幕≥10.1寸，分辨率≥1280x800。</w:t>
      </w:r>
    </w:p>
    <w:p w14:paraId="0E7FB2C3">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 xml:space="preserve">1.6 高清双目摄像头：分辨率≥200万像素，支持活体人脸比对，角度方向可调。 </w:t>
      </w:r>
    </w:p>
    <w:p w14:paraId="06F5FB12">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1.7 设备可实现异显异触，实现同显同触和异显异触。</w:t>
      </w:r>
    </w:p>
    <w:p w14:paraId="4D13F2B7">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default"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1.8 接口：USB2.0扩展口≥2，Micro USB≥1， TFcard*1，RJ451 个（10-1000M）自适应以太网口，支持扬声器、麦克风。</w:t>
      </w:r>
      <w:bookmarkStart w:id="1" w:name="_GoBack"/>
      <w:bookmarkEnd w:id="1"/>
      <w:r>
        <w:rPr>
          <w:rFonts w:hint="eastAsia" w:ascii="宋体" w:hAnsi="宋体" w:cs="宋体"/>
          <w:i w:val="0"/>
          <w:iCs w:val="0"/>
          <w:color w:val="auto"/>
          <w:kern w:val="0"/>
          <w:sz w:val="21"/>
          <w:szCs w:val="21"/>
          <w:highlight w:val="none"/>
          <w:u w:val="none"/>
          <w:lang w:val="en-US" w:eastAsia="zh-CN" w:bidi="ar"/>
        </w:rPr>
        <w:t>支持802.11b/g/n，2.4GHz标准WiFi。</w:t>
      </w:r>
    </w:p>
    <w:p w14:paraId="20BBB3E0">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1.9 电源：物理电源开关，支持系统开关机。</w:t>
      </w:r>
    </w:p>
    <w:p w14:paraId="7E5E77B1">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1.10含嵌入式软件“人证核验软件”</w:t>
      </w:r>
    </w:p>
    <w:p w14:paraId="78C02458">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★1.11 与中山市妇幼平台匹配对接认证结果。</w:t>
      </w:r>
    </w:p>
    <w:p w14:paraId="55D816F3">
      <w:pPr>
        <w:keepNext w:val="0"/>
        <w:keepLines w:val="0"/>
        <w:pageBreakBefore w:val="0"/>
        <w:numPr>
          <w:ilvl w:val="0"/>
          <w:numId w:val="1"/>
        </w:numPr>
        <w:kinsoku/>
        <w:wordWrap/>
        <w:overflowPunct/>
        <w:topLinePunct w:val="0"/>
        <w:bidi w:val="0"/>
        <w:spacing w:line="360" w:lineRule="exact"/>
        <w:ind w:left="0" w:leftChars="0" w:firstLine="420" w:firstLineChars="200"/>
        <w:jc w:val="both"/>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手持终端设备参数要求</w:t>
      </w:r>
    </w:p>
    <w:p w14:paraId="770082CC">
      <w:pPr>
        <w:keepNext w:val="0"/>
        <w:keepLines w:val="0"/>
        <w:pageBreakBefore w:val="0"/>
        <w:kinsoku/>
        <w:wordWrap/>
        <w:overflowPunct/>
        <w:topLinePunct w:val="0"/>
        <w:bidi w:val="0"/>
        <w:spacing w:line="360" w:lineRule="exact"/>
        <w:ind w:left="0" w:leftChars="0" w:firstLine="420" w:firstLineChars="200"/>
        <w:jc w:val="both"/>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 xml:space="preserve">2.1 </w:t>
      </w:r>
      <w:r>
        <w:rPr>
          <w:rFonts w:hint="eastAsia" w:ascii="宋体" w:hAnsi="宋体" w:eastAsia="宋体" w:cs="宋体"/>
          <w:bCs/>
          <w:color w:val="auto"/>
          <w:sz w:val="21"/>
          <w:szCs w:val="21"/>
          <w:highlight w:val="none"/>
          <w:lang w:val="en-US" w:eastAsia="zh-CN"/>
        </w:rPr>
        <w:t>处理器：MT8781，八核，2.2GHz</w:t>
      </w:r>
      <w:r>
        <w:rPr>
          <w:rFonts w:hint="eastAsia" w:ascii="宋体" w:hAnsi="宋体" w:cs="宋体"/>
          <w:bCs/>
          <w:color w:val="auto"/>
          <w:sz w:val="21"/>
          <w:szCs w:val="21"/>
          <w:highlight w:val="none"/>
          <w:lang w:val="en-US" w:eastAsia="zh-CN"/>
        </w:rPr>
        <w:t>。</w:t>
      </w:r>
    </w:p>
    <w:p w14:paraId="040418AD">
      <w:pPr>
        <w:keepNext w:val="0"/>
        <w:keepLines w:val="0"/>
        <w:pageBreakBefore w:val="0"/>
        <w:kinsoku/>
        <w:wordWrap/>
        <w:overflowPunct/>
        <w:topLinePunct w:val="0"/>
        <w:bidi w:val="0"/>
        <w:spacing w:line="360" w:lineRule="exact"/>
        <w:ind w:left="0" w:leftChars="0" w:firstLine="420" w:firstLineChars="200"/>
        <w:jc w:val="both"/>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w:t>
      </w:r>
      <w:r>
        <w:rPr>
          <w:rFonts w:hint="eastAsia" w:ascii="宋体" w:hAnsi="宋体" w:cs="宋体"/>
          <w:bCs/>
          <w:color w:val="auto"/>
          <w:sz w:val="21"/>
          <w:szCs w:val="21"/>
          <w:highlight w:val="none"/>
          <w:lang w:val="en-US" w:eastAsia="zh-CN"/>
        </w:rPr>
        <w:t xml:space="preserve">2 </w:t>
      </w:r>
      <w:r>
        <w:rPr>
          <w:rFonts w:hint="eastAsia" w:ascii="宋体" w:hAnsi="宋体" w:eastAsia="宋体" w:cs="宋体"/>
          <w:bCs/>
          <w:color w:val="auto"/>
          <w:sz w:val="21"/>
          <w:szCs w:val="21"/>
          <w:highlight w:val="none"/>
          <w:lang w:val="en-US" w:eastAsia="zh-CN"/>
        </w:rPr>
        <w:t>操作系统：Android13</w:t>
      </w:r>
      <w:r>
        <w:rPr>
          <w:rFonts w:hint="eastAsia" w:ascii="宋体" w:hAnsi="宋体" w:cs="宋体"/>
          <w:bCs/>
          <w:color w:val="auto"/>
          <w:sz w:val="21"/>
          <w:szCs w:val="21"/>
          <w:highlight w:val="none"/>
          <w:lang w:val="en-US" w:eastAsia="zh-CN"/>
        </w:rPr>
        <w:t>。</w:t>
      </w:r>
    </w:p>
    <w:p w14:paraId="0B4B46DB">
      <w:pPr>
        <w:keepNext w:val="0"/>
        <w:keepLines w:val="0"/>
        <w:pageBreakBefore w:val="0"/>
        <w:kinsoku/>
        <w:wordWrap/>
        <w:overflowPunct/>
        <w:topLinePunct w:val="0"/>
        <w:bidi w:val="0"/>
        <w:spacing w:line="360" w:lineRule="exact"/>
        <w:ind w:left="0" w:leftChars="0" w:firstLine="420" w:firstLineChars="200"/>
        <w:jc w:val="both"/>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 xml:space="preserve">2.2.1 </w:t>
      </w:r>
      <w:r>
        <w:rPr>
          <w:rFonts w:hint="eastAsia" w:ascii="宋体" w:hAnsi="宋体" w:eastAsia="宋体" w:cs="宋体"/>
          <w:bCs/>
          <w:color w:val="auto"/>
          <w:sz w:val="21"/>
          <w:szCs w:val="21"/>
          <w:highlight w:val="none"/>
          <w:lang w:val="en-US" w:eastAsia="zh-CN"/>
        </w:rPr>
        <w:t>内存：RAM 4GB + ROM 64GB</w:t>
      </w:r>
      <w:r>
        <w:rPr>
          <w:rFonts w:hint="eastAsia" w:ascii="宋体" w:hAnsi="宋体" w:cs="宋体"/>
          <w:bCs/>
          <w:color w:val="auto"/>
          <w:sz w:val="21"/>
          <w:szCs w:val="21"/>
          <w:highlight w:val="none"/>
          <w:lang w:val="en-US" w:eastAsia="zh-CN"/>
        </w:rPr>
        <w:t>。</w:t>
      </w:r>
    </w:p>
    <w:p w14:paraId="74577CE5">
      <w:pPr>
        <w:keepNext w:val="0"/>
        <w:keepLines w:val="0"/>
        <w:pageBreakBefore w:val="0"/>
        <w:kinsoku/>
        <w:wordWrap/>
        <w:overflowPunct/>
        <w:topLinePunct w:val="0"/>
        <w:bidi w:val="0"/>
        <w:spacing w:line="360" w:lineRule="exact"/>
        <w:ind w:left="0" w:leftChars="0" w:firstLine="420" w:firstLineChars="200"/>
        <w:jc w:val="both"/>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 xml:space="preserve">2.2.2 </w:t>
      </w:r>
      <w:r>
        <w:rPr>
          <w:rFonts w:hint="eastAsia" w:ascii="宋体" w:hAnsi="宋体" w:eastAsia="宋体" w:cs="宋体"/>
          <w:bCs/>
          <w:color w:val="auto"/>
          <w:sz w:val="21"/>
          <w:szCs w:val="21"/>
          <w:highlight w:val="none"/>
          <w:lang w:val="en-US" w:eastAsia="zh-CN"/>
        </w:rPr>
        <w:t>屏幕：5.99寸LCD，1080*2160分辨率；电容式 10 点触摸屏</w:t>
      </w:r>
      <w:r>
        <w:rPr>
          <w:rFonts w:hint="eastAsia" w:ascii="宋体" w:hAnsi="宋体" w:cs="宋体"/>
          <w:bCs/>
          <w:color w:val="auto"/>
          <w:sz w:val="21"/>
          <w:szCs w:val="21"/>
          <w:highlight w:val="none"/>
          <w:lang w:val="en-US" w:eastAsia="zh-CN"/>
        </w:rPr>
        <w:t>。</w:t>
      </w:r>
    </w:p>
    <w:p w14:paraId="59EB3768">
      <w:pPr>
        <w:keepNext w:val="0"/>
        <w:keepLines w:val="0"/>
        <w:pageBreakBefore w:val="0"/>
        <w:kinsoku/>
        <w:wordWrap/>
        <w:overflowPunct/>
        <w:topLinePunct w:val="0"/>
        <w:bidi w:val="0"/>
        <w:spacing w:line="360" w:lineRule="exact"/>
        <w:ind w:left="0" w:leftChars="0" w:firstLine="420" w:firstLineChars="200"/>
        <w:jc w:val="both"/>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 xml:space="preserve">2.2.3 </w:t>
      </w:r>
      <w:r>
        <w:rPr>
          <w:rFonts w:hint="eastAsia" w:ascii="宋体" w:hAnsi="宋体" w:eastAsia="宋体" w:cs="宋体"/>
          <w:bCs/>
          <w:color w:val="auto"/>
          <w:sz w:val="21"/>
          <w:szCs w:val="21"/>
          <w:highlight w:val="none"/>
          <w:lang w:val="en-US" w:eastAsia="zh-CN"/>
        </w:rPr>
        <w:t>摄像头：后置1300万自动对焦摄像头，前置800万定焦摄像头</w:t>
      </w:r>
      <w:r>
        <w:rPr>
          <w:rFonts w:hint="eastAsia" w:ascii="宋体" w:hAnsi="宋体" w:cs="宋体"/>
          <w:bCs/>
          <w:color w:val="auto"/>
          <w:sz w:val="21"/>
          <w:szCs w:val="21"/>
          <w:highlight w:val="none"/>
          <w:lang w:val="en-US" w:eastAsia="zh-CN"/>
        </w:rPr>
        <w:t>。</w:t>
      </w:r>
    </w:p>
    <w:p w14:paraId="49F0A256">
      <w:pPr>
        <w:keepNext w:val="0"/>
        <w:keepLines w:val="0"/>
        <w:pageBreakBefore w:val="0"/>
        <w:kinsoku/>
        <w:wordWrap/>
        <w:overflowPunct/>
        <w:topLinePunct w:val="0"/>
        <w:bidi w:val="0"/>
        <w:spacing w:line="360" w:lineRule="exact"/>
        <w:ind w:left="0" w:leftChars="0" w:firstLine="420" w:firstLineChars="200"/>
        <w:jc w:val="both"/>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 xml:space="preserve">2.2.4 </w:t>
      </w:r>
      <w:r>
        <w:rPr>
          <w:rFonts w:hint="eastAsia" w:ascii="宋体" w:hAnsi="宋体" w:eastAsia="宋体" w:cs="宋体"/>
          <w:bCs/>
          <w:color w:val="auto"/>
          <w:sz w:val="21"/>
          <w:szCs w:val="21"/>
          <w:highlight w:val="none"/>
          <w:lang w:val="en-US" w:eastAsia="zh-CN"/>
        </w:rPr>
        <w:t>通讯模块：4G全网通，支持VPN；WIFI双频2.4GHz/5GHz， 支持IEEE 802 a/b/g/n/ac协议；蓝牙BT5.0，支持BLE</w:t>
      </w:r>
      <w:r>
        <w:rPr>
          <w:rFonts w:hint="eastAsia" w:ascii="宋体" w:hAnsi="宋体" w:cs="宋体"/>
          <w:bCs/>
          <w:color w:val="auto"/>
          <w:sz w:val="21"/>
          <w:szCs w:val="21"/>
          <w:highlight w:val="none"/>
          <w:lang w:val="en-US" w:eastAsia="zh-CN"/>
        </w:rPr>
        <w:t>。</w:t>
      </w:r>
    </w:p>
    <w:p w14:paraId="78D04607">
      <w:pPr>
        <w:keepNext w:val="0"/>
        <w:keepLines w:val="0"/>
        <w:pageBreakBefore w:val="0"/>
        <w:kinsoku/>
        <w:wordWrap/>
        <w:overflowPunct/>
        <w:topLinePunct w:val="0"/>
        <w:bidi w:val="0"/>
        <w:spacing w:line="360" w:lineRule="exact"/>
        <w:ind w:left="0" w:leftChars="0" w:firstLine="420" w:firstLineChars="200"/>
        <w:jc w:val="both"/>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 xml:space="preserve">2.2.5 </w:t>
      </w:r>
      <w:r>
        <w:rPr>
          <w:rFonts w:hint="eastAsia" w:ascii="宋体" w:hAnsi="宋体" w:eastAsia="宋体" w:cs="宋体"/>
          <w:bCs/>
          <w:color w:val="auto"/>
          <w:sz w:val="21"/>
          <w:szCs w:val="21"/>
          <w:highlight w:val="none"/>
          <w:lang w:val="en-US" w:eastAsia="zh-CN"/>
        </w:rPr>
        <w:t>6000mAh 高性能锂聚合物电池 , 可更换；PD快充</w:t>
      </w:r>
      <w:r>
        <w:rPr>
          <w:rFonts w:hint="eastAsia" w:ascii="宋体" w:hAnsi="宋体" w:cs="宋体"/>
          <w:bCs/>
          <w:color w:val="auto"/>
          <w:sz w:val="21"/>
          <w:szCs w:val="21"/>
          <w:highlight w:val="none"/>
          <w:lang w:val="en-US" w:eastAsia="zh-CN"/>
        </w:rPr>
        <w:t>。</w:t>
      </w:r>
    </w:p>
    <w:p w14:paraId="5391122F">
      <w:pPr>
        <w:keepNext w:val="0"/>
        <w:keepLines w:val="0"/>
        <w:pageBreakBefore w:val="0"/>
        <w:kinsoku/>
        <w:wordWrap/>
        <w:overflowPunct/>
        <w:topLinePunct w:val="0"/>
        <w:bidi w:val="0"/>
        <w:spacing w:line="360" w:lineRule="exact"/>
        <w:ind w:left="0" w:leftChars="0" w:firstLine="420" w:firstLineChars="200"/>
        <w:jc w:val="both"/>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 xml:space="preserve">2.2.6 </w:t>
      </w:r>
      <w:r>
        <w:rPr>
          <w:rFonts w:hint="eastAsia" w:ascii="宋体" w:hAnsi="宋体" w:eastAsia="宋体" w:cs="宋体"/>
          <w:bCs/>
          <w:color w:val="auto"/>
          <w:sz w:val="21"/>
          <w:szCs w:val="21"/>
          <w:highlight w:val="none"/>
          <w:lang w:val="en-US" w:eastAsia="zh-CN"/>
        </w:rPr>
        <w:t>内置居民身份证阅读模块</w:t>
      </w:r>
      <w:r>
        <w:rPr>
          <w:rFonts w:hint="eastAsia" w:ascii="宋体" w:hAnsi="宋体" w:cs="宋体"/>
          <w:bCs/>
          <w:color w:val="auto"/>
          <w:sz w:val="21"/>
          <w:szCs w:val="21"/>
          <w:highlight w:val="none"/>
          <w:lang w:val="en-US" w:eastAsia="zh-CN"/>
        </w:rPr>
        <w:t>。</w:t>
      </w:r>
    </w:p>
    <w:p w14:paraId="702673CC">
      <w:pPr>
        <w:keepNext w:val="0"/>
        <w:keepLines w:val="0"/>
        <w:pageBreakBefore w:val="0"/>
        <w:kinsoku/>
        <w:wordWrap/>
        <w:overflowPunct/>
        <w:topLinePunct w:val="0"/>
        <w:bidi w:val="0"/>
        <w:spacing w:line="360" w:lineRule="exact"/>
        <w:ind w:left="0" w:leftChars="0" w:firstLine="420" w:firstLineChars="200"/>
        <w:jc w:val="both"/>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en-US" w:eastAsia="zh-CN"/>
        </w:rPr>
        <w:t>3</w:t>
      </w:r>
      <w:r>
        <w:rPr>
          <w:rFonts w:hint="eastAsia" w:ascii="宋体" w:hAnsi="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lang w:val="en-US" w:eastAsia="zh-CN"/>
        </w:rPr>
        <w:t>内置指纹识别模块</w:t>
      </w:r>
      <w:r>
        <w:rPr>
          <w:rFonts w:hint="eastAsia" w:ascii="宋体" w:hAnsi="宋体" w:cs="宋体"/>
          <w:bCs/>
          <w:color w:val="auto"/>
          <w:sz w:val="21"/>
          <w:szCs w:val="21"/>
          <w:highlight w:val="none"/>
          <w:lang w:val="en-US" w:eastAsia="zh-CN"/>
        </w:rPr>
        <w:t>。</w:t>
      </w:r>
    </w:p>
    <w:p w14:paraId="5B9FFC2A">
      <w:pPr>
        <w:keepNext w:val="0"/>
        <w:keepLines w:val="0"/>
        <w:pageBreakBefore w:val="0"/>
        <w:kinsoku/>
        <w:wordWrap/>
        <w:overflowPunct/>
        <w:topLinePunct w:val="0"/>
        <w:bidi w:val="0"/>
        <w:spacing w:line="360" w:lineRule="exact"/>
        <w:ind w:left="0" w:leftChars="0" w:firstLine="420" w:firstLineChars="200"/>
        <w:jc w:val="both"/>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 xml:space="preserve">2.3.1 </w:t>
      </w:r>
      <w:r>
        <w:rPr>
          <w:rFonts w:hint="eastAsia" w:ascii="宋体" w:hAnsi="宋体" w:eastAsia="宋体" w:cs="宋体"/>
          <w:bCs/>
          <w:color w:val="auto"/>
          <w:sz w:val="21"/>
          <w:szCs w:val="21"/>
          <w:highlight w:val="none"/>
          <w:lang w:val="en-US" w:eastAsia="zh-CN"/>
        </w:rPr>
        <w:t>IP67三防等级</w:t>
      </w:r>
      <w:r>
        <w:rPr>
          <w:rFonts w:hint="eastAsia" w:ascii="宋体" w:hAnsi="宋体" w:cs="宋体"/>
          <w:bCs/>
          <w:color w:val="auto"/>
          <w:sz w:val="21"/>
          <w:szCs w:val="21"/>
          <w:highlight w:val="none"/>
          <w:lang w:val="en-US" w:eastAsia="zh-CN"/>
        </w:rPr>
        <w:t>。</w:t>
      </w:r>
    </w:p>
    <w:p w14:paraId="67A5F46B">
      <w:pPr>
        <w:keepNext w:val="0"/>
        <w:keepLines w:val="0"/>
        <w:pageBreakBefore w:val="0"/>
        <w:kinsoku/>
        <w:wordWrap/>
        <w:overflowPunct/>
        <w:topLinePunct w:val="0"/>
        <w:bidi w:val="0"/>
        <w:spacing w:line="360" w:lineRule="exact"/>
        <w:ind w:left="0" w:leftChars="0" w:firstLine="420" w:firstLineChars="200"/>
        <w:jc w:val="both"/>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 xml:space="preserve">2.3.2 </w:t>
      </w:r>
      <w:r>
        <w:rPr>
          <w:rFonts w:hint="eastAsia" w:ascii="宋体" w:hAnsi="宋体" w:eastAsia="宋体" w:cs="宋体"/>
          <w:bCs/>
          <w:color w:val="auto"/>
          <w:sz w:val="21"/>
          <w:szCs w:val="21"/>
          <w:highlight w:val="none"/>
          <w:lang w:val="en-US" w:eastAsia="zh-CN"/>
        </w:rPr>
        <w:t>6面均可承受1.5米高度跌落到水泥地面的冲击</w:t>
      </w:r>
      <w:r>
        <w:rPr>
          <w:rFonts w:hint="eastAsia" w:ascii="宋体" w:hAnsi="宋体" w:cs="宋体"/>
          <w:bCs/>
          <w:color w:val="auto"/>
          <w:sz w:val="21"/>
          <w:szCs w:val="21"/>
          <w:highlight w:val="none"/>
          <w:lang w:val="en-US" w:eastAsia="zh-CN"/>
        </w:rPr>
        <w:t>。</w:t>
      </w:r>
    </w:p>
    <w:p w14:paraId="39671D3C">
      <w:pPr>
        <w:keepNext w:val="0"/>
        <w:keepLines w:val="0"/>
        <w:pageBreakBefore w:val="0"/>
        <w:kinsoku/>
        <w:wordWrap/>
        <w:overflowPunct/>
        <w:topLinePunct w:val="0"/>
        <w:bidi w:val="0"/>
        <w:spacing w:line="360" w:lineRule="exact"/>
        <w:ind w:left="0" w:leftChars="0" w:firstLine="420" w:firstLineChars="200"/>
        <w:jc w:val="both"/>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 xml:space="preserve">2.4 </w:t>
      </w:r>
      <w:r>
        <w:rPr>
          <w:rFonts w:hint="eastAsia" w:ascii="宋体" w:hAnsi="宋体" w:eastAsia="宋体" w:cs="宋体"/>
          <w:bCs/>
          <w:color w:val="auto"/>
          <w:sz w:val="21"/>
          <w:szCs w:val="21"/>
          <w:highlight w:val="none"/>
          <w:lang w:val="en-US" w:eastAsia="zh-CN"/>
        </w:rPr>
        <w:t>接口：1个Type_C（支持 OTG）；TF卡、 SIM卡 插槽</w:t>
      </w:r>
      <w:r>
        <w:rPr>
          <w:rFonts w:hint="eastAsia" w:ascii="宋体" w:hAnsi="宋体" w:cs="宋体"/>
          <w:bCs/>
          <w:color w:val="auto"/>
          <w:sz w:val="21"/>
          <w:szCs w:val="21"/>
          <w:highlight w:val="none"/>
          <w:lang w:val="en-US" w:eastAsia="zh-CN"/>
        </w:rPr>
        <w:t>。</w:t>
      </w:r>
      <w:r>
        <w:rPr>
          <w:rFonts w:hint="eastAsia" w:ascii="宋体" w:hAnsi="宋体" w:eastAsia="宋体" w:cs="宋体"/>
          <w:bCs/>
          <w:color w:val="auto"/>
          <w:sz w:val="21"/>
          <w:szCs w:val="21"/>
          <w:highlight w:val="none"/>
          <w:lang w:val="en-US" w:eastAsia="zh-CN"/>
        </w:rPr>
        <w:t xml:space="preserve"> </w:t>
      </w:r>
    </w:p>
    <w:p w14:paraId="674578E4">
      <w:pPr>
        <w:keepNext w:val="0"/>
        <w:keepLines w:val="0"/>
        <w:pageBreakBefore w:val="0"/>
        <w:kinsoku/>
        <w:wordWrap/>
        <w:overflowPunct/>
        <w:topLinePunct w:val="0"/>
        <w:bidi w:val="0"/>
        <w:spacing w:line="360" w:lineRule="exact"/>
        <w:ind w:left="0" w:leftChars="0" w:firstLine="420" w:firstLineChars="200"/>
        <w:jc w:val="both"/>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2.5</w:t>
      </w:r>
      <w:r>
        <w:rPr>
          <w:rFonts w:hint="eastAsia" w:ascii="宋体" w:hAnsi="宋体" w:eastAsia="宋体" w:cs="宋体"/>
          <w:bCs/>
          <w:color w:val="auto"/>
          <w:sz w:val="21"/>
          <w:szCs w:val="21"/>
          <w:highlight w:val="none"/>
          <w:lang w:val="en-US" w:eastAsia="zh-CN"/>
        </w:rPr>
        <w:t>含嵌入式软件“人证核验软件”</w:t>
      </w:r>
      <w:r>
        <w:rPr>
          <w:rFonts w:hint="eastAsia" w:ascii="宋体" w:hAnsi="宋体" w:cs="宋体"/>
          <w:bCs/>
          <w:color w:val="auto"/>
          <w:sz w:val="21"/>
          <w:szCs w:val="21"/>
          <w:highlight w:val="none"/>
          <w:lang w:val="en-US" w:eastAsia="zh-CN"/>
        </w:rPr>
        <w:t>。</w:t>
      </w:r>
    </w:p>
    <w:p w14:paraId="773BDE18">
      <w:pPr>
        <w:keepNext w:val="0"/>
        <w:keepLines w:val="0"/>
        <w:pageBreakBefore w:val="0"/>
        <w:kinsoku/>
        <w:wordWrap/>
        <w:overflowPunct/>
        <w:topLinePunct w:val="0"/>
        <w:bidi w:val="0"/>
        <w:spacing w:line="360" w:lineRule="exact"/>
        <w:ind w:left="0" w:leftChars="0" w:firstLine="420" w:firstLineChars="200"/>
        <w:jc w:val="both"/>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en-US" w:eastAsia="zh-CN"/>
        </w:rPr>
        <w:t>6</w:t>
      </w:r>
      <w:r>
        <w:rPr>
          <w:rFonts w:hint="eastAsia" w:ascii="宋体" w:hAnsi="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lang w:val="en-US" w:eastAsia="zh-CN"/>
        </w:rPr>
        <w:t>与中山市妇幼平台匹配对接认证结果。</w:t>
      </w:r>
    </w:p>
    <w:p w14:paraId="418222A2">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（三）商务要求</w:t>
      </w:r>
    </w:p>
    <w:p w14:paraId="5506B8F1">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1.付款方式</w:t>
      </w:r>
    </w:p>
    <w:p w14:paraId="1B6B1AC0">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eastAsia="宋体" w:cs="Times New Roman"/>
          <w:bCs/>
          <w:color w:val="auto"/>
          <w:szCs w:val="21"/>
          <w:highlight w:val="none"/>
          <w:lang w:val="en-US" w:eastAsia="zh-CN"/>
        </w:rPr>
      </w:pPr>
      <w:r>
        <w:rPr>
          <w:rFonts w:hint="eastAsia" w:ascii="宋体" w:hAnsi="宋体" w:cs="Times New Roman"/>
          <w:bCs/>
          <w:color w:val="auto"/>
          <w:szCs w:val="21"/>
          <w:highlight w:val="none"/>
          <w:lang w:val="en-US" w:eastAsia="zh-CN"/>
        </w:rPr>
        <w:t>1.1</w:t>
      </w:r>
      <w:r>
        <w:rPr>
          <w:rFonts w:hint="eastAsia" w:ascii="宋体" w:hAnsi="宋体" w:eastAsia="宋体" w:cs="Times New Roman"/>
          <w:bCs/>
          <w:color w:val="auto"/>
          <w:szCs w:val="21"/>
          <w:highlight w:val="none"/>
          <w:lang w:val="en-US" w:eastAsia="zh-CN"/>
        </w:rPr>
        <w:t>合同签订后30天内交货，完成安装测试运行验收合格后支付合同金额的100%。</w:t>
      </w:r>
    </w:p>
    <w:p w14:paraId="3FCA6629">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2.验收标准和方法</w:t>
      </w:r>
    </w:p>
    <w:p w14:paraId="63DB18BC">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2.1设备生产日期在合同签订日期前12个月以内。</w:t>
      </w:r>
    </w:p>
    <w:p w14:paraId="30AFB474">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2.2设备验收在采购人和供应商双方共同参与下按国家有关的规定、规范进行。</w:t>
      </w:r>
    </w:p>
    <w:p w14:paraId="4BFC8C2A">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2.3验收时如发现所交付的设备有短装、次品、损坏或其它不符合本合同规定之情形者，采购人应作出详尽的现场记录，或由采购人、供应商双方签署备忘录。此现场记录或备忘录可用作补充、缺失和更换损坏部件的有效证据。因此产生的有关费用由供应商承担。</w:t>
      </w:r>
    </w:p>
    <w:p w14:paraId="3FCC9848">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2.4如果合同设备运输和安装过程中因事故造成货物短缺、损坏，供应商应及时安排补货、换货，以保证合同设备安装的成功完成。换货的相关费用由供应商承担。</w:t>
      </w:r>
    </w:p>
    <w:p w14:paraId="4FCEE26B">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2.5供应商保证合同项下提供的设备不侵犯任何第三方的专利、商标或版权。否则，供应商须承担对第三方的专利或版权的侵权责任并承担因此而发生的所有费用。</w:t>
      </w:r>
    </w:p>
    <w:p w14:paraId="0636B8DB">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3.质量保证期不少于</w:t>
      </w:r>
      <w:r>
        <w:rPr>
          <w:rFonts w:hint="eastAsia" w:ascii="宋体" w:hAnsi="宋体" w:cs="Times New Roman"/>
          <w:bCs/>
          <w:color w:val="auto"/>
          <w:szCs w:val="21"/>
          <w:highlight w:val="none"/>
          <w:lang w:val="en-US" w:eastAsia="zh-CN"/>
        </w:rPr>
        <w:t>1</w:t>
      </w:r>
      <w:r>
        <w:rPr>
          <w:rFonts w:hint="eastAsia" w:ascii="宋体" w:hAnsi="宋体" w:eastAsia="宋体" w:cs="Times New Roman"/>
          <w:bCs/>
          <w:color w:val="auto"/>
          <w:szCs w:val="21"/>
          <w:highlight w:val="none"/>
          <w:lang w:val="en-US" w:eastAsia="zh-CN"/>
        </w:rPr>
        <w:t>年。</w:t>
      </w:r>
    </w:p>
    <w:p w14:paraId="0DFF8AB7">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4.保密要求：双方合作中涉及的所有业务、技术资料，均有责任对第三方保密。如其中一方擅自将涉及另一方的商业和技术秘密的资料透漏给第三方，则另一方将保留追究对方法律责任的权利。</w:t>
      </w:r>
    </w:p>
    <w:p w14:paraId="5205C2B2">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5.安装调试及技术服务(含培训)要求：供应商负责设备的安装</w:t>
      </w:r>
      <w:r>
        <w:rPr>
          <w:rFonts w:hint="eastAsia" w:ascii="宋体" w:hAnsi="宋体" w:cs="Times New Roman"/>
          <w:bCs/>
          <w:color w:val="auto"/>
          <w:szCs w:val="21"/>
          <w:highlight w:val="none"/>
          <w:lang w:val="en-US" w:eastAsia="zh-CN"/>
        </w:rPr>
        <w:t>调试</w:t>
      </w:r>
      <w:r>
        <w:rPr>
          <w:rFonts w:hint="eastAsia" w:ascii="宋体" w:hAnsi="宋体" w:eastAsia="宋体" w:cs="Times New Roman"/>
          <w:bCs/>
          <w:color w:val="auto"/>
          <w:szCs w:val="21"/>
          <w:highlight w:val="none"/>
          <w:lang w:val="en-US" w:eastAsia="zh-CN"/>
        </w:rPr>
        <w:t>，供应商负责对科室技术人员、操作人员进行免费业务培训，培训内容包括设备操作、设备维护、专业知识等，培训保证技术人员、操作人员能够掌握并独立操作为止。</w:t>
      </w:r>
    </w:p>
    <w:p w14:paraId="015AFF3B">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6.售后服务的要求：维修保修期满,供应商终身提供维修服务，不收取上门费,只收取配件等相关成本费用。</w:t>
      </w:r>
      <w:r>
        <w:rPr>
          <w:rFonts w:hint="eastAsia" w:ascii="宋体" w:hAnsi="宋体" w:cs="Times New Roman"/>
          <w:bCs/>
          <w:color w:val="auto"/>
          <w:szCs w:val="21"/>
          <w:highlight w:val="none"/>
          <w:lang w:val="en-US" w:eastAsia="zh-CN"/>
        </w:rPr>
        <w:t>设备</w:t>
      </w:r>
      <w:r>
        <w:rPr>
          <w:rFonts w:hint="eastAsia" w:ascii="宋体" w:hAnsi="宋体" w:eastAsia="宋体" w:cs="Times New Roman"/>
          <w:bCs/>
          <w:color w:val="auto"/>
          <w:szCs w:val="21"/>
          <w:highlight w:val="none"/>
          <w:lang w:val="en-US" w:eastAsia="zh-CN"/>
        </w:rPr>
        <w:t>出现问题，供应商在接到采购人电话通知后，立即提供电话指导,如无法远程解决，供应商工程师在接到院方电话后24小时内提供解决方案,并负责设备的维修。</w:t>
      </w:r>
    </w:p>
    <w:p w14:paraId="0FE90A41">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合格供应商资格要求</w:t>
      </w:r>
    </w:p>
    <w:p w14:paraId="4EF3A67F">
      <w:pPr>
        <w:keepNext w:val="0"/>
        <w:keepLines w:val="0"/>
        <w:pageBreakBefore w:val="0"/>
        <w:numPr>
          <w:ilvl w:val="0"/>
          <w:numId w:val="2"/>
        </w:numPr>
        <w:kinsoku/>
        <w:wordWrap/>
        <w:overflowPunct/>
        <w:topLinePunct w:val="0"/>
        <w:bidi w:val="0"/>
        <w:spacing w:line="360" w:lineRule="exact"/>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供应商应具备《中华人民共和国政府采购法》第二十二条规定的条件</w:t>
      </w:r>
      <w:r>
        <w:rPr>
          <w:rFonts w:hint="eastAsia" w:ascii="宋体" w:hAnsi="宋体" w:eastAsia="宋体" w:cs="宋体"/>
          <w:color w:val="auto"/>
          <w:sz w:val="21"/>
          <w:szCs w:val="21"/>
          <w:highlight w:val="none"/>
          <w:lang w:val="en-US" w:eastAsia="zh-CN"/>
        </w:rPr>
        <w:t>（提供资格声明函）</w:t>
      </w:r>
      <w:r>
        <w:rPr>
          <w:rFonts w:hint="eastAsia" w:ascii="宋体" w:hAnsi="宋体" w:cs="宋体"/>
          <w:color w:val="auto"/>
          <w:sz w:val="21"/>
          <w:szCs w:val="21"/>
          <w:highlight w:val="none"/>
          <w:lang w:eastAsia="zh-CN"/>
        </w:rPr>
        <w:t>。</w:t>
      </w:r>
    </w:p>
    <w:p w14:paraId="10CB3327">
      <w:pPr>
        <w:keepNext w:val="0"/>
        <w:keepLines w:val="0"/>
        <w:pageBreakBefore w:val="0"/>
        <w:numPr>
          <w:ilvl w:val="0"/>
          <w:numId w:val="2"/>
        </w:numPr>
        <w:kinsoku/>
        <w:wordWrap/>
        <w:overflowPunct/>
        <w:topLinePunct w:val="0"/>
        <w:bidi w:val="0"/>
        <w:spacing w:line="360" w:lineRule="exact"/>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供应商须具备相关经营范围</w:t>
      </w:r>
      <w:r>
        <w:rPr>
          <w:rFonts w:hint="eastAsia" w:ascii="宋体" w:hAnsi="宋体" w:cs="宋体"/>
          <w:color w:val="auto"/>
          <w:sz w:val="21"/>
          <w:szCs w:val="21"/>
          <w:highlight w:val="none"/>
          <w:lang w:val="en-US" w:eastAsia="zh-CN"/>
        </w:rPr>
        <w:t>且有效的营业执照</w:t>
      </w:r>
      <w:r>
        <w:rPr>
          <w:rFonts w:hint="eastAsia" w:ascii="宋体" w:hAnsi="宋体" w:eastAsia="宋体" w:cs="宋体"/>
          <w:color w:val="auto"/>
          <w:sz w:val="21"/>
          <w:szCs w:val="21"/>
          <w:highlight w:val="none"/>
        </w:rPr>
        <w:t>（提供证明材料复印件加盖供应商公章）。</w:t>
      </w:r>
    </w:p>
    <w:p w14:paraId="0630AF33">
      <w:pPr>
        <w:keepNext w:val="0"/>
        <w:keepLines w:val="0"/>
        <w:pageBreakBefore w:val="0"/>
        <w:numPr>
          <w:ilvl w:val="0"/>
          <w:numId w:val="2"/>
        </w:numPr>
        <w:kinsoku/>
        <w:wordWrap/>
        <w:overflowPunct/>
        <w:topLinePunct w:val="0"/>
        <w:bidi w:val="0"/>
        <w:spacing w:line="360" w:lineRule="exact"/>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未被列入“信用中国”网站(www.creditchina.gov.cn)“记录失信被执行人或重大税收违法案件当事人名单或政府采购严重违法失信行为”记录名单。同时，不处于中国政府采购网(www.ccgp.gov.cn)“政府采购严重违法失信行为信息记录”中的禁止参加政府采购活动期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提供资格声明函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2D95D5CD">
      <w:pPr>
        <w:keepNext w:val="0"/>
        <w:keepLines w:val="0"/>
        <w:pageBreakBefore w:val="0"/>
        <w:numPr>
          <w:ilvl w:val="0"/>
          <w:numId w:val="2"/>
        </w:numPr>
        <w:kinsoku/>
        <w:wordWrap/>
        <w:overflowPunct/>
        <w:topLinePunct w:val="0"/>
        <w:bidi w:val="0"/>
        <w:spacing w:line="360" w:lineRule="exact"/>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本项目不接受联合体投标，且不允许转包或分包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提供资格声明函</w:t>
      </w:r>
      <w:r>
        <w:rPr>
          <w:rFonts w:hint="eastAsia" w:ascii="宋体" w:hAnsi="宋体" w:eastAsia="宋体" w:cs="宋体"/>
          <w:color w:val="auto"/>
          <w:sz w:val="21"/>
          <w:szCs w:val="21"/>
          <w:highlight w:val="none"/>
          <w:lang w:eastAsia="zh-CN"/>
        </w:rPr>
        <w:t>）。</w:t>
      </w:r>
    </w:p>
    <w:p w14:paraId="19B08C64">
      <w:pPr>
        <w:keepNext w:val="0"/>
        <w:keepLines w:val="0"/>
        <w:pageBreakBefore w:val="0"/>
        <w:numPr>
          <w:ilvl w:val="0"/>
          <w:numId w:val="2"/>
        </w:numPr>
        <w:kinsoku/>
        <w:wordWrap/>
        <w:overflowPunct/>
        <w:topLinePunct w:val="0"/>
        <w:bidi w:val="0"/>
        <w:spacing w:line="360" w:lineRule="exact"/>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单位负责人为同一人或者存在直接控股、管理关系的不同供应商，不得参加同一合同项下的政府采购活动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提供资格声明函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20E798DD">
      <w:pPr>
        <w:keepNext w:val="0"/>
        <w:keepLines w:val="0"/>
        <w:pageBreakBefore w:val="0"/>
        <w:numPr>
          <w:ilvl w:val="0"/>
          <w:numId w:val="0"/>
        </w:numPr>
        <w:kinsoku/>
        <w:wordWrap/>
        <w:overflowPunct/>
        <w:topLinePunct w:val="0"/>
        <w:bidi w:val="0"/>
        <w:spacing w:line="360" w:lineRule="exact"/>
        <w:ind w:firstLine="420" w:firstLineChars="200"/>
        <w:jc w:val="both"/>
        <w:rPr>
          <w:rFonts w:hint="eastAsia" w:ascii="宋体" w:hAnsi="宋体" w:cs="宋体"/>
          <w:b/>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六）</w:t>
      </w:r>
      <w:r>
        <w:rPr>
          <w:rFonts w:hint="eastAsia" w:ascii="宋体" w:hAnsi="宋体" w:eastAsia="宋体" w:cs="宋体"/>
          <w:b w:val="0"/>
          <w:bCs w:val="0"/>
          <w:color w:val="auto"/>
          <w:sz w:val="21"/>
          <w:szCs w:val="21"/>
          <w:highlight w:val="none"/>
        </w:rPr>
        <w:t>为</w:t>
      </w:r>
      <w:r>
        <w:rPr>
          <w:rFonts w:hint="eastAsia" w:ascii="宋体" w:hAnsi="宋体" w:eastAsia="宋体" w:cs="宋体"/>
          <w:color w:val="auto"/>
          <w:sz w:val="21"/>
          <w:szCs w:val="21"/>
          <w:highlight w:val="none"/>
        </w:rPr>
        <w:t>本项目提供整体设计、规范编制或者项目管理、监理、检测等服务的供应商，不得再参与本项目投标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提供资格声明函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20F4AECF">
      <w:pPr>
        <w:keepNext w:val="0"/>
        <w:keepLines w:val="0"/>
        <w:pageBreakBefore w:val="0"/>
        <w:widowControl w:val="0"/>
        <w:kinsoku/>
        <w:wordWrap/>
        <w:overflowPunct/>
        <w:topLinePunct w:val="0"/>
        <w:bidi w:val="0"/>
        <w:adjustRightInd w:val="0"/>
        <w:snapToGrid w:val="0"/>
        <w:spacing w:line="360" w:lineRule="exact"/>
        <w:ind w:left="0" w:leftChars="0" w:firstLine="422" w:firstLineChars="200"/>
        <w:jc w:val="both"/>
        <w:rPr>
          <w:rFonts w:hint="eastAsia" w:ascii="宋体" w:hAnsi="宋体" w:eastAsia="宋体" w:cs="宋体"/>
          <w:color w:val="auto"/>
          <w:sz w:val="21"/>
          <w:szCs w:val="21"/>
          <w:highlight w:val="none"/>
        </w:rPr>
      </w:pPr>
      <w:r>
        <w:rPr>
          <w:rFonts w:hint="eastAsia" w:ascii="宋体" w:hAnsi="宋体" w:cs="宋体"/>
          <w:b/>
          <w:color w:val="auto"/>
          <w:sz w:val="21"/>
          <w:szCs w:val="21"/>
          <w:highlight w:val="none"/>
          <w:lang w:val="en-US" w:eastAsia="zh-CN"/>
        </w:rPr>
        <w:t>六</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响应文件递交</w:t>
      </w:r>
      <w:r>
        <w:rPr>
          <w:rFonts w:hint="eastAsia" w:ascii="宋体" w:hAnsi="宋体" w:eastAsia="宋体" w:cs="宋体"/>
          <w:b/>
          <w:color w:val="auto"/>
          <w:sz w:val="21"/>
          <w:szCs w:val="21"/>
          <w:highlight w:val="none"/>
        </w:rPr>
        <w:t>截止时间及地点</w:t>
      </w:r>
    </w:p>
    <w:p w14:paraId="2AF6100B">
      <w:pPr>
        <w:keepNext w:val="0"/>
        <w:keepLines w:val="0"/>
        <w:pageBreakBefore w:val="0"/>
        <w:numPr>
          <w:ilvl w:val="0"/>
          <w:numId w:val="3"/>
        </w:numPr>
        <w:kinsoku/>
        <w:wordWrap/>
        <w:overflowPunct/>
        <w:topLinePunct w:val="0"/>
        <w:bidi w:val="0"/>
        <w:spacing w:line="360" w:lineRule="exact"/>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响应文件递交截止时间：</w:t>
      </w:r>
      <w:r>
        <w:rPr>
          <w:rFonts w:hint="eastAsia" w:ascii="宋体" w:hAnsi="宋体" w:eastAsia="宋体" w:cs="宋体"/>
          <w:b/>
          <w:bCs/>
          <w:color w:val="auto"/>
          <w:sz w:val="21"/>
          <w:szCs w:val="21"/>
          <w:highlight w:val="none"/>
        </w:rPr>
        <w:t>202</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年</w:t>
      </w:r>
      <w:r>
        <w:rPr>
          <w:rFonts w:hint="eastAsia" w:ascii="宋体" w:hAnsi="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月</w:t>
      </w:r>
      <w:r>
        <w:rPr>
          <w:rFonts w:hint="eastAsia" w:ascii="宋体" w:hAnsi="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日</w:t>
      </w:r>
      <w:r>
        <w:rPr>
          <w:rFonts w:hint="eastAsia" w:ascii="宋体" w:hAnsi="宋体" w:cs="宋体"/>
          <w:b/>
          <w:bCs/>
          <w:color w:val="auto"/>
          <w:sz w:val="21"/>
          <w:szCs w:val="21"/>
          <w:highlight w:val="none"/>
          <w:lang w:val="en-US" w:eastAsia="zh-CN"/>
        </w:rPr>
        <w:t>17</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0</w:t>
      </w:r>
      <w:r>
        <w:rPr>
          <w:rFonts w:hint="eastAsia" w:ascii="宋体" w:hAnsi="宋体" w:eastAsia="宋体" w:cs="宋体"/>
          <w:b/>
          <w:bCs/>
          <w:color w:val="auto"/>
          <w:sz w:val="21"/>
          <w:szCs w:val="21"/>
          <w:highlight w:val="none"/>
        </w:rPr>
        <w:t>0</w:t>
      </w:r>
      <w:r>
        <w:rPr>
          <w:rFonts w:hint="eastAsia" w:ascii="宋体" w:hAnsi="宋体" w:eastAsia="宋体" w:cs="宋体"/>
          <w:color w:val="auto"/>
          <w:sz w:val="21"/>
          <w:szCs w:val="21"/>
          <w:highlight w:val="none"/>
        </w:rPr>
        <w:t>。</w:t>
      </w:r>
    </w:p>
    <w:p w14:paraId="680B17EA">
      <w:pPr>
        <w:keepNext w:val="0"/>
        <w:keepLines w:val="0"/>
        <w:pageBreakBefore w:val="0"/>
        <w:numPr>
          <w:ilvl w:val="0"/>
          <w:numId w:val="3"/>
        </w:numPr>
        <w:kinsoku/>
        <w:wordWrap/>
        <w:overflowPunct/>
        <w:topLinePunct w:val="0"/>
        <w:bidi w:val="0"/>
        <w:spacing w:line="360" w:lineRule="exact"/>
        <w:ind w:left="0" w:leftChars="0" w:firstLine="420" w:firstLineChars="200"/>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资料递交或邮寄地点：</w:t>
      </w:r>
      <w:r>
        <w:rPr>
          <w:rFonts w:hint="eastAsia" w:ascii="宋体" w:hAnsi="宋体" w:eastAsia="宋体" w:cs="宋体"/>
          <w:color w:val="auto"/>
          <w:sz w:val="21"/>
          <w:szCs w:val="21"/>
          <w:highlight w:val="none"/>
          <w:lang w:val="en-US" w:eastAsia="zh-CN"/>
        </w:rPr>
        <w:t>中山市板芙镇芙中路1号板芙医院综合楼</w:t>
      </w:r>
      <w:r>
        <w:rPr>
          <w:rFonts w:hint="eastAsia" w:ascii="宋体" w:hAnsi="宋体" w:cs="宋体"/>
          <w:color w:val="auto"/>
          <w:sz w:val="21"/>
          <w:szCs w:val="21"/>
          <w:highlight w:val="none"/>
          <w:lang w:val="en-US" w:eastAsia="zh-CN"/>
        </w:rPr>
        <w:t>（放射科旁电梯上）八</w:t>
      </w:r>
      <w:r>
        <w:rPr>
          <w:rFonts w:hint="eastAsia" w:ascii="宋体" w:hAnsi="宋体" w:eastAsia="宋体" w:cs="宋体"/>
          <w:color w:val="auto"/>
          <w:sz w:val="21"/>
          <w:szCs w:val="21"/>
          <w:highlight w:val="none"/>
          <w:lang w:val="en-US" w:eastAsia="zh-CN"/>
        </w:rPr>
        <w:t>楼</w:t>
      </w:r>
      <w:r>
        <w:rPr>
          <w:rFonts w:hint="eastAsia" w:ascii="宋体" w:hAnsi="宋体" w:cs="宋体"/>
          <w:color w:val="auto"/>
          <w:sz w:val="21"/>
          <w:szCs w:val="21"/>
          <w:highlight w:val="none"/>
          <w:lang w:val="en-US" w:eastAsia="zh-CN"/>
        </w:rPr>
        <w:t>行政办公区门口</w:t>
      </w:r>
      <w:r>
        <w:rPr>
          <w:rFonts w:hint="eastAsia" w:ascii="宋体" w:hAnsi="宋体" w:cs="宋体"/>
          <w:b w:val="0"/>
          <w:bCs w:val="0"/>
          <w:color w:val="auto"/>
          <w:sz w:val="21"/>
          <w:szCs w:val="21"/>
          <w:highlight w:val="none"/>
          <w:lang w:val="en-US" w:eastAsia="zh-CN"/>
        </w:rPr>
        <w:t>处</w:t>
      </w:r>
      <w:r>
        <w:rPr>
          <w:rFonts w:hint="eastAsia" w:ascii="宋体" w:hAnsi="宋体" w:cs="宋体"/>
          <w:b/>
          <w:bCs/>
          <w:color w:val="auto"/>
          <w:sz w:val="21"/>
          <w:szCs w:val="21"/>
          <w:highlight w:val="none"/>
          <w:lang w:val="en-US" w:eastAsia="zh-CN"/>
        </w:rPr>
        <w:t>“招采资料专用投递箱”</w:t>
      </w:r>
      <w:r>
        <w:rPr>
          <w:rFonts w:hint="eastAsia" w:ascii="宋体" w:hAnsi="宋体" w:cs="宋体"/>
          <w:color w:val="auto"/>
          <w:sz w:val="21"/>
          <w:szCs w:val="21"/>
          <w:highlight w:val="none"/>
          <w:lang w:val="en-US" w:eastAsia="zh-CN"/>
        </w:rPr>
        <w:t>，联系人：招采办杨小姐，联系电话：0760-28218662</w:t>
      </w:r>
      <w:r>
        <w:rPr>
          <w:rFonts w:hint="eastAsia" w:ascii="宋体" w:hAnsi="宋体" w:eastAsia="宋体" w:cs="宋体"/>
          <w:color w:val="auto"/>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 xml:space="preserve">   </w:t>
      </w:r>
    </w:p>
    <w:p w14:paraId="1D9C658D">
      <w:pPr>
        <w:keepNext w:val="0"/>
        <w:keepLines w:val="0"/>
        <w:pageBreakBefore w:val="0"/>
        <w:numPr>
          <w:ilvl w:val="0"/>
          <w:numId w:val="0"/>
        </w:numPr>
        <w:kinsoku/>
        <w:wordWrap/>
        <w:overflowPunct/>
        <w:topLinePunct w:val="0"/>
        <w:bidi w:val="0"/>
        <w:spacing w:line="360" w:lineRule="exact"/>
        <w:ind w:firstLine="422" w:firstLineChars="200"/>
        <w:jc w:val="both"/>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七、公告期限</w:t>
      </w:r>
    </w:p>
    <w:p w14:paraId="5980B5C6">
      <w:pPr>
        <w:keepNext w:val="0"/>
        <w:keepLines w:val="0"/>
        <w:pageBreakBefore w:val="0"/>
        <w:numPr>
          <w:ilvl w:val="0"/>
          <w:numId w:val="0"/>
        </w:numPr>
        <w:kinsoku/>
        <w:wordWrap/>
        <w:overflowPunct/>
        <w:topLinePunct w:val="0"/>
        <w:bidi w:val="0"/>
        <w:spacing w:line="360" w:lineRule="exact"/>
        <w:jc w:val="both"/>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自本公告发布之日起3个工作日。</w:t>
      </w:r>
    </w:p>
    <w:p w14:paraId="303D4C7E">
      <w:pPr>
        <w:keepNext w:val="0"/>
        <w:keepLines w:val="0"/>
        <w:pageBreakBefore w:val="0"/>
        <w:widowControl w:val="0"/>
        <w:numPr>
          <w:ilvl w:val="0"/>
          <w:numId w:val="4"/>
        </w:numPr>
        <w:tabs>
          <w:tab w:val="left" w:pos="420"/>
        </w:tabs>
        <w:kinsoku/>
        <w:overflowPunct/>
        <w:topLinePunct w:val="0"/>
        <w:bidi w:val="0"/>
        <w:spacing w:line="360" w:lineRule="exact"/>
        <w:ind w:left="0" w:leftChars="0" w:firstLine="422" w:firstLineChars="20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响应文件</w:t>
      </w:r>
      <w:r>
        <w:rPr>
          <w:rFonts w:hint="eastAsia" w:ascii="宋体" w:hAnsi="宋体" w:cs="宋体"/>
          <w:b/>
          <w:bCs/>
          <w:color w:val="auto"/>
          <w:sz w:val="21"/>
          <w:szCs w:val="21"/>
          <w:highlight w:val="none"/>
          <w:lang w:val="en-US" w:eastAsia="zh-CN"/>
        </w:rPr>
        <w:t>内容要求</w:t>
      </w:r>
    </w:p>
    <w:p w14:paraId="4B2A76FF">
      <w:pPr>
        <w:keepNext w:val="0"/>
        <w:keepLines w:val="0"/>
        <w:pageBreakBefore w:val="0"/>
        <w:widowControl w:val="0"/>
        <w:tabs>
          <w:tab w:val="left" w:pos="420"/>
        </w:tabs>
        <w:kinsoku/>
        <w:overflowPunct/>
        <w:topLinePunct w:val="0"/>
        <w:bidi w:val="0"/>
        <w:spacing w:line="360" w:lineRule="exact"/>
        <w:ind w:left="0" w:leftChars="0" w:firstLine="420" w:firstLineChars="200"/>
        <w:jc w:val="both"/>
        <w:rPr>
          <w:rFonts w:hint="eastAsia" w:ascii="宋体" w:hAnsi="宋体" w:eastAsia="宋体" w:cs="宋体"/>
          <w:b/>
          <w:bCs/>
          <w:color w:val="auto"/>
          <w:sz w:val="21"/>
          <w:szCs w:val="21"/>
          <w:highlight w:val="none"/>
          <w:lang w:eastAsia="zh-CN"/>
        </w:rPr>
      </w:pP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一</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eastAsia="zh-CN"/>
        </w:rPr>
        <w:t>响应文件内容</w:t>
      </w:r>
      <w:r>
        <w:rPr>
          <w:rFonts w:hint="eastAsia" w:ascii="宋体" w:hAnsi="宋体" w:cs="宋体"/>
          <w:b w:val="0"/>
          <w:bCs w:val="0"/>
          <w:color w:val="auto"/>
          <w:sz w:val="21"/>
          <w:szCs w:val="21"/>
          <w:highlight w:val="none"/>
          <w:lang w:val="en-US" w:eastAsia="zh-CN"/>
        </w:rPr>
        <w:t>格式</w:t>
      </w:r>
      <w:r>
        <w:rPr>
          <w:rFonts w:hint="eastAsia" w:ascii="宋体" w:hAnsi="宋体" w:eastAsia="宋体" w:cs="宋体"/>
          <w:b w:val="0"/>
          <w:bCs w:val="0"/>
          <w:color w:val="auto"/>
          <w:sz w:val="21"/>
          <w:szCs w:val="21"/>
          <w:highlight w:val="none"/>
          <w:lang w:eastAsia="zh-CN"/>
        </w:rPr>
        <w:t>要求</w:t>
      </w:r>
    </w:p>
    <w:p w14:paraId="282AEC19">
      <w:pPr>
        <w:keepNext w:val="0"/>
        <w:keepLines w:val="0"/>
        <w:pageBreakBefore w:val="0"/>
        <w:numPr>
          <w:ilvl w:val="0"/>
          <w:numId w:val="0"/>
        </w:numPr>
        <w:kinsoku/>
        <w:wordWrap/>
        <w:overflowPunct/>
        <w:topLinePunct w:val="0"/>
        <w:bidi w:val="0"/>
        <w:spacing w:line="360" w:lineRule="exact"/>
        <w:ind w:firstLine="422" w:firstLineChars="200"/>
        <w:jc w:val="both"/>
        <w:rPr>
          <w:rFonts w:hint="default"/>
          <w:lang w:val="en-US"/>
        </w:rPr>
      </w:pPr>
      <w:r>
        <w:rPr>
          <w:rFonts w:hint="eastAsia" w:ascii="宋体" w:hAnsi="宋体" w:cs="宋体"/>
          <w:b/>
          <w:bCs/>
          <w:color w:val="auto"/>
          <w:sz w:val="21"/>
          <w:szCs w:val="21"/>
          <w:highlight w:val="none"/>
          <w:lang w:val="en-US" w:eastAsia="zh-CN"/>
        </w:rPr>
        <w:t>须按“附件2参选文件格式”要求提供。</w:t>
      </w:r>
    </w:p>
    <w:p w14:paraId="66B4B861">
      <w:pPr>
        <w:keepNext w:val="0"/>
        <w:keepLines w:val="0"/>
        <w:pageBreakBefore w:val="0"/>
        <w:numPr>
          <w:ilvl w:val="0"/>
          <w:numId w:val="0"/>
        </w:numPr>
        <w:kinsoku/>
        <w:wordWrap/>
        <w:overflowPunct/>
        <w:topLinePunct w:val="0"/>
        <w:bidi w:val="0"/>
        <w:spacing w:line="360" w:lineRule="exact"/>
        <w:ind w:leftChars="200"/>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二）</w:t>
      </w:r>
      <w:r>
        <w:rPr>
          <w:rFonts w:hint="eastAsia" w:ascii="宋体" w:hAnsi="宋体" w:eastAsia="宋体" w:cs="宋体"/>
          <w:color w:val="auto"/>
          <w:sz w:val="21"/>
          <w:szCs w:val="21"/>
          <w:highlight w:val="none"/>
        </w:rPr>
        <w:t>供应商提交的全部材料都必须</w:t>
      </w:r>
      <w:r>
        <w:rPr>
          <w:rFonts w:hint="eastAsia" w:ascii="宋体" w:hAnsi="宋体" w:eastAsia="宋体" w:cs="宋体"/>
          <w:b/>
          <w:bCs/>
          <w:color w:val="auto"/>
          <w:sz w:val="21"/>
          <w:szCs w:val="21"/>
          <w:highlight w:val="none"/>
        </w:rPr>
        <w:t>密封</w:t>
      </w:r>
      <w:r>
        <w:rPr>
          <w:rFonts w:hint="eastAsia" w:ascii="宋体" w:hAnsi="宋体" w:eastAsia="宋体" w:cs="宋体"/>
          <w:color w:val="auto"/>
          <w:sz w:val="21"/>
          <w:szCs w:val="21"/>
          <w:highlight w:val="none"/>
        </w:rPr>
        <w:t>，具体包括：</w:t>
      </w:r>
    </w:p>
    <w:p w14:paraId="1C11E3E2">
      <w:pPr>
        <w:keepNext w:val="0"/>
        <w:keepLines w:val="0"/>
        <w:pageBreakBefore w:val="0"/>
        <w:widowControl w:val="0"/>
        <w:kinsoku/>
        <w:overflowPunct/>
        <w:topLinePunct w:val="0"/>
        <w:bidi w:val="0"/>
        <w:spacing w:line="360" w:lineRule="exact"/>
        <w:ind w:left="0" w:leftChars="0"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1.纸质</w:t>
      </w:r>
      <w:r>
        <w:rPr>
          <w:rFonts w:hint="eastAsia" w:ascii="宋体" w:hAnsi="宋体" w:eastAsia="宋体" w:cs="宋体"/>
          <w:color w:val="auto"/>
          <w:sz w:val="21"/>
          <w:szCs w:val="21"/>
          <w:highlight w:val="none"/>
        </w:rPr>
        <w:t>响应文件一式</w:t>
      </w:r>
      <w:r>
        <w:rPr>
          <w:rFonts w:hint="eastAsia" w:ascii="宋体" w:hAnsi="宋体" w:cs="宋体"/>
          <w:color w:val="auto"/>
          <w:sz w:val="21"/>
          <w:szCs w:val="21"/>
          <w:highlight w:val="none"/>
          <w:lang w:val="en-US" w:eastAsia="zh-CN"/>
        </w:rPr>
        <w:t>三</w:t>
      </w:r>
      <w:r>
        <w:rPr>
          <w:rFonts w:hint="eastAsia" w:ascii="宋体" w:hAnsi="宋体" w:eastAsia="宋体" w:cs="宋体"/>
          <w:color w:val="auto"/>
          <w:sz w:val="21"/>
          <w:szCs w:val="21"/>
          <w:highlight w:val="none"/>
        </w:rPr>
        <w:t>份</w:t>
      </w:r>
      <w:r>
        <w:rPr>
          <w:rFonts w:hint="eastAsia" w:ascii="宋体" w:hAnsi="宋体" w:eastAsia="宋体" w:cs="宋体"/>
          <w:b/>
          <w:bCs/>
          <w:color w:val="auto"/>
          <w:sz w:val="21"/>
          <w:szCs w:val="21"/>
          <w:highlight w:val="none"/>
        </w:rPr>
        <w:t>（正本1份</w:t>
      </w:r>
      <w:r>
        <w:rPr>
          <w:rFonts w:hint="eastAsia" w:ascii="宋体" w:hAnsi="宋体" w:cs="宋体"/>
          <w:b/>
          <w:bCs/>
          <w:color w:val="auto"/>
          <w:sz w:val="21"/>
          <w:szCs w:val="21"/>
          <w:highlight w:val="none"/>
          <w:lang w:val="en-US" w:eastAsia="zh-CN"/>
        </w:rPr>
        <w:t>和</w:t>
      </w:r>
      <w:r>
        <w:rPr>
          <w:rFonts w:hint="eastAsia" w:ascii="宋体" w:hAnsi="宋体" w:eastAsia="宋体" w:cs="宋体"/>
          <w:b/>
          <w:bCs/>
          <w:color w:val="auto"/>
          <w:sz w:val="21"/>
          <w:szCs w:val="21"/>
          <w:highlight w:val="none"/>
        </w:rPr>
        <w:t>副本</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份</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正本及所有副本的封面均须</w:t>
      </w:r>
      <w:r>
        <w:rPr>
          <w:rFonts w:hint="eastAsia" w:ascii="宋体" w:hAnsi="宋体" w:eastAsia="宋体" w:cs="宋体"/>
          <w:b/>
          <w:bCs/>
          <w:color w:val="auto"/>
          <w:sz w:val="21"/>
          <w:szCs w:val="21"/>
          <w:highlight w:val="none"/>
        </w:rPr>
        <w:t>由供应商加盖供应商公章</w:t>
      </w:r>
      <w:r>
        <w:rPr>
          <w:rFonts w:hint="eastAsia" w:ascii="宋体" w:hAnsi="宋体" w:cs="宋体"/>
          <w:b/>
          <w:bCs/>
          <w:color w:val="auto"/>
          <w:sz w:val="21"/>
          <w:szCs w:val="21"/>
          <w:highlight w:val="none"/>
          <w:lang w:val="en-US" w:eastAsia="zh-CN"/>
        </w:rPr>
        <w:t>和加盖骑缝章</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，在每一份响应文件上要明确注明“正本”或“副本”字样，一旦正本和副本内容有差异，以正本为准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每份响应文件应使用A4规格纸张，正副本均须用不褪色墨水书写或打印</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分别装订成册</w:t>
      </w:r>
      <w:r>
        <w:rPr>
          <w:rFonts w:hint="eastAsia" w:ascii="宋体" w:hAnsi="宋体" w:eastAsia="宋体" w:cs="宋体"/>
          <w:color w:val="auto"/>
          <w:sz w:val="21"/>
          <w:szCs w:val="21"/>
          <w:highlight w:val="none"/>
          <w:lang w:eastAsia="zh-CN"/>
        </w:rPr>
        <w:t>。</w:t>
      </w:r>
    </w:p>
    <w:p w14:paraId="548F6110">
      <w:pPr>
        <w:keepNext w:val="0"/>
        <w:keepLines w:val="0"/>
        <w:pageBreakBefore w:val="0"/>
        <w:numPr>
          <w:ilvl w:val="0"/>
          <w:numId w:val="0"/>
        </w:numPr>
        <w:kinsoku/>
        <w:wordWrap/>
        <w:overflowPunct/>
        <w:topLinePunct w:val="0"/>
        <w:bidi w:val="0"/>
        <w:spacing w:line="360" w:lineRule="exact"/>
        <w:ind w:firstLine="420" w:firstLineChars="200"/>
        <w:jc w:val="both"/>
        <w:rPr>
          <w:rFonts w:hint="default" w:eastAsia="宋体"/>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b w:val="0"/>
          <w:bCs w:val="0"/>
          <w:color w:val="auto"/>
          <w:sz w:val="21"/>
          <w:szCs w:val="21"/>
          <w:highlight w:val="none"/>
        </w:rPr>
        <w:t>正本</w:t>
      </w:r>
      <w:r>
        <w:rPr>
          <w:rFonts w:hint="eastAsia" w:ascii="宋体" w:hAnsi="宋体" w:cs="宋体"/>
          <w:b w:val="0"/>
          <w:bCs w:val="0"/>
          <w:color w:val="auto"/>
          <w:sz w:val="21"/>
          <w:szCs w:val="21"/>
          <w:highlight w:val="none"/>
          <w:lang w:val="en-US" w:eastAsia="zh-CN"/>
        </w:rPr>
        <w:t>和</w:t>
      </w:r>
      <w:r>
        <w:rPr>
          <w:rFonts w:hint="eastAsia" w:ascii="宋体" w:hAnsi="宋体" w:eastAsia="宋体" w:cs="宋体"/>
          <w:b w:val="0"/>
          <w:bCs w:val="0"/>
          <w:color w:val="auto"/>
          <w:sz w:val="21"/>
          <w:szCs w:val="21"/>
          <w:highlight w:val="none"/>
        </w:rPr>
        <w:t>副本一起封装</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封装的外包装须注明</w:t>
      </w:r>
      <w:r>
        <w:rPr>
          <w:rFonts w:hint="eastAsia" w:ascii="宋体" w:hAnsi="宋体" w:cs="宋体"/>
          <w:b/>
          <w:bCs/>
          <w:color w:val="auto"/>
          <w:sz w:val="21"/>
          <w:szCs w:val="21"/>
          <w:highlight w:val="none"/>
          <w:lang w:val="en-US" w:eastAsia="zh-CN"/>
        </w:rPr>
        <w:t>参选的采购项目名称、参选供应商并加盖供应商公章</w:t>
      </w:r>
      <w:r>
        <w:rPr>
          <w:rFonts w:hint="eastAsia" w:ascii="宋体" w:hAnsi="宋体" w:cs="宋体"/>
          <w:b w:val="0"/>
          <w:bCs w:val="0"/>
          <w:color w:val="auto"/>
          <w:sz w:val="21"/>
          <w:szCs w:val="21"/>
          <w:highlight w:val="none"/>
          <w:lang w:val="en-US" w:eastAsia="zh-CN"/>
        </w:rPr>
        <w:t>。</w:t>
      </w:r>
    </w:p>
    <w:p w14:paraId="1C4DB2A4">
      <w:pPr>
        <w:keepNext w:val="0"/>
        <w:keepLines w:val="0"/>
        <w:pageBreakBefore w:val="0"/>
        <w:numPr>
          <w:ilvl w:val="0"/>
          <w:numId w:val="0"/>
        </w:numPr>
        <w:kinsoku/>
        <w:wordWrap/>
        <w:overflowPunct/>
        <w:topLinePunct w:val="0"/>
        <w:bidi w:val="0"/>
        <w:spacing w:line="360" w:lineRule="exact"/>
        <w:ind w:firstLine="420" w:firstLineChars="200"/>
        <w:jc w:val="both"/>
        <w:rPr>
          <w:rFonts w:hint="eastAsia" w:ascii="宋体" w:hAnsi="宋体" w:eastAsia="宋体" w:cs="宋体"/>
          <w:b w:val="0"/>
          <w:bCs w:val="0"/>
          <w:color w:val="auto"/>
          <w:sz w:val="21"/>
          <w:szCs w:val="21"/>
          <w:highlight w:val="none"/>
          <w:u w:val="none"/>
        </w:rPr>
      </w:pPr>
      <w:r>
        <w:rPr>
          <w:rFonts w:hint="eastAsia" w:ascii="宋体" w:hAnsi="宋体" w:cs="宋体"/>
          <w:color w:val="auto"/>
          <w:sz w:val="21"/>
          <w:szCs w:val="21"/>
          <w:highlight w:val="none"/>
          <w:lang w:val="en-US" w:eastAsia="zh-CN"/>
        </w:rPr>
        <w:t>3.</w:t>
      </w:r>
      <w:r>
        <w:rPr>
          <w:rFonts w:hint="eastAsia" w:ascii="宋体" w:hAnsi="宋体" w:eastAsia="宋体" w:cs="宋体"/>
          <w:b w:val="0"/>
          <w:bCs w:val="0"/>
          <w:color w:val="auto"/>
          <w:sz w:val="21"/>
          <w:szCs w:val="21"/>
          <w:highlight w:val="none"/>
          <w:u w:val="none"/>
        </w:rPr>
        <w:t>所有响应文件应在</w:t>
      </w:r>
      <w:r>
        <w:rPr>
          <w:rFonts w:hint="eastAsia" w:ascii="宋体" w:hAnsi="宋体" w:eastAsia="宋体" w:cs="宋体"/>
          <w:b w:val="0"/>
          <w:bCs w:val="0"/>
          <w:color w:val="auto"/>
          <w:sz w:val="21"/>
          <w:szCs w:val="21"/>
          <w:highlight w:val="none"/>
          <w:u w:val="none"/>
          <w:lang w:eastAsia="zh-CN"/>
        </w:rPr>
        <w:t>比选公告</w:t>
      </w:r>
      <w:r>
        <w:rPr>
          <w:rFonts w:hint="eastAsia" w:ascii="宋体" w:hAnsi="宋体" w:eastAsia="宋体" w:cs="宋体"/>
          <w:b w:val="0"/>
          <w:bCs w:val="0"/>
          <w:color w:val="auto"/>
          <w:sz w:val="21"/>
          <w:szCs w:val="21"/>
          <w:highlight w:val="none"/>
          <w:u w:val="none"/>
        </w:rPr>
        <w:t>中规定的截止时间前递交到</w:t>
      </w:r>
      <w:r>
        <w:rPr>
          <w:rFonts w:hint="eastAsia" w:ascii="宋体" w:hAnsi="宋体" w:cs="宋体"/>
          <w:b w:val="0"/>
          <w:bCs w:val="0"/>
          <w:color w:val="auto"/>
          <w:sz w:val="21"/>
          <w:szCs w:val="21"/>
          <w:highlight w:val="none"/>
          <w:u w:val="none"/>
          <w:lang w:val="en-US" w:eastAsia="zh-CN"/>
        </w:rPr>
        <w:t>所要求的地点</w:t>
      </w:r>
      <w:r>
        <w:rPr>
          <w:rFonts w:hint="eastAsia" w:ascii="宋体" w:hAnsi="宋体" w:eastAsia="宋体" w:cs="宋体"/>
          <w:b w:val="0"/>
          <w:bCs w:val="0"/>
          <w:color w:val="auto"/>
          <w:sz w:val="21"/>
          <w:szCs w:val="21"/>
          <w:highlight w:val="none"/>
          <w:u w:val="none"/>
        </w:rPr>
        <w:t>，任何迟于递交截止时间的响应文件将被拒绝，本次</w:t>
      </w:r>
      <w:r>
        <w:rPr>
          <w:rFonts w:hint="eastAsia" w:ascii="宋体" w:hAnsi="宋体" w:eastAsia="宋体" w:cs="宋体"/>
          <w:b w:val="0"/>
          <w:bCs w:val="0"/>
          <w:color w:val="auto"/>
          <w:sz w:val="21"/>
          <w:szCs w:val="21"/>
          <w:highlight w:val="none"/>
          <w:u w:val="none"/>
          <w:lang w:eastAsia="zh-CN"/>
        </w:rPr>
        <w:t>比选</w:t>
      </w:r>
      <w:r>
        <w:rPr>
          <w:rFonts w:hint="eastAsia" w:ascii="宋体" w:hAnsi="宋体" w:eastAsia="宋体" w:cs="宋体"/>
          <w:b w:val="0"/>
          <w:bCs w:val="0"/>
          <w:color w:val="auto"/>
          <w:sz w:val="21"/>
          <w:szCs w:val="21"/>
          <w:highlight w:val="none"/>
          <w:u w:val="none"/>
        </w:rPr>
        <w:t>不接受电报、电话、传真方式报价。</w:t>
      </w:r>
    </w:p>
    <w:p w14:paraId="19214B1B">
      <w:pPr>
        <w:keepNext w:val="0"/>
        <w:keepLines w:val="0"/>
        <w:pageBreakBefore w:val="0"/>
        <w:numPr>
          <w:ilvl w:val="0"/>
          <w:numId w:val="0"/>
        </w:numPr>
        <w:tabs>
          <w:tab w:val="left" w:pos="424"/>
        </w:tabs>
        <w:kinsoku/>
        <w:overflowPunct/>
        <w:topLinePunct w:val="0"/>
        <w:autoSpaceDE/>
        <w:autoSpaceDN/>
        <w:bidi w:val="0"/>
        <w:spacing w:line="360" w:lineRule="exact"/>
        <w:ind w:leftChars="0" w:firstLine="422" w:firstLineChars="200"/>
        <w:textAlignment w:val="auto"/>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九</w:t>
      </w:r>
      <w:r>
        <w:rPr>
          <w:rFonts w:hint="eastAsia" w:ascii="宋体" w:hAnsi="宋体" w:eastAsia="宋体" w:cs="宋体"/>
          <w:b/>
          <w:bCs/>
          <w:sz w:val="21"/>
          <w:szCs w:val="21"/>
          <w:lang w:val="en-US" w:eastAsia="zh-CN"/>
        </w:rPr>
        <w:t>、评选方法</w:t>
      </w:r>
    </w:p>
    <w:p w14:paraId="31602CD9">
      <w:pPr>
        <w:keepNext w:val="0"/>
        <w:keepLines w:val="0"/>
        <w:pageBreakBefore w:val="0"/>
        <w:kinsoku/>
        <w:overflowPunct/>
        <w:topLinePunct w:val="0"/>
        <w:autoSpaceDE/>
        <w:autoSpaceDN/>
        <w:bidi w:val="0"/>
        <w:spacing w:line="360" w:lineRule="exact"/>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eastAsia="zh-CN"/>
        </w:rPr>
        <w:t>本次比选的评选方式为综合评分法。本项目确定一名中选人，</w:t>
      </w:r>
      <w:r>
        <w:rPr>
          <w:rFonts w:hint="eastAsia" w:ascii="宋体" w:hAnsi="宋体" w:cs="宋体"/>
          <w:bCs/>
          <w:color w:val="auto"/>
          <w:sz w:val="21"/>
          <w:szCs w:val="21"/>
          <w:highlight w:val="none"/>
          <w:lang w:eastAsia="zh-CN"/>
        </w:rPr>
        <w:t>评选小组</w:t>
      </w:r>
      <w:r>
        <w:rPr>
          <w:rFonts w:hint="eastAsia" w:ascii="宋体" w:hAnsi="宋体" w:eastAsia="宋体" w:cs="宋体"/>
          <w:bCs/>
          <w:color w:val="auto"/>
          <w:sz w:val="21"/>
          <w:szCs w:val="21"/>
          <w:highlight w:val="none"/>
          <w:lang w:eastAsia="zh-CN"/>
        </w:rPr>
        <w:t>将各有效供应商按其综合得分由高到低顺序排序，排名第一的供应商为中选人。如出现供应商综合得分相同的，按报价得分由高到低排列，报价得分相同的按技术得分由高到低排列，技术得分相同的，按商务得分由高到低排列，所有分值均相同的，名次由</w:t>
      </w:r>
      <w:r>
        <w:rPr>
          <w:rFonts w:hint="eastAsia" w:ascii="宋体" w:hAnsi="宋体" w:cs="宋体"/>
          <w:bCs/>
          <w:color w:val="auto"/>
          <w:sz w:val="21"/>
          <w:szCs w:val="21"/>
          <w:highlight w:val="none"/>
          <w:lang w:eastAsia="zh-CN"/>
        </w:rPr>
        <w:t>评选小组</w:t>
      </w:r>
      <w:r>
        <w:rPr>
          <w:rFonts w:hint="eastAsia" w:ascii="宋体" w:hAnsi="宋体" w:eastAsia="宋体" w:cs="宋体"/>
          <w:bCs/>
          <w:color w:val="auto"/>
          <w:sz w:val="21"/>
          <w:szCs w:val="21"/>
          <w:highlight w:val="none"/>
          <w:lang w:eastAsia="zh-CN"/>
        </w:rPr>
        <w:t>投票确定（少数服从多数）</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lang w:eastAsia="zh-CN"/>
        </w:rPr>
        <w:t>当提交响应文件的供应商＜</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zh-CN"/>
        </w:rPr>
        <w:t>家或通过</w:t>
      </w:r>
      <w:r>
        <w:rPr>
          <w:rFonts w:hint="eastAsia" w:ascii="宋体" w:hAnsi="宋体" w:cs="宋体"/>
          <w:bCs/>
          <w:color w:val="auto"/>
          <w:sz w:val="21"/>
          <w:szCs w:val="21"/>
          <w:highlight w:val="none"/>
          <w:lang w:val="en-US" w:eastAsia="zh-CN"/>
        </w:rPr>
        <w:t>资格性、</w:t>
      </w:r>
      <w:r>
        <w:rPr>
          <w:rFonts w:hint="eastAsia" w:ascii="宋体" w:hAnsi="宋体" w:eastAsia="宋体" w:cs="宋体"/>
          <w:bCs/>
          <w:color w:val="auto"/>
          <w:sz w:val="21"/>
          <w:szCs w:val="21"/>
          <w:highlight w:val="none"/>
          <w:lang w:val="en-US" w:eastAsia="zh-CN"/>
        </w:rPr>
        <w:t>符合性审查的供应商＜</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zh-CN"/>
        </w:rPr>
        <w:t>家的，本项目按废标处理。</w:t>
      </w:r>
    </w:p>
    <w:p w14:paraId="470F9077">
      <w:pPr>
        <w:pStyle w:val="9"/>
        <w:keepNext w:val="0"/>
        <w:keepLines w:val="0"/>
        <w:pageBreakBefore w:val="0"/>
        <w:numPr>
          <w:ilvl w:val="0"/>
          <w:numId w:val="5"/>
        </w:numPr>
        <w:kinsoku/>
        <w:overflowPunct/>
        <w:topLinePunct w:val="0"/>
        <w:bidi w:val="0"/>
        <w:spacing w:line="360" w:lineRule="exact"/>
        <w:ind w:left="0" w:leftChars="0"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第一阶段：</w:t>
      </w:r>
      <w:r>
        <w:rPr>
          <w:rFonts w:hint="eastAsia" w:ascii="宋体" w:hAnsi="宋体" w:cs="宋体"/>
          <w:b/>
          <w:bCs/>
          <w:color w:val="auto"/>
          <w:kern w:val="0"/>
          <w:sz w:val="21"/>
          <w:szCs w:val="21"/>
          <w:highlight w:val="none"/>
          <w:lang w:val="en-US" w:eastAsia="zh-CN" w:bidi="ar-SA"/>
        </w:rPr>
        <w:t>资格性评审</w:t>
      </w:r>
    </w:p>
    <w:p w14:paraId="01CC1AEA">
      <w:pPr>
        <w:keepNext w:val="0"/>
        <w:keepLines w:val="0"/>
        <w:pageBreakBefore w:val="0"/>
        <w:kinsoku/>
        <w:overflowPunct/>
        <w:topLinePunct w:val="0"/>
        <w:autoSpaceDE/>
        <w:autoSpaceDN/>
        <w:bidi w:val="0"/>
        <w:spacing w:line="360" w:lineRule="exact"/>
        <w:ind w:left="0" w:leftChars="0" w:firstLine="420" w:firstLineChars="200"/>
        <w:textAlignment w:val="auto"/>
        <w:rPr>
          <w:rFonts w:hint="eastAsia"/>
          <w:lang w:val="en-US" w:eastAsia="zh-CN"/>
        </w:rPr>
      </w:pPr>
      <w:r>
        <w:rPr>
          <w:rFonts w:hint="eastAsia" w:ascii="宋体" w:hAnsi="宋体" w:cs="宋体"/>
          <w:bCs/>
          <w:color w:val="auto"/>
          <w:sz w:val="21"/>
          <w:szCs w:val="21"/>
          <w:highlight w:val="none"/>
          <w:lang w:eastAsia="zh-CN"/>
        </w:rPr>
        <w:t>评选小组</w:t>
      </w:r>
      <w:r>
        <w:rPr>
          <w:rFonts w:hint="eastAsia" w:ascii="宋体" w:hAnsi="宋体" w:eastAsia="宋体" w:cs="宋体"/>
          <w:bCs/>
          <w:color w:val="auto"/>
          <w:sz w:val="21"/>
          <w:szCs w:val="21"/>
          <w:highlight w:val="none"/>
          <w:lang w:eastAsia="zh-CN"/>
        </w:rPr>
        <w:t>根据比选公告对</w:t>
      </w:r>
      <w:r>
        <w:rPr>
          <w:rFonts w:hint="eastAsia" w:ascii="宋体" w:hAnsi="宋体" w:cs="宋体"/>
          <w:bCs/>
          <w:color w:val="auto"/>
          <w:sz w:val="21"/>
          <w:szCs w:val="21"/>
          <w:highlight w:val="none"/>
          <w:lang w:val="en-US" w:eastAsia="zh-CN"/>
        </w:rPr>
        <w:t>参选供应商</w:t>
      </w:r>
      <w:r>
        <w:rPr>
          <w:rFonts w:hint="eastAsia" w:ascii="宋体" w:hAnsi="宋体" w:eastAsia="宋体" w:cs="宋体"/>
          <w:bCs/>
          <w:color w:val="auto"/>
          <w:sz w:val="21"/>
          <w:szCs w:val="21"/>
          <w:highlight w:val="none"/>
          <w:lang w:eastAsia="zh-CN"/>
        </w:rPr>
        <w:t>进行</w:t>
      </w:r>
      <w:r>
        <w:rPr>
          <w:rFonts w:hint="eastAsia" w:ascii="宋体" w:hAnsi="宋体" w:cs="宋体"/>
          <w:bCs/>
          <w:color w:val="auto"/>
          <w:sz w:val="21"/>
          <w:szCs w:val="21"/>
          <w:highlight w:val="none"/>
          <w:lang w:val="en-US" w:eastAsia="zh-CN"/>
        </w:rPr>
        <w:t>资格性</w:t>
      </w:r>
      <w:r>
        <w:rPr>
          <w:rFonts w:hint="eastAsia" w:ascii="宋体" w:hAnsi="宋体" w:eastAsia="宋体" w:cs="宋体"/>
          <w:bCs/>
          <w:color w:val="auto"/>
          <w:sz w:val="21"/>
          <w:szCs w:val="21"/>
          <w:highlight w:val="none"/>
          <w:lang w:eastAsia="zh-CN"/>
        </w:rPr>
        <w:t>审查</w:t>
      </w:r>
      <w:r>
        <w:rPr>
          <w:rFonts w:hint="eastAsia" w:ascii="宋体" w:hAnsi="宋体" w:cs="宋体"/>
          <w:bCs/>
          <w:color w:val="auto"/>
          <w:sz w:val="21"/>
          <w:szCs w:val="21"/>
          <w:highlight w:val="none"/>
          <w:lang w:eastAsia="zh-CN"/>
        </w:rPr>
        <w:t>。</w:t>
      </w:r>
    </w:p>
    <w:p w14:paraId="3BFE9888">
      <w:pPr>
        <w:pStyle w:val="9"/>
        <w:keepNext w:val="0"/>
        <w:keepLines w:val="0"/>
        <w:pageBreakBefore w:val="0"/>
        <w:numPr>
          <w:ilvl w:val="0"/>
          <w:numId w:val="5"/>
        </w:numPr>
        <w:kinsoku/>
        <w:overflowPunct/>
        <w:topLinePunct w:val="0"/>
        <w:bidi w:val="0"/>
        <w:spacing w:line="360" w:lineRule="exact"/>
        <w:ind w:left="0" w:leftChars="0"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cs="宋体"/>
          <w:b/>
          <w:bCs/>
          <w:color w:val="auto"/>
          <w:kern w:val="0"/>
          <w:sz w:val="21"/>
          <w:szCs w:val="21"/>
          <w:highlight w:val="none"/>
          <w:lang w:val="en-US" w:eastAsia="zh-CN" w:bidi="ar-SA"/>
        </w:rPr>
        <w:t>第二阶段：</w:t>
      </w:r>
      <w:r>
        <w:rPr>
          <w:rFonts w:hint="eastAsia" w:ascii="宋体" w:hAnsi="宋体" w:eastAsia="宋体" w:cs="宋体"/>
          <w:b/>
          <w:bCs/>
          <w:color w:val="auto"/>
          <w:kern w:val="0"/>
          <w:sz w:val="21"/>
          <w:szCs w:val="21"/>
          <w:highlight w:val="none"/>
          <w:lang w:val="en-US" w:eastAsia="zh-CN" w:bidi="ar-SA"/>
        </w:rPr>
        <w:t>符合性评审</w:t>
      </w:r>
    </w:p>
    <w:p w14:paraId="3097FA9F">
      <w:pPr>
        <w:keepNext w:val="0"/>
        <w:keepLines w:val="0"/>
        <w:pageBreakBefore w:val="0"/>
        <w:kinsoku/>
        <w:overflowPunct/>
        <w:topLinePunct w:val="0"/>
        <w:autoSpaceDE/>
        <w:autoSpaceDN/>
        <w:bidi w:val="0"/>
        <w:spacing w:line="360" w:lineRule="exact"/>
        <w:ind w:left="0" w:leftChars="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eastAsia="zh-CN"/>
        </w:rPr>
        <w:t>评选小组</w:t>
      </w:r>
      <w:r>
        <w:rPr>
          <w:rFonts w:hint="eastAsia" w:ascii="宋体" w:hAnsi="宋体" w:eastAsia="宋体" w:cs="宋体"/>
          <w:bCs/>
          <w:color w:val="auto"/>
          <w:sz w:val="21"/>
          <w:szCs w:val="21"/>
          <w:highlight w:val="none"/>
          <w:lang w:eastAsia="zh-CN"/>
        </w:rPr>
        <w:t>根据比选公告对响应文件进行符合性审查</w:t>
      </w:r>
      <w:r>
        <w:rPr>
          <w:rFonts w:hint="eastAsia" w:ascii="宋体" w:hAnsi="宋体" w:eastAsia="宋体" w:cs="宋体"/>
          <w:color w:val="auto"/>
          <w:spacing w:val="0"/>
          <w:kern w:val="2"/>
          <w:sz w:val="21"/>
          <w:szCs w:val="21"/>
        </w:rPr>
        <w:t>：</w:t>
      </w:r>
    </w:p>
    <w:p w14:paraId="5DB54EC7">
      <w:pPr>
        <w:keepNext w:val="0"/>
        <w:keepLines w:val="0"/>
        <w:pageBreakBefore w:val="0"/>
        <w:kinsoku/>
        <w:overflowPunct/>
        <w:topLinePunct w:val="0"/>
        <w:autoSpaceDE/>
        <w:autoSpaceDN/>
        <w:bidi w:val="0"/>
        <w:spacing w:line="360" w:lineRule="exact"/>
        <w:ind w:left="0"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r>
        <w:rPr>
          <w:rFonts w:hint="eastAsia" w:ascii="宋体" w:hAnsi="宋体" w:cs="宋体"/>
          <w:bCs/>
          <w:color w:val="auto"/>
          <w:sz w:val="21"/>
          <w:szCs w:val="21"/>
          <w:highlight w:val="none"/>
          <w:lang w:val="en-US" w:eastAsia="zh-CN"/>
        </w:rPr>
        <w:t>参选文件及报价表有效期符合采购文件要求</w:t>
      </w:r>
      <w:r>
        <w:rPr>
          <w:rFonts w:hint="eastAsia" w:ascii="宋体" w:hAnsi="宋体" w:eastAsia="宋体" w:cs="宋体"/>
          <w:bCs/>
          <w:color w:val="auto"/>
          <w:sz w:val="21"/>
          <w:szCs w:val="21"/>
          <w:highlight w:val="none"/>
          <w:lang w:val="en-US" w:eastAsia="zh-CN"/>
        </w:rPr>
        <w:t>；</w:t>
      </w:r>
    </w:p>
    <w:p w14:paraId="6C09DF5B">
      <w:pPr>
        <w:keepNext w:val="0"/>
        <w:keepLines w:val="0"/>
        <w:pageBreakBefore w:val="0"/>
        <w:kinsoku/>
        <w:overflowPunct/>
        <w:topLinePunct w:val="0"/>
        <w:autoSpaceDE/>
        <w:autoSpaceDN/>
        <w:bidi w:val="0"/>
        <w:spacing w:line="360" w:lineRule="exact"/>
        <w:ind w:left="0"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2.按</w:t>
      </w:r>
      <w:r>
        <w:rPr>
          <w:rFonts w:hint="eastAsia" w:ascii="宋体" w:hAnsi="宋体" w:cs="宋体"/>
          <w:bCs/>
          <w:color w:val="auto"/>
          <w:sz w:val="21"/>
          <w:szCs w:val="21"/>
          <w:highlight w:val="none"/>
          <w:lang w:val="en-US" w:eastAsia="zh-CN"/>
        </w:rPr>
        <w:t>采购</w:t>
      </w:r>
      <w:r>
        <w:rPr>
          <w:rFonts w:hint="eastAsia" w:ascii="宋体" w:hAnsi="宋体" w:eastAsia="宋体" w:cs="宋体"/>
          <w:bCs/>
          <w:color w:val="auto"/>
          <w:sz w:val="21"/>
          <w:szCs w:val="21"/>
          <w:highlight w:val="none"/>
          <w:lang w:val="en-US" w:eastAsia="zh-CN"/>
        </w:rPr>
        <w:t>文件规定（</w:t>
      </w:r>
      <w:r>
        <w:rPr>
          <w:rFonts w:hint="eastAsia" w:ascii="宋体" w:hAnsi="宋体" w:eastAsia="宋体" w:cs="宋体"/>
          <w:b/>
          <w:bCs w:val="0"/>
          <w:color w:val="auto"/>
          <w:sz w:val="21"/>
          <w:szCs w:val="21"/>
          <w:highlight w:val="none"/>
          <w:lang w:val="en-US" w:eastAsia="zh-CN"/>
        </w:rPr>
        <w:t>以</w:t>
      </w:r>
      <w:r>
        <w:rPr>
          <w:rFonts w:hint="eastAsia" w:ascii="宋体" w:hAnsi="宋体" w:cs="宋体"/>
          <w:b/>
          <w:bCs w:val="0"/>
          <w:color w:val="auto"/>
          <w:sz w:val="21"/>
          <w:szCs w:val="21"/>
          <w:highlight w:val="none"/>
          <w:lang w:val="en-US" w:eastAsia="zh-CN"/>
        </w:rPr>
        <w:t>“附件2参选</w:t>
      </w:r>
      <w:r>
        <w:rPr>
          <w:rFonts w:hint="eastAsia" w:ascii="宋体" w:hAnsi="宋体" w:eastAsia="宋体" w:cs="宋体"/>
          <w:b/>
          <w:bCs w:val="0"/>
          <w:color w:val="auto"/>
          <w:sz w:val="21"/>
          <w:szCs w:val="21"/>
          <w:highlight w:val="none"/>
          <w:lang w:val="en-US" w:eastAsia="zh-CN"/>
        </w:rPr>
        <w:t>文件格式</w:t>
      </w:r>
      <w:r>
        <w:rPr>
          <w:rFonts w:hint="eastAsia" w:ascii="宋体" w:hAnsi="宋体" w:cs="宋体"/>
          <w:b/>
          <w:bCs w:val="0"/>
          <w:color w:val="auto"/>
          <w:sz w:val="21"/>
          <w:szCs w:val="21"/>
          <w:highlight w:val="none"/>
          <w:lang w:val="en-US" w:eastAsia="zh-CN"/>
        </w:rPr>
        <w:t>”</w:t>
      </w:r>
      <w:r>
        <w:rPr>
          <w:rFonts w:hint="eastAsia" w:ascii="宋体" w:hAnsi="宋体" w:eastAsia="宋体" w:cs="宋体"/>
          <w:b/>
          <w:bCs w:val="0"/>
          <w:color w:val="auto"/>
          <w:sz w:val="21"/>
          <w:szCs w:val="21"/>
          <w:highlight w:val="none"/>
          <w:lang w:val="en-US" w:eastAsia="zh-CN"/>
        </w:rPr>
        <w:t>为准</w:t>
      </w:r>
      <w:r>
        <w:rPr>
          <w:rFonts w:hint="eastAsia" w:ascii="宋体" w:hAnsi="宋体" w:eastAsia="宋体" w:cs="宋体"/>
          <w:bCs/>
          <w:color w:val="auto"/>
          <w:sz w:val="21"/>
          <w:szCs w:val="21"/>
          <w:highlight w:val="none"/>
          <w:lang w:val="en-US" w:eastAsia="zh-CN"/>
        </w:rPr>
        <w:t>）加盖公章和签署</w:t>
      </w:r>
      <w:r>
        <w:rPr>
          <w:rFonts w:hint="eastAsia" w:ascii="宋体" w:hAnsi="宋体" w:cs="宋体"/>
          <w:bCs/>
          <w:color w:val="auto"/>
          <w:sz w:val="21"/>
          <w:szCs w:val="21"/>
          <w:highlight w:val="none"/>
          <w:lang w:val="en-US" w:eastAsia="zh-CN"/>
        </w:rPr>
        <w:t>；</w:t>
      </w:r>
    </w:p>
    <w:p w14:paraId="7458D50C">
      <w:pPr>
        <w:keepNext w:val="0"/>
        <w:keepLines w:val="0"/>
        <w:pageBreakBefore w:val="0"/>
        <w:kinsoku/>
        <w:overflowPunct/>
        <w:topLinePunct w:val="0"/>
        <w:autoSpaceDE/>
        <w:autoSpaceDN/>
        <w:bidi w:val="0"/>
        <w:spacing w:line="360" w:lineRule="exact"/>
        <w:ind w:left="0"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color w:val="auto"/>
          <w:highlight w:val="none"/>
          <w:lang w:val="en-US" w:eastAsia="zh-CN" w:bidi="ar"/>
        </w:rPr>
        <w:t>3.</w:t>
      </w:r>
      <w:r>
        <w:rPr>
          <w:rFonts w:hint="eastAsia" w:ascii="宋体" w:hAnsi="宋体"/>
          <w:color w:val="auto"/>
          <w:highlight w:val="none"/>
          <w:lang w:bidi="ar"/>
        </w:rPr>
        <w:t>已提交法定代表人证明书和授权委托书（供应商代表为法定代表人时则不需要授权委托书）</w:t>
      </w:r>
      <w:r>
        <w:rPr>
          <w:rFonts w:hint="eastAsia" w:ascii="宋体" w:hAnsi="宋体"/>
          <w:color w:val="auto"/>
          <w:highlight w:val="none"/>
          <w:lang w:eastAsia="zh-CN" w:bidi="ar"/>
        </w:rPr>
        <w:t>；</w:t>
      </w:r>
    </w:p>
    <w:p w14:paraId="64385878">
      <w:pPr>
        <w:keepNext w:val="0"/>
        <w:keepLines w:val="0"/>
        <w:pageBreakBefore w:val="0"/>
        <w:kinsoku/>
        <w:overflowPunct/>
        <w:topLinePunct w:val="0"/>
        <w:autoSpaceDE/>
        <w:autoSpaceDN/>
        <w:bidi w:val="0"/>
        <w:spacing w:line="360" w:lineRule="exact"/>
        <w:ind w:firstLine="420" w:firstLineChars="200"/>
        <w:textAlignment w:val="auto"/>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4.参选文件主要资料齐全；</w:t>
      </w:r>
    </w:p>
    <w:p w14:paraId="22CC7E89">
      <w:pPr>
        <w:keepNext w:val="0"/>
        <w:keepLines w:val="0"/>
        <w:pageBreakBefore w:val="0"/>
        <w:kinsoku/>
        <w:overflowPunct/>
        <w:topLinePunct w:val="0"/>
        <w:autoSpaceDE/>
        <w:autoSpaceDN/>
        <w:bidi w:val="0"/>
        <w:spacing w:line="360" w:lineRule="exact"/>
        <w:ind w:firstLine="420" w:firstLineChars="200"/>
        <w:textAlignment w:val="auto"/>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5.按本公告规定格式填写，无内容不全或关键字迹模糊、无法辨认；</w:t>
      </w:r>
    </w:p>
    <w:p w14:paraId="3E8D6EE7">
      <w:pPr>
        <w:keepNext w:val="0"/>
        <w:keepLines w:val="0"/>
        <w:pageBreakBefore w:val="0"/>
        <w:kinsoku/>
        <w:overflowPunct/>
        <w:topLinePunct w:val="0"/>
        <w:autoSpaceDE/>
        <w:autoSpaceDN/>
        <w:bidi w:val="0"/>
        <w:spacing w:line="360" w:lineRule="exact"/>
        <w:ind w:firstLine="420" w:firstLineChars="200"/>
        <w:textAlignment w:val="auto"/>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6.满足采购</w:t>
      </w:r>
      <w:r>
        <w:rPr>
          <w:rFonts w:hint="default" w:ascii="宋体" w:hAnsi="宋体" w:cs="宋体"/>
          <w:bCs/>
          <w:color w:val="auto"/>
          <w:sz w:val="21"/>
          <w:szCs w:val="21"/>
          <w:highlight w:val="none"/>
          <w:lang w:val="en-US" w:eastAsia="zh-CN"/>
        </w:rPr>
        <w:t>文件中所有带“★”标识的实质性条款</w:t>
      </w:r>
      <w:r>
        <w:rPr>
          <w:rFonts w:hint="eastAsia" w:ascii="宋体" w:hAnsi="宋体" w:eastAsia="宋体" w:cs="宋体"/>
          <w:color w:val="auto"/>
          <w:sz w:val="21"/>
          <w:szCs w:val="21"/>
          <w:highlight w:val="none"/>
          <w:lang w:val="en-US" w:eastAsia="zh-CN"/>
        </w:rPr>
        <w:t>（如有）</w:t>
      </w:r>
      <w:r>
        <w:rPr>
          <w:rFonts w:hint="eastAsia" w:ascii="宋体" w:hAnsi="宋体" w:cs="宋体"/>
          <w:bCs/>
          <w:color w:val="auto"/>
          <w:sz w:val="21"/>
          <w:szCs w:val="21"/>
          <w:highlight w:val="none"/>
          <w:lang w:val="en-US" w:eastAsia="zh-CN"/>
        </w:rPr>
        <w:t>；</w:t>
      </w:r>
    </w:p>
    <w:p w14:paraId="466DE528">
      <w:pPr>
        <w:keepNext w:val="0"/>
        <w:keepLines w:val="0"/>
        <w:pageBreakBefore w:val="0"/>
        <w:kinsoku/>
        <w:overflowPunct/>
        <w:topLinePunct w:val="0"/>
        <w:autoSpaceDE/>
        <w:autoSpaceDN/>
        <w:bidi w:val="0"/>
        <w:spacing w:line="360" w:lineRule="exact"/>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val="en-US" w:eastAsia="zh-CN"/>
        </w:rPr>
        <w:t>7</w:t>
      </w:r>
      <w:r>
        <w:rPr>
          <w:rFonts w:hint="eastAsia" w:ascii="宋体" w:hAnsi="宋体" w:eastAsia="宋体" w:cs="宋体"/>
          <w:bCs/>
          <w:color w:val="auto"/>
          <w:sz w:val="21"/>
          <w:szCs w:val="21"/>
          <w:highlight w:val="none"/>
          <w:lang w:val="en-US" w:eastAsia="zh-CN"/>
        </w:rPr>
        <w:t>.响应报价</w:t>
      </w:r>
      <w:r>
        <w:rPr>
          <w:rFonts w:hint="eastAsia" w:ascii="宋体" w:hAnsi="宋体" w:cs="宋体"/>
          <w:bCs/>
          <w:color w:val="auto"/>
          <w:sz w:val="21"/>
          <w:szCs w:val="21"/>
          <w:highlight w:val="none"/>
          <w:lang w:val="en-US" w:eastAsia="zh-CN"/>
        </w:rPr>
        <w:t>未超过</w:t>
      </w:r>
      <w:r>
        <w:rPr>
          <w:rFonts w:hint="eastAsia" w:ascii="宋体" w:hAnsi="宋体" w:eastAsia="宋体" w:cs="宋体"/>
          <w:bCs/>
          <w:color w:val="auto"/>
          <w:sz w:val="21"/>
          <w:szCs w:val="21"/>
          <w:highlight w:val="none"/>
          <w:lang w:val="en-US" w:eastAsia="zh-CN"/>
        </w:rPr>
        <w:t>采购预算金额的。</w:t>
      </w:r>
    </w:p>
    <w:p w14:paraId="1836152F">
      <w:pPr>
        <w:pStyle w:val="9"/>
        <w:keepNext w:val="0"/>
        <w:keepLines w:val="0"/>
        <w:pageBreakBefore w:val="0"/>
        <w:kinsoku/>
        <w:overflowPunct/>
        <w:topLinePunct w:val="0"/>
        <w:bidi w:val="0"/>
        <w:spacing w:line="360" w:lineRule="exact"/>
        <w:ind w:left="0" w:leftChars="0"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w:t>
      </w:r>
      <w:r>
        <w:rPr>
          <w:rFonts w:hint="eastAsia" w:ascii="宋体" w:hAnsi="宋体" w:cs="宋体"/>
          <w:b/>
          <w:bCs/>
          <w:color w:val="auto"/>
          <w:kern w:val="0"/>
          <w:sz w:val="21"/>
          <w:szCs w:val="21"/>
          <w:highlight w:val="none"/>
          <w:lang w:val="en-US" w:eastAsia="zh-CN" w:bidi="ar-SA"/>
        </w:rPr>
        <w:t>三</w:t>
      </w:r>
      <w:r>
        <w:rPr>
          <w:rFonts w:hint="eastAsia" w:ascii="宋体" w:hAnsi="宋体" w:eastAsia="宋体" w:cs="宋体"/>
          <w:b/>
          <w:bCs/>
          <w:color w:val="auto"/>
          <w:kern w:val="0"/>
          <w:sz w:val="21"/>
          <w:szCs w:val="21"/>
          <w:highlight w:val="none"/>
          <w:lang w:val="en-US" w:eastAsia="zh-CN" w:bidi="ar-SA"/>
        </w:rPr>
        <w:t>）</w:t>
      </w:r>
      <w:r>
        <w:rPr>
          <w:rFonts w:hint="eastAsia" w:ascii="宋体" w:hAnsi="宋体" w:cs="宋体"/>
          <w:b/>
          <w:bCs/>
          <w:color w:val="auto"/>
          <w:kern w:val="0"/>
          <w:sz w:val="21"/>
          <w:szCs w:val="21"/>
          <w:highlight w:val="none"/>
          <w:lang w:val="en-US" w:eastAsia="zh-CN" w:bidi="ar-SA"/>
        </w:rPr>
        <w:t>第三</w:t>
      </w:r>
      <w:r>
        <w:rPr>
          <w:rFonts w:hint="eastAsia" w:ascii="宋体" w:hAnsi="宋体" w:eastAsia="宋体" w:cs="宋体"/>
          <w:b/>
          <w:bCs/>
          <w:color w:val="auto"/>
          <w:kern w:val="0"/>
          <w:sz w:val="21"/>
          <w:szCs w:val="21"/>
          <w:highlight w:val="none"/>
          <w:lang w:val="en-US" w:eastAsia="zh-CN" w:bidi="ar-SA"/>
        </w:rPr>
        <w:t>阶段：详细评审</w:t>
      </w:r>
    </w:p>
    <w:p w14:paraId="5499608F">
      <w:pPr>
        <w:keepNext w:val="0"/>
        <w:keepLines w:val="0"/>
        <w:pageBreakBefore w:val="0"/>
        <w:kinsoku/>
        <w:overflowPunct/>
        <w:topLinePunct w:val="0"/>
        <w:autoSpaceDE/>
        <w:autoSpaceDN/>
        <w:bidi w:val="0"/>
        <w:spacing w:line="360" w:lineRule="exact"/>
        <w:ind w:left="0" w:leftChars="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详细评审是对</w:t>
      </w:r>
      <w:r>
        <w:rPr>
          <w:rFonts w:hint="eastAsia" w:ascii="宋体" w:hAnsi="宋体" w:eastAsia="宋体" w:cs="宋体"/>
          <w:b/>
          <w:bCs w:val="0"/>
          <w:color w:val="auto"/>
          <w:sz w:val="21"/>
          <w:szCs w:val="21"/>
          <w:highlight w:val="none"/>
          <w:lang w:eastAsia="zh-CN"/>
        </w:rPr>
        <w:t>通过</w:t>
      </w:r>
      <w:r>
        <w:rPr>
          <w:rFonts w:hint="eastAsia" w:ascii="宋体" w:hAnsi="宋体" w:cs="宋体"/>
          <w:b/>
          <w:bCs w:val="0"/>
          <w:color w:val="auto"/>
          <w:sz w:val="21"/>
          <w:szCs w:val="21"/>
          <w:highlight w:val="none"/>
          <w:lang w:val="en-US" w:eastAsia="zh-CN"/>
        </w:rPr>
        <w:t>资格性、</w:t>
      </w:r>
      <w:r>
        <w:rPr>
          <w:rFonts w:hint="eastAsia" w:ascii="宋体" w:hAnsi="宋体" w:eastAsia="宋体" w:cs="宋体"/>
          <w:b/>
          <w:bCs w:val="0"/>
          <w:color w:val="auto"/>
          <w:sz w:val="21"/>
          <w:szCs w:val="21"/>
          <w:highlight w:val="none"/>
          <w:lang w:eastAsia="zh-CN"/>
        </w:rPr>
        <w:t>符合性</w:t>
      </w:r>
      <w:r>
        <w:rPr>
          <w:rFonts w:hint="eastAsia" w:ascii="宋体" w:hAnsi="宋体" w:cs="宋体"/>
          <w:b/>
          <w:bCs w:val="0"/>
          <w:color w:val="auto"/>
          <w:sz w:val="21"/>
          <w:szCs w:val="21"/>
          <w:highlight w:val="none"/>
          <w:lang w:val="en-US" w:eastAsia="zh-CN"/>
        </w:rPr>
        <w:t>评审</w:t>
      </w:r>
      <w:r>
        <w:rPr>
          <w:rFonts w:hint="eastAsia" w:ascii="宋体" w:hAnsi="宋体" w:eastAsia="宋体" w:cs="宋体"/>
          <w:b/>
          <w:bCs w:val="0"/>
          <w:color w:val="auto"/>
          <w:sz w:val="21"/>
          <w:szCs w:val="21"/>
          <w:highlight w:val="none"/>
          <w:lang w:eastAsia="zh-CN"/>
        </w:rPr>
        <w:t>的响应文件</w:t>
      </w:r>
      <w:r>
        <w:rPr>
          <w:rFonts w:hint="eastAsia" w:ascii="宋体" w:hAnsi="宋体" w:eastAsia="宋体" w:cs="宋体"/>
          <w:bCs/>
          <w:color w:val="auto"/>
          <w:sz w:val="21"/>
          <w:szCs w:val="21"/>
          <w:highlight w:val="none"/>
          <w:lang w:eastAsia="zh-CN"/>
        </w:rPr>
        <w:t>进行技术商务和价格的评审。</w:t>
      </w:r>
    </w:p>
    <w:p w14:paraId="79C851B3">
      <w:pPr>
        <w:spacing w:line="360" w:lineRule="auto"/>
        <w:ind w:firstLine="420" w:firstLineChars="200"/>
        <w:rPr>
          <w:rFonts w:ascii="宋体" w:hAnsi="宋体" w:cs="宋体"/>
          <w:color w:val="auto"/>
          <w:highlight w:val="none"/>
        </w:rPr>
      </w:pPr>
      <w:r>
        <w:rPr>
          <w:rFonts w:hint="eastAsia" w:ascii="宋体" w:hAnsi="宋体" w:eastAsia="宋体" w:cs="宋体"/>
          <w:bCs/>
          <w:color w:val="auto"/>
          <w:sz w:val="21"/>
          <w:szCs w:val="21"/>
          <w:highlight w:val="none"/>
          <w:lang w:val="en-US" w:eastAsia="zh-CN"/>
        </w:rPr>
        <w:t>2.</w:t>
      </w:r>
      <w:r>
        <w:rPr>
          <w:rFonts w:hint="eastAsia" w:ascii="宋体" w:hAnsi="宋体" w:cs="宋体"/>
          <w:color w:val="auto"/>
          <w:highlight w:val="none"/>
        </w:rPr>
        <w:t>评分总值最高为100分，技术、商务及价格评分分值（权重）分配：</w:t>
      </w:r>
    </w:p>
    <w:tbl>
      <w:tblPr>
        <w:tblStyle w:val="1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751"/>
        <w:gridCol w:w="2270"/>
        <w:gridCol w:w="2271"/>
      </w:tblGrid>
      <w:tr w14:paraId="44E4C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3751" w:type="dxa"/>
            <w:noWrap w:val="0"/>
            <w:vAlign w:val="center"/>
          </w:tcPr>
          <w:p w14:paraId="0E108150">
            <w:pPr>
              <w:jc w:val="center"/>
              <w:rPr>
                <w:rFonts w:ascii="宋体" w:hAnsi="宋体"/>
                <w:color w:val="auto"/>
                <w:highlight w:val="none"/>
              </w:rPr>
            </w:pPr>
            <w:r>
              <w:rPr>
                <w:rFonts w:hint="eastAsia" w:ascii="宋体" w:hAnsi="宋体"/>
                <w:color w:val="auto"/>
                <w:highlight w:val="none"/>
              </w:rPr>
              <w:t>评分项目</w:t>
            </w:r>
          </w:p>
        </w:tc>
        <w:tc>
          <w:tcPr>
            <w:tcW w:w="2270" w:type="dxa"/>
            <w:noWrap w:val="0"/>
            <w:vAlign w:val="center"/>
          </w:tcPr>
          <w:p w14:paraId="4BEF0C76">
            <w:pPr>
              <w:jc w:val="center"/>
              <w:rPr>
                <w:rFonts w:ascii="宋体" w:hAnsi="宋体"/>
                <w:color w:val="auto"/>
                <w:highlight w:val="none"/>
              </w:rPr>
            </w:pPr>
            <w:r>
              <w:rPr>
                <w:rFonts w:hint="eastAsia" w:ascii="宋体" w:hAnsi="宋体"/>
                <w:color w:val="auto"/>
                <w:highlight w:val="none"/>
              </w:rPr>
              <w:t>技术商务评分</w:t>
            </w:r>
          </w:p>
        </w:tc>
        <w:tc>
          <w:tcPr>
            <w:tcW w:w="2271" w:type="dxa"/>
            <w:noWrap w:val="0"/>
            <w:vAlign w:val="center"/>
          </w:tcPr>
          <w:p w14:paraId="0D9FE462">
            <w:pPr>
              <w:jc w:val="center"/>
              <w:rPr>
                <w:rFonts w:ascii="宋体" w:hAnsi="宋体"/>
                <w:color w:val="auto"/>
                <w:highlight w:val="none"/>
              </w:rPr>
            </w:pPr>
            <w:r>
              <w:rPr>
                <w:rFonts w:hint="eastAsia" w:ascii="宋体" w:hAnsi="宋体"/>
                <w:color w:val="auto"/>
                <w:highlight w:val="none"/>
              </w:rPr>
              <w:t>价格评分</w:t>
            </w:r>
          </w:p>
        </w:tc>
      </w:tr>
      <w:tr w14:paraId="0C0F3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3751" w:type="dxa"/>
            <w:noWrap w:val="0"/>
            <w:vAlign w:val="center"/>
          </w:tcPr>
          <w:p w14:paraId="64D54E0E">
            <w:pPr>
              <w:jc w:val="center"/>
              <w:rPr>
                <w:rFonts w:ascii="宋体" w:hAnsi="宋体"/>
                <w:color w:val="auto"/>
                <w:highlight w:val="none"/>
              </w:rPr>
            </w:pPr>
            <w:r>
              <w:rPr>
                <w:rFonts w:hint="eastAsia" w:ascii="宋体" w:hAnsi="宋体"/>
                <w:color w:val="auto"/>
                <w:highlight w:val="none"/>
              </w:rPr>
              <w:t>权重（总和为100％）</w:t>
            </w:r>
          </w:p>
        </w:tc>
        <w:tc>
          <w:tcPr>
            <w:tcW w:w="2270" w:type="dxa"/>
            <w:noWrap w:val="0"/>
            <w:vAlign w:val="center"/>
          </w:tcPr>
          <w:p w14:paraId="00993170">
            <w:pPr>
              <w:jc w:val="center"/>
              <w:rPr>
                <w:rFonts w:ascii="宋体" w:hAnsi="宋体"/>
                <w:color w:val="auto"/>
                <w:szCs w:val="21"/>
                <w:highlight w:val="none"/>
              </w:rPr>
            </w:pPr>
            <w:r>
              <w:rPr>
                <w:rFonts w:hint="eastAsia" w:ascii="宋体" w:hAnsi="宋体"/>
                <w:color w:val="auto"/>
                <w:szCs w:val="21"/>
                <w:highlight w:val="none"/>
                <w:lang w:val="en-US" w:eastAsia="zh-CN"/>
              </w:rPr>
              <w:t>90</w:t>
            </w:r>
            <w:r>
              <w:rPr>
                <w:rFonts w:hint="eastAsia" w:ascii="宋体" w:hAnsi="宋体"/>
                <w:color w:val="auto"/>
                <w:szCs w:val="21"/>
                <w:highlight w:val="none"/>
              </w:rPr>
              <w:t>％</w:t>
            </w:r>
          </w:p>
        </w:tc>
        <w:tc>
          <w:tcPr>
            <w:tcW w:w="2271" w:type="dxa"/>
            <w:noWrap w:val="0"/>
            <w:vAlign w:val="center"/>
          </w:tcPr>
          <w:p w14:paraId="5F12E878">
            <w:pPr>
              <w:jc w:val="center"/>
              <w:rPr>
                <w:rFonts w:ascii="宋体" w:hAnsi="宋体"/>
                <w:color w:val="auto"/>
                <w:szCs w:val="21"/>
                <w:highlight w:val="none"/>
              </w:rPr>
            </w:pPr>
            <w:r>
              <w:rPr>
                <w:rFonts w:hint="eastAsia" w:ascii="宋体" w:hAnsi="宋体"/>
                <w:color w:val="auto"/>
                <w:szCs w:val="21"/>
                <w:highlight w:val="none"/>
                <w:lang w:val="en-US" w:eastAsia="zh-CN"/>
              </w:rPr>
              <w:t>10</w:t>
            </w:r>
            <w:r>
              <w:rPr>
                <w:rFonts w:hint="eastAsia" w:ascii="宋体" w:hAnsi="宋体"/>
                <w:color w:val="auto"/>
                <w:szCs w:val="21"/>
                <w:highlight w:val="none"/>
              </w:rPr>
              <w:t>％</w:t>
            </w:r>
          </w:p>
        </w:tc>
      </w:tr>
      <w:tr w14:paraId="0B222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1" w:hRule="atLeast"/>
          <w:jc w:val="center"/>
        </w:trPr>
        <w:tc>
          <w:tcPr>
            <w:tcW w:w="3751" w:type="dxa"/>
            <w:noWrap w:val="0"/>
            <w:vAlign w:val="center"/>
          </w:tcPr>
          <w:p w14:paraId="28CCC5CE">
            <w:pPr>
              <w:jc w:val="center"/>
              <w:rPr>
                <w:rFonts w:ascii="宋体" w:hAnsi="宋体"/>
                <w:color w:val="auto"/>
                <w:highlight w:val="none"/>
              </w:rPr>
            </w:pPr>
            <w:r>
              <w:rPr>
                <w:rFonts w:hint="eastAsia" w:ascii="宋体" w:hAnsi="宋体"/>
                <w:color w:val="auto"/>
                <w:highlight w:val="none"/>
              </w:rPr>
              <w:t>分值（满分为100分）</w:t>
            </w:r>
          </w:p>
        </w:tc>
        <w:tc>
          <w:tcPr>
            <w:tcW w:w="2270" w:type="dxa"/>
            <w:noWrap w:val="0"/>
            <w:vAlign w:val="center"/>
          </w:tcPr>
          <w:p w14:paraId="6AA30264">
            <w:pPr>
              <w:jc w:val="center"/>
              <w:rPr>
                <w:rFonts w:ascii="宋体" w:hAnsi="宋体"/>
                <w:color w:val="auto"/>
                <w:szCs w:val="21"/>
                <w:highlight w:val="none"/>
              </w:rPr>
            </w:pPr>
            <w:r>
              <w:rPr>
                <w:rFonts w:hint="eastAsia" w:ascii="宋体" w:hAnsi="宋体"/>
                <w:color w:val="auto"/>
                <w:szCs w:val="21"/>
                <w:highlight w:val="none"/>
                <w:lang w:val="en-US" w:eastAsia="zh-CN"/>
              </w:rPr>
              <w:t>90</w:t>
            </w:r>
            <w:r>
              <w:rPr>
                <w:rFonts w:hint="eastAsia" w:ascii="宋体" w:hAnsi="宋体"/>
                <w:color w:val="auto"/>
                <w:szCs w:val="21"/>
                <w:highlight w:val="none"/>
              </w:rPr>
              <w:t>分</w:t>
            </w:r>
          </w:p>
        </w:tc>
        <w:tc>
          <w:tcPr>
            <w:tcW w:w="2271" w:type="dxa"/>
            <w:noWrap w:val="0"/>
            <w:vAlign w:val="center"/>
          </w:tcPr>
          <w:p w14:paraId="72A16DBC">
            <w:pPr>
              <w:jc w:val="center"/>
              <w:rPr>
                <w:rFonts w:ascii="宋体" w:hAnsi="宋体"/>
                <w:color w:val="auto"/>
                <w:szCs w:val="21"/>
                <w:highlight w:val="none"/>
              </w:rPr>
            </w:pPr>
            <w:r>
              <w:rPr>
                <w:rFonts w:hint="eastAsia" w:ascii="宋体" w:hAnsi="宋体"/>
                <w:color w:val="auto"/>
                <w:szCs w:val="21"/>
                <w:highlight w:val="none"/>
                <w:lang w:val="en-US" w:eastAsia="zh-CN"/>
              </w:rPr>
              <w:t>10</w:t>
            </w:r>
            <w:r>
              <w:rPr>
                <w:rFonts w:hint="eastAsia" w:ascii="宋体" w:hAnsi="宋体"/>
                <w:color w:val="auto"/>
                <w:szCs w:val="21"/>
                <w:highlight w:val="none"/>
              </w:rPr>
              <w:t>分</w:t>
            </w:r>
          </w:p>
        </w:tc>
      </w:tr>
    </w:tbl>
    <w:p w14:paraId="74D7D2AC">
      <w:pPr>
        <w:keepNext w:val="0"/>
        <w:keepLines w:val="0"/>
        <w:pageBreakBefore w:val="0"/>
        <w:kinsoku/>
        <w:overflowPunct/>
        <w:topLinePunct w:val="0"/>
        <w:autoSpaceDE/>
        <w:autoSpaceDN/>
        <w:bidi w:val="0"/>
        <w:spacing w:line="360" w:lineRule="exact"/>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eastAsia="zh-CN"/>
        </w:rPr>
        <w:t>综合得分按以下公式计算：综合得分=商务技术得分+报价得分</w:t>
      </w:r>
    </w:p>
    <w:tbl>
      <w:tblPr>
        <w:tblStyle w:val="15"/>
        <w:tblW w:w="5025" w:type="pct"/>
        <w:jc w:val="center"/>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autofit"/>
        <w:tblCellMar>
          <w:top w:w="0" w:type="dxa"/>
          <w:left w:w="0" w:type="dxa"/>
          <w:bottom w:w="0" w:type="dxa"/>
          <w:right w:w="0" w:type="dxa"/>
        </w:tblCellMar>
      </w:tblPr>
      <w:tblGrid>
        <w:gridCol w:w="1223"/>
        <w:gridCol w:w="1623"/>
        <w:gridCol w:w="7073"/>
      </w:tblGrid>
      <w:tr w14:paraId="0AC20336">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600" w:hRule="atLeast"/>
          <w:tblHeader/>
          <w:jc w:val="center"/>
        </w:trPr>
        <w:tc>
          <w:tcPr>
            <w:tcW w:w="616" w:type="pct"/>
            <w:tcBorders>
              <w:top w:val="single" w:color="auto" w:sz="4" w:space="0"/>
              <w:left w:val="single" w:color="auto" w:sz="4" w:space="0"/>
              <w:bottom w:val="single" w:color="auto" w:sz="4" w:space="0"/>
              <w:right w:val="single" w:color="auto" w:sz="4" w:space="0"/>
            </w:tcBorders>
            <w:shd w:val="clear" w:color="auto" w:fill="auto"/>
            <w:noWrap w:val="0"/>
            <w:tcMar>
              <w:left w:w="105" w:type="dxa"/>
              <w:right w:w="105" w:type="dxa"/>
            </w:tcMar>
            <w:vAlign w:val="center"/>
          </w:tcPr>
          <w:p w14:paraId="0E0D8FA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333333"/>
                <w:sz w:val="21"/>
                <w:szCs w:val="21"/>
              </w:rPr>
            </w:pPr>
            <w:r>
              <w:rPr>
                <w:rStyle w:val="18"/>
                <w:rFonts w:hint="eastAsia" w:ascii="宋体" w:hAnsi="宋体" w:eastAsia="宋体" w:cs="宋体"/>
                <w:color w:val="333333"/>
                <w:sz w:val="21"/>
                <w:szCs w:val="21"/>
              </w:rPr>
              <w:t>内容</w:t>
            </w:r>
          </w:p>
        </w:tc>
        <w:tc>
          <w:tcPr>
            <w:tcW w:w="818"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104F218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left="0" w:leftChars="0" w:right="0" w:firstLine="0" w:firstLineChars="0"/>
              <w:jc w:val="center"/>
              <w:rPr>
                <w:rStyle w:val="18"/>
                <w:rFonts w:hint="eastAsia" w:ascii="宋体" w:hAnsi="宋体" w:eastAsia="宋体" w:cs="宋体"/>
                <w:color w:val="333333"/>
                <w:sz w:val="21"/>
                <w:szCs w:val="21"/>
                <w:lang w:eastAsia="zh-CN"/>
              </w:rPr>
            </w:pPr>
            <w:r>
              <w:rPr>
                <w:rStyle w:val="18"/>
                <w:rFonts w:hint="eastAsia" w:ascii="宋体" w:hAnsi="宋体" w:eastAsia="宋体" w:cs="宋体"/>
                <w:color w:val="333333"/>
                <w:sz w:val="21"/>
                <w:szCs w:val="21"/>
                <w:lang w:eastAsia="zh-CN"/>
              </w:rPr>
              <w:t>评审项目</w:t>
            </w:r>
          </w:p>
        </w:tc>
        <w:tc>
          <w:tcPr>
            <w:tcW w:w="3564"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6A11D4F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left="0" w:right="0" w:firstLine="420"/>
              <w:jc w:val="center"/>
              <w:rPr>
                <w:rFonts w:hint="eastAsia" w:ascii="宋体" w:hAnsi="宋体" w:eastAsia="宋体" w:cs="宋体"/>
                <w:color w:val="333333"/>
                <w:sz w:val="21"/>
                <w:szCs w:val="21"/>
              </w:rPr>
            </w:pPr>
            <w:r>
              <w:rPr>
                <w:rStyle w:val="18"/>
                <w:rFonts w:hint="eastAsia" w:ascii="宋体" w:hAnsi="宋体" w:eastAsia="宋体" w:cs="宋体"/>
                <w:color w:val="333333"/>
                <w:sz w:val="21"/>
                <w:szCs w:val="21"/>
              </w:rPr>
              <w:t>评分标准</w:t>
            </w:r>
          </w:p>
        </w:tc>
      </w:tr>
      <w:tr w14:paraId="4C7F3674">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855" w:hRule="atLeast"/>
          <w:jc w:val="center"/>
        </w:trPr>
        <w:tc>
          <w:tcPr>
            <w:tcW w:w="616" w:type="pct"/>
            <w:tcBorders>
              <w:top w:val="single" w:color="auto" w:sz="4" w:space="0"/>
              <w:left w:val="single" w:color="auto" w:sz="4" w:space="0"/>
              <w:bottom w:val="single" w:color="auto" w:sz="4" w:space="0"/>
              <w:right w:val="single" w:color="auto" w:sz="4" w:space="0"/>
            </w:tcBorders>
            <w:shd w:val="clear" w:color="auto" w:fill="auto"/>
            <w:noWrap w:val="0"/>
            <w:tcMar>
              <w:left w:w="105" w:type="dxa"/>
              <w:right w:w="105" w:type="dxa"/>
            </w:tcMar>
            <w:vAlign w:val="center"/>
          </w:tcPr>
          <w:p w14:paraId="15E1FED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价格部分(</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c>
          <w:tcPr>
            <w:tcW w:w="818"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17FFDAD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价格得分</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0分</w:t>
            </w:r>
            <w:r>
              <w:rPr>
                <w:rFonts w:hint="eastAsia" w:ascii="宋体" w:hAnsi="宋体" w:eastAsia="宋体" w:cs="宋体"/>
                <w:color w:val="auto"/>
                <w:sz w:val="21"/>
                <w:szCs w:val="21"/>
                <w:highlight w:val="none"/>
                <w:lang w:eastAsia="zh-CN"/>
              </w:rPr>
              <w:t>）</w:t>
            </w:r>
          </w:p>
        </w:tc>
        <w:tc>
          <w:tcPr>
            <w:tcW w:w="3564"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6948E2E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价格分采用低价优先法计算，即满足</w:t>
            </w:r>
            <w:r>
              <w:rPr>
                <w:rFonts w:hint="eastAsia" w:ascii="宋体" w:hAnsi="宋体" w:eastAsia="宋体" w:cs="宋体"/>
                <w:color w:val="auto"/>
                <w:sz w:val="21"/>
                <w:szCs w:val="21"/>
                <w:highlight w:val="none"/>
                <w:lang w:eastAsia="zh-CN"/>
              </w:rPr>
              <w:t>比选公告</w:t>
            </w:r>
            <w:r>
              <w:rPr>
                <w:rFonts w:hint="eastAsia" w:ascii="宋体" w:hAnsi="宋体" w:eastAsia="宋体" w:cs="宋体"/>
                <w:color w:val="auto"/>
                <w:sz w:val="21"/>
                <w:szCs w:val="21"/>
                <w:highlight w:val="none"/>
              </w:rPr>
              <w:t>要求且</w:t>
            </w:r>
            <w:r>
              <w:rPr>
                <w:rFonts w:hint="eastAsia" w:ascii="宋体" w:hAnsi="宋体" w:eastAsia="宋体" w:cs="宋体"/>
                <w:color w:val="auto"/>
                <w:sz w:val="21"/>
                <w:szCs w:val="21"/>
                <w:highlight w:val="none"/>
                <w:lang w:eastAsia="zh-CN"/>
              </w:rPr>
              <w:t>报价</w:t>
            </w:r>
            <w:r>
              <w:rPr>
                <w:rFonts w:hint="eastAsia" w:ascii="宋体" w:hAnsi="宋体" w:eastAsia="宋体" w:cs="宋体"/>
                <w:color w:val="auto"/>
                <w:sz w:val="21"/>
                <w:szCs w:val="21"/>
                <w:highlight w:val="none"/>
              </w:rPr>
              <w:t>最低的为评</w:t>
            </w:r>
            <w:r>
              <w:rPr>
                <w:rFonts w:hint="eastAsia" w:ascii="宋体" w:hAnsi="宋体" w:cs="宋体"/>
                <w:color w:val="auto"/>
                <w:sz w:val="21"/>
                <w:szCs w:val="21"/>
                <w:highlight w:val="none"/>
                <w:lang w:val="en-US" w:eastAsia="zh-CN"/>
              </w:rPr>
              <w:t>选</w:t>
            </w:r>
            <w:r>
              <w:rPr>
                <w:rFonts w:hint="eastAsia" w:ascii="宋体" w:hAnsi="宋体" w:eastAsia="宋体" w:cs="宋体"/>
                <w:color w:val="auto"/>
                <w:sz w:val="21"/>
                <w:szCs w:val="21"/>
                <w:highlight w:val="none"/>
              </w:rPr>
              <w:t>基准价，其价格分为满分</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0，其他</w:t>
            </w:r>
            <w:r>
              <w:rPr>
                <w:rFonts w:hint="eastAsia" w:ascii="宋体" w:hAnsi="宋体" w:eastAsia="宋体" w:cs="宋体"/>
                <w:color w:val="auto"/>
                <w:sz w:val="21"/>
                <w:szCs w:val="21"/>
                <w:highlight w:val="none"/>
                <w:lang w:eastAsia="zh-CN"/>
              </w:rPr>
              <w:t>响应供应商</w:t>
            </w:r>
            <w:r>
              <w:rPr>
                <w:rFonts w:hint="eastAsia" w:ascii="宋体" w:hAnsi="宋体" w:eastAsia="宋体" w:cs="宋体"/>
                <w:color w:val="auto"/>
                <w:sz w:val="21"/>
                <w:szCs w:val="21"/>
                <w:highlight w:val="none"/>
              </w:rPr>
              <w:t>的价格分统一按照下列公式计算</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参选</w:t>
            </w:r>
            <w:r>
              <w:rPr>
                <w:rFonts w:hint="eastAsia" w:ascii="宋体" w:hAnsi="宋体" w:eastAsia="宋体" w:cs="宋体"/>
                <w:color w:val="auto"/>
                <w:sz w:val="21"/>
                <w:szCs w:val="21"/>
                <w:highlight w:val="none"/>
                <w:lang w:eastAsia="zh-CN"/>
              </w:rPr>
              <w:t>报价得分</w:t>
            </w:r>
            <w:r>
              <w:rPr>
                <w:rFonts w:hint="eastAsia" w:ascii="宋体" w:hAnsi="宋体" w:eastAsia="宋体" w:cs="宋体"/>
                <w:color w:val="auto"/>
                <w:sz w:val="21"/>
                <w:szCs w:val="21"/>
                <w:highlight w:val="none"/>
              </w:rPr>
              <w:t>四舍五入精确到小数点后2位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14:paraId="643E750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参选</w:t>
            </w:r>
            <w:r>
              <w:rPr>
                <w:rFonts w:hint="eastAsia" w:ascii="宋体" w:hAnsi="宋体" w:eastAsia="宋体" w:cs="宋体"/>
                <w:color w:val="auto"/>
                <w:sz w:val="21"/>
                <w:szCs w:val="21"/>
                <w:highlight w:val="none"/>
              </w:rPr>
              <w:t>报价得分=（评</w:t>
            </w:r>
            <w:r>
              <w:rPr>
                <w:rFonts w:hint="eastAsia" w:ascii="宋体" w:hAnsi="宋体" w:cs="宋体"/>
                <w:color w:val="auto"/>
                <w:sz w:val="21"/>
                <w:szCs w:val="21"/>
                <w:highlight w:val="none"/>
                <w:lang w:val="en-US" w:eastAsia="zh-CN"/>
              </w:rPr>
              <w:t>选</w:t>
            </w:r>
            <w:r>
              <w:rPr>
                <w:rFonts w:hint="eastAsia" w:ascii="宋体" w:hAnsi="宋体" w:eastAsia="宋体" w:cs="宋体"/>
                <w:color w:val="auto"/>
                <w:sz w:val="21"/>
                <w:szCs w:val="21"/>
                <w:highlight w:val="none"/>
              </w:rPr>
              <w:t>基准价格/</w:t>
            </w:r>
            <w:r>
              <w:rPr>
                <w:rFonts w:hint="eastAsia" w:ascii="宋体" w:hAnsi="宋体" w:cs="宋体"/>
                <w:color w:val="auto"/>
                <w:sz w:val="21"/>
                <w:szCs w:val="21"/>
                <w:highlight w:val="none"/>
                <w:lang w:val="en-US" w:eastAsia="zh-CN"/>
              </w:rPr>
              <w:t>参选</w:t>
            </w:r>
            <w:r>
              <w:rPr>
                <w:rFonts w:hint="eastAsia" w:ascii="宋体" w:hAnsi="宋体" w:eastAsia="宋体" w:cs="宋体"/>
                <w:color w:val="auto"/>
                <w:sz w:val="21"/>
                <w:szCs w:val="21"/>
                <w:highlight w:val="none"/>
              </w:rPr>
              <w:t>价格）×</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0</w:t>
            </w:r>
          </w:p>
        </w:tc>
      </w:tr>
      <w:tr w14:paraId="1BA74AE0">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507" w:hRule="atLeast"/>
          <w:jc w:val="center"/>
        </w:trPr>
        <w:tc>
          <w:tcPr>
            <w:tcW w:w="616" w:type="pct"/>
            <w:vMerge w:val="restart"/>
            <w:tcBorders>
              <w:top w:val="single" w:color="auto" w:sz="4" w:space="0"/>
              <w:left w:val="single" w:color="auto" w:sz="4" w:space="0"/>
              <w:right w:val="single" w:color="auto" w:sz="4" w:space="0"/>
            </w:tcBorders>
            <w:shd w:val="clear" w:color="auto" w:fill="auto"/>
            <w:noWrap w:val="0"/>
            <w:tcMar>
              <w:left w:w="105" w:type="dxa"/>
              <w:right w:w="105" w:type="dxa"/>
            </w:tcMar>
            <w:vAlign w:val="center"/>
          </w:tcPr>
          <w:p w14:paraId="43E5843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商务</w:t>
            </w:r>
            <w:r>
              <w:rPr>
                <w:rFonts w:hint="eastAsia" w:ascii="宋体" w:hAnsi="宋体" w:cs="宋体"/>
                <w:color w:val="auto"/>
                <w:sz w:val="21"/>
                <w:szCs w:val="21"/>
                <w:highlight w:val="none"/>
                <w:lang w:val="en-US" w:eastAsia="zh-CN"/>
              </w:rPr>
              <w:t>技术</w:t>
            </w:r>
            <w:r>
              <w:rPr>
                <w:rFonts w:hint="eastAsia" w:ascii="宋体" w:hAnsi="宋体" w:eastAsia="宋体" w:cs="宋体"/>
                <w:color w:val="auto"/>
                <w:sz w:val="21"/>
                <w:szCs w:val="21"/>
                <w:highlight w:val="none"/>
                <w:lang w:eastAsia="zh-CN"/>
              </w:rPr>
              <w:t>部分</w:t>
            </w:r>
          </w:p>
          <w:p w14:paraId="69FFB87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90</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818"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top"/>
          </w:tcPr>
          <w:p w14:paraId="324D65E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对</w:t>
            </w:r>
            <w:r>
              <w:rPr>
                <w:rFonts w:hint="eastAsia" w:ascii="宋体" w:hAnsi="宋体" w:cs="宋体"/>
                <w:i w:val="0"/>
                <w:iCs w:val="0"/>
                <w:color w:val="auto"/>
                <w:kern w:val="0"/>
                <w:sz w:val="21"/>
                <w:szCs w:val="21"/>
                <w:highlight w:val="none"/>
                <w:u w:val="none"/>
                <w:lang w:val="en-US" w:eastAsia="zh-CN" w:bidi="ar"/>
              </w:rPr>
              <w:t>采购需求书</w:t>
            </w:r>
            <w:r>
              <w:rPr>
                <w:rFonts w:hint="eastAsia" w:ascii="宋体" w:hAnsi="宋体" w:eastAsia="宋体" w:cs="宋体"/>
                <w:color w:val="auto"/>
                <w:sz w:val="21"/>
                <w:szCs w:val="21"/>
                <w:highlight w:val="none"/>
                <w:lang w:bidi="ar"/>
              </w:rPr>
              <w:t>的</w:t>
            </w:r>
            <w:r>
              <w:rPr>
                <w:rFonts w:hint="eastAsia" w:ascii="宋体" w:hAnsi="宋体" w:eastAsia="宋体" w:cs="宋体"/>
                <w:color w:val="auto"/>
                <w:sz w:val="21"/>
                <w:szCs w:val="21"/>
                <w:highlight w:val="none"/>
              </w:rPr>
              <w:t>响应程度</w:t>
            </w:r>
          </w:p>
          <w:p w14:paraId="73920675">
            <w:pPr>
              <w:keepNext w:val="0"/>
              <w:keepLines w:val="0"/>
              <w:pageBreakBefore w:val="0"/>
              <w:widowControl/>
              <w:kinsoku/>
              <w:wordWrap/>
              <w:overflowPunct/>
              <w:topLinePunct w:val="0"/>
              <w:autoSpaceDE/>
              <w:autoSpaceDN/>
              <w:bidi w:val="0"/>
              <w:adjustRightInd/>
              <w:snapToGrid/>
              <w:spacing w:line="360" w:lineRule="exact"/>
              <w:ind w:left="210" w:leftChars="0" w:hanging="210" w:hanging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45</w:t>
            </w:r>
            <w:r>
              <w:rPr>
                <w:rFonts w:hint="eastAsia" w:ascii="宋体" w:hAnsi="宋体" w:eastAsia="宋体" w:cs="宋体"/>
                <w:color w:val="auto"/>
                <w:sz w:val="21"/>
                <w:szCs w:val="21"/>
                <w:highlight w:val="none"/>
              </w:rPr>
              <w:t>分)</w:t>
            </w:r>
          </w:p>
        </w:tc>
        <w:tc>
          <w:tcPr>
            <w:tcW w:w="3564"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top"/>
          </w:tcPr>
          <w:p w14:paraId="540355E5">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根据各供应商响应文件对</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四、采购</w:t>
            </w:r>
            <w:r>
              <w:rPr>
                <w:rFonts w:hint="eastAsia" w:ascii="宋体" w:hAnsi="宋体" w:eastAsia="宋体" w:cs="宋体"/>
                <w:color w:val="auto"/>
                <w:szCs w:val="21"/>
                <w:highlight w:val="none"/>
              </w:rPr>
              <w:t>需求书</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下列的（一）、（二）、（三）的所有条款</w:t>
            </w:r>
            <w:r>
              <w:rPr>
                <w:rFonts w:hint="eastAsia" w:ascii="宋体" w:hAnsi="宋体" w:eastAsia="宋体" w:cs="宋体"/>
                <w:color w:val="auto"/>
                <w:szCs w:val="21"/>
                <w:highlight w:val="none"/>
              </w:rPr>
              <w:t>（非“★”、非“▲”号条款）共</w:t>
            </w:r>
            <w:r>
              <w:rPr>
                <w:rFonts w:hint="eastAsia" w:ascii="宋体" w:hAnsi="宋体" w:cs="宋体"/>
                <w:color w:val="auto"/>
                <w:szCs w:val="21"/>
                <w:highlight w:val="none"/>
                <w:lang w:val="en-US" w:eastAsia="zh-CN"/>
              </w:rPr>
              <w:t>34</w:t>
            </w:r>
            <w:r>
              <w:rPr>
                <w:rFonts w:hint="eastAsia" w:ascii="宋体" w:hAnsi="宋体" w:eastAsia="宋体" w:cs="宋体"/>
                <w:color w:val="auto"/>
                <w:szCs w:val="21"/>
                <w:highlight w:val="none"/>
              </w:rPr>
              <w:t>项，</w:t>
            </w:r>
            <w:r>
              <w:rPr>
                <w:rFonts w:hint="eastAsia" w:ascii="宋体" w:hAnsi="宋体" w:eastAsia="宋体" w:cs="宋体"/>
                <w:color w:val="auto"/>
                <w:szCs w:val="21"/>
                <w:highlight w:val="none"/>
                <w:lang w:val="en-US" w:eastAsia="zh-CN"/>
              </w:rPr>
              <w:t>本项目满分</w:t>
            </w:r>
            <w:r>
              <w:rPr>
                <w:rFonts w:hint="eastAsia" w:ascii="宋体" w:hAnsi="宋体" w:cs="宋体"/>
                <w:color w:val="auto"/>
                <w:szCs w:val="21"/>
                <w:highlight w:val="none"/>
                <w:lang w:val="en-US" w:eastAsia="zh-CN"/>
              </w:rPr>
              <w:t>45</w:t>
            </w:r>
            <w:r>
              <w:rPr>
                <w:rFonts w:hint="eastAsia" w:ascii="宋体" w:hAnsi="宋体" w:eastAsia="宋体" w:cs="宋体"/>
                <w:color w:val="auto"/>
                <w:szCs w:val="21"/>
                <w:highlight w:val="none"/>
                <w:lang w:val="en-US" w:eastAsia="zh-CN"/>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评审分数按以下公式进行计算：优于或完全响应的条款数量</w:t>
            </w:r>
            <w:r>
              <w:rPr>
                <w:rFonts w:hint="default" w:ascii="Arial" w:hAnsi="Arial" w:eastAsia="宋体" w:cs="Arial"/>
                <w:b/>
                <w:bCs/>
                <w:color w:val="auto"/>
                <w:szCs w:val="21"/>
                <w:highlight w:val="none"/>
              </w:rPr>
              <w:t>÷</w:t>
            </w:r>
            <w:r>
              <w:rPr>
                <w:rFonts w:hint="eastAsia" w:ascii="宋体" w:hAnsi="宋体" w:eastAsia="宋体" w:cs="宋体"/>
                <w:color w:val="auto"/>
                <w:szCs w:val="21"/>
                <w:highlight w:val="none"/>
              </w:rPr>
              <w:t>一般条款（非“★”、非“▲”号条款）总数量</w:t>
            </w:r>
            <w:r>
              <w:rPr>
                <w:rFonts w:hint="default" w:ascii="Arial" w:hAnsi="Arial" w:eastAsia="宋体" w:cs="Arial"/>
                <w:b/>
                <w:bCs/>
                <w:color w:val="auto"/>
                <w:szCs w:val="21"/>
                <w:highlight w:val="none"/>
              </w:rPr>
              <w:t>×</w:t>
            </w:r>
            <w:r>
              <w:rPr>
                <w:rFonts w:hint="eastAsia" w:ascii="宋体" w:hAnsi="宋体" w:cs="宋体"/>
                <w:color w:val="auto"/>
                <w:szCs w:val="21"/>
                <w:highlight w:val="none"/>
                <w:lang w:val="en-US" w:eastAsia="zh-CN"/>
              </w:rPr>
              <w:t>45</w:t>
            </w:r>
            <w:r>
              <w:rPr>
                <w:rFonts w:hint="eastAsia" w:ascii="宋体" w:hAnsi="宋体" w:eastAsia="宋体" w:cs="宋体"/>
                <w:color w:val="auto"/>
                <w:szCs w:val="21"/>
                <w:highlight w:val="none"/>
              </w:rPr>
              <w:t>=一般条款响应程度得分（按四舍五入保留两位）。）</w:t>
            </w:r>
          </w:p>
          <w:p w14:paraId="2ECA49F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cs="宋体"/>
                <w:b/>
                <w:bCs w:val="0"/>
                <w:color w:val="auto"/>
                <w:szCs w:val="21"/>
                <w:highlight w:val="none"/>
                <w:lang w:val="en-US" w:eastAsia="zh-CN"/>
              </w:rPr>
              <w:t>注：本项满分为45分，以采购需求书中要求提供（如有）的证明材料作为评审依据，未按要求提供不得分。</w:t>
            </w:r>
          </w:p>
        </w:tc>
      </w:tr>
      <w:tr w14:paraId="267153EF">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855" w:hRule="atLeast"/>
          <w:jc w:val="center"/>
        </w:trPr>
        <w:tc>
          <w:tcPr>
            <w:tcW w:w="616" w:type="pct"/>
            <w:vMerge w:val="continue"/>
            <w:tcBorders>
              <w:left w:val="single" w:color="auto" w:sz="4" w:space="0"/>
              <w:right w:val="single" w:color="auto" w:sz="4" w:space="0"/>
            </w:tcBorders>
            <w:shd w:val="clear" w:color="auto" w:fill="auto"/>
            <w:noWrap w:val="0"/>
            <w:tcMar>
              <w:left w:w="105" w:type="dxa"/>
              <w:right w:w="105" w:type="dxa"/>
            </w:tcMar>
            <w:vAlign w:val="center"/>
          </w:tcPr>
          <w:p w14:paraId="013901B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auto"/>
                <w:sz w:val="21"/>
                <w:szCs w:val="21"/>
                <w:highlight w:val="yellow"/>
                <w:lang w:eastAsia="zh-CN"/>
              </w:rPr>
            </w:pPr>
          </w:p>
        </w:tc>
        <w:tc>
          <w:tcPr>
            <w:tcW w:w="818"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top"/>
          </w:tcPr>
          <w:p w14:paraId="2A703C1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总体实施方案 </w:t>
            </w:r>
          </w:p>
          <w:p w14:paraId="4D1A8B3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left="0" w:leftChars="0" w:right="0" w:rightChars="0"/>
              <w:jc w:val="center"/>
              <w:rPr>
                <w:rFonts w:hint="eastAsia" w:ascii="宋体" w:hAnsi="宋体" w:eastAsia="宋体" w:cs="宋体"/>
                <w:color w:val="auto"/>
                <w:kern w:val="0"/>
                <w:sz w:val="21"/>
                <w:szCs w:val="21"/>
                <w:highlight w:val="yellow"/>
                <w:lang w:val="en-US" w:eastAsia="zh-CN" w:bidi="ar"/>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分</w:t>
            </w:r>
            <w:r>
              <w:rPr>
                <w:rFonts w:hint="eastAsia" w:ascii="宋体" w:hAnsi="宋体" w:eastAsia="宋体" w:cs="宋体"/>
                <w:color w:val="auto"/>
                <w:sz w:val="21"/>
                <w:szCs w:val="21"/>
                <w:lang w:eastAsia="zh-CN"/>
              </w:rPr>
              <w:t>）</w:t>
            </w:r>
          </w:p>
        </w:tc>
        <w:tc>
          <w:tcPr>
            <w:tcW w:w="3564"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top"/>
          </w:tcPr>
          <w:p w14:paraId="289FF9C8">
            <w:pPr>
              <w:pStyle w:val="25"/>
              <w:jc w:val="left"/>
              <w:rPr>
                <w:sz w:val="21"/>
                <w:szCs w:val="21"/>
                <w:highlight w:val="none"/>
              </w:rPr>
            </w:pPr>
            <w:r>
              <w:rPr>
                <w:sz w:val="21"/>
                <w:szCs w:val="21"/>
                <w:highlight w:val="none"/>
              </w:rPr>
              <w:t>根据</w:t>
            </w:r>
            <w:r>
              <w:rPr>
                <w:rFonts w:hint="eastAsia"/>
                <w:sz w:val="21"/>
                <w:szCs w:val="21"/>
                <w:highlight w:val="none"/>
                <w:lang w:eastAsia="zh-CN"/>
              </w:rPr>
              <w:t>供应商</w:t>
            </w:r>
            <w:r>
              <w:rPr>
                <w:sz w:val="21"/>
                <w:szCs w:val="21"/>
                <w:highlight w:val="none"/>
              </w:rPr>
              <w:t xml:space="preserve">提供的总体实施方案（包括但不限于：服务目标达成措施、服务计划、具体执行措施等）进行评审： </w:t>
            </w:r>
          </w:p>
          <w:p w14:paraId="7696BB15">
            <w:pPr>
              <w:pStyle w:val="25"/>
              <w:numPr>
                <w:ilvl w:val="0"/>
                <w:numId w:val="0"/>
              </w:numPr>
              <w:jc w:val="left"/>
              <w:rPr>
                <w:sz w:val="21"/>
                <w:szCs w:val="21"/>
                <w:highlight w:val="none"/>
              </w:rPr>
            </w:pPr>
            <w:r>
              <w:rPr>
                <w:rFonts w:hint="eastAsia"/>
                <w:sz w:val="21"/>
                <w:szCs w:val="21"/>
                <w:highlight w:val="none"/>
                <w:lang w:val="en-US" w:eastAsia="zh-CN"/>
              </w:rPr>
              <w:t>1.</w:t>
            </w:r>
            <w:r>
              <w:rPr>
                <w:sz w:val="21"/>
                <w:szCs w:val="21"/>
                <w:highlight w:val="none"/>
              </w:rPr>
              <w:t>服务目标达成措施清晰明确，服务计划详尽，执行方案（包括流程、制度等，下同）可操作性强的，得</w:t>
            </w:r>
            <w:r>
              <w:rPr>
                <w:rFonts w:hint="eastAsia"/>
                <w:sz w:val="21"/>
                <w:szCs w:val="21"/>
                <w:highlight w:val="none"/>
                <w:lang w:val="en-US" w:eastAsia="zh-CN"/>
              </w:rPr>
              <w:t>15</w:t>
            </w:r>
            <w:r>
              <w:rPr>
                <w:sz w:val="21"/>
                <w:szCs w:val="21"/>
                <w:highlight w:val="none"/>
              </w:rPr>
              <w:t>分；</w:t>
            </w:r>
          </w:p>
          <w:p w14:paraId="3BED19A9">
            <w:pPr>
              <w:pStyle w:val="25"/>
              <w:numPr>
                <w:ilvl w:val="0"/>
                <w:numId w:val="0"/>
              </w:numPr>
              <w:jc w:val="left"/>
              <w:rPr>
                <w:rFonts w:hint="eastAsia" w:asciiTheme="minorHAnsi" w:hAnsiTheme="minorHAnsi" w:eastAsiaTheme="minorEastAsia" w:cstheme="minorBidi"/>
                <w:sz w:val="21"/>
                <w:szCs w:val="21"/>
                <w:highlight w:val="none"/>
                <w:lang w:val="en-US" w:eastAsia="zh-CN"/>
              </w:rPr>
            </w:pPr>
            <w:r>
              <w:rPr>
                <w:rFonts w:hint="eastAsia"/>
                <w:sz w:val="21"/>
                <w:szCs w:val="21"/>
                <w:highlight w:val="none"/>
                <w:lang w:val="en-US" w:eastAsia="zh-CN"/>
              </w:rPr>
              <w:t>2.</w:t>
            </w:r>
            <w:r>
              <w:rPr>
                <w:sz w:val="21"/>
                <w:szCs w:val="21"/>
                <w:highlight w:val="none"/>
              </w:rPr>
              <w:t>服务目标达成措施较为明确，服务计划较为详尽，执行方案可操作性较强的，得</w:t>
            </w:r>
            <w:r>
              <w:rPr>
                <w:rFonts w:hint="eastAsia"/>
                <w:sz w:val="21"/>
                <w:szCs w:val="21"/>
                <w:highlight w:val="none"/>
                <w:lang w:val="en-US" w:eastAsia="zh-CN"/>
              </w:rPr>
              <w:t>11</w:t>
            </w:r>
            <w:r>
              <w:rPr>
                <w:sz w:val="21"/>
                <w:szCs w:val="21"/>
                <w:highlight w:val="none"/>
              </w:rPr>
              <w:t>分；</w:t>
            </w:r>
          </w:p>
          <w:p w14:paraId="1A310166">
            <w:pPr>
              <w:pStyle w:val="25"/>
              <w:numPr>
                <w:ilvl w:val="0"/>
                <w:numId w:val="0"/>
              </w:numPr>
              <w:jc w:val="left"/>
              <w:rPr>
                <w:rFonts w:hint="eastAsia" w:asciiTheme="minorHAnsi" w:hAnsiTheme="minorHAnsi" w:eastAsiaTheme="minorEastAsia" w:cstheme="minorBidi"/>
                <w:sz w:val="21"/>
                <w:szCs w:val="21"/>
                <w:highlight w:val="none"/>
                <w:lang w:val="en-US" w:eastAsia="zh-CN"/>
              </w:rPr>
            </w:pPr>
            <w:r>
              <w:rPr>
                <w:rFonts w:hint="eastAsia"/>
                <w:sz w:val="21"/>
                <w:szCs w:val="21"/>
                <w:highlight w:val="none"/>
                <w:lang w:val="en-US" w:eastAsia="zh-CN"/>
              </w:rPr>
              <w:t>3.</w:t>
            </w:r>
            <w:r>
              <w:rPr>
                <w:sz w:val="21"/>
                <w:szCs w:val="21"/>
                <w:highlight w:val="none"/>
              </w:rPr>
              <w:t>服务目标达成措施不明确，服务计划简单粗略，执行方案可操作性较弱的，得</w:t>
            </w:r>
            <w:r>
              <w:rPr>
                <w:rFonts w:hint="eastAsia"/>
                <w:sz w:val="21"/>
                <w:szCs w:val="21"/>
                <w:highlight w:val="none"/>
                <w:lang w:val="en-US" w:eastAsia="zh-CN"/>
              </w:rPr>
              <w:t>7</w:t>
            </w:r>
            <w:r>
              <w:rPr>
                <w:sz w:val="21"/>
                <w:szCs w:val="21"/>
                <w:highlight w:val="none"/>
              </w:rPr>
              <w:t>分；</w:t>
            </w:r>
          </w:p>
          <w:p w14:paraId="20D9D21B">
            <w:pPr>
              <w:pStyle w:val="25"/>
              <w:numPr>
                <w:ilvl w:val="0"/>
                <w:numId w:val="0"/>
              </w:numPr>
              <w:jc w:val="left"/>
              <w:rPr>
                <w:rFonts w:hint="eastAsia" w:asciiTheme="minorHAnsi" w:hAnsiTheme="minorHAnsi" w:eastAsiaTheme="minorEastAsia" w:cstheme="minorBidi"/>
                <w:sz w:val="21"/>
                <w:szCs w:val="21"/>
                <w:highlight w:val="none"/>
                <w:lang w:val="en-US" w:eastAsia="zh-CN"/>
              </w:rPr>
            </w:pPr>
            <w:r>
              <w:rPr>
                <w:rFonts w:hint="eastAsia"/>
                <w:sz w:val="21"/>
                <w:szCs w:val="21"/>
                <w:highlight w:val="none"/>
                <w:lang w:val="en-US" w:eastAsia="zh-CN"/>
              </w:rPr>
              <w:t>4.</w:t>
            </w:r>
            <w:r>
              <w:rPr>
                <w:sz w:val="21"/>
                <w:szCs w:val="21"/>
                <w:highlight w:val="none"/>
              </w:rPr>
              <w:t>服务目标达成措施模糊，服务计划缺失，执行方案可操作性差的，得</w:t>
            </w:r>
            <w:r>
              <w:rPr>
                <w:rFonts w:hint="eastAsia"/>
                <w:sz w:val="21"/>
                <w:szCs w:val="21"/>
                <w:highlight w:val="none"/>
                <w:lang w:val="en-US" w:eastAsia="zh-CN"/>
              </w:rPr>
              <w:t>3</w:t>
            </w:r>
            <w:r>
              <w:rPr>
                <w:sz w:val="21"/>
                <w:szCs w:val="21"/>
                <w:highlight w:val="none"/>
              </w:rPr>
              <w:t>分；</w:t>
            </w:r>
          </w:p>
          <w:p w14:paraId="4958E57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yellow"/>
                <w:lang w:val="zh-CN" w:eastAsia="zh-CN" w:bidi="ar-SA"/>
              </w:rPr>
            </w:pPr>
            <w:r>
              <w:rPr>
                <w:rFonts w:hint="eastAsia"/>
                <w:sz w:val="21"/>
                <w:szCs w:val="21"/>
                <w:highlight w:val="none"/>
                <w:lang w:val="en-US" w:eastAsia="zh-CN"/>
              </w:rPr>
              <w:t>5.</w:t>
            </w:r>
            <w:r>
              <w:rPr>
                <w:sz w:val="21"/>
                <w:szCs w:val="21"/>
                <w:highlight w:val="none"/>
              </w:rPr>
              <w:t>未提供相关内容阐述的，不得分。</w:t>
            </w:r>
          </w:p>
        </w:tc>
      </w:tr>
      <w:tr w14:paraId="374E2221">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855" w:hRule="atLeast"/>
          <w:jc w:val="center"/>
        </w:trPr>
        <w:tc>
          <w:tcPr>
            <w:tcW w:w="616" w:type="pct"/>
            <w:vMerge w:val="continue"/>
            <w:tcBorders>
              <w:left w:val="single" w:color="auto" w:sz="4" w:space="0"/>
              <w:right w:val="single" w:color="auto" w:sz="4" w:space="0"/>
            </w:tcBorders>
            <w:shd w:val="clear" w:color="auto" w:fill="auto"/>
            <w:noWrap w:val="0"/>
            <w:tcMar>
              <w:left w:w="105" w:type="dxa"/>
              <w:right w:w="105" w:type="dxa"/>
            </w:tcMar>
            <w:vAlign w:val="center"/>
          </w:tcPr>
          <w:p w14:paraId="3D01F16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333333"/>
                <w:sz w:val="21"/>
                <w:szCs w:val="21"/>
                <w:highlight w:val="yellow"/>
                <w:lang w:eastAsia="zh-CN"/>
              </w:rPr>
            </w:pPr>
          </w:p>
        </w:tc>
        <w:tc>
          <w:tcPr>
            <w:tcW w:w="818"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top"/>
          </w:tcPr>
          <w:p w14:paraId="4A48A04A">
            <w:pPr>
              <w:keepNext w:val="0"/>
              <w:keepLines w:val="0"/>
              <w:pageBreakBefore w:val="0"/>
              <w:kinsoku/>
              <w:overflowPunct/>
              <w:topLinePunct w:val="0"/>
              <w:bidi w:val="0"/>
              <w:spacing w:line="36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安装实施规范、测试验收标准 (</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分)</w:t>
            </w:r>
          </w:p>
        </w:tc>
        <w:tc>
          <w:tcPr>
            <w:tcW w:w="3564"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top"/>
          </w:tcPr>
          <w:p w14:paraId="7A3E0B51">
            <w:pPr>
              <w:keepNext w:val="0"/>
              <w:keepLines w:val="0"/>
              <w:pageBreakBefore w:val="0"/>
              <w:kinsoku/>
              <w:overflowPunct/>
              <w:topLinePunct w:val="0"/>
              <w:bidi w:val="0"/>
              <w:spacing w:line="36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安装实施规范、测试验收标准是否考虑项目实际情况详尽合理、科学、可行。</w:t>
            </w:r>
          </w:p>
          <w:p w14:paraId="32346268">
            <w:pPr>
              <w:keepNext w:val="0"/>
              <w:keepLines w:val="0"/>
              <w:pageBreakBefore w:val="0"/>
              <w:kinsoku/>
              <w:overflowPunct/>
              <w:topLinePunct w:val="0"/>
              <w:bidi w:val="0"/>
              <w:spacing w:line="36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安装、检测、验收计划条理清晰，脉络分明，操作性强的得</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分；</w:t>
            </w:r>
          </w:p>
          <w:p w14:paraId="6512A367">
            <w:pPr>
              <w:keepNext w:val="0"/>
              <w:keepLines w:val="0"/>
              <w:pageBreakBefore w:val="0"/>
              <w:kinsoku/>
              <w:overflowPunct/>
              <w:topLinePunct w:val="0"/>
              <w:bidi w:val="0"/>
              <w:spacing w:line="36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安装、检测、验收计划条理较清晰，脉络较分明，操作性较强的得</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分；</w:t>
            </w:r>
          </w:p>
          <w:p w14:paraId="537F78C5">
            <w:pPr>
              <w:keepNext w:val="0"/>
              <w:keepLines w:val="0"/>
              <w:pageBreakBefore w:val="0"/>
              <w:kinsoku/>
              <w:overflowPunct/>
              <w:topLinePunct w:val="0"/>
              <w:bidi w:val="0"/>
              <w:spacing w:line="36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安装、检测、验收计划条理模糊，操作性一般的得</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w:t>
            </w:r>
          </w:p>
          <w:p w14:paraId="1434FAE1">
            <w:pPr>
              <w:keepNext w:val="0"/>
              <w:keepLines w:val="0"/>
              <w:pageBreakBefore w:val="0"/>
              <w:kinsoku/>
              <w:overflowPunct/>
              <w:topLinePunct w:val="0"/>
              <w:bidi w:val="0"/>
              <w:spacing w:line="360" w:lineRule="exact"/>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4</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安装、检测、验收计划条理混乱，脉络不分明，操作性差的得</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w:t>
            </w:r>
          </w:p>
          <w:p w14:paraId="097A8D23">
            <w:pPr>
              <w:keepNext w:val="0"/>
              <w:keepLines w:val="0"/>
              <w:pageBreakBefore w:val="0"/>
              <w:kinsoku/>
              <w:overflowPunct/>
              <w:topLinePunct w:val="0"/>
              <w:bidi w:val="0"/>
              <w:spacing w:line="360" w:lineRule="exact"/>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5.不提供得0分。</w:t>
            </w:r>
          </w:p>
        </w:tc>
      </w:tr>
      <w:tr w14:paraId="12178F15">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855" w:hRule="atLeast"/>
          <w:jc w:val="center"/>
        </w:trPr>
        <w:tc>
          <w:tcPr>
            <w:tcW w:w="616" w:type="pct"/>
            <w:vMerge w:val="continue"/>
            <w:tcBorders>
              <w:left w:val="single" w:color="auto" w:sz="4" w:space="0"/>
              <w:bottom w:val="single" w:color="auto" w:sz="4" w:space="0"/>
              <w:right w:val="single" w:color="auto" w:sz="4" w:space="0"/>
            </w:tcBorders>
            <w:shd w:val="clear" w:color="auto" w:fill="auto"/>
            <w:noWrap w:val="0"/>
            <w:tcMar>
              <w:left w:w="105" w:type="dxa"/>
              <w:right w:w="105" w:type="dxa"/>
            </w:tcMar>
            <w:vAlign w:val="center"/>
          </w:tcPr>
          <w:p w14:paraId="56757E3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333333"/>
                <w:sz w:val="21"/>
                <w:szCs w:val="21"/>
                <w:highlight w:val="yellow"/>
                <w:lang w:eastAsia="zh-CN"/>
              </w:rPr>
            </w:pPr>
          </w:p>
        </w:tc>
        <w:tc>
          <w:tcPr>
            <w:tcW w:w="818"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top"/>
          </w:tcPr>
          <w:p w14:paraId="248426A0">
            <w:pPr>
              <w:keepNext w:val="0"/>
              <w:keepLines w:val="0"/>
              <w:pageBreakBefore w:val="0"/>
              <w:kinsoku/>
              <w:overflowPunct/>
              <w:topLinePunct w:val="0"/>
              <w:bidi w:val="0"/>
              <w:spacing w:line="36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售后服务承诺</w:t>
            </w:r>
            <w:r>
              <w:rPr>
                <w:rFonts w:hint="eastAsia" w:ascii="宋体" w:hAnsi="宋体" w:cs="宋体"/>
                <w:sz w:val="21"/>
                <w:szCs w:val="21"/>
                <w:highlight w:val="none"/>
                <w:lang w:val="en-US" w:eastAsia="zh-CN"/>
              </w:rPr>
              <w:t>方案</w:t>
            </w:r>
            <w:r>
              <w:rPr>
                <w:rFonts w:hint="eastAsia" w:ascii="宋体" w:hAnsi="宋体" w:eastAsia="宋体" w:cs="宋体"/>
                <w:sz w:val="21"/>
                <w:szCs w:val="21"/>
                <w:highlight w:val="none"/>
              </w:rPr>
              <w:t xml:space="preserve"> (</w:t>
            </w:r>
            <w:r>
              <w:rPr>
                <w:rFonts w:hint="eastAsia" w:ascii="宋体" w:hAnsi="宋体" w:cs="宋体"/>
                <w:sz w:val="21"/>
                <w:szCs w:val="21"/>
                <w:highlight w:val="none"/>
                <w:lang w:val="en-US" w:eastAsia="zh-CN"/>
              </w:rPr>
              <w:t>20</w:t>
            </w:r>
            <w:r>
              <w:rPr>
                <w:rFonts w:hint="eastAsia" w:ascii="宋体" w:hAnsi="宋体" w:eastAsia="宋体" w:cs="宋体"/>
                <w:sz w:val="21"/>
                <w:szCs w:val="21"/>
                <w:highlight w:val="none"/>
              </w:rPr>
              <w:t>分)</w:t>
            </w:r>
          </w:p>
        </w:tc>
        <w:tc>
          <w:tcPr>
            <w:tcW w:w="3564"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top"/>
          </w:tcPr>
          <w:p w14:paraId="7C22A0FC">
            <w:pPr>
              <w:keepNext w:val="0"/>
              <w:keepLines w:val="0"/>
              <w:pageBreakBefore w:val="0"/>
              <w:kinsoku/>
              <w:overflowPunct/>
              <w:topLinePunct w:val="0"/>
              <w:bidi w:val="0"/>
              <w:spacing w:line="36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根据供应商的售后服务承诺方案进行评审（包括安装调试、验收方案、质保期、</w:t>
            </w:r>
            <w:r>
              <w:rPr>
                <w:rFonts w:hint="eastAsia" w:ascii="宋体" w:hAnsi="宋体" w:cs="宋体"/>
                <w:sz w:val="21"/>
                <w:szCs w:val="21"/>
                <w:highlight w:val="none"/>
                <w:lang w:val="en-US" w:eastAsia="zh-CN"/>
              </w:rPr>
              <w:t>承诺提供的设备生产日期、</w:t>
            </w:r>
            <w:r>
              <w:rPr>
                <w:rFonts w:hint="eastAsia" w:ascii="宋体" w:hAnsi="宋体" w:eastAsia="宋体" w:cs="宋体"/>
                <w:sz w:val="21"/>
                <w:szCs w:val="21"/>
                <w:highlight w:val="none"/>
              </w:rPr>
              <w:t>维护保养、培训等内容）：</w:t>
            </w:r>
          </w:p>
          <w:p w14:paraId="092F7843">
            <w:pPr>
              <w:keepNext w:val="0"/>
              <w:keepLines w:val="0"/>
              <w:pageBreakBefore w:val="0"/>
              <w:kinsoku/>
              <w:overflowPunct/>
              <w:topLinePunct w:val="0"/>
              <w:bidi w:val="0"/>
              <w:spacing w:line="36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承诺的质量保证期明确</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质量保证期和承诺提供的设备生产日期</w:t>
            </w:r>
            <w:r>
              <w:rPr>
                <w:rFonts w:hint="eastAsia" w:ascii="宋体" w:hAnsi="宋体" w:eastAsia="宋体" w:cs="宋体"/>
                <w:sz w:val="21"/>
                <w:szCs w:val="21"/>
                <w:highlight w:val="none"/>
              </w:rPr>
              <w:t>优于</w:t>
            </w:r>
            <w:r>
              <w:rPr>
                <w:rFonts w:hint="eastAsia" w:ascii="宋体" w:hAnsi="宋体" w:eastAsia="宋体" w:cs="宋体"/>
                <w:sz w:val="21"/>
                <w:szCs w:val="21"/>
                <w:highlight w:val="none"/>
                <w:lang w:eastAsia="zh-CN"/>
              </w:rPr>
              <w:t>比选</w:t>
            </w:r>
            <w:r>
              <w:rPr>
                <w:rFonts w:hint="eastAsia" w:ascii="宋体" w:hAnsi="宋体" w:cs="宋体"/>
                <w:sz w:val="21"/>
                <w:szCs w:val="21"/>
                <w:highlight w:val="none"/>
                <w:lang w:val="en-US" w:eastAsia="zh-CN"/>
              </w:rPr>
              <w:t>文件</w:t>
            </w:r>
            <w:r>
              <w:rPr>
                <w:rFonts w:hint="eastAsia" w:ascii="宋体" w:hAnsi="宋体" w:eastAsia="宋体" w:cs="宋体"/>
                <w:sz w:val="21"/>
                <w:szCs w:val="21"/>
                <w:highlight w:val="none"/>
              </w:rPr>
              <w:t>要求，售后服务内容详细、可行、操作性强，售后服务专业、解决问题效率高，服务响应到场时间短，零配件供应详细、合理，切合实际，完全响应并满足</w:t>
            </w:r>
            <w:r>
              <w:rPr>
                <w:rFonts w:hint="eastAsia" w:ascii="宋体" w:hAnsi="宋体" w:cs="宋体"/>
                <w:sz w:val="21"/>
                <w:szCs w:val="21"/>
                <w:highlight w:val="none"/>
                <w:lang w:eastAsia="zh-CN"/>
              </w:rPr>
              <w:t>采购需求</w:t>
            </w:r>
            <w:r>
              <w:rPr>
                <w:rFonts w:hint="eastAsia" w:ascii="宋体" w:hAnsi="宋体" w:eastAsia="宋体" w:cs="宋体"/>
                <w:sz w:val="21"/>
                <w:szCs w:val="21"/>
                <w:highlight w:val="none"/>
              </w:rPr>
              <w:t>的，得</w:t>
            </w:r>
            <w:r>
              <w:rPr>
                <w:rFonts w:hint="eastAsia" w:ascii="宋体" w:hAnsi="宋体" w:cs="宋体"/>
                <w:sz w:val="21"/>
                <w:szCs w:val="21"/>
                <w:highlight w:val="none"/>
                <w:lang w:val="en-US" w:eastAsia="zh-CN"/>
              </w:rPr>
              <w:t>20</w:t>
            </w:r>
            <w:r>
              <w:rPr>
                <w:rFonts w:hint="eastAsia" w:ascii="宋体" w:hAnsi="宋体" w:eastAsia="宋体" w:cs="宋体"/>
                <w:sz w:val="21"/>
                <w:szCs w:val="21"/>
                <w:highlight w:val="none"/>
              </w:rPr>
              <w:t xml:space="preserve">分； </w:t>
            </w:r>
          </w:p>
          <w:p w14:paraId="42FA86E5">
            <w:pPr>
              <w:keepNext w:val="0"/>
              <w:keepLines w:val="0"/>
              <w:pageBreakBefore w:val="0"/>
              <w:kinsoku/>
              <w:overflowPunct/>
              <w:topLinePunct w:val="0"/>
              <w:bidi w:val="0"/>
              <w:spacing w:line="36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承诺的质量保证期明确，</w:t>
            </w:r>
            <w:r>
              <w:rPr>
                <w:rFonts w:hint="eastAsia" w:ascii="宋体" w:hAnsi="宋体" w:cs="宋体"/>
                <w:sz w:val="21"/>
                <w:szCs w:val="21"/>
                <w:highlight w:val="none"/>
                <w:lang w:val="en-US" w:eastAsia="zh-CN"/>
              </w:rPr>
              <w:t>质量保证期和承诺提供的设备生产日期</w:t>
            </w:r>
            <w:r>
              <w:rPr>
                <w:rFonts w:hint="eastAsia" w:ascii="宋体" w:hAnsi="宋体" w:eastAsia="宋体" w:cs="宋体"/>
                <w:sz w:val="21"/>
                <w:szCs w:val="21"/>
                <w:highlight w:val="none"/>
              </w:rPr>
              <w:t>满足</w:t>
            </w:r>
            <w:r>
              <w:rPr>
                <w:rFonts w:hint="eastAsia" w:ascii="宋体" w:hAnsi="宋体" w:eastAsia="宋体" w:cs="宋体"/>
                <w:sz w:val="21"/>
                <w:szCs w:val="21"/>
                <w:highlight w:val="none"/>
                <w:lang w:eastAsia="zh-CN"/>
              </w:rPr>
              <w:t>比选</w:t>
            </w:r>
            <w:r>
              <w:rPr>
                <w:rFonts w:hint="eastAsia" w:ascii="宋体" w:hAnsi="宋体" w:cs="宋体"/>
                <w:sz w:val="21"/>
                <w:szCs w:val="21"/>
                <w:highlight w:val="none"/>
                <w:lang w:val="en-US" w:eastAsia="zh-CN"/>
              </w:rPr>
              <w:t>文件</w:t>
            </w:r>
            <w:r>
              <w:rPr>
                <w:rFonts w:hint="eastAsia" w:ascii="宋体" w:hAnsi="宋体" w:eastAsia="宋体" w:cs="宋体"/>
                <w:sz w:val="21"/>
                <w:szCs w:val="21"/>
                <w:highlight w:val="none"/>
              </w:rPr>
              <w:t>要求，售后服务内容较详细、可行，售后服务较专业、解决问题效率较高，服务响应到场时间较短，零配件供应较详细、合理，较能满足</w:t>
            </w:r>
            <w:r>
              <w:rPr>
                <w:rFonts w:hint="eastAsia" w:ascii="宋体" w:hAnsi="宋体" w:cs="宋体"/>
                <w:sz w:val="21"/>
                <w:szCs w:val="21"/>
                <w:highlight w:val="none"/>
                <w:lang w:eastAsia="zh-CN"/>
              </w:rPr>
              <w:t>采购需求</w:t>
            </w:r>
            <w:r>
              <w:rPr>
                <w:rFonts w:hint="eastAsia" w:ascii="宋体" w:hAnsi="宋体" w:eastAsia="宋体" w:cs="宋体"/>
                <w:sz w:val="21"/>
                <w:szCs w:val="21"/>
                <w:highlight w:val="none"/>
              </w:rPr>
              <w:t>的，得</w:t>
            </w:r>
            <w:r>
              <w:rPr>
                <w:rFonts w:hint="eastAsia" w:ascii="宋体" w:hAnsi="宋体" w:cs="宋体"/>
                <w:sz w:val="21"/>
                <w:szCs w:val="21"/>
                <w:highlight w:val="none"/>
                <w:lang w:val="en-US" w:eastAsia="zh-CN"/>
              </w:rPr>
              <w:t>15</w:t>
            </w:r>
            <w:r>
              <w:rPr>
                <w:rFonts w:hint="eastAsia" w:ascii="宋体" w:hAnsi="宋体" w:eastAsia="宋体" w:cs="宋体"/>
                <w:sz w:val="21"/>
                <w:szCs w:val="21"/>
                <w:highlight w:val="none"/>
              </w:rPr>
              <w:t xml:space="preserve">分； </w:t>
            </w:r>
          </w:p>
          <w:p w14:paraId="2A06BB0F">
            <w:pPr>
              <w:keepNext w:val="0"/>
              <w:keepLines w:val="0"/>
              <w:pageBreakBefore w:val="0"/>
              <w:kinsoku/>
              <w:overflowPunct/>
              <w:topLinePunct w:val="0"/>
              <w:bidi w:val="0"/>
              <w:spacing w:line="36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承诺的质量保证期基本明确，</w:t>
            </w:r>
            <w:r>
              <w:rPr>
                <w:rFonts w:hint="eastAsia" w:ascii="宋体" w:hAnsi="宋体" w:cs="宋体"/>
                <w:sz w:val="21"/>
                <w:szCs w:val="21"/>
                <w:highlight w:val="none"/>
                <w:lang w:val="en-US" w:eastAsia="zh-CN"/>
              </w:rPr>
              <w:t>质量保证期或承诺提供的设备生产日期满足比选文件要求，</w:t>
            </w:r>
            <w:r>
              <w:rPr>
                <w:rFonts w:hint="eastAsia" w:ascii="宋体" w:hAnsi="宋体" w:eastAsia="宋体" w:cs="宋体"/>
                <w:sz w:val="21"/>
                <w:szCs w:val="21"/>
                <w:highlight w:val="none"/>
              </w:rPr>
              <w:t>售后服务内容简单，解决问题效率一般，服务响应到场时间较长，零配件供应不详尽，不能完全响应</w:t>
            </w:r>
            <w:r>
              <w:rPr>
                <w:rFonts w:hint="eastAsia" w:ascii="宋体" w:hAnsi="宋体" w:cs="宋体"/>
                <w:sz w:val="21"/>
                <w:szCs w:val="21"/>
                <w:highlight w:val="none"/>
                <w:lang w:eastAsia="zh-CN"/>
              </w:rPr>
              <w:t>采购需求</w:t>
            </w:r>
            <w:r>
              <w:rPr>
                <w:rFonts w:hint="eastAsia" w:ascii="宋体" w:hAnsi="宋体" w:eastAsia="宋体" w:cs="宋体"/>
                <w:sz w:val="21"/>
                <w:szCs w:val="21"/>
                <w:highlight w:val="none"/>
              </w:rPr>
              <w:t>的得</w:t>
            </w: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rPr>
              <w:t xml:space="preserve">分； </w:t>
            </w:r>
          </w:p>
          <w:p w14:paraId="038E28E0">
            <w:pPr>
              <w:keepNext w:val="0"/>
              <w:keepLines w:val="0"/>
              <w:pageBreakBefore w:val="0"/>
              <w:kinsoku/>
              <w:overflowPunct/>
              <w:topLinePunct w:val="0"/>
              <w:bidi w:val="0"/>
              <w:spacing w:line="360" w:lineRule="exact"/>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售后服务内容、质量保证期模糊不清，</w:t>
            </w:r>
            <w:r>
              <w:rPr>
                <w:rFonts w:hint="eastAsia" w:ascii="宋体" w:hAnsi="宋体" w:cs="宋体"/>
                <w:sz w:val="21"/>
                <w:szCs w:val="21"/>
                <w:highlight w:val="none"/>
                <w:lang w:val="en-US" w:eastAsia="zh-CN"/>
              </w:rPr>
              <w:t>承诺提供的设备生产日期不能满足比选文件要求，</w:t>
            </w:r>
            <w:r>
              <w:rPr>
                <w:rFonts w:hint="eastAsia" w:ascii="宋体" w:hAnsi="宋体" w:eastAsia="宋体" w:cs="宋体"/>
                <w:sz w:val="21"/>
                <w:szCs w:val="21"/>
                <w:highlight w:val="none"/>
              </w:rPr>
              <w:t>售后服务差，服务响应到场时间等不满足</w:t>
            </w:r>
            <w:r>
              <w:rPr>
                <w:rFonts w:hint="eastAsia" w:ascii="宋体" w:hAnsi="宋体" w:cs="宋体"/>
                <w:sz w:val="21"/>
                <w:szCs w:val="21"/>
                <w:highlight w:val="none"/>
                <w:lang w:eastAsia="zh-CN"/>
              </w:rPr>
              <w:t>采购需求</w:t>
            </w:r>
            <w:r>
              <w:rPr>
                <w:rFonts w:hint="eastAsia" w:ascii="宋体" w:hAnsi="宋体" w:eastAsia="宋体" w:cs="宋体"/>
                <w:sz w:val="21"/>
                <w:szCs w:val="21"/>
                <w:highlight w:val="none"/>
                <w:lang w:eastAsia="zh-CN"/>
              </w:rPr>
              <w:t>或</w:t>
            </w:r>
            <w:r>
              <w:rPr>
                <w:rFonts w:hint="eastAsia" w:ascii="宋体" w:hAnsi="宋体" w:eastAsia="宋体" w:cs="宋体"/>
                <w:sz w:val="21"/>
                <w:szCs w:val="21"/>
                <w:highlight w:val="none"/>
              </w:rPr>
              <w:t>不提供方案</w:t>
            </w:r>
            <w:r>
              <w:rPr>
                <w:rFonts w:hint="eastAsia" w:ascii="宋体" w:hAnsi="宋体" w:eastAsia="宋体" w:cs="宋体"/>
                <w:sz w:val="21"/>
                <w:szCs w:val="21"/>
                <w:highlight w:val="none"/>
                <w:lang w:eastAsia="zh-CN"/>
              </w:rPr>
              <w:t>的</w:t>
            </w:r>
            <w:r>
              <w:rPr>
                <w:rFonts w:hint="eastAsia" w:ascii="宋体" w:hAnsi="宋体" w:eastAsia="宋体" w:cs="宋体"/>
                <w:sz w:val="21"/>
                <w:szCs w:val="21"/>
                <w:highlight w:val="none"/>
              </w:rPr>
              <w:t>，得</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分</w:t>
            </w:r>
            <w:r>
              <w:rPr>
                <w:rFonts w:hint="eastAsia" w:ascii="宋体" w:hAnsi="宋体" w:cs="宋体"/>
                <w:sz w:val="21"/>
                <w:szCs w:val="21"/>
                <w:highlight w:val="none"/>
                <w:lang w:val="en-US" w:eastAsia="zh-CN"/>
              </w:rPr>
              <w:t>；</w:t>
            </w:r>
          </w:p>
          <w:p w14:paraId="6313B446">
            <w:pPr>
              <w:keepNext w:val="0"/>
              <w:keepLines w:val="0"/>
              <w:pageBreakBefore w:val="0"/>
              <w:kinsoku/>
              <w:overflowPunct/>
              <w:topLinePunct w:val="0"/>
              <w:bidi w:val="0"/>
              <w:spacing w:line="360" w:lineRule="exact"/>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不提供得0分。</w:t>
            </w:r>
          </w:p>
        </w:tc>
      </w:tr>
    </w:tbl>
    <w:p w14:paraId="7568A1F1">
      <w:pPr>
        <w:keepNext w:val="0"/>
        <w:keepLines w:val="0"/>
        <w:pageBreakBefore w:val="0"/>
        <w:widowControl w:val="0"/>
        <w:kinsoku/>
        <w:wordWrap/>
        <w:overflowPunct/>
        <w:topLinePunct w:val="0"/>
        <w:bidi w:val="0"/>
        <w:adjustRightInd w:val="0"/>
        <w:snapToGrid w:val="0"/>
        <w:spacing w:line="360" w:lineRule="exact"/>
        <w:ind w:left="0" w:leftChars="0" w:firstLine="422" w:firstLineChars="200"/>
        <w:jc w:val="both"/>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十</w:t>
      </w:r>
      <w:r>
        <w:rPr>
          <w:rFonts w:hint="eastAsia" w:ascii="宋体" w:hAnsi="宋体" w:eastAsia="宋体" w:cs="宋体"/>
          <w:b/>
          <w:bCs/>
          <w:color w:val="auto"/>
          <w:sz w:val="21"/>
          <w:szCs w:val="21"/>
          <w:highlight w:val="none"/>
          <w:lang w:eastAsia="zh-CN"/>
        </w:rPr>
        <w:t>、</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将不承担供应商准备响应文件和递交响应文件以及参加本次</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活动所发生的任何成本或费用。</w:t>
      </w:r>
    </w:p>
    <w:p w14:paraId="43C3739E">
      <w:pPr>
        <w:keepNext w:val="0"/>
        <w:keepLines w:val="0"/>
        <w:pageBreakBefore w:val="0"/>
        <w:widowControl w:val="0"/>
        <w:kinsoku/>
        <w:wordWrap/>
        <w:overflowPunct/>
        <w:topLinePunct w:val="0"/>
        <w:bidi w:val="0"/>
        <w:adjustRightInd w:val="0"/>
        <w:snapToGrid w:val="0"/>
        <w:spacing w:line="360" w:lineRule="exact"/>
        <w:ind w:left="0" w:leftChars="0" w:firstLine="422" w:firstLineChars="20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十</w:t>
      </w:r>
      <w:r>
        <w:rPr>
          <w:rFonts w:hint="eastAsia" w:ascii="宋体" w:hAnsi="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rPr>
        <w:t>、联系</w:t>
      </w:r>
      <w:r>
        <w:rPr>
          <w:rFonts w:hint="eastAsia" w:ascii="宋体" w:hAnsi="宋体" w:eastAsia="宋体" w:cs="宋体"/>
          <w:b/>
          <w:bCs/>
          <w:color w:val="auto"/>
          <w:sz w:val="21"/>
          <w:szCs w:val="21"/>
          <w:highlight w:val="none"/>
          <w:lang w:eastAsia="zh-CN"/>
        </w:rPr>
        <w:t>信息</w:t>
      </w:r>
    </w:p>
    <w:p w14:paraId="1F80066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default" w:ascii="宋体" w:hAnsi="宋体" w:eastAsia="宋体" w:cs="宋体"/>
          <w:sz w:val="21"/>
          <w:szCs w:val="21"/>
          <w:lang w:val="en-US"/>
        </w:rPr>
      </w:pP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一</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采购人基本信息</w:t>
      </w:r>
    </w:p>
    <w:p w14:paraId="435A6D6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eastAsia" w:ascii="宋体" w:hAnsi="宋体" w:eastAsia="宋体" w:cs="宋体"/>
          <w:sz w:val="21"/>
          <w:szCs w:val="21"/>
        </w:rPr>
      </w:pPr>
      <w:r>
        <w:rPr>
          <w:rFonts w:hint="eastAsia" w:ascii="宋体" w:hAnsi="宋体" w:eastAsia="宋体" w:cs="宋体"/>
          <w:color w:val="000000"/>
          <w:sz w:val="21"/>
          <w:szCs w:val="21"/>
        </w:rPr>
        <w:t>名称：</w:t>
      </w:r>
      <w:r>
        <w:rPr>
          <w:rFonts w:hint="eastAsia" w:ascii="宋体" w:hAnsi="宋体" w:eastAsia="宋体" w:cs="宋体"/>
          <w:color w:val="000000"/>
          <w:sz w:val="21"/>
          <w:szCs w:val="21"/>
          <w:lang w:eastAsia="zh-CN"/>
        </w:rPr>
        <w:t>中山市板芙医院</w:t>
      </w:r>
    </w:p>
    <w:p w14:paraId="33B9F8A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地址：</w:t>
      </w:r>
      <w:r>
        <w:rPr>
          <w:rFonts w:hint="eastAsia" w:ascii="宋体" w:hAnsi="宋体" w:eastAsia="宋体" w:cs="宋体"/>
          <w:color w:val="000000"/>
          <w:sz w:val="21"/>
          <w:szCs w:val="21"/>
          <w:lang w:eastAsia="zh-CN"/>
        </w:rPr>
        <w:t>中山市板芙镇芙中路</w:t>
      </w:r>
      <w:r>
        <w:rPr>
          <w:rFonts w:hint="eastAsia" w:ascii="宋体" w:hAnsi="宋体" w:eastAsia="宋体" w:cs="宋体"/>
          <w:color w:val="000000"/>
          <w:sz w:val="21"/>
          <w:szCs w:val="21"/>
          <w:lang w:val="en-US" w:eastAsia="zh-CN"/>
        </w:rPr>
        <w:t>1号</w:t>
      </w:r>
    </w:p>
    <w:p w14:paraId="7F1F651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rPr>
        <w:t>联系</w:t>
      </w:r>
      <w:r>
        <w:rPr>
          <w:rFonts w:hint="eastAsia" w:ascii="宋体" w:hAnsi="宋体" w:eastAsia="宋体" w:cs="宋体"/>
          <w:color w:val="000000"/>
          <w:sz w:val="21"/>
          <w:szCs w:val="21"/>
          <w:lang w:eastAsia="zh-CN"/>
        </w:rPr>
        <w:t>人</w:t>
      </w: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招采办杨小姐</w:t>
      </w:r>
    </w:p>
    <w:p w14:paraId="3108906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eastAsia" w:ascii="宋体" w:hAnsi="宋体" w:cs="宋体"/>
          <w:color w:val="000000"/>
          <w:sz w:val="21"/>
          <w:szCs w:val="21"/>
          <w:lang w:val="en-US" w:eastAsia="zh-CN"/>
        </w:rPr>
      </w:pPr>
      <w:r>
        <w:rPr>
          <w:rFonts w:hint="eastAsia" w:ascii="宋体" w:hAnsi="宋体" w:eastAsia="宋体" w:cs="宋体"/>
          <w:color w:val="000000"/>
          <w:sz w:val="21"/>
          <w:szCs w:val="21"/>
          <w:lang w:eastAsia="zh-CN"/>
        </w:rPr>
        <w:t>联系电话：</w:t>
      </w:r>
      <w:r>
        <w:rPr>
          <w:rFonts w:hint="eastAsia" w:ascii="宋体" w:hAnsi="宋体" w:eastAsia="宋体" w:cs="宋体"/>
          <w:color w:val="000000"/>
          <w:sz w:val="21"/>
          <w:szCs w:val="21"/>
          <w:lang w:val="en-US" w:eastAsia="zh-CN"/>
        </w:rPr>
        <w:t>0760-2821866</w:t>
      </w:r>
      <w:r>
        <w:rPr>
          <w:rFonts w:hint="eastAsia" w:ascii="宋体" w:hAnsi="宋体" w:cs="宋体"/>
          <w:color w:val="000000"/>
          <w:sz w:val="21"/>
          <w:szCs w:val="21"/>
          <w:lang w:val="en-US" w:eastAsia="zh-CN"/>
        </w:rPr>
        <w:t>2</w:t>
      </w:r>
    </w:p>
    <w:p w14:paraId="6E944E2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eastAsia" w:ascii="宋体" w:hAnsi="宋体" w:eastAsia="宋体" w:cs="宋体"/>
          <w:color w:val="000000"/>
          <w:sz w:val="21"/>
          <w:szCs w:val="21"/>
        </w:rPr>
      </w:pP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二</w:t>
      </w:r>
      <w:r>
        <w:rPr>
          <w:rFonts w:hint="eastAsia" w:ascii="宋体" w:hAnsi="宋体" w:cs="宋体"/>
          <w:color w:val="000000"/>
          <w:sz w:val="21"/>
          <w:szCs w:val="21"/>
          <w:lang w:eastAsia="zh-CN"/>
        </w:rPr>
        <w:t>）</w:t>
      </w:r>
      <w:r>
        <w:rPr>
          <w:rFonts w:hint="eastAsia" w:ascii="宋体" w:hAnsi="宋体" w:eastAsia="宋体" w:cs="宋体"/>
          <w:color w:val="000000"/>
          <w:sz w:val="21"/>
          <w:szCs w:val="21"/>
        </w:rPr>
        <w:t>监督投诉</w:t>
      </w:r>
    </w:p>
    <w:p w14:paraId="0B7A107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名称：纪检</w:t>
      </w:r>
      <w:r>
        <w:rPr>
          <w:rFonts w:hint="eastAsia" w:ascii="宋体" w:hAnsi="宋体" w:cs="宋体"/>
          <w:color w:val="000000"/>
          <w:sz w:val="21"/>
          <w:szCs w:val="21"/>
          <w:lang w:val="en-US" w:eastAsia="zh-CN"/>
        </w:rPr>
        <w:t>室</w:t>
      </w:r>
    </w:p>
    <w:p w14:paraId="755AAE02">
      <w:pPr>
        <w:keepNext w:val="0"/>
        <w:keepLines w:val="0"/>
        <w:pageBreakBefore w:val="0"/>
        <w:kinsoku/>
        <w:wordWrap/>
        <w:overflowPunct/>
        <w:topLinePunct w:val="0"/>
        <w:bidi w:val="0"/>
        <w:spacing w:line="360" w:lineRule="exact"/>
        <w:ind w:left="0" w:leftChars="0" w:firstLine="420" w:firstLineChars="200"/>
        <w:jc w:val="both"/>
        <w:rPr>
          <w:rFonts w:hint="eastAsia" w:ascii="宋体" w:hAnsi="宋体" w:cs="宋体"/>
          <w:color w:val="000000"/>
          <w:sz w:val="21"/>
          <w:szCs w:val="21"/>
          <w:lang w:val="en-US" w:eastAsia="zh-CN"/>
        </w:rPr>
      </w:pPr>
      <w:r>
        <w:rPr>
          <w:rFonts w:hint="eastAsia" w:ascii="宋体" w:hAnsi="宋体" w:eastAsia="宋体" w:cs="宋体"/>
          <w:color w:val="000000"/>
          <w:sz w:val="21"/>
          <w:szCs w:val="21"/>
          <w:lang w:eastAsia="zh-CN"/>
        </w:rPr>
        <w:t>联系</w:t>
      </w:r>
      <w:r>
        <w:rPr>
          <w:rFonts w:hint="eastAsia" w:ascii="宋体" w:hAnsi="宋体" w:eastAsia="宋体" w:cs="宋体"/>
          <w:color w:val="000000"/>
          <w:sz w:val="21"/>
          <w:szCs w:val="21"/>
        </w:rPr>
        <w:t>电话：</w:t>
      </w:r>
      <w:r>
        <w:rPr>
          <w:rFonts w:hint="eastAsia" w:ascii="宋体" w:hAnsi="宋体" w:eastAsia="宋体" w:cs="宋体"/>
          <w:color w:val="000000"/>
          <w:sz w:val="21"/>
          <w:szCs w:val="21"/>
          <w:lang w:val="en-US" w:eastAsia="zh-CN"/>
        </w:rPr>
        <w:t>0760-282186</w:t>
      </w:r>
      <w:r>
        <w:rPr>
          <w:rFonts w:hint="eastAsia" w:ascii="宋体" w:hAnsi="宋体" w:cs="宋体"/>
          <w:color w:val="000000"/>
          <w:sz w:val="21"/>
          <w:szCs w:val="21"/>
          <w:lang w:val="en-US" w:eastAsia="zh-CN"/>
        </w:rPr>
        <w:t>59</w:t>
      </w:r>
    </w:p>
    <w:p w14:paraId="6D4EBE6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如对本公告内容有异议，请在参选文件递交截止时间之前以书面方式提出，逾期不予受理。</w:t>
      </w:r>
    </w:p>
    <w:p w14:paraId="5905438D">
      <w:pPr>
        <w:keepNext w:val="0"/>
        <w:keepLines w:val="0"/>
        <w:pageBreakBefore w:val="0"/>
        <w:kinsoku/>
        <w:wordWrap/>
        <w:overflowPunct/>
        <w:topLinePunct w:val="0"/>
        <w:bidi w:val="0"/>
        <w:spacing w:line="360" w:lineRule="exact"/>
        <w:ind w:left="0" w:leftChars="0" w:firstLine="420" w:firstLineChars="200"/>
        <w:jc w:val="both"/>
        <w:rPr>
          <w:rFonts w:hint="default" w:ascii="宋体" w:hAnsi="宋体" w:cs="宋体"/>
          <w:b w:val="0"/>
          <w:bCs/>
          <w:color w:val="auto"/>
          <w:sz w:val="21"/>
          <w:szCs w:val="21"/>
          <w:highlight w:val="none"/>
          <w:lang w:val="en-US" w:eastAsia="zh-CN"/>
        </w:rPr>
      </w:pPr>
    </w:p>
    <w:p w14:paraId="73F07F02">
      <w:pPr>
        <w:keepNext w:val="0"/>
        <w:keepLines w:val="0"/>
        <w:pageBreakBefore w:val="0"/>
        <w:kinsoku/>
        <w:wordWrap w:val="0"/>
        <w:overflowPunct/>
        <w:topLinePunct w:val="0"/>
        <w:bidi w:val="0"/>
        <w:spacing w:line="360" w:lineRule="exact"/>
        <w:jc w:val="right"/>
        <w:rPr>
          <w:rFonts w:hint="eastAsia" w:ascii="宋体" w:hAnsi="宋体" w:eastAsia="宋体" w:cs="宋体"/>
          <w:b/>
          <w:bCs w:val="0"/>
          <w:color w:val="auto"/>
          <w:sz w:val="21"/>
          <w:szCs w:val="21"/>
          <w:highlight w:val="none"/>
          <w:lang w:eastAsia="zh-CN"/>
        </w:rPr>
      </w:pPr>
    </w:p>
    <w:p w14:paraId="40EDB84C">
      <w:pPr>
        <w:keepNext w:val="0"/>
        <w:keepLines w:val="0"/>
        <w:pageBreakBefore w:val="0"/>
        <w:kinsoku/>
        <w:wordWrap/>
        <w:overflowPunct/>
        <w:topLinePunct w:val="0"/>
        <w:bidi w:val="0"/>
        <w:spacing w:line="360" w:lineRule="exact"/>
        <w:jc w:val="right"/>
        <w:rPr>
          <w:rFonts w:hint="eastAsia" w:ascii="宋体" w:hAnsi="宋体" w:eastAsia="宋体" w:cs="宋体"/>
          <w:b/>
          <w:bCs w:val="0"/>
          <w:color w:val="auto"/>
          <w:sz w:val="21"/>
          <w:szCs w:val="21"/>
          <w:highlight w:val="none"/>
          <w:lang w:eastAsia="zh-CN"/>
        </w:rPr>
      </w:pPr>
    </w:p>
    <w:p w14:paraId="68206B8D">
      <w:pPr>
        <w:keepNext w:val="0"/>
        <w:keepLines w:val="0"/>
        <w:pageBreakBefore w:val="0"/>
        <w:kinsoku/>
        <w:wordWrap w:val="0"/>
        <w:overflowPunct/>
        <w:topLinePunct w:val="0"/>
        <w:bidi w:val="0"/>
        <w:spacing w:line="360" w:lineRule="exact"/>
        <w:jc w:val="right"/>
        <w:rPr>
          <w:rFonts w:hint="eastAsia" w:ascii="宋体" w:hAnsi="宋体" w:eastAsia="宋体" w:cs="宋体"/>
          <w:b/>
          <w:bCs w:val="0"/>
          <w:color w:val="auto"/>
          <w:sz w:val="21"/>
          <w:szCs w:val="21"/>
          <w:highlight w:val="none"/>
          <w:lang w:val="en-US"/>
        </w:rPr>
      </w:pPr>
      <w:r>
        <w:rPr>
          <w:rFonts w:hint="eastAsia" w:ascii="宋体" w:hAnsi="宋体" w:eastAsia="宋体" w:cs="宋体"/>
          <w:b/>
          <w:bCs w:val="0"/>
          <w:color w:val="auto"/>
          <w:sz w:val="21"/>
          <w:szCs w:val="21"/>
          <w:highlight w:val="none"/>
          <w:lang w:eastAsia="zh-CN"/>
        </w:rPr>
        <w:t>中山市板芙医院</w:t>
      </w:r>
      <w:r>
        <w:rPr>
          <w:rFonts w:hint="eastAsia" w:ascii="宋体" w:hAnsi="宋体" w:eastAsia="宋体" w:cs="宋体"/>
          <w:b/>
          <w:bCs w:val="0"/>
          <w:color w:val="auto"/>
          <w:sz w:val="21"/>
          <w:szCs w:val="21"/>
          <w:highlight w:val="none"/>
          <w:lang w:val="en-US" w:eastAsia="zh-CN"/>
        </w:rPr>
        <w:t xml:space="preserve">  </w:t>
      </w:r>
    </w:p>
    <w:p w14:paraId="45D24521">
      <w:pPr>
        <w:keepNext w:val="0"/>
        <w:keepLines w:val="0"/>
        <w:pageBreakBefore w:val="0"/>
        <w:tabs>
          <w:tab w:val="left" w:pos="567"/>
          <w:tab w:val="left" w:pos="1133"/>
        </w:tabs>
        <w:kinsoku/>
        <w:wordWrap/>
        <w:overflowPunct/>
        <w:topLinePunct w:val="0"/>
        <w:autoSpaceDE w:val="0"/>
        <w:autoSpaceDN w:val="0"/>
        <w:bidi w:val="0"/>
        <w:spacing w:line="360" w:lineRule="exact"/>
        <w:ind w:firstLine="8222" w:firstLineChars="3900"/>
        <w:jc w:val="both"/>
        <w:textAlignment w:val="bottom"/>
        <w:rPr>
          <w:rFonts w:hint="eastAsia" w:ascii="宋体" w:hAnsi="宋体" w:eastAsia="宋体" w:cs="宋体"/>
          <w:sz w:val="21"/>
          <w:szCs w:val="21"/>
        </w:rPr>
      </w:pPr>
      <w:r>
        <w:rPr>
          <w:rFonts w:hint="eastAsia" w:ascii="宋体" w:hAnsi="宋体" w:eastAsia="宋体" w:cs="宋体"/>
          <w:b/>
          <w:bCs w:val="0"/>
          <w:color w:val="auto"/>
          <w:sz w:val="21"/>
          <w:szCs w:val="21"/>
          <w:highlight w:val="none"/>
        </w:rPr>
        <w:t>202</w:t>
      </w:r>
      <w:r>
        <w:rPr>
          <w:rFonts w:hint="eastAsia" w:ascii="宋体" w:hAnsi="宋体" w:cs="宋体"/>
          <w:b/>
          <w:bCs w:val="0"/>
          <w:color w:val="auto"/>
          <w:sz w:val="21"/>
          <w:szCs w:val="21"/>
          <w:highlight w:val="none"/>
          <w:lang w:val="en-US" w:eastAsia="zh-CN"/>
        </w:rPr>
        <w:t>5</w:t>
      </w:r>
      <w:r>
        <w:rPr>
          <w:rFonts w:hint="eastAsia" w:ascii="宋体" w:hAnsi="宋体" w:eastAsia="宋体" w:cs="宋体"/>
          <w:b/>
          <w:bCs w:val="0"/>
          <w:color w:val="auto"/>
          <w:sz w:val="21"/>
          <w:szCs w:val="21"/>
          <w:highlight w:val="none"/>
        </w:rPr>
        <w:t>年</w:t>
      </w:r>
      <w:r>
        <w:rPr>
          <w:rFonts w:hint="eastAsia" w:ascii="宋体" w:hAnsi="宋体" w:cs="宋体"/>
          <w:b/>
          <w:bCs w:val="0"/>
          <w:color w:val="auto"/>
          <w:sz w:val="21"/>
          <w:szCs w:val="21"/>
          <w:highlight w:val="none"/>
          <w:lang w:val="en-US" w:eastAsia="zh-CN"/>
        </w:rPr>
        <w:t>7</w:t>
      </w:r>
      <w:r>
        <w:rPr>
          <w:rFonts w:hint="eastAsia" w:ascii="宋体" w:hAnsi="宋体" w:eastAsia="宋体" w:cs="宋体"/>
          <w:b/>
          <w:bCs w:val="0"/>
          <w:color w:val="auto"/>
          <w:sz w:val="21"/>
          <w:szCs w:val="21"/>
          <w:highlight w:val="none"/>
        </w:rPr>
        <w:t>月</w:t>
      </w:r>
      <w:r>
        <w:rPr>
          <w:rFonts w:hint="eastAsia" w:ascii="宋体" w:hAnsi="宋体" w:cs="宋体"/>
          <w:b/>
          <w:bCs w:val="0"/>
          <w:color w:val="auto"/>
          <w:sz w:val="21"/>
          <w:szCs w:val="21"/>
          <w:highlight w:val="none"/>
          <w:lang w:val="en-US" w:eastAsia="zh-CN"/>
        </w:rPr>
        <w:t>3</w:t>
      </w:r>
      <w:r>
        <w:rPr>
          <w:rFonts w:hint="eastAsia" w:ascii="宋体" w:hAnsi="宋体" w:eastAsia="宋体" w:cs="宋体"/>
          <w:b/>
          <w:bCs w:val="0"/>
          <w:color w:val="auto"/>
          <w:sz w:val="21"/>
          <w:szCs w:val="21"/>
          <w:highlight w:val="none"/>
        </w:rPr>
        <w:t>日</w:t>
      </w:r>
      <w:r>
        <w:rPr>
          <w:rFonts w:hint="eastAsia" w:ascii="宋体" w:hAnsi="宋体" w:eastAsia="宋体" w:cs="宋体"/>
          <w:b/>
          <w:bCs w:val="0"/>
          <w:color w:val="auto"/>
          <w:sz w:val="21"/>
          <w:szCs w:val="21"/>
          <w:highlight w:val="none"/>
          <w:lang w:val="en-US" w:eastAsia="zh-CN"/>
        </w:rPr>
        <w:t xml:space="preserve"> </w:t>
      </w:r>
    </w:p>
    <w:p w14:paraId="03D17AC0">
      <w:pPr>
        <w:keepNext w:val="0"/>
        <w:keepLines w:val="0"/>
        <w:pageBreakBefore w:val="0"/>
        <w:kinsoku/>
        <w:overflowPunct/>
        <w:topLinePunct w:val="0"/>
        <w:bidi w:val="0"/>
        <w:spacing w:line="360" w:lineRule="exact"/>
        <w:rPr>
          <w:rFonts w:hint="eastAsia" w:ascii="宋体" w:hAnsi="宋体" w:eastAsia="宋体" w:cs="宋体"/>
          <w:sz w:val="21"/>
          <w:szCs w:val="21"/>
        </w:rPr>
      </w:pPr>
    </w:p>
    <w:p w14:paraId="30661C8B">
      <w:pPr>
        <w:keepNext w:val="0"/>
        <w:keepLines w:val="0"/>
        <w:pageBreakBefore w:val="0"/>
        <w:kinsoku/>
        <w:overflowPunct/>
        <w:topLinePunct w:val="0"/>
        <w:bidi w:val="0"/>
        <w:spacing w:line="360" w:lineRule="exact"/>
        <w:rPr>
          <w:rFonts w:hint="eastAsia" w:ascii="宋体" w:hAnsi="宋体" w:eastAsia="宋体" w:cs="宋体"/>
          <w:sz w:val="21"/>
          <w:szCs w:val="21"/>
        </w:rPr>
      </w:pPr>
    </w:p>
    <w:sectPr>
      <w:headerReference r:id="rId3" w:type="default"/>
      <w:footerReference r:id="rId4" w:type="default"/>
      <w:pgSz w:w="11906" w:h="16838"/>
      <w:pgMar w:top="1440" w:right="1066" w:bottom="1440" w:left="11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F"/>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15C46">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9A9C3A">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C9A9C3A">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4B6D5">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8E2F80"/>
    <w:multiLevelType w:val="singleLevel"/>
    <w:tmpl w:val="BF8E2F80"/>
    <w:lvl w:ilvl="0" w:tentative="0">
      <w:start w:val="8"/>
      <w:numFmt w:val="chineseCounting"/>
      <w:suff w:val="nothing"/>
      <w:lvlText w:val="%1、"/>
      <w:lvlJc w:val="left"/>
      <w:rPr>
        <w:rFonts w:hint="eastAsia"/>
      </w:rPr>
    </w:lvl>
  </w:abstractNum>
  <w:abstractNum w:abstractNumId="1">
    <w:nsid w:val="C365D304"/>
    <w:multiLevelType w:val="singleLevel"/>
    <w:tmpl w:val="C365D304"/>
    <w:lvl w:ilvl="0" w:tentative="0">
      <w:start w:val="1"/>
      <w:numFmt w:val="chineseCounting"/>
      <w:suff w:val="nothing"/>
      <w:lvlText w:val="（%1）"/>
      <w:lvlJc w:val="left"/>
      <w:pPr>
        <w:ind w:left="0" w:firstLine="420"/>
      </w:pPr>
      <w:rPr>
        <w:rFonts w:hint="eastAsia"/>
      </w:rPr>
    </w:lvl>
  </w:abstractNum>
  <w:abstractNum w:abstractNumId="2">
    <w:nsid w:val="CF8C8A68"/>
    <w:multiLevelType w:val="singleLevel"/>
    <w:tmpl w:val="CF8C8A68"/>
    <w:lvl w:ilvl="0" w:tentative="0">
      <w:start w:val="2"/>
      <w:numFmt w:val="decimal"/>
      <w:suff w:val="space"/>
      <w:lvlText w:val="%1."/>
      <w:lvlJc w:val="left"/>
    </w:lvl>
  </w:abstractNum>
  <w:abstractNum w:abstractNumId="3">
    <w:nsid w:val="25AC67AC"/>
    <w:multiLevelType w:val="singleLevel"/>
    <w:tmpl w:val="25AC67AC"/>
    <w:lvl w:ilvl="0" w:tentative="0">
      <w:start w:val="1"/>
      <w:numFmt w:val="chineseCounting"/>
      <w:suff w:val="nothing"/>
      <w:lvlText w:val="（%1）"/>
      <w:lvlJc w:val="left"/>
      <w:rPr>
        <w:rFonts w:hint="eastAsia"/>
      </w:rPr>
    </w:lvl>
  </w:abstractNum>
  <w:abstractNum w:abstractNumId="4">
    <w:nsid w:val="37C86125"/>
    <w:multiLevelType w:val="singleLevel"/>
    <w:tmpl w:val="37C86125"/>
    <w:lvl w:ilvl="0" w:tentative="0">
      <w:start w:val="1"/>
      <w:numFmt w:val="chineseCounting"/>
      <w:suff w:val="nothing"/>
      <w:lvlText w:val="（%1）"/>
      <w:lvlJc w:val="left"/>
      <w:pPr>
        <w:ind w:left="0" w:firstLine="420"/>
      </w:pPr>
      <w:rPr>
        <w:rFonts w:hint="eastAsia"/>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yNTNhM2Y5OTY0OTJhYTI5NDdhNDQzYjZhODJkNTQifQ=="/>
  </w:docVars>
  <w:rsids>
    <w:rsidRoot w:val="00C87466"/>
    <w:rsid w:val="003E5403"/>
    <w:rsid w:val="00544619"/>
    <w:rsid w:val="00C87466"/>
    <w:rsid w:val="0120118E"/>
    <w:rsid w:val="013C7F41"/>
    <w:rsid w:val="016B4A17"/>
    <w:rsid w:val="020A5FE5"/>
    <w:rsid w:val="02AD51D0"/>
    <w:rsid w:val="074F28CD"/>
    <w:rsid w:val="075A0C9C"/>
    <w:rsid w:val="075D0E74"/>
    <w:rsid w:val="088C3CD7"/>
    <w:rsid w:val="08B42162"/>
    <w:rsid w:val="0A552405"/>
    <w:rsid w:val="0B105E8F"/>
    <w:rsid w:val="0B5A71A0"/>
    <w:rsid w:val="0B816D4C"/>
    <w:rsid w:val="0D303E96"/>
    <w:rsid w:val="0D5356A5"/>
    <w:rsid w:val="0F411E6B"/>
    <w:rsid w:val="10FD2C30"/>
    <w:rsid w:val="11F2677F"/>
    <w:rsid w:val="11FD4E35"/>
    <w:rsid w:val="120A5047"/>
    <w:rsid w:val="124828D8"/>
    <w:rsid w:val="16AF68E3"/>
    <w:rsid w:val="17AD667F"/>
    <w:rsid w:val="19C23FFF"/>
    <w:rsid w:val="1B902BD0"/>
    <w:rsid w:val="1D1A254A"/>
    <w:rsid w:val="1DAB3FD6"/>
    <w:rsid w:val="1F3E3A6E"/>
    <w:rsid w:val="212E1977"/>
    <w:rsid w:val="21316930"/>
    <w:rsid w:val="219C3D3D"/>
    <w:rsid w:val="21E441D2"/>
    <w:rsid w:val="241A2687"/>
    <w:rsid w:val="253202CD"/>
    <w:rsid w:val="27F448D3"/>
    <w:rsid w:val="29B10698"/>
    <w:rsid w:val="2CB27DEF"/>
    <w:rsid w:val="2F4F416E"/>
    <w:rsid w:val="2F942FD1"/>
    <w:rsid w:val="32301FF4"/>
    <w:rsid w:val="32862630"/>
    <w:rsid w:val="33AD6EE0"/>
    <w:rsid w:val="34D81478"/>
    <w:rsid w:val="36B1728E"/>
    <w:rsid w:val="36C83C10"/>
    <w:rsid w:val="3A822C5D"/>
    <w:rsid w:val="3AEB754D"/>
    <w:rsid w:val="3C11515E"/>
    <w:rsid w:val="3C470BB3"/>
    <w:rsid w:val="3D064E51"/>
    <w:rsid w:val="3DD2254E"/>
    <w:rsid w:val="410F24F8"/>
    <w:rsid w:val="41B868E9"/>
    <w:rsid w:val="43E213BD"/>
    <w:rsid w:val="462F59B2"/>
    <w:rsid w:val="47977F8E"/>
    <w:rsid w:val="488A14A0"/>
    <w:rsid w:val="49FB0CA3"/>
    <w:rsid w:val="4AE91161"/>
    <w:rsid w:val="4AEE6476"/>
    <w:rsid w:val="4DD162BD"/>
    <w:rsid w:val="4F183C27"/>
    <w:rsid w:val="4FA2515B"/>
    <w:rsid w:val="52D05187"/>
    <w:rsid w:val="53BE1870"/>
    <w:rsid w:val="557E41CD"/>
    <w:rsid w:val="57A26C6F"/>
    <w:rsid w:val="57A47613"/>
    <w:rsid w:val="5966506E"/>
    <w:rsid w:val="59761BA9"/>
    <w:rsid w:val="5B8247AD"/>
    <w:rsid w:val="5DDA7107"/>
    <w:rsid w:val="5E4647B1"/>
    <w:rsid w:val="5FA04E1F"/>
    <w:rsid w:val="5FC6594D"/>
    <w:rsid w:val="61C2112E"/>
    <w:rsid w:val="62503D99"/>
    <w:rsid w:val="631B1778"/>
    <w:rsid w:val="642705C1"/>
    <w:rsid w:val="657038D9"/>
    <w:rsid w:val="66895538"/>
    <w:rsid w:val="676D3727"/>
    <w:rsid w:val="69D1193E"/>
    <w:rsid w:val="6AD80A32"/>
    <w:rsid w:val="6F330BB1"/>
    <w:rsid w:val="70C54A6B"/>
    <w:rsid w:val="71B92164"/>
    <w:rsid w:val="721D6DAF"/>
    <w:rsid w:val="728C5C5D"/>
    <w:rsid w:val="729B2CA6"/>
    <w:rsid w:val="73314E5B"/>
    <w:rsid w:val="743D707D"/>
    <w:rsid w:val="74936463"/>
    <w:rsid w:val="74C9421C"/>
    <w:rsid w:val="78C30A2E"/>
    <w:rsid w:val="795559D4"/>
    <w:rsid w:val="7C69286B"/>
    <w:rsid w:val="7C6F3120"/>
    <w:rsid w:val="7E2D63B4"/>
    <w:rsid w:val="7E540BF3"/>
    <w:rsid w:val="7EFE1AFE"/>
    <w:rsid w:val="7F552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paragraph" w:styleId="3">
    <w:name w:val="heading 1"/>
    <w:basedOn w:val="1"/>
    <w:next w:val="1"/>
    <w:qFormat/>
    <w:uiPriority w:val="0"/>
    <w:pPr>
      <w:keepNext/>
      <w:keepLines/>
      <w:widowControl w:val="0"/>
      <w:tabs>
        <w:tab w:val="left" w:pos="840"/>
      </w:tabs>
      <w:adjustRightInd w:val="0"/>
      <w:snapToGrid w:val="0"/>
      <w:spacing w:before="240" w:line="300" w:lineRule="auto"/>
      <w:jc w:val="center"/>
      <w:outlineLvl w:val="0"/>
    </w:pPr>
    <w:rPr>
      <w:rFonts w:ascii="宋体" w:hAnsi="宋体"/>
      <w:kern w:val="44"/>
      <w:sz w:val="36"/>
      <w:szCs w:val="36"/>
    </w:rPr>
  </w:style>
  <w:style w:type="paragraph" w:styleId="4">
    <w:name w:val="heading 4"/>
    <w:basedOn w:val="1"/>
    <w:next w:val="1"/>
    <w:qFormat/>
    <w:uiPriority w:val="0"/>
    <w:pPr>
      <w:widowControl w:val="0"/>
      <w:tabs>
        <w:tab w:val="left" w:pos="864"/>
      </w:tabs>
      <w:autoSpaceDE w:val="0"/>
      <w:autoSpaceDN w:val="0"/>
      <w:adjustRightInd w:val="0"/>
      <w:snapToGrid w:val="0"/>
      <w:spacing w:line="360" w:lineRule="auto"/>
      <w:ind w:left="864" w:hanging="864"/>
      <w:jc w:val="both"/>
      <w:outlineLvl w:val="3"/>
    </w:pPr>
    <w:rPr>
      <w:rFonts w:ascii="宋体" w:hAnsi="Arial"/>
      <w:snapToGrid w:val="0"/>
      <w:color w:val="000000"/>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jc w:val="both"/>
    </w:pPr>
    <w:rPr>
      <w:kern w:val="2"/>
      <w:sz w:val="28"/>
    </w:rPr>
  </w:style>
  <w:style w:type="paragraph" w:styleId="5">
    <w:name w:val="Normal Indent"/>
    <w:basedOn w:val="1"/>
    <w:qFormat/>
    <w:uiPriority w:val="0"/>
    <w:pPr>
      <w:ind w:firstLine="420" w:firstLineChars="200"/>
    </w:pPr>
  </w:style>
  <w:style w:type="paragraph" w:styleId="6">
    <w:name w:val="toa heading"/>
    <w:basedOn w:val="1"/>
    <w:next w:val="1"/>
    <w:qFormat/>
    <w:uiPriority w:val="0"/>
    <w:pPr>
      <w:spacing w:before="120" w:beforeLines="0" w:beforeAutospacing="0"/>
    </w:pPr>
    <w:rPr>
      <w:rFonts w:ascii="Arial" w:hAnsi="Arial"/>
      <w:sz w:val="24"/>
    </w:rPr>
  </w:style>
  <w:style w:type="paragraph" w:styleId="7">
    <w:name w:val="annotation text"/>
    <w:basedOn w:val="1"/>
    <w:qFormat/>
    <w:uiPriority w:val="0"/>
    <w:pPr>
      <w:jc w:val="left"/>
    </w:pPr>
  </w:style>
  <w:style w:type="paragraph" w:styleId="8">
    <w:name w:val="List 2"/>
    <w:basedOn w:val="1"/>
    <w:qFormat/>
    <w:uiPriority w:val="0"/>
    <w:pPr>
      <w:ind w:left="100" w:leftChars="200" w:hanging="200" w:hangingChars="200"/>
    </w:pPr>
  </w:style>
  <w:style w:type="paragraph" w:styleId="9">
    <w:name w:val="toc 5"/>
    <w:basedOn w:val="1"/>
    <w:next w:val="1"/>
    <w:qFormat/>
    <w:uiPriority w:val="39"/>
    <w:pPr>
      <w:widowControl w:val="0"/>
      <w:ind w:left="1680"/>
      <w:jc w:val="both"/>
    </w:pPr>
    <w:rPr>
      <w:kern w:val="2"/>
    </w:rPr>
  </w:style>
  <w:style w:type="paragraph" w:styleId="10">
    <w:name w:val="footer"/>
    <w:basedOn w:val="1"/>
    <w:qFormat/>
    <w:uiPriority w:val="0"/>
    <w:pPr>
      <w:tabs>
        <w:tab w:val="center" w:pos="4153"/>
        <w:tab w:val="right" w:pos="8306"/>
      </w:tabs>
      <w:snapToGrid w:val="0"/>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index 1"/>
    <w:basedOn w:val="1"/>
    <w:next w:val="1"/>
    <w:unhideWhenUsed/>
    <w:qFormat/>
    <w:uiPriority w:val="0"/>
  </w:style>
  <w:style w:type="paragraph" w:styleId="14">
    <w:name w:val="Title"/>
    <w:basedOn w:val="8"/>
    <w:next w:val="1"/>
    <w:qFormat/>
    <w:uiPriority w:val="0"/>
    <w:pPr>
      <w:widowControl w:val="0"/>
      <w:spacing w:before="240" w:after="60"/>
      <w:jc w:val="center"/>
      <w:outlineLvl w:val="0"/>
    </w:pPr>
    <w:rPr>
      <w:rFonts w:ascii="Cambria" w:hAnsi="Cambria"/>
      <w:b/>
      <w:bCs/>
      <w:kern w:val="2"/>
      <w:sz w:val="32"/>
      <w:szCs w:val="32"/>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Hyperlink"/>
    <w:basedOn w:val="17"/>
    <w:qFormat/>
    <w:uiPriority w:val="0"/>
    <w:rPr>
      <w:color w:val="0000FF"/>
      <w:u w:val="single"/>
    </w:rPr>
  </w:style>
  <w:style w:type="paragraph" w:customStyle="1" w:styleId="20">
    <w:name w:val="正文首行缩进1"/>
    <w:basedOn w:val="2"/>
    <w:qFormat/>
    <w:uiPriority w:val="2457"/>
    <w:pPr>
      <w:spacing w:before="0" w:after="120" w:line="240" w:lineRule="auto"/>
      <w:ind w:left="0" w:right="0" w:firstLine="100"/>
    </w:pPr>
    <w:rPr>
      <w:szCs w:val="24"/>
    </w:rPr>
  </w:style>
  <w:style w:type="paragraph" w:customStyle="1" w:styleId="21">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2">
    <w:name w:val="Table Paragraph"/>
    <w:basedOn w:val="1"/>
    <w:qFormat/>
    <w:uiPriority w:val="1"/>
    <w:rPr>
      <w:rFonts w:ascii="宋体" w:hAnsi="宋体" w:eastAsia="宋体" w:cs="宋体"/>
      <w:lang w:val="zh-CN" w:eastAsia="zh-CN" w:bidi="zh-CN"/>
    </w:rPr>
  </w:style>
  <w:style w:type="paragraph" w:customStyle="1" w:styleId="23">
    <w:name w:val="Table Text"/>
    <w:basedOn w:val="1"/>
    <w:semiHidden/>
    <w:qFormat/>
    <w:uiPriority w:val="0"/>
    <w:rPr>
      <w:rFonts w:ascii="仿宋" w:hAnsi="仿宋" w:eastAsia="仿宋" w:cs="仿宋"/>
      <w:sz w:val="28"/>
      <w:szCs w:val="28"/>
      <w:lang w:val="en-US" w:eastAsia="en-US" w:bidi="ar-SA"/>
    </w:rPr>
  </w:style>
  <w:style w:type="table" w:customStyle="1" w:styleId="24">
    <w:name w:val="Table Normal"/>
    <w:unhideWhenUsed/>
    <w:qFormat/>
    <w:uiPriority w:val="0"/>
    <w:tblPr>
      <w:tblCellMar>
        <w:top w:w="0" w:type="dxa"/>
        <w:left w:w="0" w:type="dxa"/>
        <w:bottom w:w="0" w:type="dxa"/>
        <w:right w:w="0" w:type="dxa"/>
      </w:tblCellMar>
    </w:tblPr>
  </w:style>
  <w:style w:type="paragraph" w:customStyle="1" w:styleId="2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4089</Words>
  <Characters>4317</Characters>
  <Lines>0</Lines>
  <Paragraphs>0</Paragraphs>
  <TotalTime>2</TotalTime>
  <ScaleCrop>false</ScaleCrop>
  <LinksUpToDate>false</LinksUpToDate>
  <CharactersWithSpaces>4346</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2023-11-10T09:42:00Z</dcterms:created>
  <dc:creator>秋秋秋秋</dc:creator>
  <cp:lastModifiedBy>郑伟权</cp:lastModifiedBy>
  <cp:lastPrinted>2024-12-27T08:30:00Z</cp:lastPrinted>
  <dcterms:modified xsi:type="dcterms:W3CDTF">2025-09-03T06:51:36Z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09ECCB05D3B74FB9857E198F7286EE9B_13</vt:lpwstr>
  </property>
  <property fmtid="{D5CDD505-2E9C-101B-9397-08002B2CF9AE}" pid="4" name="KSOTemplateDocerSaveRecord">
    <vt:lpwstr>eyJoZGlkIjoiZjFmZWIzNDg2MmIzZjExOTIzMmViNTBmYTMwYTk0ZWYiLCJ1c2VySWQiOiIzMzc0NDkxODMifQ==</vt:lpwstr>
  </property>
</Properties>
</file>