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C4BAC">
      <w:pPr>
        <w:spacing w:line="540" w:lineRule="exact"/>
        <w:jc w:val="center"/>
        <w:rPr>
          <w:rFonts w:hint="eastAsia" w:ascii="微软简标宋" w:hAnsi="微软简标宋" w:eastAsia="微软简标宋" w:cs="微软简标宋"/>
          <w:b w:val="0"/>
          <w:bCs w:val="0"/>
          <w:color w:val="auto"/>
          <w:sz w:val="36"/>
          <w:szCs w:val="36"/>
          <w:lang w:val="en-US" w:eastAsia="zh-CN"/>
        </w:rPr>
      </w:pPr>
      <w:r>
        <w:rPr>
          <w:rFonts w:hint="eastAsia" w:ascii="微软简标宋" w:hAnsi="微软简标宋" w:eastAsia="微软简标宋" w:cs="微软简标宋"/>
          <w:b w:val="0"/>
          <w:bCs w:val="0"/>
          <w:color w:val="auto"/>
          <w:sz w:val="36"/>
          <w:szCs w:val="36"/>
          <w:lang w:eastAsia="zh-CN"/>
        </w:rPr>
        <w:t>东凤镇龙光天韵小区西南门外围部分区域建设电动自行车、小轿车停车场项目</w:t>
      </w:r>
      <w:r>
        <w:rPr>
          <w:rFonts w:hint="eastAsia" w:ascii="微软简标宋" w:hAnsi="微软简标宋" w:eastAsia="微软简标宋" w:cs="微软简标宋"/>
          <w:b w:val="0"/>
          <w:bCs w:val="0"/>
          <w:color w:val="auto"/>
          <w:sz w:val="36"/>
          <w:szCs w:val="36"/>
        </w:rPr>
        <w:t>招</w:t>
      </w:r>
      <w:r>
        <w:rPr>
          <w:rFonts w:hint="eastAsia" w:ascii="微软简标宋" w:hAnsi="微软简标宋" w:eastAsia="微软简标宋" w:cs="微软简标宋"/>
          <w:b w:val="0"/>
          <w:bCs w:val="0"/>
          <w:color w:val="auto"/>
          <w:sz w:val="36"/>
          <w:szCs w:val="36"/>
          <w:lang w:eastAsia="zh-CN"/>
        </w:rPr>
        <w:t>租</w:t>
      </w:r>
      <w:r>
        <w:rPr>
          <w:rFonts w:hint="eastAsia" w:ascii="微软简标宋" w:hAnsi="微软简标宋" w:eastAsia="微软简标宋" w:cs="微软简标宋"/>
          <w:b w:val="0"/>
          <w:bCs w:val="0"/>
          <w:color w:val="auto"/>
          <w:sz w:val="36"/>
          <w:szCs w:val="36"/>
        </w:rPr>
        <w:t>方案</w:t>
      </w:r>
    </w:p>
    <w:p w14:paraId="0A2CEF88">
      <w:pPr>
        <w:spacing w:line="600" w:lineRule="exact"/>
        <w:ind w:firstLine="560" w:firstLineChars="200"/>
        <w:rPr>
          <w:rFonts w:ascii="仿宋_GB2312" w:hAnsi="仿宋_GB2312" w:eastAsia="仿宋_GB2312" w:cs="仿宋_GB2312"/>
          <w:color w:val="auto"/>
          <w:sz w:val="28"/>
          <w:szCs w:val="28"/>
        </w:rPr>
      </w:pPr>
    </w:p>
    <w:p w14:paraId="7483A65D">
      <w:pPr>
        <w:spacing w:line="240" w:lineRule="auto"/>
        <w:ind w:firstLine="560" w:firstLineChars="20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eastAsia="zh-CN"/>
        </w:rPr>
        <w:t>东海社区受托对</w:t>
      </w:r>
      <w:r>
        <w:rPr>
          <w:rFonts w:hint="eastAsia" w:ascii="仿宋_GB2312" w:hAnsi="仿宋_GB2312" w:eastAsia="仿宋_GB2312" w:cs="仿宋_GB2312"/>
          <w:color w:val="auto"/>
          <w:sz w:val="28"/>
          <w:szCs w:val="28"/>
          <w:lang w:val="en-US" w:eastAsia="zh-CN"/>
        </w:rPr>
        <w:t>龙光天韵小区西南门外围部分区域进行管理，</w:t>
      </w:r>
      <w:r>
        <w:rPr>
          <w:rFonts w:hint="eastAsia" w:ascii="仿宋_GB2312" w:hAnsi="仿宋_GB2312" w:eastAsia="仿宋_GB2312" w:cs="仿宋_GB2312"/>
          <w:color w:val="auto"/>
          <w:sz w:val="28"/>
          <w:szCs w:val="28"/>
        </w:rPr>
        <w:t>现面</w:t>
      </w:r>
      <w:r>
        <w:rPr>
          <w:rFonts w:hint="eastAsia" w:ascii="仿宋_GB2312" w:hAnsi="仿宋_GB2312" w:eastAsia="仿宋_GB2312" w:cs="仿宋_GB2312"/>
          <w:color w:val="auto"/>
          <w:sz w:val="28"/>
          <w:szCs w:val="28"/>
          <w:lang w:eastAsia="zh-CN"/>
        </w:rPr>
        <w:t>向</w:t>
      </w:r>
      <w:r>
        <w:rPr>
          <w:rFonts w:hint="eastAsia" w:ascii="仿宋_GB2312" w:hAnsi="仿宋_GB2312" w:eastAsia="仿宋_GB2312" w:cs="仿宋_GB2312"/>
          <w:color w:val="auto"/>
          <w:sz w:val="28"/>
          <w:szCs w:val="28"/>
        </w:rPr>
        <w:t>社会进行公开</w:t>
      </w:r>
      <w:r>
        <w:rPr>
          <w:rFonts w:hint="eastAsia" w:ascii="仿宋_GB2312" w:hAnsi="仿宋_GB2312" w:eastAsia="仿宋_GB2312" w:cs="仿宋_GB2312"/>
          <w:color w:val="auto"/>
          <w:sz w:val="28"/>
          <w:szCs w:val="28"/>
          <w:lang w:val="en-US" w:eastAsia="zh-CN"/>
        </w:rPr>
        <w:t>招商合作建设运营</w:t>
      </w:r>
      <w:r>
        <w:rPr>
          <w:rFonts w:hint="eastAsia" w:ascii="仿宋_GB2312" w:hAnsi="仿宋_GB2312" w:eastAsia="仿宋_GB2312" w:cs="仿宋_GB2312"/>
          <w:color w:val="auto"/>
          <w:sz w:val="28"/>
          <w:szCs w:val="28"/>
        </w:rPr>
        <w:t>。</w:t>
      </w:r>
    </w:p>
    <w:p w14:paraId="6C1F9115">
      <w:pPr>
        <w:spacing w:line="240" w:lineRule="auto"/>
        <w:ind w:firstLine="562" w:firstLineChars="200"/>
        <w:rPr>
          <w:rFonts w:hint="eastAsia" w:ascii="黑体" w:hAnsi="黑体" w:eastAsia="黑体" w:cs="黑体"/>
          <w:b/>
          <w:bCs/>
          <w:color w:val="auto"/>
          <w:sz w:val="28"/>
          <w:szCs w:val="28"/>
        </w:rPr>
      </w:pPr>
      <w:r>
        <w:rPr>
          <w:rFonts w:hint="eastAsia" w:ascii="黑体" w:hAnsi="黑体" w:eastAsia="黑体" w:cs="黑体"/>
          <w:b/>
          <w:bCs/>
          <w:color w:val="auto"/>
          <w:sz w:val="28"/>
          <w:szCs w:val="28"/>
        </w:rPr>
        <w:t>一、</w:t>
      </w:r>
      <w:r>
        <w:rPr>
          <w:rFonts w:hint="eastAsia" w:ascii="黑体" w:hAnsi="黑体" w:eastAsia="黑体" w:cs="黑体"/>
          <w:b/>
          <w:bCs/>
          <w:color w:val="auto"/>
          <w:sz w:val="28"/>
          <w:szCs w:val="28"/>
          <w:lang w:eastAsia="zh-CN"/>
        </w:rPr>
        <w:t>项目</w:t>
      </w:r>
      <w:r>
        <w:rPr>
          <w:rFonts w:hint="eastAsia" w:ascii="黑体" w:hAnsi="黑体" w:eastAsia="黑体" w:cs="黑体"/>
          <w:b/>
          <w:bCs/>
          <w:color w:val="auto"/>
          <w:sz w:val="28"/>
          <w:szCs w:val="28"/>
        </w:rPr>
        <w:t>基本情况</w:t>
      </w:r>
      <w:r>
        <w:rPr>
          <w:rFonts w:hint="eastAsia" w:ascii="黑体" w:hAnsi="黑体" w:eastAsia="黑体" w:cs="黑体"/>
          <w:b/>
          <w:bCs/>
          <w:color w:val="auto"/>
          <w:sz w:val="28"/>
          <w:szCs w:val="28"/>
          <w:lang w:eastAsia="zh-CN"/>
        </w:rPr>
        <w:t>及合作建设要求</w:t>
      </w:r>
      <w:r>
        <w:rPr>
          <w:rFonts w:hint="eastAsia" w:ascii="黑体" w:hAnsi="黑体" w:eastAsia="黑体" w:cs="黑体"/>
          <w:b/>
          <w:bCs/>
          <w:color w:val="auto"/>
          <w:sz w:val="28"/>
          <w:szCs w:val="28"/>
        </w:rPr>
        <w:t>：</w:t>
      </w:r>
    </w:p>
    <w:p w14:paraId="2BDC8F87">
      <w:pPr>
        <w:ind w:firstLine="562"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lang w:val="en-US" w:eastAsia="zh-CN"/>
        </w:rPr>
        <w:t>（一）</w:t>
      </w:r>
      <w:r>
        <w:rPr>
          <w:rFonts w:hint="eastAsia" w:ascii="仿宋_GB2312" w:hAnsi="仿宋_GB2312" w:eastAsia="仿宋_GB2312" w:cs="仿宋_GB2312"/>
          <w:b/>
          <w:bCs/>
          <w:color w:val="auto"/>
          <w:sz w:val="28"/>
          <w:szCs w:val="28"/>
          <w:highlight w:val="none"/>
          <w:lang w:eastAsia="zh-CN"/>
        </w:rPr>
        <w:t>项目基本情况：</w:t>
      </w:r>
      <w:r>
        <w:rPr>
          <w:rFonts w:hint="eastAsia" w:ascii="仿宋_GB2312" w:hAnsi="仿宋_GB2312" w:eastAsia="仿宋_GB2312" w:cs="仿宋_GB2312"/>
          <w:color w:val="auto"/>
          <w:sz w:val="28"/>
          <w:szCs w:val="28"/>
          <w:highlight w:val="none"/>
          <w:lang w:eastAsia="zh-CN"/>
        </w:rPr>
        <w:t>位于中山市东凤镇东阜三路108号龙光天韵小区西南门</w:t>
      </w:r>
      <w:r>
        <w:rPr>
          <w:rFonts w:hint="eastAsia" w:ascii="仿宋_GB2312" w:hAnsi="仿宋_GB2312" w:eastAsia="仿宋_GB2312" w:cs="仿宋_GB2312"/>
          <w:color w:val="auto"/>
          <w:sz w:val="28"/>
          <w:szCs w:val="28"/>
          <w:highlight w:val="none"/>
          <w:lang w:val="en-US" w:eastAsia="zh-CN"/>
        </w:rPr>
        <w:t>，经测量长约60米，平均</w:t>
      </w:r>
      <w:bookmarkStart w:id="0" w:name="_GoBack"/>
      <w:bookmarkEnd w:id="0"/>
      <w:r>
        <w:rPr>
          <w:rFonts w:hint="eastAsia" w:ascii="仿宋_GB2312" w:hAnsi="仿宋_GB2312" w:eastAsia="仿宋_GB2312" w:cs="仿宋_GB2312"/>
          <w:color w:val="auto"/>
          <w:sz w:val="28"/>
          <w:szCs w:val="28"/>
          <w:highlight w:val="none"/>
          <w:lang w:val="en-US" w:eastAsia="zh-CN"/>
        </w:rPr>
        <w:t>宽度约7.5米（以现场最终实际建设用地面积为准），详见以下卫星图红色实线区域及测量图。</w:t>
      </w:r>
    </w:p>
    <w:p w14:paraId="7F7C6FA7">
      <w:pPr>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黄色实线区域为</w:t>
      </w:r>
      <w:r>
        <w:rPr>
          <w:rFonts w:hint="eastAsia" w:ascii="仿宋" w:hAnsi="仿宋" w:eastAsia="仿宋" w:cs="仿宋"/>
          <w:color w:val="auto"/>
          <w:sz w:val="28"/>
          <w:szCs w:val="28"/>
          <w:highlight w:val="none"/>
          <w:lang w:val="en-US" w:eastAsia="zh-CN"/>
        </w:rPr>
        <w:t>环境卫生及公共秩序管养区域，须定期进行绿化修剪和垃圾杂物清理等。</w:t>
      </w:r>
      <w:r>
        <w:rPr>
          <w:rFonts w:hint="eastAsia" w:ascii="仿宋" w:hAnsi="仿宋" w:eastAsia="仿宋" w:cs="仿宋"/>
          <w:b w:val="0"/>
          <w:bCs w:val="0"/>
          <w:color w:val="auto"/>
          <w:sz w:val="28"/>
          <w:szCs w:val="28"/>
          <w:highlight w:val="none"/>
          <w:lang w:val="en-US" w:eastAsia="zh-CN"/>
        </w:rPr>
        <w:t>如建成后，电动自行车停放需求增大，可继续利用B区靠小区围墙侧空地，后期通过签订补充协议形式，确定新增租用面积。</w:t>
      </w:r>
    </w:p>
    <w:p w14:paraId="1A0CCDCB">
      <w:pPr>
        <w:numPr>
          <w:ilvl w:val="0"/>
          <w:numId w:val="0"/>
        </w:numPr>
        <w:jc w:val="center"/>
        <w:rPr>
          <w:rFonts w:hint="eastAsia" w:ascii="仿宋" w:hAnsi="仿宋" w:eastAsia="仿宋" w:cs="仿宋"/>
          <w:b w:val="0"/>
          <w:bCs w:val="0"/>
          <w:color w:val="auto"/>
          <w:sz w:val="21"/>
          <w:szCs w:val="21"/>
          <w:highlight w:val="none"/>
          <w:lang w:eastAsia="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2740025</wp:posOffset>
                </wp:positionH>
                <wp:positionV relativeFrom="paragraph">
                  <wp:posOffset>1734185</wp:posOffset>
                </wp:positionV>
                <wp:extent cx="533400" cy="48450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33400" cy="484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C8FCC">
                            <w:pPr>
                              <w:rPr>
                                <w:rFonts w:hint="default" w:eastAsiaTheme="minorEastAsia"/>
                                <w:color w:val="FF0000"/>
                                <w:sz w:val="32"/>
                                <w:szCs w:val="32"/>
                                <w:lang w:val="en-US" w:eastAsia="zh-CN"/>
                              </w:rPr>
                            </w:pPr>
                            <w:r>
                              <w:rPr>
                                <w:rFonts w:hint="eastAsia"/>
                                <w:color w:val="FF0000"/>
                                <w:sz w:val="32"/>
                                <w:szCs w:val="32"/>
                                <w:lang w:val="en-US" w:eastAsia="zh-CN"/>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75pt;margin-top:136.55pt;height:38.15pt;width:42pt;z-index:251661312;mso-width-relative:page;mso-height-relative:page;" filled="f" stroked="f" coordsize="21600,21600" o:gfxdata="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Xej33AAAAAsBAAAPAAAAAAAAAAEAIAAAACIAAABk&#10;cnMvZG93bnJldi54bWxQSwECFAAUAAAACACHTuJAcP6z+zsCAABlBAAADgAAAAAAAAABACAAAAAr&#10;AQAAZHJzL2Uyb0RvYy54bWxQSwUGAAAAAAYABgBZAQAA2AUAAAAA&#10;">
                <v:fill on="f" focussize="0,0"/>
                <v:stroke on="f" weight="0.5pt"/>
                <v:imagedata o:title=""/>
                <o:lock v:ext="edit" aspectratio="f"/>
                <v:textbox>
                  <w:txbxContent>
                    <w:p w14:paraId="1A6C8FCC">
                      <w:pPr>
                        <w:rPr>
                          <w:rFonts w:hint="default" w:eastAsiaTheme="minorEastAsia"/>
                          <w:color w:val="FF0000"/>
                          <w:sz w:val="32"/>
                          <w:szCs w:val="32"/>
                          <w:lang w:val="en-US" w:eastAsia="zh-CN"/>
                        </w:rPr>
                      </w:pPr>
                      <w:r>
                        <w:rPr>
                          <w:rFonts w:hint="eastAsia"/>
                          <w:color w:val="FF0000"/>
                          <w:sz w:val="32"/>
                          <w:szCs w:val="32"/>
                          <w:lang w:val="en-US" w:eastAsia="zh-CN"/>
                        </w:rPr>
                        <w:t>B</w:t>
                      </w:r>
                    </w:p>
                  </w:txbxContent>
                </v:textbox>
              </v:shape>
            </w:pict>
          </mc:Fallback>
        </mc:AlternateContent>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2254885</wp:posOffset>
                </wp:positionH>
                <wp:positionV relativeFrom="paragraph">
                  <wp:posOffset>2233295</wp:posOffset>
                </wp:positionV>
                <wp:extent cx="584200" cy="511175"/>
                <wp:effectExtent l="0" t="0" r="0" b="0"/>
                <wp:wrapNone/>
                <wp:docPr id="4" name="文本框 4"/>
                <wp:cNvGraphicFramePr/>
                <a:graphic xmlns:a="http://schemas.openxmlformats.org/drawingml/2006/main">
                  <a:graphicData uri="http://schemas.microsoft.com/office/word/2010/wordprocessingShape">
                    <wps:wsp>
                      <wps:cNvSpPr txBox="1"/>
                      <wps:spPr>
                        <a:xfrm>
                          <a:off x="3625850" y="7543165"/>
                          <a:ext cx="584200"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D981D">
                            <w:pPr>
                              <w:rPr>
                                <w:rFonts w:hint="eastAsia" w:eastAsiaTheme="minorEastAsia"/>
                                <w:color w:val="FF0000"/>
                                <w:sz w:val="36"/>
                                <w:szCs w:val="36"/>
                                <w:lang w:val="en-US" w:eastAsia="zh-CN"/>
                              </w:rPr>
                            </w:pPr>
                            <w:r>
                              <w:rPr>
                                <w:rFonts w:hint="eastAsia"/>
                                <w:color w:val="FF0000"/>
                                <w:sz w:val="36"/>
                                <w:szCs w:val="36"/>
                                <w:lang w:val="en-US"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55pt;margin-top:175.85pt;height:40.25pt;width:46pt;z-index:251660288;mso-width-relative:page;mso-height-relative:page;" filled="f" stroked="f" coordsize="21600,21600" o:gfxdata="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xaXNzbAAAACwEAAA8AAAAAAAAA&#10;AQAgAAAAIgAAAGRycy9kb3ducmV2LnhtbFBLAQIUABQAAAAIAIdO4kDkysQgRwIAAHEEAAAOAAAA&#10;AAAAAAEAIAAAACoBAABkcnMvZTJvRG9jLnhtbFBLBQYAAAAABgAGAFkBAADjBQAAAAA=&#10;">
                <v:fill on="f" focussize="0,0"/>
                <v:stroke on="f" weight="0.5pt"/>
                <v:imagedata o:title=""/>
                <o:lock v:ext="edit" aspectratio="f"/>
                <v:textbox>
                  <w:txbxContent>
                    <w:p w14:paraId="381D981D">
                      <w:pPr>
                        <w:rPr>
                          <w:rFonts w:hint="eastAsia" w:eastAsiaTheme="minorEastAsia"/>
                          <w:color w:val="FF0000"/>
                          <w:sz w:val="36"/>
                          <w:szCs w:val="36"/>
                          <w:lang w:val="en-US" w:eastAsia="zh-CN"/>
                        </w:rPr>
                      </w:pPr>
                      <w:r>
                        <w:rPr>
                          <w:rFonts w:hint="eastAsia"/>
                          <w:color w:val="FF0000"/>
                          <w:sz w:val="36"/>
                          <w:szCs w:val="36"/>
                          <w:lang w:val="en-US" w:eastAsia="zh-CN"/>
                        </w:rPr>
                        <w:t>A</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2197735</wp:posOffset>
                </wp:positionH>
                <wp:positionV relativeFrom="paragraph">
                  <wp:posOffset>1645285</wp:posOffset>
                </wp:positionV>
                <wp:extent cx="1398905" cy="1184910"/>
                <wp:effectExtent l="8255" t="6350" r="21590" b="27940"/>
                <wp:wrapNone/>
                <wp:docPr id="10" name="任意多边形 10"/>
                <wp:cNvGraphicFramePr/>
                <a:graphic xmlns:a="http://schemas.openxmlformats.org/drawingml/2006/main">
                  <a:graphicData uri="http://schemas.microsoft.com/office/word/2010/wordprocessingShape">
                    <wps:wsp>
                      <wps:cNvSpPr/>
                      <wps:spPr>
                        <a:xfrm>
                          <a:off x="3167380" y="6330950"/>
                          <a:ext cx="1398905" cy="1184910"/>
                        </a:xfrm>
                        <a:custGeom>
                          <a:avLst/>
                          <a:gdLst>
                            <a:gd name="connisteX0" fmla="*/ 208280 w 1398905"/>
                            <a:gd name="connsiteY0" fmla="*/ 1184910 h 1184910"/>
                            <a:gd name="connisteX1" fmla="*/ 0 w 1398905"/>
                            <a:gd name="connsiteY1" fmla="*/ 904875 h 1184910"/>
                            <a:gd name="connisteX2" fmla="*/ 851535 w 1398905"/>
                            <a:gd name="connsiteY2" fmla="*/ 53975 h 1184910"/>
                            <a:gd name="connisteX3" fmla="*/ 1179195 w 1398905"/>
                            <a:gd name="connsiteY3" fmla="*/ 0 h 1184910"/>
                            <a:gd name="connisteX4" fmla="*/ 1398905 w 1398905"/>
                            <a:gd name="connsiteY4" fmla="*/ 83820 h 1184910"/>
                            <a:gd name="connisteX5" fmla="*/ 1303655 w 1398905"/>
                            <a:gd name="connsiteY5" fmla="*/ 315595 h 1184910"/>
                            <a:gd name="connisteX6" fmla="*/ 1143000 w 1398905"/>
                            <a:gd name="connsiteY6" fmla="*/ 238125 h 1184910"/>
                            <a:gd name="connisteX7" fmla="*/ 1107440 w 1398905"/>
                            <a:gd name="connsiteY7" fmla="*/ 220345 h 1184910"/>
                            <a:gd name="connisteX8" fmla="*/ 1054100 w 1398905"/>
                            <a:gd name="connsiteY8" fmla="*/ 220345 h 1184910"/>
                            <a:gd name="connisteX9" fmla="*/ 1006475 w 1398905"/>
                            <a:gd name="connsiteY9" fmla="*/ 220345 h 1184910"/>
                            <a:gd name="connisteX10" fmla="*/ 952500 w 1398905"/>
                            <a:gd name="connsiteY10" fmla="*/ 250190 h 1184910"/>
                            <a:gd name="connisteX11" fmla="*/ 577850 w 1398905"/>
                            <a:gd name="connsiteY11" fmla="*/ 613410 h 1184910"/>
                            <a:gd name="connisteX12" fmla="*/ 208280 w 1398905"/>
                            <a:gd name="connsiteY12" fmla="*/ 1184910 h 118491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Lst>
                          <a:rect l="l" t="t" r="r" b="b"/>
                          <a:pathLst>
                            <a:path w="1398905" h="1184910">
                              <a:moveTo>
                                <a:pt x="208280" y="1184910"/>
                              </a:moveTo>
                              <a:lnTo>
                                <a:pt x="0" y="904875"/>
                              </a:lnTo>
                              <a:lnTo>
                                <a:pt x="851535" y="53975"/>
                              </a:lnTo>
                              <a:lnTo>
                                <a:pt x="1179195" y="0"/>
                              </a:lnTo>
                              <a:lnTo>
                                <a:pt x="1398905" y="83820"/>
                              </a:lnTo>
                              <a:lnTo>
                                <a:pt x="1303655" y="315595"/>
                              </a:lnTo>
                              <a:lnTo>
                                <a:pt x="1143000" y="238125"/>
                              </a:lnTo>
                              <a:lnTo>
                                <a:pt x="1107440" y="220345"/>
                              </a:lnTo>
                              <a:lnTo>
                                <a:pt x="1054100" y="220345"/>
                              </a:lnTo>
                              <a:lnTo>
                                <a:pt x="1006475" y="220345"/>
                              </a:lnTo>
                              <a:lnTo>
                                <a:pt x="952500" y="250190"/>
                              </a:lnTo>
                              <a:lnTo>
                                <a:pt x="577850" y="613410"/>
                              </a:lnTo>
                              <a:lnTo>
                                <a:pt x="208280" y="118491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73.05pt;margin-top:129.55pt;height:93.3pt;width:110.15pt;z-index:251663360;mso-width-relative:page;mso-height-relative:page;" filled="f" stroked="t" coordsize="1398905,1184910" o:gfxdata="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" path="m208280,1184910l0,904875,851535,53975,1179195,0,1398905,83820,1303655,315595,1143000,238125,1107440,220345,1054100,220345,1006475,220345,952500,250190,577850,613410,208280,1184910xe">
                <v:path o:connectlocs="208280,1184910;0,904875;851535,53975;1179195,0;1398905,83820;1303655,315595;1143000,238125;1107440,220345;1054100,220345;1006475,220345;952500,250190;577850,613410;208280,1184910" o:connectangles="0,0,0,0,0,0,0,0,0,0,0,0,0"/>
                <v:fill on="f" focussize="0,0"/>
                <v:stroke weight="1pt" color="#FF0000 [2404]"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2164715</wp:posOffset>
                </wp:positionH>
                <wp:positionV relativeFrom="paragraph">
                  <wp:posOffset>946785</wp:posOffset>
                </wp:positionV>
                <wp:extent cx="2893060" cy="1910715"/>
                <wp:effectExtent l="8255" t="12065" r="13335" b="20320"/>
                <wp:wrapNone/>
                <wp:docPr id="13" name="任意多边形 13"/>
                <wp:cNvGraphicFramePr/>
                <a:graphic xmlns:a="http://schemas.openxmlformats.org/drawingml/2006/main">
                  <a:graphicData uri="http://schemas.microsoft.com/office/word/2010/wordprocessingShape">
                    <wps:wsp>
                      <wps:cNvSpPr/>
                      <wps:spPr>
                        <a:xfrm>
                          <a:off x="3143885" y="5622925"/>
                          <a:ext cx="2893060" cy="1910715"/>
                        </a:xfrm>
                        <a:custGeom>
                          <a:avLst/>
                          <a:gdLst>
                            <a:gd name="connisteX0" fmla="*/ 220345 w 2893060"/>
                            <a:gd name="connsiteY0" fmla="*/ 1910715 h 1910715"/>
                            <a:gd name="connisteX1" fmla="*/ 0 w 2893060"/>
                            <a:gd name="connsiteY1" fmla="*/ 1601470 h 1910715"/>
                            <a:gd name="connisteX2" fmla="*/ 869315 w 2893060"/>
                            <a:gd name="connsiteY2" fmla="*/ 744220 h 1910715"/>
                            <a:gd name="connisteX3" fmla="*/ 1208405 w 2893060"/>
                            <a:gd name="connsiteY3" fmla="*/ 684530 h 1910715"/>
                            <a:gd name="connisteX4" fmla="*/ 2077720 w 2893060"/>
                            <a:gd name="connsiteY4" fmla="*/ 1029970 h 1910715"/>
                            <a:gd name="connisteX5" fmla="*/ 2143125 w 2893060"/>
                            <a:gd name="connsiteY5" fmla="*/ 1029970 h 1910715"/>
                            <a:gd name="connisteX6" fmla="*/ 2190750 w 2893060"/>
                            <a:gd name="connsiteY6" fmla="*/ 1005840 h 1910715"/>
                            <a:gd name="connisteX7" fmla="*/ 2232025 w 2893060"/>
                            <a:gd name="connsiteY7" fmla="*/ 963930 h 1910715"/>
                            <a:gd name="connisteX8" fmla="*/ 2303780 w 2893060"/>
                            <a:gd name="connsiteY8" fmla="*/ 862965 h 1910715"/>
                            <a:gd name="connisteX9" fmla="*/ 2631440 w 2893060"/>
                            <a:gd name="connsiteY9" fmla="*/ 0 h 1910715"/>
                            <a:gd name="connisteX10" fmla="*/ 2893060 w 2893060"/>
                            <a:gd name="connsiteY10" fmla="*/ 279400 h 1910715"/>
                            <a:gd name="connisteX11" fmla="*/ 2565400 w 2893060"/>
                            <a:gd name="connsiteY11" fmla="*/ 1065530 h 1910715"/>
                            <a:gd name="connisteX12" fmla="*/ 2488565 w 2893060"/>
                            <a:gd name="connsiteY12" fmla="*/ 1196340 h 1910715"/>
                            <a:gd name="connisteX13" fmla="*/ 2374900 w 2893060"/>
                            <a:gd name="connsiteY13" fmla="*/ 1315720 h 1910715"/>
                            <a:gd name="connisteX14" fmla="*/ 2250440 w 2893060"/>
                            <a:gd name="connsiteY14" fmla="*/ 1422400 h 1910715"/>
                            <a:gd name="connisteX15" fmla="*/ 2047875 w 2893060"/>
                            <a:gd name="connsiteY15" fmla="*/ 1416685 h 1910715"/>
                            <a:gd name="connisteX16" fmla="*/ 2005965 w 2893060"/>
                            <a:gd name="connsiteY16" fmla="*/ 1381125 h 1910715"/>
                            <a:gd name="connisteX17" fmla="*/ 1880870 w 2893060"/>
                            <a:gd name="connsiteY17" fmla="*/ 1344930 h 1910715"/>
                            <a:gd name="connisteX18" fmla="*/ 1744345 w 2893060"/>
                            <a:gd name="connsiteY18" fmla="*/ 1351280 h 1910715"/>
                            <a:gd name="connisteX19" fmla="*/ 1208405 w 2893060"/>
                            <a:gd name="connsiteY19" fmla="*/ 1148715 h 1910715"/>
                            <a:gd name="connisteX20" fmla="*/ 1101090 w 2893060"/>
                            <a:gd name="connsiteY20" fmla="*/ 1113155 h 1910715"/>
                            <a:gd name="connisteX21" fmla="*/ 1000125 w 2893060"/>
                            <a:gd name="connsiteY21" fmla="*/ 1118870 h 1910715"/>
                            <a:gd name="connisteX22" fmla="*/ 869315 w 2893060"/>
                            <a:gd name="connsiteY22" fmla="*/ 1184275 h 1910715"/>
                            <a:gd name="connisteX23" fmla="*/ 624840 w 2893060"/>
                            <a:gd name="connsiteY23" fmla="*/ 1529715 h 1910715"/>
                            <a:gd name="connisteX24" fmla="*/ 583565 w 2893060"/>
                            <a:gd name="connsiteY24" fmla="*/ 1571625 h 1910715"/>
                            <a:gd name="connisteX25" fmla="*/ 523875 w 2893060"/>
                            <a:gd name="connsiteY25" fmla="*/ 1571625 h 1910715"/>
                            <a:gd name="connisteX26" fmla="*/ 464185 w 2893060"/>
                            <a:gd name="connsiteY26" fmla="*/ 1595120 h 1910715"/>
                            <a:gd name="connisteX27" fmla="*/ 285750 w 2893060"/>
                            <a:gd name="connsiteY27" fmla="*/ 1910715 h 1910715"/>
                            <a:gd name="connisteX28" fmla="*/ 220345 w 2893060"/>
                            <a:gd name="connsiteY28" fmla="*/ 1910715 h 191071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 ang="0">
                              <a:pos x="connisteX21" y="connsiteY21"/>
                            </a:cxn>
                            <a:cxn ang="0">
                              <a:pos x="connisteX22" y="connsiteY22"/>
                            </a:cxn>
                            <a:cxn ang="0">
                              <a:pos x="connisteX23" y="connsiteY23"/>
                            </a:cxn>
                            <a:cxn ang="0">
                              <a:pos x="connisteX24" y="connsiteY24"/>
                            </a:cxn>
                            <a:cxn ang="0">
                              <a:pos x="connisteX25" y="connsiteY25"/>
                            </a:cxn>
                            <a:cxn ang="0">
                              <a:pos x="connisteX26" y="connsiteY26"/>
                            </a:cxn>
                            <a:cxn ang="0">
                              <a:pos x="connisteX27" y="connsiteY27"/>
                            </a:cxn>
                            <a:cxn ang="0">
                              <a:pos x="connisteX28" y="connsiteY28"/>
                            </a:cxn>
                          </a:cxnLst>
                          <a:rect l="l" t="t" r="r" b="b"/>
                          <a:pathLst>
                            <a:path w="2893060" h="1910715">
                              <a:moveTo>
                                <a:pt x="220345" y="1910715"/>
                              </a:moveTo>
                              <a:lnTo>
                                <a:pt x="0" y="1601470"/>
                              </a:lnTo>
                              <a:lnTo>
                                <a:pt x="869315" y="744220"/>
                              </a:lnTo>
                              <a:lnTo>
                                <a:pt x="1208405" y="684530"/>
                              </a:lnTo>
                              <a:lnTo>
                                <a:pt x="2077720" y="1029970"/>
                              </a:lnTo>
                              <a:lnTo>
                                <a:pt x="2143125" y="1029970"/>
                              </a:lnTo>
                              <a:lnTo>
                                <a:pt x="2190750" y="1005840"/>
                              </a:lnTo>
                              <a:lnTo>
                                <a:pt x="2232025" y="963930"/>
                              </a:lnTo>
                              <a:lnTo>
                                <a:pt x="2303780" y="862965"/>
                              </a:lnTo>
                              <a:lnTo>
                                <a:pt x="2631440" y="0"/>
                              </a:lnTo>
                              <a:lnTo>
                                <a:pt x="2893060" y="279400"/>
                              </a:lnTo>
                              <a:lnTo>
                                <a:pt x="2565400" y="1065530"/>
                              </a:lnTo>
                              <a:lnTo>
                                <a:pt x="2488565" y="1196340"/>
                              </a:lnTo>
                              <a:lnTo>
                                <a:pt x="2374900" y="1315720"/>
                              </a:lnTo>
                              <a:lnTo>
                                <a:pt x="2250440" y="1422400"/>
                              </a:lnTo>
                              <a:lnTo>
                                <a:pt x="2047875" y="1416685"/>
                              </a:lnTo>
                              <a:lnTo>
                                <a:pt x="2005965" y="1381125"/>
                              </a:lnTo>
                              <a:lnTo>
                                <a:pt x="1880870" y="1344930"/>
                              </a:lnTo>
                              <a:lnTo>
                                <a:pt x="1744345" y="1351280"/>
                              </a:lnTo>
                              <a:lnTo>
                                <a:pt x="1208405" y="1148715"/>
                              </a:lnTo>
                              <a:lnTo>
                                <a:pt x="1101090" y="1113155"/>
                              </a:lnTo>
                              <a:lnTo>
                                <a:pt x="1000125" y="1118870"/>
                              </a:lnTo>
                              <a:lnTo>
                                <a:pt x="869315" y="1184275"/>
                              </a:lnTo>
                              <a:lnTo>
                                <a:pt x="624840" y="1529715"/>
                              </a:lnTo>
                              <a:lnTo>
                                <a:pt x="583565" y="1571625"/>
                              </a:lnTo>
                              <a:lnTo>
                                <a:pt x="523875" y="1571625"/>
                              </a:lnTo>
                              <a:lnTo>
                                <a:pt x="464185" y="1595120"/>
                              </a:lnTo>
                              <a:lnTo>
                                <a:pt x="285750" y="1910715"/>
                              </a:lnTo>
                              <a:lnTo>
                                <a:pt x="220345" y="1910715"/>
                              </a:lnTo>
                              <a:close/>
                            </a:path>
                          </a:pathLst>
                        </a:custGeom>
                        <a:noFill/>
                        <a:ln>
                          <a:solidFill>
                            <a:srgbClr val="FFC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70.45pt;margin-top:74.55pt;height:150.45pt;width:227.8pt;z-index:251662336;mso-width-relative:page;mso-height-relative:page;" filled="f" stroked="t" coordsize="2893060,1910715" o:gfxdata="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&#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" path="m220345,1910715l0,1601470,869315,744220,1208405,684530,2077720,1029970,2143125,1029970,2190750,1005840,2232025,963930,2303780,862965,2631440,0,2893060,279400,2565400,1065530,2488565,1196340,2374900,1315720,2250440,1422400,2047875,1416685,2005965,1381125,1880870,1344930,1744345,1351280,1208405,1148715,1101090,1113155,1000125,1118870,869315,1184275,624840,1529715,583565,1571625,523875,1571625,464185,1595120,285750,1910715,220345,1910715xe">
                <v:path o:connectlocs="220345,1910715;0,1601470;869315,744220;1208405,684530;2077720,1029970;2143125,1029970;2190750,1005840;2232025,963930;2303780,862965;2631440,0;2893060,279400;2565400,1065530;2488565,1196340;2374900,1315720;2250440,1422400;2047875,1416685;2005965,1381125;1880870,1344930;1744345,1351280;1208405,1148715;1101090,1113155;1000125,1118870;869315,1184275;624840,1529715;583565,1571625;523875,1571625;464185,1595120;285750,1910715;220345,1910715" o:connectangles="0,0,0,0,0,0,0,0,0,0,0,0,0,0,0,0,0,0,0,0,0,0,0,0,0,0,0,0,0"/>
                <v:fill on="f" focussize="0,0"/>
                <v:stroke weight="1pt" color="#FFC000 [2404]" miterlimit="8" joinstyle="miter"/>
                <v:imagedata o:title=""/>
                <o:lock v:ext="edit" aspectratio="f"/>
              </v:shap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2594610</wp:posOffset>
                </wp:positionH>
                <wp:positionV relativeFrom="paragraph">
                  <wp:posOffset>2179320</wp:posOffset>
                </wp:positionV>
                <wp:extent cx="136525" cy="136525"/>
                <wp:effectExtent l="4445" t="4445" r="11430" b="11430"/>
                <wp:wrapNone/>
                <wp:docPr id="6" name="直接连接符 6"/>
                <wp:cNvGraphicFramePr/>
                <a:graphic xmlns:a="http://schemas.openxmlformats.org/drawingml/2006/main">
                  <a:graphicData uri="http://schemas.microsoft.com/office/word/2010/wordprocessingShape">
                    <wps:wsp>
                      <wps:cNvCnPr/>
                      <wps:spPr>
                        <a:xfrm>
                          <a:off x="3745230" y="6944360"/>
                          <a:ext cx="136525" cy="13652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4.3pt;margin-top:171.6pt;height:10.75pt;width:10.75pt;z-index:251664384;mso-width-relative:page;mso-height-relative:page;" filled="f" stroked="t" coordsize="21600,21600" o:gfxdata="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e8Ny9sAAAALAQAADwAAAAAAAAABACAAAAAiAAAAZHJzL2Rvd25yZXYueG1s&#10;UEsBAhQAFAAAAAgAh07iQIGr/qb1AQAAwgMAAA4AAAAAAAAAAQAgAAAAKgEAAGRycy9lMm9Eb2Mu&#10;eG1sUEsFBgAAAAAGAAYAWQEAAJEFAAAAAA==&#10;">
                <v:fill on="f" focussize="0,0"/>
                <v:stroke weight="1pt" color="#FF0000 [3204]" miterlimit="8" joinstyle="miter"/>
                <v:imagedata o:title=""/>
                <o:lock v:ext="edit" aspectratio="f"/>
              </v:line>
            </w:pict>
          </mc:Fallback>
        </mc:AlternateContent>
      </w:r>
      <w:r>
        <w:rPr>
          <w:color w:val="auto"/>
        </w:rPr>
        <w:drawing>
          <wp:inline distT="0" distB="0" distL="114300" distR="114300">
            <wp:extent cx="5544820" cy="32626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rcRect b="3801"/>
                    <a:stretch>
                      <a:fillRect/>
                    </a:stretch>
                  </pic:blipFill>
                  <pic:spPr>
                    <a:xfrm>
                      <a:off x="0" y="0"/>
                      <a:ext cx="5544820" cy="3262630"/>
                    </a:xfrm>
                    <a:prstGeom prst="rect">
                      <a:avLst/>
                    </a:prstGeom>
                    <a:noFill/>
                    <a:ln>
                      <a:noFill/>
                    </a:ln>
                  </pic:spPr>
                </pic:pic>
              </a:graphicData>
            </a:graphic>
          </wp:inline>
        </w:drawing>
      </w:r>
    </w:p>
    <w:p w14:paraId="05D6FBA8">
      <w:pPr>
        <w:rPr>
          <w:rFonts w:hint="eastAsia" w:ascii="仿宋_GB2312" w:hAnsi="仿宋_GB2312" w:cs="仿宋_GB2312" w:eastAsiaTheme="minorEastAsia"/>
          <w:color w:val="auto"/>
          <w:sz w:val="28"/>
          <w:szCs w:val="28"/>
          <w:highlight w:val="none"/>
          <w:lang w:val="en-US" w:eastAsia="zh-CN"/>
        </w:rPr>
      </w:pPr>
      <w:r>
        <w:rPr>
          <w:rFonts w:hint="eastAsia" w:ascii="仿宋_GB2312" w:hAnsi="仿宋_GB2312" w:cs="仿宋_GB2312" w:eastAsiaTheme="minorEastAsia"/>
          <w:color w:val="auto"/>
          <w:sz w:val="28"/>
          <w:szCs w:val="28"/>
          <w:highlight w:val="none"/>
          <w:lang w:val="en-US" w:eastAsia="zh-CN"/>
        </w:rPr>
        <w:drawing>
          <wp:inline distT="0" distB="0" distL="114300" distR="114300">
            <wp:extent cx="5597525" cy="4664075"/>
            <wp:effectExtent l="0" t="0" r="3175" b="3175"/>
            <wp:docPr id="3" name="图片 3" descr="东海社区龙光天韵花园河涌旁用地示意图-Model_0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东海社区龙光天韵花园河涌旁用地示意图-Model_00_副本"/>
                    <pic:cNvPicPr>
                      <a:picLocks noChangeAspect="1"/>
                    </pic:cNvPicPr>
                  </pic:nvPicPr>
                  <pic:blipFill>
                    <a:blip r:embed="rId6"/>
                    <a:stretch>
                      <a:fillRect/>
                    </a:stretch>
                  </pic:blipFill>
                  <pic:spPr>
                    <a:xfrm>
                      <a:off x="0" y="0"/>
                      <a:ext cx="5597525" cy="4664075"/>
                    </a:xfrm>
                    <a:prstGeom prst="rect">
                      <a:avLst/>
                    </a:prstGeom>
                  </pic:spPr>
                </pic:pic>
              </a:graphicData>
            </a:graphic>
          </wp:inline>
        </w:drawing>
      </w:r>
    </w:p>
    <w:p w14:paraId="451517D8">
      <w:pPr>
        <w:ind w:firstLine="562" w:firstLineChars="200"/>
        <w:rPr>
          <w:rFonts w:hint="eastAsia"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（二）</w:t>
      </w:r>
      <w:r>
        <w:rPr>
          <w:rFonts w:hint="eastAsia" w:ascii="仿宋_GB2312" w:hAnsi="仿宋_GB2312" w:eastAsia="仿宋_GB2312" w:cs="仿宋_GB2312"/>
          <w:b/>
          <w:bCs/>
          <w:color w:val="auto"/>
          <w:sz w:val="28"/>
          <w:szCs w:val="28"/>
          <w:lang w:eastAsia="zh-CN"/>
        </w:rPr>
        <w:t>合作建设要求：</w:t>
      </w:r>
    </w:p>
    <w:p w14:paraId="7D1F31CF">
      <w:pPr>
        <w:spacing w:line="240" w:lineRule="auto"/>
        <w:ind w:firstLine="560" w:firstLineChars="200"/>
        <w:rPr>
          <w:rFonts w:hint="eastAsia" w:ascii="仿宋_GB2312" w:hAnsi="仿宋_GB2312" w:eastAsia="仿宋"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建设要求</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成功招商后立即开始建设，合作方承担所有建设费用。由于该区域靠近内河涌，沿河侧须通过打松木桩等进行加固，以防止产生滑坡现象。其中，</w:t>
      </w:r>
      <w:r>
        <w:rPr>
          <w:rFonts w:hint="eastAsia" w:ascii="仿宋_GB2312" w:hAnsi="仿宋_GB2312" w:eastAsia="仿宋_GB2312" w:cs="仿宋_GB2312"/>
          <w:color w:val="auto"/>
          <w:sz w:val="28"/>
          <w:szCs w:val="28"/>
          <w:highlight w:val="none"/>
          <w:lang w:val="en-US" w:eastAsia="zh-CN"/>
        </w:rPr>
        <w:t>A区域规划为小轿车停放区，</w:t>
      </w:r>
      <w:r>
        <w:rPr>
          <w:rFonts w:hint="eastAsia" w:ascii="仿宋_GB2312" w:hAnsi="仿宋_GB2312" w:eastAsia="仿宋_GB2312" w:cs="仿宋_GB2312"/>
          <w:color w:val="auto"/>
          <w:sz w:val="28"/>
          <w:szCs w:val="28"/>
          <w:highlight w:val="none"/>
          <w:lang w:val="en-US" w:eastAsia="zh-CN"/>
        </w:rPr>
        <w:t>设置智能地锁管理</w:t>
      </w:r>
      <w:r>
        <w:rPr>
          <w:rFonts w:hint="eastAsia" w:ascii="仿宋_GB2312" w:hAnsi="仿宋_GB2312" w:eastAsia="仿宋_GB2312" w:cs="仿宋_GB2312"/>
          <w:color w:val="auto"/>
          <w:sz w:val="28"/>
          <w:szCs w:val="28"/>
          <w:highlight w:val="none"/>
          <w:lang w:val="en-US" w:eastAsia="zh-CN"/>
        </w:rPr>
        <w:t>，地面铺设植草格砖，场地上的排污井盖须进行保护或更换为耐压材质，靠河涌侧须加建高约80厘米混凝土防撞墙</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B区域规划为电动自行车停车场，</w:t>
      </w:r>
      <w:r>
        <w:rPr>
          <w:rFonts w:hint="eastAsia" w:ascii="仿宋_GB2312" w:hAnsi="仿宋_GB2312" w:eastAsia="仿宋_GB2312" w:cs="仿宋_GB2312"/>
          <w:color w:val="auto"/>
          <w:sz w:val="28"/>
          <w:szCs w:val="28"/>
          <w:highlight w:val="none"/>
          <w:lang w:eastAsia="zh-CN"/>
        </w:rPr>
        <w:t>地面进行硬底化，</w:t>
      </w:r>
      <w:r>
        <w:rPr>
          <w:rFonts w:hint="eastAsia" w:ascii="仿宋_GB2312" w:hAnsi="仿宋_GB2312" w:eastAsia="仿宋_GB2312" w:cs="仿宋_GB2312"/>
          <w:color w:val="auto"/>
          <w:sz w:val="28"/>
          <w:szCs w:val="28"/>
          <w:highlight w:val="none"/>
          <w:lang w:val="en-US" w:eastAsia="zh-CN"/>
        </w:rPr>
        <w:t>配套遮阳（雨）棚，电动自行车智能充电接口，沿河侧加装镀锌管护栏。</w:t>
      </w:r>
      <w:r>
        <w:rPr>
          <w:rFonts w:hint="eastAsia" w:ascii="仿宋_GB2312" w:hAnsi="仿宋_GB2312" w:eastAsia="仿宋_GB2312" w:cs="仿宋_GB2312"/>
          <w:color w:val="auto"/>
          <w:sz w:val="28"/>
          <w:szCs w:val="28"/>
          <w:highlight w:val="none"/>
          <w:lang w:eastAsia="zh-CN"/>
        </w:rPr>
        <w:t>同时，须画好停车位、</w:t>
      </w:r>
      <w:r>
        <w:rPr>
          <w:rFonts w:hint="eastAsia" w:ascii="仿宋" w:hAnsi="仿宋" w:eastAsia="仿宋" w:cs="仿宋"/>
          <w:color w:val="auto"/>
          <w:sz w:val="28"/>
          <w:szCs w:val="28"/>
          <w:highlight w:val="none"/>
          <w:lang w:val="en-US" w:eastAsia="zh-CN"/>
        </w:rPr>
        <w:t>加建监控设备、加装收费公示牌、做好停车区域环境卫生保洁、场地设施维护，配备消防、安全生产器材等，并配合做好涉停车位问题投诉</w:t>
      </w:r>
      <w:r>
        <w:rPr>
          <w:rFonts w:hint="eastAsia" w:ascii="仿宋_GB2312" w:hAnsi="仿宋_GB2312" w:eastAsia="仿宋_GB2312" w:cs="仿宋_GB2312"/>
          <w:color w:val="auto"/>
          <w:sz w:val="28"/>
          <w:szCs w:val="28"/>
          <w:highlight w:val="none"/>
          <w:lang w:eastAsia="zh-CN"/>
        </w:rPr>
        <w:t>。</w:t>
      </w:r>
    </w:p>
    <w:p w14:paraId="00F3366C">
      <w:pPr>
        <w:spacing w:line="24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2、合作期限：10年。</w:t>
      </w:r>
    </w:p>
    <w:p w14:paraId="5D223E2C">
      <w:pPr>
        <w:spacing w:line="240" w:lineRule="auto"/>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3、合作租金底价：</w:t>
      </w:r>
      <w:r>
        <w:rPr>
          <w:rFonts w:hint="eastAsia" w:ascii="仿宋_GB2312" w:hAnsi="仿宋_GB2312" w:eastAsia="仿宋_GB2312" w:cs="仿宋_GB2312"/>
          <w:color w:val="auto"/>
          <w:sz w:val="28"/>
          <w:szCs w:val="28"/>
          <w:highlight w:val="none"/>
          <w:lang w:val="en-US" w:eastAsia="zh-CN"/>
        </w:rPr>
        <w:t>2元/平方米/月，每</w:t>
      </w:r>
      <w:r>
        <w:rPr>
          <w:rFonts w:hint="eastAsia" w:ascii="仿宋_GB2312" w:hAnsi="仿宋_GB2312" w:eastAsia="仿宋_GB2312" w:cs="仿宋_GB2312"/>
          <w:color w:val="auto"/>
          <w:sz w:val="28"/>
          <w:szCs w:val="28"/>
          <w:highlight w:val="none"/>
          <w:lang w:val="en-US" w:eastAsia="zh-CN"/>
        </w:rPr>
        <w:t>三</w:t>
      </w:r>
      <w:r>
        <w:rPr>
          <w:rFonts w:hint="eastAsia" w:ascii="仿宋_GB2312" w:hAnsi="仿宋_GB2312" w:eastAsia="仿宋_GB2312" w:cs="仿宋_GB2312"/>
          <w:color w:val="auto"/>
          <w:sz w:val="28"/>
          <w:szCs w:val="28"/>
          <w:highlight w:val="none"/>
          <w:lang w:val="en-US" w:eastAsia="zh-CN"/>
        </w:rPr>
        <w:t>年递增10%。</w:t>
      </w:r>
    </w:p>
    <w:p w14:paraId="683A7481">
      <w:pPr>
        <w:ind w:firstLine="560" w:firstLineChars="200"/>
        <w:rPr>
          <w:rFonts w:hint="eastAsia" w:ascii="仿宋_GB2312" w:hAnsi="仿宋_GB2312" w:eastAsia="仿宋_GB2312" w:cs="仿宋_GB2312"/>
          <w:b w:val="0"/>
          <w:bCs w:val="0"/>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租金缴纳方式：</w:t>
      </w:r>
      <w:r>
        <w:rPr>
          <w:rFonts w:hint="eastAsia" w:ascii="仿宋_GB2312" w:hAnsi="仿宋_GB2312" w:eastAsia="仿宋_GB2312" w:cs="仿宋_GB2312"/>
          <w:b w:val="0"/>
          <w:bCs w:val="0"/>
          <w:color w:val="auto"/>
          <w:sz w:val="28"/>
          <w:szCs w:val="28"/>
          <w:highlight w:val="none"/>
        </w:rPr>
        <w:t>非税收入，系统自动生成非税收入一般缴款书，</w:t>
      </w:r>
      <w:r>
        <w:rPr>
          <w:rFonts w:hint="eastAsia" w:ascii="仿宋_GB2312" w:hAnsi="仿宋_GB2312" w:eastAsia="仿宋_GB2312" w:cs="仿宋_GB2312"/>
          <w:b w:val="0"/>
          <w:bCs w:val="0"/>
          <w:color w:val="auto"/>
          <w:sz w:val="28"/>
          <w:szCs w:val="28"/>
          <w:highlight w:val="none"/>
          <w:lang w:eastAsia="zh-CN"/>
        </w:rPr>
        <w:t>每半</w:t>
      </w:r>
      <w:r>
        <w:rPr>
          <w:rFonts w:hint="eastAsia" w:ascii="仿宋_GB2312" w:hAnsi="仿宋_GB2312" w:eastAsia="仿宋_GB2312" w:cs="仿宋_GB2312"/>
          <w:b w:val="0"/>
          <w:bCs w:val="0"/>
          <w:color w:val="auto"/>
          <w:sz w:val="28"/>
          <w:szCs w:val="28"/>
          <w:highlight w:val="none"/>
          <w:lang w:val="en-US" w:eastAsia="zh-CN"/>
        </w:rPr>
        <w:t>年</w:t>
      </w:r>
      <w:r>
        <w:rPr>
          <w:rFonts w:hint="eastAsia" w:ascii="仿宋_GB2312" w:hAnsi="仿宋_GB2312" w:eastAsia="仿宋_GB2312" w:cs="仿宋_GB2312"/>
          <w:b w:val="0"/>
          <w:bCs w:val="0"/>
          <w:color w:val="auto"/>
          <w:sz w:val="28"/>
          <w:szCs w:val="28"/>
          <w:highlight w:val="none"/>
        </w:rPr>
        <w:t>支付</w:t>
      </w:r>
      <w:r>
        <w:rPr>
          <w:rFonts w:hint="eastAsia" w:ascii="仿宋_GB2312" w:hAnsi="仿宋_GB2312" w:eastAsia="仿宋_GB2312" w:cs="仿宋_GB2312"/>
          <w:b w:val="0"/>
          <w:bCs w:val="0"/>
          <w:color w:val="auto"/>
          <w:sz w:val="28"/>
          <w:szCs w:val="28"/>
          <w:highlight w:val="none"/>
          <w:lang w:eastAsia="zh-CN"/>
        </w:rPr>
        <w:t>一次</w:t>
      </w:r>
      <w:r>
        <w:rPr>
          <w:rFonts w:hint="eastAsia" w:ascii="仿宋_GB2312" w:hAnsi="仿宋_GB2312" w:eastAsia="仿宋_GB2312" w:cs="仿宋_GB2312"/>
          <w:b w:val="0"/>
          <w:bCs w:val="0"/>
          <w:color w:val="auto"/>
          <w:sz w:val="28"/>
          <w:szCs w:val="28"/>
          <w:highlight w:val="none"/>
        </w:rPr>
        <w:t>租金</w:t>
      </w:r>
      <w:r>
        <w:rPr>
          <w:rFonts w:hint="eastAsia" w:ascii="仿宋_GB2312" w:hAnsi="仿宋_GB2312" w:eastAsia="仿宋_GB2312" w:cs="仿宋_GB2312"/>
          <w:b w:val="0"/>
          <w:bCs w:val="0"/>
          <w:color w:val="auto"/>
          <w:sz w:val="28"/>
          <w:szCs w:val="28"/>
          <w:highlight w:val="none"/>
          <w:lang w:eastAsia="zh-CN"/>
        </w:rPr>
        <w:t>。</w:t>
      </w:r>
    </w:p>
    <w:p w14:paraId="2E8D2A08">
      <w:pPr>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计租时间：</w:t>
      </w:r>
      <w:r>
        <w:rPr>
          <w:rFonts w:hint="eastAsia" w:ascii="仿宋_GB2312" w:hAnsi="仿宋_GB2312" w:eastAsia="仿宋_GB2312" w:cs="仿宋_GB2312"/>
          <w:color w:val="auto"/>
          <w:sz w:val="28"/>
          <w:szCs w:val="28"/>
          <w:highlight w:val="none"/>
          <w:lang w:eastAsia="zh-CN"/>
        </w:rPr>
        <w:t>建设</w:t>
      </w:r>
      <w:r>
        <w:rPr>
          <w:rFonts w:hint="eastAsia" w:ascii="仿宋_GB2312" w:hAnsi="仿宋_GB2312" w:eastAsia="仿宋_GB2312" w:cs="仿宋_GB2312"/>
          <w:b w:val="0"/>
          <w:bCs w:val="0"/>
          <w:color w:val="auto"/>
          <w:sz w:val="28"/>
          <w:szCs w:val="28"/>
          <w:highlight w:val="none"/>
          <w:lang w:val="en-US" w:eastAsia="zh-CN"/>
        </w:rPr>
        <w:t>免租期2个月，试运营免租期1个月</w:t>
      </w:r>
      <w:r>
        <w:rPr>
          <w:rFonts w:hint="eastAsia" w:ascii="仿宋_GB2312" w:hAnsi="仿宋_GB2312" w:eastAsia="仿宋_GB2312" w:cs="仿宋_GB2312"/>
          <w:color w:val="auto"/>
          <w:sz w:val="28"/>
          <w:szCs w:val="28"/>
          <w:highlight w:val="none"/>
        </w:rPr>
        <w:t>。</w:t>
      </w:r>
    </w:p>
    <w:p w14:paraId="14926F62">
      <w:pPr>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收费指导价：</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1289"/>
        <w:gridCol w:w="5179"/>
      </w:tblGrid>
      <w:tr w14:paraId="04B3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3" w:type="dxa"/>
            <w:gridSpan w:val="2"/>
            <w:noWrap w:val="0"/>
            <w:vAlign w:val="top"/>
          </w:tcPr>
          <w:p w14:paraId="4FCFE961">
            <w:pPr>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车辆类型</w:t>
            </w:r>
          </w:p>
        </w:tc>
        <w:tc>
          <w:tcPr>
            <w:tcW w:w="5179" w:type="dxa"/>
            <w:noWrap w:val="0"/>
            <w:vAlign w:val="top"/>
          </w:tcPr>
          <w:p w14:paraId="4C27E550">
            <w:pPr>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收费标准</w:t>
            </w:r>
          </w:p>
        </w:tc>
      </w:tr>
      <w:tr w14:paraId="7D00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3343" w:type="dxa"/>
            <w:gridSpan w:val="2"/>
            <w:noWrap w:val="0"/>
            <w:vAlign w:val="center"/>
          </w:tcPr>
          <w:p w14:paraId="1F6D9D31">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小轿车</w:t>
            </w:r>
          </w:p>
        </w:tc>
        <w:tc>
          <w:tcPr>
            <w:tcW w:w="5179" w:type="dxa"/>
            <w:noWrap w:val="0"/>
            <w:vAlign w:val="top"/>
          </w:tcPr>
          <w:p w14:paraId="4CB93F69">
            <w:pPr>
              <w:rPr>
                <w:rFonts w:hint="eastAsia" w:ascii="仿宋" w:hAnsi="仿宋" w:eastAsia="仿宋" w:cs="仿宋"/>
                <w:color w:val="auto"/>
                <w:sz w:val="30"/>
                <w:szCs w:val="30"/>
                <w:lang w:eastAsia="zh-CN"/>
              </w:rPr>
            </w:pPr>
            <w:r>
              <w:rPr>
                <w:rFonts w:hint="eastAsia" w:ascii="仿宋" w:hAnsi="仿宋" w:eastAsia="仿宋" w:cs="仿宋"/>
                <w:color w:val="auto"/>
                <w:sz w:val="30"/>
                <w:szCs w:val="30"/>
                <w:lang w:eastAsia="zh-CN"/>
              </w:rPr>
              <w:t>半</w:t>
            </w:r>
            <w:r>
              <w:rPr>
                <w:rFonts w:hint="eastAsia" w:ascii="仿宋" w:hAnsi="仿宋" w:eastAsia="仿宋" w:cs="仿宋"/>
                <w:color w:val="auto"/>
                <w:sz w:val="30"/>
                <w:szCs w:val="30"/>
              </w:rPr>
              <w:t>小时内免费，</w:t>
            </w:r>
            <w:r>
              <w:rPr>
                <w:rFonts w:hint="eastAsia" w:ascii="仿宋" w:hAnsi="仿宋" w:eastAsia="仿宋" w:cs="仿宋"/>
                <w:color w:val="auto"/>
                <w:sz w:val="30"/>
                <w:szCs w:val="30"/>
                <w:lang w:val="en-US" w:eastAsia="zh-CN"/>
              </w:rPr>
              <w:t>30分钟-</w:t>
            </w:r>
            <w:r>
              <w:rPr>
                <w:rFonts w:hint="eastAsia" w:ascii="仿宋" w:hAnsi="仿宋" w:eastAsia="仿宋" w:cs="仿宋"/>
                <w:color w:val="auto"/>
                <w:sz w:val="30"/>
                <w:szCs w:val="30"/>
              </w:rPr>
              <w:t>1小时内5元</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1小时以上每增加1小时加5元</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24小时封顶40元</w:t>
            </w:r>
            <w:r>
              <w:rPr>
                <w:rFonts w:hint="eastAsia" w:ascii="仿宋" w:hAnsi="仿宋" w:eastAsia="仿宋" w:cs="仿宋"/>
                <w:color w:val="auto"/>
                <w:sz w:val="30"/>
                <w:szCs w:val="30"/>
              </w:rPr>
              <w:t>。</w:t>
            </w:r>
            <w:r>
              <w:rPr>
                <w:rFonts w:hint="eastAsia" w:ascii="仿宋" w:hAnsi="仿宋" w:eastAsia="仿宋" w:cs="仿宋"/>
                <w:color w:val="auto"/>
                <w:sz w:val="30"/>
                <w:szCs w:val="30"/>
                <w:lang w:eastAsia="zh-CN"/>
              </w:rPr>
              <w:t>超过</w:t>
            </w:r>
            <w:r>
              <w:rPr>
                <w:rFonts w:hint="eastAsia" w:ascii="仿宋" w:hAnsi="仿宋" w:eastAsia="仿宋" w:cs="仿宋"/>
                <w:color w:val="auto"/>
                <w:sz w:val="30"/>
                <w:szCs w:val="30"/>
                <w:lang w:val="en-US" w:eastAsia="zh-CN"/>
              </w:rPr>
              <w:t>24小时循环收费</w:t>
            </w:r>
          </w:p>
        </w:tc>
      </w:tr>
      <w:tr w14:paraId="4404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054" w:type="dxa"/>
            <w:vMerge w:val="restart"/>
            <w:noWrap w:val="0"/>
            <w:vAlign w:val="center"/>
          </w:tcPr>
          <w:p w14:paraId="31D05285">
            <w:pPr>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电动自行车</w:t>
            </w:r>
          </w:p>
        </w:tc>
        <w:tc>
          <w:tcPr>
            <w:tcW w:w="1289" w:type="dxa"/>
            <w:noWrap w:val="0"/>
            <w:vAlign w:val="center"/>
          </w:tcPr>
          <w:p w14:paraId="692D2705">
            <w:pPr>
              <w:jc w:val="center"/>
              <w:rPr>
                <w:rFonts w:hint="eastAsia" w:ascii="仿宋" w:hAnsi="仿宋" w:eastAsia="仿宋" w:cs="仿宋"/>
                <w:b w:val="0"/>
                <w:bCs w:val="0"/>
                <w:color w:val="auto"/>
                <w:sz w:val="32"/>
                <w:szCs w:val="32"/>
                <w:vertAlign w:val="baseline"/>
                <w:lang w:eastAsia="zh-CN"/>
              </w:rPr>
            </w:pPr>
            <w:r>
              <w:rPr>
                <w:rFonts w:hint="eastAsia" w:ascii="仿宋" w:hAnsi="仿宋" w:eastAsia="仿宋" w:cs="仿宋"/>
                <w:b w:val="0"/>
                <w:bCs w:val="0"/>
                <w:color w:val="auto"/>
                <w:sz w:val="32"/>
                <w:szCs w:val="32"/>
                <w:vertAlign w:val="baseline"/>
                <w:lang w:eastAsia="zh-CN"/>
              </w:rPr>
              <w:t>停放</w:t>
            </w:r>
          </w:p>
        </w:tc>
        <w:tc>
          <w:tcPr>
            <w:tcW w:w="5179" w:type="dxa"/>
            <w:noWrap w:val="0"/>
            <w:vAlign w:val="center"/>
          </w:tcPr>
          <w:p w14:paraId="386DC7F7">
            <w:pPr>
              <w:jc w:val="left"/>
              <w:rPr>
                <w:rFonts w:hint="eastAsia" w:ascii="仿宋" w:hAnsi="仿宋" w:eastAsia="仿宋" w:cs="仿宋"/>
                <w:color w:val="auto"/>
                <w:sz w:val="32"/>
                <w:szCs w:val="32"/>
              </w:rPr>
            </w:pPr>
            <w:r>
              <w:rPr>
                <w:rFonts w:hint="eastAsia" w:ascii="仿宋" w:hAnsi="仿宋" w:eastAsia="仿宋" w:cs="仿宋"/>
                <w:b w:val="0"/>
                <w:bCs w:val="0"/>
                <w:color w:val="auto"/>
                <w:sz w:val="32"/>
                <w:szCs w:val="32"/>
                <w:vertAlign w:val="baseline"/>
                <w:lang w:val="en-US" w:eastAsia="zh-CN"/>
              </w:rPr>
              <w:t>不收费</w:t>
            </w:r>
          </w:p>
        </w:tc>
      </w:tr>
      <w:tr w14:paraId="5C72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054" w:type="dxa"/>
            <w:vMerge w:val="continue"/>
            <w:noWrap w:val="0"/>
            <w:vAlign w:val="center"/>
          </w:tcPr>
          <w:p w14:paraId="75D595EB">
            <w:pPr>
              <w:jc w:val="center"/>
              <w:rPr>
                <w:rFonts w:hint="eastAsia" w:ascii="仿宋" w:hAnsi="仿宋" w:eastAsia="仿宋" w:cs="仿宋"/>
                <w:color w:val="auto"/>
                <w:sz w:val="32"/>
                <w:szCs w:val="32"/>
                <w:lang w:eastAsia="zh-CN"/>
              </w:rPr>
            </w:pPr>
          </w:p>
        </w:tc>
        <w:tc>
          <w:tcPr>
            <w:tcW w:w="1289" w:type="dxa"/>
            <w:noWrap w:val="0"/>
            <w:vAlign w:val="center"/>
          </w:tcPr>
          <w:p w14:paraId="11759E7E">
            <w:pPr>
              <w:jc w:val="center"/>
              <w:rPr>
                <w:rFonts w:hint="eastAsia" w:ascii="仿宋" w:hAnsi="仿宋" w:eastAsia="仿宋" w:cs="仿宋"/>
                <w:b w:val="0"/>
                <w:bCs w:val="0"/>
                <w:color w:val="auto"/>
                <w:sz w:val="32"/>
                <w:szCs w:val="32"/>
                <w:vertAlign w:val="baseline"/>
                <w:lang w:eastAsia="zh-CN"/>
              </w:rPr>
            </w:pPr>
            <w:r>
              <w:rPr>
                <w:rFonts w:hint="eastAsia" w:ascii="仿宋" w:hAnsi="仿宋" w:eastAsia="仿宋" w:cs="仿宋"/>
                <w:b w:val="0"/>
                <w:bCs w:val="0"/>
                <w:color w:val="auto"/>
                <w:sz w:val="32"/>
                <w:szCs w:val="32"/>
                <w:vertAlign w:val="baseline"/>
                <w:lang w:eastAsia="zh-CN"/>
              </w:rPr>
              <w:t>充电</w:t>
            </w:r>
          </w:p>
        </w:tc>
        <w:tc>
          <w:tcPr>
            <w:tcW w:w="5179" w:type="dxa"/>
            <w:noWrap w:val="0"/>
            <w:vAlign w:val="top"/>
          </w:tcPr>
          <w:p w14:paraId="5F9DB679">
            <w:pPr>
              <w:jc w:val="both"/>
              <w:rPr>
                <w:rFonts w:hint="eastAsia" w:ascii="仿宋" w:hAnsi="仿宋" w:eastAsia="仿宋" w:cs="仿宋"/>
                <w:b w:val="0"/>
                <w:bCs w:val="0"/>
                <w:color w:val="auto"/>
                <w:sz w:val="32"/>
                <w:szCs w:val="32"/>
                <w:vertAlign w:val="baseline"/>
                <w:lang w:val="en-US" w:eastAsia="zh-CN"/>
              </w:rPr>
            </w:pPr>
            <w:r>
              <w:rPr>
                <w:rFonts w:hint="eastAsia" w:ascii="仿宋" w:hAnsi="仿宋" w:eastAsia="仿宋" w:cs="仿宋"/>
                <w:b w:val="0"/>
                <w:bCs w:val="0"/>
                <w:color w:val="auto"/>
                <w:sz w:val="32"/>
                <w:szCs w:val="32"/>
                <w:vertAlign w:val="baseline"/>
                <w:lang w:val="en-US" w:eastAsia="zh-CN"/>
              </w:rPr>
              <w:t>按市场价调节收费</w:t>
            </w:r>
          </w:p>
        </w:tc>
      </w:tr>
    </w:tbl>
    <w:p w14:paraId="2B337A0C">
      <w:pPr>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7、系统及数据管理要求：</w:t>
      </w:r>
    </w:p>
    <w:p w14:paraId="15CE71E4">
      <w:pPr>
        <w:spacing w:line="24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1.道闸收费系统（如有）须无条件配合接入镇统一管理平台；</w:t>
      </w:r>
    </w:p>
    <w:p w14:paraId="6CC9C9CE">
      <w:pPr>
        <w:spacing w:line="240" w:lineRule="auto"/>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2.道闸收费系统、现场监控系统等须增加东海社区账号作为管理员。</w:t>
      </w:r>
    </w:p>
    <w:p w14:paraId="23D520C0">
      <w:pPr>
        <w:spacing w:line="240" w:lineRule="auto"/>
        <w:ind w:firstLine="562" w:firstLineChars="200"/>
        <w:rPr>
          <w:rFonts w:hint="eastAsia" w:ascii="仿宋_GB2312" w:hAnsi="仿宋_GB2312" w:eastAsia="仿宋_GB2312" w:cs="仿宋_GB2312"/>
          <w:color w:val="auto"/>
          <w:sz w:val="28"/>
          <w:szCs w:val="28"/>
          <w:highlight w:val="none"/>
        </w:rPr>
      </w:pPr>
      <w:r>
        <w:rPr>
          <w:rFonts w:hint="eastAsia" w:ascii="黑体" w:hAnsi="黑体" w:eastAsia="黑体" w:cs="黑体"/>
          <w:b/>
          <w:bCs/>
          <w:color w:val="auto"/>
          <w:sz w:val="28"/>
          <w:szCs w:val="28"/>
          <w:highlight w:val="none"/>
        </w:rPr>
        <w:t>二、规划用途：</w:t>
      </w:r>
      <w:r>
        <w:rPr>
          <w:rFonts w:hint="eastAsia" w:ascii="仿宋_GB2312" w:hAnsi="仿宋_GB2312" w:eastAsia="仿宋_GB2312" w:cs="仿宋_GB2312"/>
          <w:color w:val="auto"/>
          <w:sz w:val="28"/>
          <w:szCs w:val="28"/>
          <w:highlight w:val="none"/>
          <w:lang w:eastAsia="zh-CN"/>
        </w:rPr>
        <w:t>出租区域</w:t>
      </w:r>
      <w:r>
        <w:rPr>
          <w:rFonts w:hint="eastAsia" w:ascii="仿宋_GB2312" w:hAnsi="仿宋_GB2312" w:eastAsia="仿宋_GB2312" w:cs="仿宋_GB2312"/>
          <w:color w:val="auto"/>
          <w:sz w:val="28"/>
          <w:szCs w:val="28"/>
          <w:highlight w:val="none"/>
        </w:rPr>
        <w:t>作</w:t>
      </w:r>
      <w:r>
        <w:rPr>
          <w:rFonts w:hint="eastAsia" w:ascii="仿宋_GB2312" w:hAnsi="仿宋_GB2312" w:eastAsia="仿宋_GB2312" w:cs="仿宋_GB2312"/>
          <w:b w:val="0"/>
          <w:bCs w:val="0"/>
          <w:color w:val="auto"/>
          <w:sz w:val="28"/>
          <w:szCs w:val="28"/>
          <w:highlight w:val="none"/>
          <w:lang w:val="en-US" w:eastAsia="zh-CN"/>
        </w:rPr>
        <w:t>停车场</w:t>
      </w:r>
      <w:r>
        <w:rPr>
          <w:rFonts w:hint="eastAsia" w:ascii="仿宋" w:hAnsi="仿宋" w:eastAsia="仿宋" w:cs="仿宋"/>
          <w:b w:val="0"/>
          <w:bCs w:val="0"/>
          <w:color w:val="auto"/>
          <w:sz w:val="28"/>
          <w:szCs w:val="28"/>
          <w:highlight w:val="none"/>
          <w:lang w:val="en-US" w:eastAsia="zh-CN"/>
        </w:rPr>
        <w:t>、绿地</w:t>
      </w:r>
      <w:r>
        <w:rPr>
          <w:rFonts w:hint="eastAsia" w:ascii="仿宋_GB2312" w:hAnsi="仿宋_GB2312" w:eastAsia="仿宋_GB2312" w:cs="仿宋_GB2312"/>
          <w:color w:val="auto"/>
          <w:sz w:val="28"/>
          <w:szCs w:val="28"/>
          <w:highlight w:val="none"/>
          <w:lang w:eastAsia="zh-CN"/>
        </w:rPr>
        <w:t>使用</w:t>
      </w:r>
      <w:r>
        <w:rPr>
          <w:rFonts w:hint="eastAsia" w:ascii="仿宋_GB2312" w:hAnsi="仿宋_GB2312" w:eastAsia="仿宋_GB2312" w:cs="仿宋_GB2312"/>
          <w:color w:val="auto"/>
          <w:sz w:val="28"/>
          <w:szCs w:val="28"/>
          <w:highlight w:val="none"/>
        </w:rPr>
        <w:t>；</w:t>
      </w:r>
    </w:p>
    <w:p w14:paraId="1798858A">
      <w:pPr>
        <w:spacing w:line="240" w:lineRule="auto"/>
        <w:ind w:firstLine="562" w:firstLineChars="200"/>
        <w:rPr>
          <w:rFonts w:hint="eastAsia" w:ascii="仿宋_GB2312" w:hAnsi="仿宋_GB2312" w:eastAsia="仿宋_GB2312" w:cs="仿宋_GB2312"/>
          <w:color w:val="auto"/>
          <w:sz w:val="28"/>
          <w:szCs w:val="28"/>
          <w:highlight w:val="none"/>
        </w:rPr>
      </w:pPr>
      <w:r>
        <w:rPr>
          <w:rFonts w:hint="eastAsia" w:ascii="黑体" w:hAnsi="黑体" w:eastAsia="黑体" w:cs="黑体"/>
          <w:b/>
          <w:bCs/>
          <w:color w:val="auto"/>
          <w:sz w:val="28"/>
          <w:szCs w:val="28"/>
          <w:highlight w:val="none"/>
        </w:rPr>
        <w:t>三、</w:t>
      </w:r>
      <w:r>
        <w:rPr>
          <w:rFonts w:hint="eastAsia" w:ascii="黑体" w:hAnsi="黑体" w:eastAsia="黑体" w:cs="黑体"/>
          <w:b/>
          <w:bCs/>
          <w:color w:val="auto"/>
          <w:sz w:val="28"/>
          <w:szCs w:val="28"/>
          <w:highlight w:val="none"/>
          <w:lang w:val="en-US" w:eastAsia="zh-CN"/>
        </w:rPr>
        <w:t>投标</w:t>
      </w:r>
      <w:r>
        <w:rPr>
          <w:rFonts w:hint="eastAsia" w:ascii="黑体" w:hAnsi="黑体" w:eastAsia="黑体" w:cs="黑体"/>
          <w:b/>
          <w:bCs/>
          <w:color w:val="auto"/>
          <w:sz w:val="28"/>
          <w:szCs w:val="28"/>
          <w:highlight w:val="none"/>
        </w:rPr>
        <w:t>保证金：</w:t>
      </w:r>
      <w:r>
        <w:rPr>
          <w:rFonts w:hint="eastAsia" w:ascii="仿宋_GB2312" w:hAnsi="仿宋_GB2312" w:eastAsia="仿宋_GB2312" w:cs="仿宋_GB2312"/>
          <w:b w:val="0"/>
          <w:bCs w:val="0"/>
          <w:color w:val="auto"/>
          <w:sz w:val="28"/>
          <w:szCs w:val="28"/>
          <w:highlight w:val="none"/>
          <w:lang w:val="en-US" w:eastAsia="zh-CN"/>
        </w:rPr>
        <w:t>10000</w:t>
      </w:r>
      <w:r>
        <w:rPr>
          <w:rFonts w:hint="eastAsia" w:ascii="仿宋_GB2312" w:hAnsi="仿宋_GB2312" w:eastAsia="仿宋_GB2312" w:cs="仿宋_GB2312"/>
          <w:b w:val="0"/>
          <w:bCs w:val="0"/>
          <w:color w:val="auto"/>
          <w:sz w:val="28"/>
          <w:szCs w:val="28"/>
          <w:highlight w:val="none"/>
        </w:rPr>
        <w:t>元人民币</w:t>
      </w:r>
      <w:r>
        <w:rPr>
          <w:rFonts w:hint="eastAsia" w:ascii="仿宋_GB2312" w:hAnsi="仿宋_GB2312" w:eastAsia="仿宋_GB2312" w:cs="仿宋_GB2312"/>
          <w:b w:val="0"/>
          <w:bCs w:val="0"/>
          <w:color w:val="auto"/>
          <w:sz w:val="28"/>
          <w:szCs w:val="28"/>
          <w:highlight w:val="none"/>
          <w:lang w:eastAsia="zh-CN"/>
        </w:rPr>
        <w:t>（大写：壹万元整）</w:t>
      </w:r>
      <w:r>
        <w:rPr>
          <w:rFonts w:hint="eastAsia" w:ascii="仿宋_GB2312" w:hAnsi="仿宋_GB2312" w:eastAsia="仿宋_GB2312" w:cs="仿宋_GB2312"/>
          <w:b w:val="0"/>
          <w:bCs w:val="0"/>
          <w:color w:val="auto"/>
          <w:sz w:val="28"/>
          <w:szCs w:val="28"/>
          <w:highlight w:val="none"/>
        </w:rPr>
        <w:t>；</w:t>
      </w:r>
    </w:p>
    <w:p w14:paraId="59E2DF42">
      <w:pPr>
        <w:spacing w:line="240" w:lineRule="auto"/>
        <w:ind w:firstLine="562" w:firstLineChars="200"/>
        <w:rPr>
          <w:rFonts w:hint="eastAsia" w:ascii="仿宋_GB2312" w:hAnsi="仿宋_GB2312" w:eastAsia="仿宋_GB2312" w:cs="仿宋_GB2312"/>
          <w:color w:val="auto"/>
          <w:sz w:val="28"/>
          <w:szCs w:val="28"/>
          <w:highlight w:val="none"/>
        </w:rPr>
      </w:pPr>
      <w:r>
        <w:rPr>
          <w:rFonts w:hint="eastAsia" w:ascii="黑体" w:hAnsi="黑体" w:eastAsia="黑体" w:cs="黑体"/>
          <w:b/>
          <w:bCs/>
          <w:color w:val="auto"/>
          <w:sz w:val="28"/>
          <w:szCs w:val="28"/>
          <w:highlight w:val="none"/>
        </w:rPr>
        <w:t>四、投标报名：</w:t>
      </w:r>
    </w:p>
    <w:p w14:paraId="700EA8F5">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1、参与竞投者须缴纳投标保证金</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lang w:val="en-US" w:eastAsia="zh-CN"/>
        </w:rPr>
        <w:t>缴纳保证金账号必须与竞投者保持一致</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缴交时要备注具体参投项目</w:t>
      </w:r>
      <w:r>
        <w:rPr>
          <w:rFonts w:hint="eastAsia" w:ascii="仿宋_GB2312" w:hAnsi="仿宋_GB2312" w:eastAsia="仿宋_GB2312" w:cs="仿宋_GB2312"/>
          <w:b w:val="0"/>
          <w:bCs w:val="0"/>
          <w:color w:val="auto"/>
          <w:sz w:val="28"/>
          <w:szCs w:val="28"/>
          <w:highlight w:val="none"/>
        </w:rPr>
        <w:t>，竞投者</w:t>
      </w:r>
      <w:r>
        <w:rPr>
          <w:rFonts w:hint="eastAsia" w:ascii="仿宋_GB2312" w:hAnsi="仿宋_GB2312" w:eastAsia="仿宋_GB2312" w:cs="仿宋_GB2312"/>
          <w:color w:val="auto"/>
          <w:sz w:val="28"/>
          <w:szCs w:val="28"/>
          <w:highlight w:val="none"/>
        </w:rPr>
        <w:t>请于</w:t>
      </w:r>
      <w:r>
        <w:rPr>
          <w:rFonts w:hint="eastAsia" w:ascii="仿宋_GB2312" w:hAnsi="仿宋_GB2312" w:eastAsia="仿宋_GB2312" w:cs="仿宋_GB2312"/>
          <w:i w:val="0"/>
          <w:caps w:val="0"/>
          <w:color w:val="auto"/>
          <w:spacing w:val="0"/>
          <w:sz w:val="28"/>
          <w:szCs w:val="28"/>
          <w:highlight w:val="none"/>
        </w:rPr>
        <w:t>202</w:t>
      </w:r>
      <w:r>
        <w:rPr>
          <w:rFonts w:hint="eastAsia" w:ascii="仿宋_GB2312" w:hAnsi="仿宋_GB2312" w:eastAsia="仿宋_GB2312" w:cs="仿宋_GB2312"/>
          <w:i w:val="0"/>
          <w:caps w:val="0"/>
          <w:color w:val="auto"/>
          <w:spacing w:val="0"/>
          <w:sz w:val="28"/>
          <w:szCs w:val="28"/>
          <w:highlight w:val="none"/>
          <w:lang w:val="en-US" w:eastAsia="zh-CN"/>
        </w:rPr>
        <w:t>5</w:t>
      </w:r>
      <w:r>
        <w:rPr>
          <w:rFonts w:hint="eastAsia" w:ascii="仿宋_GB2312" w:hAnsi="仿宋_GB2312" w:eastAsia="仿宋_GB2312" w:cs="仿宋_GB2312"/>
          <w:i w:val="0"/>
          <w:caps w:val="0"/>
          <w:color w:val="auto"/>
          <w:spacing w:val="0"/>
          <w:sz w:val="28"/>
          <w:szCs w:val="28"/>
          <w:highlight w:val="none"/>
        </w:rPr>
        <w:t>年</w:t>
      </w:r>
      <w:r>
        <w:rPr>
          <w:rFonts w:hint="eastAsia" w:ascii="仿宋_GB2312" w:hAnsi="仿宋_GB2312" w:eastAsia="仿宋_GB2312" w:cs="仿宋_GB2312"/>
          <w:i w:val="0"/>
          <w:caps w:val="0"/>
          <w:color w:val="auto"/>
          <w:spacing w:val="0"/>
          <w:sz w:val="28"/>
          <w:szCs w:val="28"/>
          <w:highlight w:val="none"/>
          <w:lang w:val="en-US" w:eastAsia="zh-CN"/>
        </w:rPr>
        <w:t>8</w:t>
      </w:r>
      <w:r>
        <w:rPr>
          <w:rFonts w:hint="eastAsia" w:ascii="仿宋_GB2312" w:hAnsi="仿宋_GB2312" w:eastAsia="仿宋_GB2312" w:cs="仿宋_GB2312"/>
          <w:i w:val="0"/>
          <w:caps w:val="0"/>
          <w:color w:val="auto"/>
          <w:spacing w:val="0"/>
          <w:sz w:val="28"/>
          <w:szCs w:val="28"/>
          <w:highlight w:val="none"/>
        </w:rPr>
        <w:t>月</w:t>
      </w:r>
      <w:r>
        <w:rPr>
          <w:rFonts w:hint="eastAsia" w:ascii="仿宋_GB2312" w:hAnsi="仿宋_GB2312" w:eastAsia="仿宋_GB2312" w:cs="仿宋_GB2312"/>
          <w:i w:val="0"/>
          <w:caps w:val="0"/>
          <w:color w:val="auto"/>
          <w:spacing w:val="0"/>
          <w:sz w:val="28"/>
          <w:szCs w:val="28"/>
          <w:highlight w:val="none"/>
          <w:lang w:val="en-US" w:eastAsia="zh-CN"/>
        </w:rPr>
        <w:t>29</w:t>
      </w:r>
      <w:r>
        <w:rPr>
          <w:rFonts w:hint="eastAsia" w:ascii="仿宋_GB2312" w:hAnsi="仿宋_GB2312" w:eastAsia="仿宋_GB2312" w:cs="仿宋_GB2312"/>
          <w:color w:val="auto"/>
          <w:sz w:val="28"/>
          <w:szCs w:val="28"/>
          <w:highlight w:val="none"/>
        </w:rPr>
        <w:t>日16：00前自行到</w:t>
      </w:r>
      <w:r>
        <w:rPr>
          <w:rFonts w:hint="eastAsia" w:ascii="仿宋_GB2312" w:hAnsi="仿宋_GB2312" w:eastAsia="仿宋_GB2312" w:cs="仿宋_GB2312"/>
          <w:color w:val="auto"/>
          <w:sz w:val="28"/>
          <w:szCs w:val="28"/>
          <w:highlight w:val="none"/>
          <w:lang w:eastAsia="zh-CN"/>
        </w:rPr>
        <w:t>建设银行东富路</w:t>
      </w:r>
      <w:r>
        <w:rPr>
          <w:rFonts w:hint="eastAsia" w:ascii="仿宋_GB2312" w:hAnsi="仿宋_GB2312" w:eastAsia="仿宋_GB2312" w:cs="仿宋_GB2312"/>
          <w:color w:val="auto"/>
          <w:sz w:val="28"/>
          <w:szCs w:val="28"/>
          <w:highlight w:val="none"/>
        </w:rPr>
        <w:t>支行缴纳（银行名称：</w:t>
      </w:r>
      <w:r>
        <w:rPr>
          <w:rFonts w:hint="eastAsia" w:ascii="仿宋_GB2312" w:hAnsi="仿宋_GB2312" w:eastAsia="仿宋_GB2312" w:cs="仿宋_GB2312"/>
          <w:color w:val="auto"/>
          <w:sz w:val="28"/>
          <w:szCs w:val="28"/>
          <w:highlight w:val="none"/>
          <w:lang w:eastAsia="zh-CN"/>
        </w:rPr>
        <w:t>中国建设银行中山东凤东富路支行</w:t>
      </w:r>
      <w:r>
        <w:rPr>
          <w:rFonts w:hint="eastAsia" w:ascii="仿宋_GB2312" w:hAnsi="仿宋_GB2312" w:eastAsia="仿宋_GB2312" w:cs="仿宋_GB2312"/>
          <w:color w:val="auto"/>
          <w:sz w:val="28"/>
          <w:szCs w:val="28"/>
          <w:highlight w:val="none"/>
        </w:rPr>
        <w:t>，单位名称：广东省中山市东凤镇东海社区居民委员会，账号：</w:t>
      </w:r>
      <w:r>
        <w:rPr>
          <w:rFonts w:hint="eastAsia" w:ascii="仿宋_GB2312" w:hAnsi="仿宋_GB2312" w:eastAsia="仿宋_GB2312" w:cs="仿宋_GB2312"/>
          <w:color w:val="auto"/>
          <w:sz w:val="28"/>
          <w:szCs w:val="28"/>
          <w:highlight w:val="none"/>
          <w:lang w:val="en-US" w:eastAsia="zh-CN"/>
        </w:rPr>
        <w:t>44050178180100001067</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t>。未中标者</w:t>
      </w:r>
      <w:r>
        <w:rPr>
          <w:rFonts w:hint="eastAsia" w:ascii="仿宋_GB2312" w:hAnsi="仿宋_GB2312" w:eastAsia="仿宋_GB2312" w:cs="仿宋_GB2312"/>
          <w:color w:val="auto"/>
          <w:sz w:val="28"/>
          <w:szCs w:val="28"/>
          <w:highlight w:val="none"/>
          <w:lang w:eastAsia="zh-CN"/>
        </w:rPr>
        <w:t>凭</w:t>
      </w:r>
      <w:r>
        <w:rPr>
          <w:rFonts w:hint="eastAsia" w:ascii="仿宋_GB2312" w:hAnsi="仿宋_GB2312" w:eastAsia="仿宋_GB2312" w:cs="仿宋_GB2312"/>
          <w:color w:val="auto"/>
          <w:sz w:val="28"/>
          <w:szCs w:val="28"/>
          <w:highlight w:val="none"/>
          <w:lang w:val="en-US" w:eastAsia="zh-CN"/>
        </w:rPr>
        <w:t>保证金缴款单回执、收款收据办理退回手续，</w:t>
      </w:r>
      <w:r>
        <w:rPr>
          <w:rFonts w:hint="eastAsia" w:ascii="仿宋_GB2312" w:hAnsi="仿宋_GB2312" w:eastAsia="仿宋_GB2312" w:cs="仿宋_GB2312"/>
          <w:color w:val="auto"/>
          <w:sz w:val="28"/>
          <w:szCs w:val="28"/>
          <w:highlight w:val="none"/>
          <w:lang w:eastAsia="zh-CN"/>
        </w:rPr>
        <w:t>社区</w:t>
      </w:r>
      <w:r>
        <w:rPr>
          <w:rFonts w:hint="eastAsia" w:ascii="仿宋_GB2312" w:hAnsi="仿宋_GB2312" w:eastAsia="仿宋_GB2312" w:cs="仿宋_GB2312"/>
          <w:color w:val="auto"/>
          <w:sz w:val="28"/>
          <w:szCs w:val="28"/>
          <w:highlight w:val="none"/>
          <w:lang w:val="en-US" w:eastAsia="zh-CN"/>
        </w:rPr>
        <w:t>于20</w:t>
      </w:r>
      <w:r>
        <w:rPr>
          <w:rFonts w:hint="eastAsia" w:ascii="仿宋_GB2312" w:hAnsi="仿宋_GB2312" w:eastAsia="仿宋_GB2312" w:cs="仿宋_GB2312"/>
          <w:color w:val="auto"/>
          <w:sz w:val="28"/>
          <w:szCs w:val="28"/>
          <w:highlight w:val="none"/>
        </w:rPr>
        <w:t>个工作日内退还保证金本金</w:t>
      </w:r>
      <w:r>
        <w:rPr>
          <w:rFonts w:hint="eastAsia" w:ascii="仿宋_GB2312" w:hAnsi="仿宋_GB2312" w:eastAsia="仿宋_GB2312" w:cs="仿宋_GB2312"/>
          <w:color w:val="auto"/>
          <w:sz w:val="28"/>
          <w:szCs w:val="28"/>
          <w:highlight w:val="none"/>
          <w:lang w:eastAsia="zh-CN"/>
        </w:rPr>
        <w:t>。</w:t>
      </w:r>
      <w:r>
        <w:rPr>
          <w:rFonts w:hint="eastAsia" w:ascii="仿宋_GB2312" w:hAnsi="仿宋" w:eastAsia="仿宋_GB2312" w:cs="Arial"/>
          <w:color w:val="auto"/>
          <w:kern w:val="0"/>
          <w:sz w:val="28"/>
          <w:szCs w:val="28"/>
          <w:highlight w:val="none"/>
          <w:lang w:val="en-US" w:eastAsia="zh-CN"/>
        </w:rPr>
        <w:t>中标者投标保证金自动转为合同履约金。</w:t>
      </w:r>
    </w:p>
    <w:p w14:paraId="59170A12">
      <w:pPr>
        <w:spacing w:line="240" w:lineRule="auto"/>
        <w:ind w:firstLine="560" w:firstLineChars="20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2、竞投者需具有独立法人资格</w:t>
      </w:r>
      <w:r>
        <w:rPr>
          <w:rFonts w:hint="eastAsia" w:ascii="仿宋_GB2312" w:hAnsi="仿宋_GB2312" w:eastAsia="仿宋_GB2312" w:cs="仿宋_GB2312"/>
          <w:color w:val="auto"/>
          <w:sz w:val="28"/>
          <w:szCs w:val="28"/>
          <w:highlight w:val="none"/>
          <w:lang w:val="en-US" w:eastAsia="zh-CN"/>
        </w:rPr>
        <w:t>企业；</w:t>
      </w:r>
      <w:r>
        <w:rPr>
          <w:rFonts w:hint="eastAsia" w:ascii="仿宋_GB2312" w:hAnsi="仿宋_GB2312" w:eastAsia="仿宋_GB2312" w:cs="仿宋_GB2312"/>
          <w:color w:val="auto"/>
          <w:sz w:val="28"/>
          <w:szCs w:val="28"/>
          <w:highlight w:val="none"/>
        </w:rPr>
        <w:t>具有良好的商业信誉和健全的财务会计制度；</w:t>
      </w:r>
      <w:r>
        <w:rPr>
          <w:rFonts w:hint="eastAsia" w:ascii="仿宋_GB2312" w:hAnsi="仿宋_GB2312" w:eastAsia="仿宋_GB2312" w:cs="仿宋_GB2312"/>
          <w:color w:val="auto"/>
          <w:sz w:val="28"/>
          <w:szCs w:val="28"/>
          <w:highlight w:val="none"/>
          <w:lang w:eastAsia="zh-CN"/>
        </w:rPr>
        <w:t>有物业管理或停车场运营管理服务资质。为方便现场管理，参加投标单位注册地</w:t>
      </w:r>
      <w:r>
        <w:rPr>
          <w:rFonts w:hint="eastAsia" w:ascii="仿宋_GB2312" w:hAnsi="仿宋_GB2312" w:eastAsia="仿宋_GB2312" w:cs="仿宋_GB2312"/>
          <w:color w:val="auto"/>
          <w:sz w:val="28"/>
          <w:szCs w:val="28"/>
          <w:highlight w:val="none"/>
          <w:lang w:eastAsia="zh-CN"/>
        </w:rPr>
        <w:t>在</w:t>
      </w:r>
      <w:r>
        <w:rPr>
          <w:rFonts w:hint="eastAsia" w:ascii="仿宋_GB2312" w:hAnsi="仿宋_GB2312" w:eastAsia="仿宋_GB2312" w:cs="仿宋_GB2312"/>
          <w:color w:val="auto"/>
          <w:sz w:val="28"/>
          <w:szCs w:val="28"/>
          <w:highlight w:val="none"/>
          <w:lang w:eastAsia="zh-CN"/>
        </w:rPr>
        <w:t>东凤镇或在东凤镇依法缴纳税收和社会保障资金，或有上级备案资料可证明在东凤镇当地有办公地点、业务团队；</w:t>
      </w:r>
      <w:r>
        <w:rPr>
          <w:rFonts w:hint="eastAsia" w:ascii="仿宋_GB2312" w:hAnsi="仿宋_GB2312" w:eastAsia="仿宋_GB2312" w:cs="仿宋_GB2312"/>
          <w:color w:val="auto"/>
          <w:sz w:val="28"/>
          <w:szCs w:val="28"/>
          <w:highlight w:val="none"/>
          <w:lang w:eastAsia="zh-CN"/>
        </w:rPr>
        <w:t>参加本次招投标前三年内，在经营活动中没有重大违法记录；不接受联合竞投。在报</w:t>
      </w:r>
      <w:r>
        <w:rPr>
          <w:rFonts w:hint="eastAsia" w:ascii="仿宋_GB2312" w:hAnsi="仿宋_GB2312" w:eastAsia="仿宋_GB2312" w:cs="仿宋_GB2312"/>
          <w:color w:val="auto"/>
          <w:sz w:val="28"/>
          <w:szCs w:val="28"/>
          <w:highlight w:val="none"/>
        </w:rPr>
        <w:t>名截止前携带法人身份证</w:t>
      </w:r>
      <w:r>
        <w:rPr>
          <w:rFonts w:hint="eastAsia" w:ascii="仿宋_GB2312" w:hAnsi="仿宋_GB2312" w:eastAsia="仿宋_GB2312" w:cs="仿宋_GB2312"/>
          <w:color w:val="auto"/>
          <w:sz w:val="28"/>
          <w:szCs w:val="28"/>
          <w:highlight w:val="none"/>
          <w:lang w:eastAsia="zh-CN"/>
        </w:rPr>
        <w:t>（原件、复印件）</w:t>
      </w:r>
      <w:r>
        <w:rPr>
          <w:rFonts w:hint="eastAsia" w:ascii="仿宋_GB2312" w:hAnsi="仿宋_GB2312" w:eastAsia="仿宋_GB2312" w:cs="仿宋_GB2312"/>
          <w:color w:val="auto"/>
          <w:sz w:val="28"/>
          <w:szCs w:val="28"/>
          <w:highlight w:val="none"/>
        </w:rPr>
        <w:t>、营业执照</w:t>
      </w:r>
      <w:r>
        <w:rPr>
          <w:rFonts w:hint="eastAsia" w:ascii="仿宋_GB2312" w:hAnsi="仿宋_GB2312" w:eastAsia="仿宋_GB2312" w:cs="仿宋_GB2312"/>
          <w:color w:val="auto"/>
          <w:sz w:val="28"/>
          <w:szCs w:val="28"/>
          <w:highlight w:val="none"/>
          <w:lang w:eastAsia="zh-CN"/>
        </w:rPr>
        <w:t>（原件、复印件）</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税收完税证明、备案资料、</w:t>
      </w:r>
      <w:r>
        <w:rPr>
          <w:rFonts w:hint="eastAsia" w:ascii="仿宋_GB2312" w:hAnsi="仿宋_GB2312" w:eastAsia="仿宋_GB2312" w:cs="仿宋_GB2312"/>
          <w:color w:val="auto"/>
          <w:sz w:val="28"/>
          <w:szCs w:val="28"/>
          <w:highlight w:val="none"/>
        </w:rPr>
        <w:t>保证金缴款单回执等资料到我</w:t>
      </w:r>
      <w:r>
        <w:rPr>
          <w:rFonts w:hint="eastAsia" w:ascii="仿宋_GB2312" w:hAnsi="仿宋_GB2312" w:eastAsia="仿宋_GB2312" w:cs="仿宋_GB2312"/>
          <w:color w:val="auto"/>
          <w:sz w:val="28"/>
          <w:szCs w:val="28"/>
          <w:highlight w:val="none"/>
          <w:lang w:eastAsia="zh-CN"/>
        </w:rPr>
        <w:t>社区</w:t>
      </w:r>
      <w:r>
        <w:rPr>
          <w:rFonts w:hint="eastAsia" w:ascii="仿宋_GB2312" w:hAnsi="仿宋_GB2312" w:eastAsia="仿宋_GB2312" w:cs="仿宋_GB2312"/>
          <w:color w:val="auto"/>
          <w:sz w:val="28"/>
          <w:szCs w:val="28"/>
          <w:highlight w:val="none"/>
        </w:rPr>
        <w:t>进行登记</w:t>
      </w:r>
      <w:r>
        <w:rPr>
          <w:rFonts w:hint="eastAsia" w:ascii="仿宋_GB2312" w:hAnsi="仿宋_GB2312" w:eastAsia="仿宋_GB2312" w:cs="仿宋_GB2312"/>
          <w:color w:val="auto"/>
          <w:sz w:val="28"/>
          <w:szCs w:val="28"/>
          <w:highlight w:val="none"/>
          <w:lang w:eastAsia="zh-CN"/>
        </w:rPr>
        <w:t>报名</w:t>
      </w:r>
      <w:r>
        <w:rPr>
          <w:rFonts w:hint="eastAsia" w:ascii="仿宋_GB2312" w:hAnsi="仿宋_GB2312" w:eastAsia="仿宋_GB2312" w:cs="仿宋_GB2312"/>
          <w:color w:val="auto"/>
          <w:sz w:val="28"/>
          <w:szCs w:val="28"/>
          <w:highlight w:val="none"/>
        </w:rPr>
        <w:t>，领取投标确认书参加投标。</w:t>
      </w:r>
      <w:r>
        <w:rPr>
          <w:rFonts w:hint="eastAsia" w:ascii="仿宋_GB2312" w:hAnsi="仿宋_GB2312" w:eastAsia="仿宋_GB2312" w:cs="仿宋_GB2312"/>
          <w:color w:val="auto"/>
          <w:sz w:val="28"/>
          <w:szCs w:val="28"/>
          <w:highlight w:val="none"/>
          <w:lang w:eastAsia="zh-CN"/>
        </w:rPr>
        <w:t>如代理人报名，则须提交委托代理书。</w:t>
      </w:r>
    </w:p>
    <w:p w14:paraId="0B702B1F">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w:t>
      </w:r>
      <w:r>
        <w:rPr>
          <w:rFonts w:hint="eastAsia" w:ascii="仿宋_GB2312" w:hAnsi="仿宋_GB2312" w:eastAsia="仿宋_GB2312" w:cs="仿宋_GB2312"/>
          <w:b w:val="0"/>
          <w:bCs w:val="0"/>
          <w:color w:val="auto"/>
          <w:sz w:val="28"/>
          <w:szCs w:val="28"/>
          <w:highlight w:val="none"/>
        </w:rPr>
        <w:t>招标人不组织现场踏</w:t>
      </w:r>
      <w:r>
        <w:rPr>
          <w:rFonts w:hint="eastAsia" w:ascii="仿宋_GB2312" w:hAnsi="仿宋_GB2312" w:eastAsia="仿宋_GB2312" w:cs="仿宋_GB2312"/>
          <w:b w:val="0"/>
          <w:bCs w:val="0"/>
          <w:color w:val="auto"/>
          <w:sz w:val="28"/>
          <w:szCs w:val="28"/>
          <w:highlight w:val="none"/>
          <w:lang w:val="en-US" w:eastAsia="zh-CN"/>
        </w:rPr>
        <w:t>勘</w:t>
      </w:r>
      <w:r>
        <w:rPr>
          <w:rFonts w:hint="eastAsia" w:ascii="仿宋_GB2312" w:hAnsi="仿宋_GB2312" w:eastAsia="仿宋_GB2312" w:cs="仿宋_GB2312"/>
          <w:b w:val="0"/>
          <w:bCs w:val="0"/>
          <w:color w:val="auto"/>
          <w:sz w:val="28"/>
          <w:szCs w:val="28"/>
          <w:highlight w:val="none"/>
        </w:rPr>
        <w:t>，投标人须自行对租赁物进行踏</w:t>
      </w:r>
      <w:r>
        <w:rPr>
          <w:rFonts w:hint="eastAsia" w:ascii="仿宋_GB2312" w:hAnsi="仿宋_GB2312" w:eastAsia="仿宋_GB2312" w:cs="仿宋_GB2312"/>
          <w:b w:val="0"/>
          <w:bCs w:val="0"/>
          <w:color w:val="auto"/>
          <w:sz w:val="28"/>
          <w:szCs w:val="28"/>
          <w:highlight w:val="none"/>
          <w:lang w:val="en-US" w:eastAsia="zh-CN"/>
        </w:rPr>
        <w:t>勘</w:t>
      </w:r>
      <w:r>
        <w:rPr>
          <w:rFonts w:hint="eastAsia" w:ascii="仿宋_GB2312" w:hAnsi="仿宋_GB2312" w:eastAsia="仿宋_GB2312" w:cs="仿宋_GB2312"/>
          <w:b w:val="0"/>
          <w:bCs w:val="0"/>
          <w:color w:val="auto"/>
          <w:sz w:val="28"/>
          <w:szCs w:val="28"/>
          <w:highlight w:val="none"/>
        </w:rPr>
        <w:t>，了解租赁物现状情况</w:t>
      </w:r>
      <w:r>
        <w:rPr>
          <w:rFonts w:hint="eastAsia" w:ascii="仿宋_GB2312" w:hAnsi="仿宋_GB2312" w:eastAsia="仿宋_GB2312" w:cs="仿宋_GB2312"/>
          <w:b w:val="0"/>
          <w:bCs w:val="0"/>
          <w:color w:val="auto"/>
          <w:sz w:val="28"/>
          <w:szCs w:val="28"/>
          <w:highlight w:val="none"/>
          <w:lang w:eastAsia="zh-CN"/>
        </w:rPr>
        <w:t>，</w:t>
      </w:r>
      <w:r>
        <w:rPr>
          <w:rFonts w:hint="eastAsia" w:ascii="仿宋_GB2312" w:hAnsi="仿宋_GB2312" w:eastAsia="仿宋_GB2312" w:cs="仿宋_GB2312"/>
          <w:b w:val="0"/>
          <w:bCs w:val="0"/>
          <w:color w:val="auto"/>
          <w:sz w:val="28"/>
          <w:szCs w:val="28"/>
          <w:highlight w:val="none"/>
          <w:lang w:val="en-US" w:eastAsia="zh-CN"/>
        </w:rPr>
        <w:t>以租赁标的现状交付使用</w:t>
      </w:r>
      <w:r>
        <w:rPr>
          <w:rFonts w:hint="eastAsia" w:ascii="仿宋_GB2312" w:hAnsi="仿宋_GB2312" w:eastAsia="仿宋_GB2312" w:cs="仿宋_GB2312"/>
          <w:b w:val="0"/>
          <w:bCs w:val="0"/>
          <w:color w:val="auto"/>
          <w:sz w:val="28"/>
          <w:szCs w:val="28"/>
          <w:highlight w:val="none"/>
        </w:rPr>
        <w:t>。</w:t>
      </w:r>
    </w:p>
    <w:p w14:paraId="33F9DD3C">
      <w:pPr>
        <w:spacing w:line="240" w:lineRule="auto"/>
        <w:ind w:firstLine="560" w:firstLineChars="200"/>
        <w:rPr>
          <w:rFonts w:hint="eastAsia" w:ascii="仿宋_GB2312" w:hAnsi="仿宋_GB2312" w:eastAsia="仿宋_GB2312" w:cs="仿宋_GB2312"/>
          <w:b w:val="0"/>
          <w:bCs w:val="0"/>
          <w:color w:val="auto"/>
          <w:sz w:val="28"/>
          <w:szCs w:val="28"/>
          <w:highlight w:val="none"/>
        </w:rPr>
      </w:pPr>
      <w:r>
        <w:rPr>
          <w:rFonts w:hint="eastAsia" w:ascii="仿宋_GB2312" w:hAnsi="仿宋_GB2312" w:eastAsia="仿宋_GB2312" w:cs="仿宋_GB2312"/>
          <w:color w:val="auto"/>
          <w:sz w:val="28"/>
          <w:szCs w:val="28"/>
          <w:highlight w:val="none"/>
        </w:rPr>
        <w:t>4、</w:t>
      </w:r>
      <w:r>
        <w:rPr>
          <w:rFonts w:hint="eastAsia" w:ascii="仿宋_GB2312" w:hAnsi="仿宋_GB2312" w:eastAsia="仿宋_GB2312" w:cs="仿宋_GB2312"/>
          <w:b w:val="0"/>
          <w:bCs w:val="0"/>
          <w:color w:val="auto"/>
          <w:sz w:val="28"/>
          <w:szCs w:val="28"/>
          <w:highlight w:val="none"/>
        </w:rPr>
        <w:t>如项目用地在租赁期间涉及违法用地相关情况，承租方无条件服从处理，相关费用及责任由承租方承担，如承租方在整改期内未完成整改，我</w:t>
      </w:r>
      <w:r>
        <w:rPr>
          <w:rFonts w:hint="eastAsia" w:ascii="仿宋_GB2312" w:hAnsi="仿宋_GB2312" w:eastAsia="仿宋_GB2312" w:cs="仿宋_GB2312"/>
          <w:b w:val="0"/>
          <w:bCs w:val="0"/>
          <w:color w:val="auto"/>
          <w:sz w:val="28"/>
          <w:szCs w:val="28"/>
          <w:highlight w:val="none"/>
          <w:lang w:eastAsia="zh-CN"/>
        </w:rPr>
        <w:t>社区</w:t>
      </w:r>
      <w:r>
        <w:rPr>
          <w:rFonts w:hint="eastAsia" w:ascii="仿宋_GB2312" w:hAnsi="仿宋_GB2312" w:eastAsia="仿宋_GB2312" w:cs="仿宋_GB2312"/>
          <w:b w:val="0"/>
          <w:bCs w:val="0"/>
          <w:color w:val="auto"/>
          <w:sz w:val="28"/>
          <w:szCs w:val="28"/>
          <w:highlight w:val="none"/>
        </w:rPr>
        <w:t>有权使用承租方所缴纳的按金用于处理该地块的违法用地所产生的费用。</w:t>
      </w:r>
    </w:p>
    <w:p w14:paraId="0C68CAC5">
      <w:pPr>
        <w:spacing w:line="240" w:lineRule="auto"/>
        <w:ind w:firstLine="562" w:firstLineChars="200"/>
        <w:rPr>
          <w:rFonts w:hint="eastAsia"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五、投标：</w:t>
      </w:r>
    </w:p>
    <w:p w14:paraId="1322F56F">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1、招投标方式和评标办法：采取现场明标出价方式竞投，出价最高且高于底价者为中标单位。</w:t>
      </w:r>
    </w:p>
    <w:p w14:paraId="305C3737">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2、第一次竞价可平价，之后每次竞价增加幅度不少于</w:t>
      </w:r>
      <w:r>
        <w:rPr>
          <w:rFonts w:hint="eastAsia" w:ascii="仿宋_GB2312" w:hAnsi="仿宋_GB2312" w:eastAsia="仿宋_GB2312" w:cs="仿宋_GB2312"/>
          <w:color w:val="auto"/>
          <w:sz w:val="28"/>
          <w:szCs w:val="28"/>
          <w:highlight w:val="none"/>
          <w:lang w:val="en-US" w:eastAsia="zh-CN"/>
        </w:rPr>
        <w:t>底价的10%</w:t>
      </w:r>
      <w:r>
        <w:rPr>
          <w:rFonts w:hint="eastAsia" w:ascii="仿宋_GB2312" w:hAnsi="仿宋_GB2312" w:eastAsia="仿宋_GB2312" w:cs="仿宋_GB2312"/>
          <w:color w:val="auto"/>
          <w:sz w:val="28"/>
          <w:szCs w:val="28"/>
          <w:highlight w:val="none"/>
        </w:rPr>
        <w:t>。</w:t>
      </w:r>
    </w:p>
    <w:p w14:paraId="4FD9301F">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3、如参与竞投者本人无法到场、则代理人需携带委托书和身份证复印件（需加盖公章）到场代理参与竞标。</w:t>
      </w:r>
    </w:p>
    <w:p w14:paraId="411C9643">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4、不限参加竞投单位数量，如只有一家单位</w:t>
      </w:r>
      <w:r>
        <w:rPr>
          <w:rFonts w:hint="eastAsia" w:ascii="仿宋_GB2312" w:hAnsi="仿宋_GB2312" w:eastAsia="仿宋_GB2312" w:cs="仿宋_GB2312"/>
          <w:color w:val="auto"/>
          <w:sz w:val="28"/>
          <w:szCs w:val="28"/>
          <w:highlight w:val="none"/>
          <w:lang w:eastAsia="zh-CN"/>
        </w:rPr>
        <w:t>报名</w:t>
      </w:r>
      <w:r>
        <w:rPr>
          <w:rFonts w:hint="eastAsia" w:ascii="仿宋_GB2312" w:hAnsi="仿宋_GB2312" w:eastAsia="仿宋_GB2312" w:cs="仿宋_GB2312"/>
          <w:color w:val="auto"/>
          <w:sz w:val="28"/>
          <w:szCs w:val="28"/>
          <w:highlight w:val="none"/>
        </w:rPr>
        <w:t>竞</w:t>
      </w:r>
      <w:r>
        <w:rPr>
          <w:rFonts w:hint="eastAsia" w:ascii="仿宋_GB2312" w:hAnsi="仿宋_GB2312" w:eastAsia="仿宋_GB2312" w:cs="仿宋_GB2312"/>
          <w:color w:val="auto"/>
          <w:sz w:val="28"/>
          <w:szCs w:val="28"/>
          <w:highlight w:val="none"/>
          <w:lang w:eastAsia="zh-CN"/>
        </w:rPr>
        <w:t>投</w:t>
      </w:r>
      <w:r>
        <w:rPr>
          <w:rFonts w:hint="eastAsia" w:ascii="仿宋_GB2312" w:hAnsi="仿宋_GB2312" w:eastAsia="仿宋_GB2312" w:cs="仿宋_GB2312"/>
          <w:color w:val="auto"/>
          <w:sz w:val="28"/>
          <w:szCs w:val="28"/>
          <w:highlight w:val="none"/>
        </w:rPr>
        <w:t>也正常开标。</w:t>
      </w:r>
    </w:p>
    <w:p w14:paraId="3A1E0D11">
      <w:pPr>
        <w:spacing w:line="240" w:lineRule="auto"/>
        <w:ind w:firstLine="562" w:firstLineChars="200"/>
        <w:rPr>
          <w:rFonts w:hint="eastAsia"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六、招投标时间安排：</w:t>
      </w:r>
    </w:p>
    <w:p w14:paraId="5861FB36">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竞标报名截止：</w:t>
      </w:r>
      <w:r>
        <w:rPr>
          <w:rFonts w:hint="eastAsia" w:ascii="仿宋_GB2312" w:hAnsi="仿宋_GB2312" w:eastAsia="仿宋_GB2312" w:cs="仿宋_GB2312"/>
          <w:i w:val="0"/>
          <w:caps w:val="0"/>
          <w:color w:val="auto"/>
          <w:spacing w:val="0"/>
          <w:sz w:val="28"/>
          <w:szCs w:val="28"/>
          <w:highlight w:val="none"/>
          <w:lang w:val="en-US" w:eastAsia="zh-CN"/>
        </w:rPr>
        <w:t>2025</w:t>
      </w:r>
      <w:r>
        <w:rPr>
          <w:rFonts w:hint="eastAsia" w:ascii="仿宋_GB2312" w:hAnsi="仿宋_GB2312" w:eastAsia="仿宋_GB2312" w:cs="仿宋_GB2312"/>
          <w:i w:val="0"/>
          <w:caps w:val="0"/>
          <w:color w:val="auto"/>
          <w:spacing w:val="0"/>
          <w:sz w:val="28"/>
          <w:szCs w:val="28"/>
          <w:highlight w:val="none"/>
        </w:rPr>
        <w:t>年</w:t>
      </w:r>
      <w:r>
        <w:rPr>
          <w:rFonts w:hint="eastAsia" w:ascii="仿宋_GB2312" w:hAnsi="仿宋_GB2312" w:eastAsia="仿宋_GB2312" w:cs="仿宋_GB2312"/>
          <w:i w:val="0"/>
          <w:caps w:val="0"/>
          <w:color w:val="auto"/>
          <w:spacing w:val="0"/>
          <w:sz w:val="28"/>
          <w:szCs w:val="28"/>
          <w:highlight w:val="none"/>
          <w:lang w:val="en-US" w:eastAsia="zh-CN"/>
        </w:rPr>
        <w:t>8</w:t>
      </w:r>
      <w:r>
        <w:rPr>
          <w:rFonts w:hint="eastAsia" w:ascii="仿宋_GB2312" w:hAnsi="仿宋_GB2312" w:eastAsia="仿宋_GB2312" w:cs="仿宋_GB2312"/>
          <w:i w:val="0"/>
          <w:caps w:val="0"/>
          <w:color w:val="auto"/>
          <w:spacing w:val="0"/>
          <w:sz w:val="28"/>
          <w:szCs w:val="28"/>
          <w:highlight w:val="none"/>
        </w:rPr>
        <w:t>月</w:t>
      </w:r>
      <w:r>
        <w:rPr>
          <w:rFonts w:hint="eastAsia" w:ascii="仿宋_GB2312" w:hAnsi="仿宋_GB2312" w:eastAsia="仿宋_GB2312" w:cs="仿宋_GB2312"/>
          <w:i w:val="0"/>
          <w:caps w:val="0"/>
          <w:color w:val="auto"/>
          <w:spacing w:val="0"/>
          <w:sz w:val="28"/>
          <w:szCs w:val="28"/>
          <w:highlight w:val="none"/>
          <w:lang w:val="en-US" w:eastAsia="zh-CN"/>
        </w:rPr>
        <w:t>29</w:t>
      </w:r>
      <w:r>
        <w:rPr>
          <w:rFonts w:hint="eastAsia" w:ascii="仿宋_GB2312" w:hAnsi="仿宋_GB2312" w:eastAsia="仿宋_GB2312" w:cs="仿宋_GB2312"/>
          <w:color w:val="auto"/>
          <w:sz w:val="28"/>
          <w:szCs w:val="28"/>
          <w:highlight w:val="none"/>
        </w:rPr>
        <w:t>日1</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rPr>
        <w:t>00；</w:t>
      </w:r>
    </w:p>
    <w:p w14:paraId="3FB8584F">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公开竞标日期：</w:t>
      </w:r>
      <w:r>
        <w:rPr>
          <w:rFonts w:hint="eastAsia" w:ascii="仿宋_GB2312" w:hAnsi="仿宋_GB2312" w:eastAsia="仿宋_GB2312" w:cs="仿宋_GB2312"/>
          <w:i w:val="0"/>
          <w:caps w:val="0"/>
          <w:color w:val="auto"/>
          <w:spacing w:val="0"/>
          <w:sz w:val="28"/>
          <w:szCs w:val="28"/>
          <w:highlight w:val="none"/>
          <w:lang w:val="en-US" w:eastAsia="zh-CN"/>
        </w:rPr>
        <w:t>另行通知</w:t>
      </w:r>
      <w:r>
        <w:rPr>
          <w:rFonts w:hint="eastAsia" w:ascii="仿宋_GB2312" w:hAnsi="仿宋_GB2312" w:eastAsia="仿宋_GB2312" w:cs="仿宋_GB2312"/>
          <w:color w:val="auto"/>
          <w:sz w:val="28"/>
          <w:szCs w:val="28"/>
          <w:highlight w:val="none"/>
        </w:rPr>
        <w:t>；</w:t>
      </w:r>
    </w:p>
    <w:p w14:paraId="66378432">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公开竞标地址：东凤镇凤翔大道13号</w:t>
      </w:r>
      <w:r>
        <w:rPr>
          <w:rFonts w:hint="eastAsia" w:ascii="仿宋_GB2312" w:hAnsi="仿宋_GB2312" w:eastAsia="仿宋_GB2312" w:cs="仿宋_GB2312"/>
          <w:color w:val="auto"/>
          <w:sz w:val="28"/>
          <w:szCs w:val="28"/>
          <w:highlight w:val="none"/>
          <w:lang w:eastAsia="zh-CN"/>
        </w:rPr>
        <w:t>平安法治办</w:t>
      </w:r>
      <w:r>
        <w:rPr>
          <w:rFonts w:hint="eastAsia" w:ascii="仿宋_GB2312" w:hAnsi="仿宋_GB2312" w:eastAsia="仿宋_GB2312" w:cs="仿宋_GB2312"/>
          <w:color w:val="auto"/>
          <w:sz w:val="28"/>
          <w:szCs w:val="28"/>
          <w:highlight w:val="none"/>
        </w:rPr>
        <w:t>五楼开标室</w:t>
      </w:r>
      <w:r>
        <w:rPr>
          <w:rFonts w:hint="eastAsia" w:ascii="仿宋_GB2312" w:hAnsi="仿宋_GB2312" w:eastAsia="仿宋_GB2312" w:cs="仿宋_GB2312"/>
          <w:color w:val="auto"/>
          <w:sz w:val="28"/>
          <w:szCs w:val="28"/>
          <w:highlight w:val="none"/>
          <w:lang w:eastAsia="zh-CN"/>
        </w:rPr>
        <w:t>（开标时间、</w:t>
      </w:r>
      <w:r>
        <w:rPr>
          <w:rFonts w:hint="eastAsia" w:ascii="仿宋_GB2312" w:hAnsi="仿宋_GB2312" w:eastAsia="仿宋_GB2312" w:cs="仿宋_GB2312"/>
          <w:color w:val="auto"/>
          <w:sz w:val="28"/>
          <w:szCs w:val="28"/>
          <w:highlight w:val="none"/>
          <w:lang w:val="en-US" w:eastAsia="zh-CN"/>
        </w:rPr>
        <w:t>地点有变化将会电话通知）</w:t>
      </w:r>
      <w:r>
        <w:rPr>
          <w:rFonts w:hint="eastAsia" w:ascii="仿宋_GB2312" w:hAnsi="仿宋_GB2312" w:eastAsia="仿宋_GB2312" w:cs="仿宋_GB2312"/>
          <w:color w:val="auto"/>
          <w:sz w:val="28"/>
          <w:szCs w:val="28"/>
          <w:highlight w:val="none"/>
        </w:rPr>
        <w:t>；</w:t>
      </w:r>
    </w:p>
    <w:p w14:paraId="7225ECCE">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竞标者迟到10分钟以上作弃权处理；</w:t>
      </w:r>
    </w:p>
    <w:p w14:paraId="49146FE5">
      <w:pPr>
        <w:spacing w:line="240" w:lineRule="auto"/>
        <w:ind w:firstLine="562" w:firstLineChars="200"/>
        <w:rPr>
          <w:rFonts w:hint="eastAsia" w:ascii="黑体" w:hAnsi="黑体" w:eastAsia="黑体" w:cs="黑体"/>
          <w:b/>
          <w:bCs/>
          <w:color w:val="auto"/>
          <w:sz w:val="28"/>
          <w:szCs w:val="28"/>
          <w:highlight w:val="none"/>
        </w:rPr>
      </w:pPr>
      <w:r>
        <w:rPr>
          <w:rFonts w:hint="eastAsia" w:ascii="黑体" w:hAnsi="黑体" w:eastAsia="黑体" w:cs="黑体"/>
          <w:b/>
          <w:bCs/>
          <w:color w:val="auto"/>
          <w:sz w:val="28"/>
          <w:szCs w:val="28"/>
          <w:highlight w:val="none"/>
        </w:rPr>
        <w:t>七、其他：</w:t>
      </w:r>
    </w:p>
    <w:p w14:paraId="6862DD54">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1、中标单位在中标通知书发出之日起三十日内必须缴清合同履约保证金</w:t>
      </w:r>
      <w:r>
        <w:rPr>
          <w:rFonts w:hint="eastAsia" w:ascii="仿宋_GB2312" w:hAnsi="仿宋_GB2312" w:eastAsia="仿宋_GB2312" w:cs="仿宋_GB2312"/>
          <w:color w:val="auto"/>
          <w:sz w:val="28"/>
          <w:szCs w:val="28"/>
          <w:highlight w:val="none"/>
          <w:lang w:eastAsia="zh-CN"/>
        </w:rPr>
        <w:t>（投标保证金自动转为履约保证金）</w:t>
      </w:r>
      <w:r>
        <w:rPr>
          <w:rFonts w:hint="eastAsia" w:ascii="仿宋_GB2312" w:hAnsi="仿宋_GB2312" w:eastAsia="仿宋_GB2312" w:cs="仿宋_GB2312"/>
          <w:color w:val="auto"/>
          <w:sz w:val="28"/>
          <w:szCs w:val="28"/>
          <w:highlight w:val="none"/>
        </w:rPr>
        <w:t>和签订合同，逾期不签订合同，则视作弃标处理，并没收投标保证金。</w:t>
      </w:r>
    </w:p>
    <w:p w14:paraId="1D51F4F0">
      <w:pPr>
        <w:spacing w:line="240" w:lineRule="auto"/>
        <w:ind w:firstLine="560" w:firstLineChars="200"/>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2、</w:t>
      </w:r>
      <w:r>
        <w:rPr>
          <w:rFonts w:hint="eastAsia" w:ascii="仿宋_GB2312" w:hAnsi="仿宋_GB2312" w:eastAsia="仿宋_GB2312" w:cs="仿宋_GB2312"/>
          <w:color w:val="auto"/>
          <w:sz w:val="28"/>
          <w:szCs w:val="28"/>
          <w:highlight w:val="none"/>
          <w:lang w:eastAsia="zh-CN"/>
        </w:rPr>
        <w:t>中标单位需承担中标项目第三方地块测量费用</w:t>
      </w:r>
      <w:r>
        <w:rPr>
          <w:rFonts w:hint="eastAsia" w:ascii="仿宋_GB2312" w:hAnsi="仿宋_GB2312" w:eastAsia="仿宋_GB2312" w:cs="仿宋_GB2312"/>
          <w:color w:val="auto"/>
          <w:sz w:val="28"/>
          <w:szCs w:val="28"/>
          <w:highlight w:val="none"/>
          <w:lang w:val="en-US" w:eastAsia="zh-CN"/>
        </w:rPr>
        <w:t>850</w:t>
      </w:r>
      <w:r>
        <w:rPr>
          <w:rFonts w:hint="eastAsia" w:ascii="仿宋_GB2312" w:hAnsi="仿宋_GB2312" w:eastAsia="仿宋_GB2312" w:cs="仿宋_GB2312"/>
          <w:color w:val="auto"/>
          <w:sz w:val="28"/>
          <w:szCs w:val="28"/>
          <w:highlight w:val="none"/>
          <w:lang w:val="en-US" w:eastAsia="zh-CN"/>
        </w:rPr>
        <w:t>元、评估费600元，</w:t>
      </w:r>
      <w:r>
        <w:rPr>
          <w:rFonts w:hint="eastAsia" w:ascii="仿宋_GB2312" w:hAnsi="仿宋_GB2312" w:eastAsia="仿宋_GB2312" w:cs="仿宋_GB2312"/>
          <w:color w:val="auto"/>
          <w:sz w:val="28"/>
          <w:szCs w:val="28"/>
          <w:highlight w:val="none"/>
          <w:lang w:eastAsia="zh-CN"/>
        </w:rPr>
        <w:t>中标单位</w:t>
      </w:r>
      <w:r>
        <w:rPr>
          <w:rFonts w:hint="eastAsia" w:ascii="仿宋_GB2312" w:hAnsi="仿宋_GB2312" w:eastAsia="仿宋_GB2312" w:cs="仿宋_GB2312"/>
          <w:color w:val="auto"/>
          <w:sz w:val="28"/>
          <w:szCs w:val="28"/>
          <w:highlight w:val="none"/>
          <w:lang w:val="en-US" w:eastAsia="zh-CN"/>
        </w:rPr>
        <w:t>直接与测量公司、评估公司结算相关费用。</w:t>
      </w:r>
    </w:p>
    <w:p w14:paraId="3FFD3A70">
      <w:pPr>
        <w:spacing w:line="240" w:lineRule="auto"/>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3、其他租赁条款于租赁合同中约定。</w:t>
      </w:r>
    </w:p>
    <w:p w14:paraId="62BA2EB4">
      <w:pPr>
        <w:spacing w:line="24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、此租赁方案最终解释权归我</w:t>
      </w:r>
      <w:r>
        <w:rPr>
          <w:rFonts w:hint="eastAsia" w:ascii="仿宋_GB2312" w:hAnsi="仿宋_GB2312" w:eastAsia="仿宋_GB2312" w:cs="仿宋_GB2312"/>
          <w:color w:val="auto"/>
          <w:sz w:val="28"/>
          <w:szCs w:val="28"/>
          <w:highlight w:val="none"/>
          <w:lang w:eastAsia="zh-CN"/>
        </w:rPr>
        <w:t>社区</w:t>
      </w:r>
      <w:r>
        <w:rPr>
          <w:rFonts w:hint="eastAsia" w:ascii="仿宋_GB2312" w:hAnsi="仿宋_GB2312" w:eastAsia="仿宋_GB2312" w:cs="仿宋_GB2312"/>
          <w:color w:val="auto"/>
          <w:sz w:val="28"/>
          <w:szCs w:val="28"/>
          <w:highlight w:val="none"/>
        </w:rPr>
        <w:t>。</w:t>
      </w:r>
    </w:p>
    <w:p w14:paraId="090606A7">
      <w:pPr>
        <w:spacing w:line="240" w:lineRule="auto"/>
        <w:ind w:firstLine="560" w:firstLineChars="200"/>
        <w:rPr>
          <w:rFonts w:hint="eastAsia" w:ascii="仿宋_GB2312" w:hAnsi="仿宋_GB2312" w:eastAsia="仿宋_GB2312" w:cs="仿宋_GB2312"/>
          <w:color w:val="auto"/>
          <w:sz w:val="28"/>
          <w:szCs w:val="28"/>
          <w:highlight w:val="none"/>
        </w:rPr>
      </w:pPr>
    </w:p>
    <w:p w14:paraId="4DA0D262">
      <w:pPr>
        <w:spacing w:line="240" w:lineRule="auto"/>
        <w:ind w:firstLine="560" w:firstLineChars="200"/>
        <w:jc w:val="right"/>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 xml:space="preserve">                      中山市东凤镇</w:t>
      </w:r>
      <w:r>
        <w:rPr>
          <w:rFonts w:hint="eastAsia" w:ascii="仿宋_GB2312" w:hAnsi="仿宋_GB2312" w:eastAsia="仿宋_GB2312" w:cs="仿宋_GB2312"/>
          <w:color w:val="auto"/>
          <w:sz w:val="28"/>
          <w:szCs w:val="28"/>
          <w:highlight w:val="none"/>
          <w:lang w:eastAsia="zh-CN"/>
        </w:rPr>
        <w:t>东海社区居民委员会</w:t>
      </w:r>
    </w:p>
    <w:p w14:paraId="275C709E">
      <w:pPr>
        <w:spacing w:line="240" w:lineRule="auto"/>
        <w:ind w:firstLine="560" w:firstLineChars="200"/>
        <w:jc w:val="righ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i w:val="0"/>
          <w:caps w:val="0"/>
          <w:color w:val="auto"/>
          <w:spacing w:val="0"/>
          <w:sz w:val="28"/>
          <w:szCs w:val="28"/>
          <w:highlight w:val="none"/>
          <w:lang w:val="en-US" w:eastAsia="zh-CN"/>
        </w:rPr>
        <w:t>2025</w:t>
      </w:r>
      <w:r>
        <w:rPr>
          <w:rFonts w:hint="eastAsia" w:ascii="仿宋_GB2312" w:hAnsi="仿宋_GB2312" w:eastAsia="仿宋_GB2312" w:cs="仿宋_GB2312"/>
          <w:i w:val="0"/>
          <w:caps w:val="0"/>
          <w:color w:val="auto"/>
          <w:spacing w:val="0"/>
          <w:sz w:val="28"/>
          <w:szCs w:val="28"/>
          <w:highlight w:val="none"/>
        </w:rPr>
        <w:t>年</w:t>
      </w:r>
      <w:r>
        <w:rPr>
          <w:rFonts w:hint="eastAsia" w:ascii="仿宋_GB2312" w:hAnsi="仿宋_GB2312" w:eastAsia="仿宋_GB2312" w:cs="仿宋_GB2312"/>
          <w:i w:val="0"/>
          <w:caps w:val="0"/>
          <w:color w:val="auto"/>
          <w:spacing w:val="0"/>
          <w:sz w:val="28"/>
          <w:szCs w:val="28"/>
          <w:highlight w:val="none"/>
          <w:lang w:val="en-US" w:eastAsia="zh-CN"/>
        </w:rPr>
        <w:t>8</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lang w:val="en-US" w:eastAsia="zh-CN"/>
        </w:rPr>
        <w:t>21</w:t>
      </w:r>
      <w:r>
        <w:rPr>
          <w:rFonts w:hint="eastAsia" w:ascii="仿宋_GB2312" w:hAnsi="仿宋_GB2312" w:eastAsia="仿宋_GB2312" w:cs="仿宋_GB2312"/>
          <w:color w:val="auto"/>
          <w:sz w:val="28"/>
          <w:szCs w:val="28"/>
          <w:highlight w:val="none"/>
        </w:rPr>
        <w:t>日</w:t>
      </w:r>
    </w:p>
    <w:p w14:paraId="4D8C2840">
      <w:pPr>
        <w:spacing w:line="240" w:lineRule="auto"/>
        <w:ind w:firstLine="0" w:firstLineChars="0"/>
        <w:rPr>
          <w:rFonts w:hint="eastAsia" w:ascii="仿宋_GB2312" w:hAnsi="仿宋_GB2312" w:eastAsia="仿宋_GB2312" w:cs="仿宋_GB2312"/>
          <w:bCs w:val="0"/>
          <w:color w:val="auto"/>
          <w:sz w:val="28"/>
          <w:szCs w:val="28"/>
          <w:highlight w:val="none"/>
          <w:lang w:eastAsia="zh-CN"/>
        </w:rPr>
      </w:pPr>
    </w:p>
    <w:p w14:paraId="188BDF58">
      <w:pPr>
        <w:spacing w:line="240" w:lineRule="auto"/>
        <w:ind w:firstLine="0" w:firstLineChars="0"/>
        <w:rPr>
          <w:rFonts w:hint="eastAsia" w:ascii="仿宋_GB2312" w:hAnsi="仿宋_GB2312" w:eastAsia="仿宋_GB2312" w:cs="仿宋_GB2312"/>
          <w:bCs w:val="0"/>
          <w:color w:val="auto"/>
          <w:sz w:val="28"/>
          <w:szCs w:val="28"/>
          <w:highlight w:val="none"/>
          <w:lang w:eastAsia="zh-CN"/>
        </w:rPr>
      </w:pPr>
    </w:p>
    <w:p w14:paraId="6676F1A6">
      <w:pPr>
        <w:spacing w:line="240" w:lineRule="auto"/>
        <w:ind w:firstLine="560" w:firstLineChars="200"/>
        <w:rPr>
          <w:color w:val="auto"/>
          <w:sz w:val="28"/>
          <w:szCs w:val="28"/>
          <w:highlight w:val="none"/>
        </w:rPr>
      </w:pPr>
      <w:r>
        <w:rPr>
          <w:rFonts w:hint="eastAsia" w:ascii="仿宋_GB2312" w:hAnsi="仿宋_GB2312" w:eastAsia="仿宋_GB2312" w:cs="仿宋_GB2312"/>
          <w:bCs w:val="0"/>
          <w:color w:val="auto"/>
          <w:sz w:val="28"/>
          <w:szCs w:val="28"/>
          <w:highlight w:val="none"/>
          <w:lang w:eastAsia="zh-CN"/>
        </w:rPr>
        <w:t>参加投标人员签名：</w:t>
      </w:r>
    </w:p>
    <w:sectPr>
      <w:footerReference r:id="rId3" w:type="default"/>
      <w:pgSz w:w="11906" w:h="16838"/>
      <w:pgMar w:top="2098" w:right="1474" w:bottom="1984"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微软简标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7589">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5BC2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4E5BC2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0OGM3MzYzMDZkZmZkNmQzNWI2YWU4NThiOTRjOTEifQ=="/>
    <w:docVar w:name="KSO_WPS_MARK_KEY" w:val="df26aeba-b65d-4bda-9a54-32a49d426457"/>
  </w:docVars>
  <w:rsids>
    <w:rsidRoot w:val="2CA4386C"/>
    <w:rsid w:val="010F4D0A"/>
    <w:rsid w:val="02B64B93"/>
    <w:rsid w:val="03AD42CA"/>
    <w:rsid w:val="040D4CBA"/>
    <w:rsid w:val="05D71325"/>
    <w:rsid w:val="07A8744A"/>
    <w:rsid w:val="087E0D9A"/>
    <w:rsid w:val="098807FA"/>
    <w:rsid w:val="09FA11E0"/>
    <w:rsid w:val="0B660046"/>
    <w:rsid w:val="0B71740F"/>
    <w:rsid w:val="0DC30C0E"/>
    <w:rsid w:val="11621375"/>
    <w:rsid w:val="1313164F"/>
    <w:rsid w:val="148962B9"/>
    <w:rsid w:val="14A44A77"/>
    <w:rsid w:val="150D6EFB"/>
    <w:rsid w:val="152708E8"/>
    <w:rsid w:val="15365D91"/>
    <w:rsid w:val="15FA5779"/>
    <w:rsid w:val="17A1197A"/>
    <w:rsid w:val="18E74005"/>
    <w:rsid w:val="1BB75C39"/>
    <w:rsid w:val="1BD91B92"/>
    <w:rsid w:val="1E2C7FF6"/>
    <w:rsid w:val="1FA97D98"/>
    <w:rsid w:val="218A582A"/>
    <w:rsid w:val="21F03B95"/>
    <w:rsid w:val="2454465C"/>
    <w:rsid w:val="253B58D8"/>
    <w:rsid w:val="25BC6827"/>
    <w:rsid w:val="27222AE7"/>
    <w:rsid w:val="28B50BD7"/>
    <w:rsid w:val="29D108D4"/>
    <w:rsid w:val="2AC860B7"/>
    <w:rsid w:val="2ADB088C"/>
    <w:rsid w:val="2CA4386C"/>
    <w:rsid w:val="2D9B6278"/>
    <w:rsid w:val="2DBE7325"/>
    <w:rsid w:val="2DF9676E"/>
    <w:rsid w:val="2E882F5E"/>
    <w:rsid w:val="2F106917"/>
    <w:rsid w:val="2F76684C"/>
    <w:rsid w:val="314424C8"/>
    <w:rsid w:val="3283659F"/>
    <w:rsid w:val="35B5088A"/>
    <w:rsid w:val="36A2264C"/>
    <w:rsid w:val="36F746A7"/>
    <w:rsid w:val="38497762"/>
    <w:rsid w:val="384B0C09"/>
    <w:rsid w:val="390A3FD4"/>
    <w:rsid w:val="3D8454D5"/>
    <w:rsid w:val="3E5C54C3"/>
    <w:rsid w:val="3E8174A1"/>
    <w:rsid w:val="3F51407E"/>
    <w:rsid w:val="412F5689"/>
    <w:rsid w:val="42BF4549"/>
    <w:rsid w:val="42D70FD5"/>
    <w:rsid w:val="43E95AE5"/>
    <w:rsid w:val="441F1F30"/>
    <w:rsid w:val="47470079"/>
    <w:rsid w:val="49297AC0"/>
    <w:rsid w:val="4E5B5471"/>
    <w:rsid w:val="4E7368C1"/>
    <w:rsid w:val="4F375809"/>
    <w:rsid w:val="4FB87D02"/>
    <w:rsid w:val="508F720D"/>
    <w:rsid w:val="51156562"/>
    <w:rsid w:val="52870FD7"/>
    <w:rsid w:val="53277834"/>
    <w:rsid w:val="53524611"/>
    <w:rsid w:val="557E0ABE"/>
    <w:rsid w:val="566A4FF1"/>
    <w:rsid w:val="56777975"/>
    <w:rsid w:val="57251230"/>
    <w:rsid w:val="5A1225D4"/>
    <w:rsid w:val="5A613B84"/>
    <w:rsid w:val="5D150161"/>
    <w:rsid w:val="5D1B67C7"/>
    <w:rsid w:val="5EE675F6"/>
    <w:rsid w:val="5F455CC4"/>
    <w:rsid w:val="5FB149DD"/>
    <w:rsid w:val="61F47390"/>
    <w:rsid w:val="634E06D7"/>
    <w:rsid w:val="652B6AB3"/>
    <w:rsid w:val="65953340"/>
    <w:rsid w:val="660802C2"/>
    <w:rsid w:val="66EA5D84"/>
    <w:rsid w:val="670C04C4"/>
    <w:rsid w:val="67746B3D"/>
    <w:rsid w:val="67A86A9A"/>
    <w:rsid w:val="682B3331"/>
    <w:rsid w:val="69E61E22"/>
    <w:rsid w:val="6CE453A5"/>
    <w:rsid w:val="6CFB21F6"/>
    <w:rsid w:val="6ED756FD"/>
    <w:rsid w:val="72196775"/>
    <w:rsid w:val="72A055C4"/>
    <w:rsid w:val="749F757D"/>
    <w:rsid w:val="774147EB"/>
    <w:rsid w:val="77E048EF"/>
    <w:rsid w:val="77FB5A76"/>
    <w:rsid w:val="78420C7F"/>
    <w:rsid w:val="78867117"/>
    <w:rsid w:val="78C0549E"/>
    <w:rsid w:val="7C3057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1602</Words>
  <Characters>1668</Characters>
  <Lines>0</Lines>
  <Paragraphs>0</Paragraphs>
  <TotalTime>48</TotalTime>
  <ScaleCrop>false</ScaleCrop>
  <LinksUpToDate>false</LinksUpToDate>
  <CharactersWithSpaces>1697</CharactersWithSpaces>
  <Application>WPS Office_12.8.2.18606_F1E327BC-269C-435d-A152-05C5408002CA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2023-11-15T03:21:00Z</dcterms:created>
  <dc:creator>翼~莨</dc:creator>
  <cp:lastModifiedBy>赵健成</cp:lastModifiedBy>
  <cp:lastPrinted>2024-10-24T03:10:00Z</cp:lastPrinted>
  <dcterms:modified xsi:type="dcterms:W3CDTF">2025-08-20T07:57:54Z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2052-12.8.2.18606</vt:lpwstr>
  </property>
  <property fmtid="{D5CDD505-2E9C-101B-9397-08002B2CF9AE}" pid="3" name="ICV">
    <vt:lpwstr>A2400D3D79C846479E3221CB4BE51C4D_13</vt:lpwstr>
  </property>
</Properties>
</file>