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附件1</w:t>
      </w:r>
    </w:p>
    <w:p>
      <w:pPr>
        <w:spacing w:line="600" w:lineRule="exact"/>
        <w:rPr>
          <w:rFonts w:ascii="方正小标宋简体" w:hAnsi="黑体" w:eastAsia="方正小标宋简体" w:cs="黑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总部企业申请报告编制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参考</w:t>
      </w:r>
      <w:r>
        <w:rPr>
          <w:rFonts w:hint="eastAsia" w:ascii="方正小标宋简体" w:hAnsi="黑体" w:eastAsia="方正小标宋简体" w:cs="黑体"/>
          <w:sz w:val="44"/>
          <w:szCs w:val="44"/>
        </w:rPr>
        <w:t>提纲</w:t>
      </w:r>
    </w:p>
    <w:p>
      <w:pPr>
        <w:spacing w:line="600" w:lineRule="exact"/>
        <w:rPr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企业（集团）及下属企业基本情况</w:t>
      </w:r>
    </w:p>
    <w:p>
      <w:pPr>
        <w:spacing w:line="600" w:lineRule="exact"/>
        <w:ind w:firstLine="616" w:firstLineChars="200"/>
        <w:rPr>
          <w:rFonts w:hint="eastAsia" w:asci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cs="仿宋_GB2312"/>
          <w:kern w:val="0"/>
          <w:szCs w:val="32"/>
        </w:rPr>
        <w:t>企业及下属企业经营管理等基本情况。包括法人所有制性质、法人治理结构、主营业务</w:t>
      </w:r>
      <w:r>
        <w:rPr>
          <w:rFonts w:hint="eastAsia" w:ascii="仿宋_GB2312" w:cs="仿宋_GB2312"/>
          <w:kern w:val="0"/>
          <w:szCs w:val="32"/>
          <w:lang w:eastAsia="zh-CN"/>
        </w:rPr>
        <w:t>、实缴注册资本</w:t>
      </w:r>
      <w:r>
        <w:rPr>
          <w:rFonts w:hint="eastAsia" w:ascii="仿宋_GB2312" w:cs="仿宋_GB2312"/>
          <w:kern w:val="0"/>
          <w:szCs w:val="32"/>
        </w:rPr>
        <w:t>，上年度营业收入、纳税额、利润额、</w:t>
      </w:r>
      <w:r>
        <w:rPr>
          <w:rFonts w:hint="eastAsia" w:ascii="仿宋_GB2312" w:cs="仿宋_GB2312"/>
          <w:kern w:val="0"/>
          <w:szCs w:val="32"/>
          <w:lang w:eastAsia="zh-CN"/>
        </w:rPr>
        <w:t>研发强度、</w:t>
      </w:r>
      <w:r>
        <w:rPr>
          <w:rFonts w:hint="eastAsia" w:ascii="仿宋_GB2312" w:cs="仿宋_GB2312"/>
          <w:kern w:val="0"/>
          <w:szCs w:val="32"/>
        </w:rPr>
        <w:t>职工人数、企业总资产、资产负债率、银行信用等级、主导产品及市场产占有率、技术来源等。</w:t>
      </w:r>
    </w:p>
    <w:p>
      <w:pPr>
        <w:numPr>
          <w:ilvl w:val="0"/>
          <w:numId w:val="1"/>
        </w:numPr>
        <w:spacing w:line="600" w:lineRule="exact"/>
        <w:ind w:firstLine="616" w:firstLineChars="200"/>
        <w:rPr>
          <w:rFonts w:hint="eastAsia" w:ascii="黑体" w:hAnsi="黑体" w:eastAsia="黑体" w:cs="黑体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Cs w:val="32"/>
          <w:lang w:eastAsia="zh-CN"/>
        </w:rPr>
        <w:t>总部职能介绍</w:t>
      </w:r>
      <w:bookmarkStart w:id="0" w:name="_GoBack"/>
      <w:bookmarkEnd w:id="0"/>
    </w:p>
    <w:p>
      <w:pPr>
        <w:numPr>
          <w:ilvl w:val="-1"/>
          <w:numId w:val="0"/>
        </w:numPr>
        <w:spacing w:line="600" w:lineRule="exact"/>
        <w:ind w:firstLine="592" w:firstLineChars="0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企业具有哪些总部职能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。（集团总部是否具有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决策管理、行政管理、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资产管理、资金结算管理、采购管理等总部职能。区域总部是否承担总公司（母公司）区域（包括但不限于我市）职能。职能总部是否承担总公司（母公司）销售、研发、运营、结算等部分总部职能。）</w:t>
      </w:r>
    </w:p>
    <w:p>
      <w:pPr>
        <w:numPr>
          <w:ilvl w:val="-1"/>
          <w:numId w:val="0"/>
        </w:numPr>
        <w:spacing w:line="600" w:lineRule="exact"/>
        <w:ind w:firstLine="592" w:firstLineChars="0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区域总部、职能总部需详细介绍母公司情况。</w:t>
      </w:r>
    </w:p>
    <w:p>
      <w:pPr>
        <w:spacing w:line="600" w:lineRule="exact"/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Cs w:val="32"/>
        </w:rPr>
        <w:t>、发展优势</w:t>
      </w:r>
    </w:p>
    <w:p>
      <w:pPr>
        <w:numPr>
          <w:ilvl w:val="255"/>
          <w:numId w:val="0"/>
        </w:numPr>
        <w:spacing w:line="600" w:lineRule="exact"/>
        <w:ind w:left="0" w:leftChars="0"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1.企业在行业中的地位和作用。</w:t>
      </w:r>
    </w:p>
    <w:p>
      <w:pPr>
        <w:numPr>
          <w:ilvl w:val="255"/>
          <w:numId w:val="0"/>
        </w:numPr>
        <w:spacing w:line="600" w:lineRule="exact"/>
        <w:ind w:left="0" w:leftChars="0"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2.企业在本产业领域技术创新中的作用和竞争能力。</w:t>
      </w:r>
    </w:p>
    <w:p>
      <w:pPr>
        <w:spacing w:line="600" w:lineRule="exact"/>
        <w:ind w:firstLine="616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Cs w:val="32"/>
        </w:rPr>
        <w:t>、发展前景及规划</w:t>
      </w:r>
    </w:p>
    <w:p>
      <w:pPr>
        <w:spacing w:line="600" w:lineRule="exact"/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1.产业发展战略与重点领域</w:t>
      </w:r>
    </w:p>
    <w:p>
      <w:pPr>
        <w:spacing w:line="600" w:lineRule="exact"/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2.企业三年规划目标和投资计划</w:t>
      </w:r>
    </w:p>
    <w:p>
      <w:pPr>
        <w:spacing w:line="600" w:lineRule="exact"/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3.人才培养计划</w:t>
      </w:r>
    </w:p>
    <w:p>
      <w:pPr>
        <w:spacing w:line="600" w:lineRule="exact"/>
        <w:ind w:firstLine="616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4.产品竞争市场策略</w:t>
      </w:r>
    </w:p>
    <w:p>
      <w:pPr>
        <w:spacing w:line="600" w:lineRule="exact"/>
        <w:ind w:firstLine="616" w:firstLineChars="200"/>
        <w:rPr>
          <w:rFonts w:ascii="仿宋_GB2312" w:cs="仿宋_GB2312"/>
          <w:kern w:val="0"/>
          <w:szCs w:val="32"/>
        </w:rPr>
      </w:pPr>
    </w:p>
    <w:p>
      <w:pPr>
        <w:spacing w:line="600" w:lineRule="exact"/>
        <w:ind w:firstLine="616" w:firstLineChars="200"/>
        <w:rPr>
          <w:rFonts w:ascii="仿宋_GB2312" w:cs="仿宋_GB2312"/>
          <w:kern w:val="0"/>
          <w:szCs w:val="32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sectPr>
      <w:footerReference r:id="rId5" w:type="default"/>
      <w:pgSz w:w="11906" w:h="16838"/>
      <w:pgMar w:top="2098" w:right="1587" w:bottom="1984" w:left="1587" w:header="851" w:footer="992" w:gutter="0"/>
      <w:pgNumType w:fmt="numberInDash" w:start="8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5113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5113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88893"/>
    <w:multiLevelType w:val="singleLevel"/>
    <w:tmpl w:val="5EE8889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HorizontalSpacing w:val="154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B3DCD"/>
    <w:rsid w:val="003356BC"/>
    <w:rsid w:val="003A2896"/>
    <w:rsid w:val="20577733"/>
    <w:rsid w:val="20767EE8"/>
    <w:rsid w:val="2B4B3DCD"/>
    <w:rsid w:val="2EA011B9"/>
    <w:rsid w:val="32F70908"/>
    <w:rsid w:val="3D774B1A"/>
    <w:rsid w:val="44263E41"/>
    <w:rsid w:val="4CBD4C4B"/>
    <w:rsid w:val="5DAC7152"/>
    <w:rsid w:val="BFFF0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eastAsia="仿宋_GB2312" w:asciiTheme="minorHAnsi" w:hAnsiTheme="minorHAnsi" w:cstheme="minorBidi"/>
      <w:spacing w:val="-6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eastAsia="仿宋_GB2312"/>
      <w:spacing w:val="-6"/>
      <w:kern w:val="3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spacing w:val="-6"/>
      <w:kern w:val="3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仿宋_GB2312"/>
      <w:spacing w:val="-6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zsfg</Company>
  <Pages>1</Pages>
  <Words>223</Words>
  <Characters>25</Characters>
  <Lines>1</Lines>
  <Paragraphs>1</Paragraphs>
  <TotalTime>0</TotalTime>
  <ScaleCrop>false</ScaleCrop>
  <LinksUpToDate>false</LinksUpToDate>
  <CharactersWithSpaces>247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2020-06-16T16:55:00Z</dcterms:created>
  <dc:creator>Administrator</dc:creator>
  <cp:lastModifiedBy>user</cp:lastModifiedBy>
  <dcterms:modified xsi:type="dcterms:W3CDTF">2025-08-04T16:56:07Z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