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01931">
      <w:pPr>
        <w:ind w:firstLine="0"/>
        <w:jc w:val="center"/>
        <w:rPr>
          <w:rFonts w:hint="eastAsia"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lang w:val="en-US" w:eastAsia="zh-CN"/>
        </w:rPr>
        <w:t>中山市</w:t>
      </w:r>
      <w:r>
        <w:rPr>
          <w:rFonts w:hint="eastAsia" w:ascii="Times New Roman" w:hAnsi="Times New Roman" w:eastAsia="方正小标宋简体" w:cs="方正小标宋简体"/>
          <w:color w:val="auto"/>
          <w:spacing w:val="-6"/>
          <w:sz w:val="44"/>
          <w:szCs w:val="44"/>
        </w:rPr>
        <w:t>神湾镇中山美得盛休闲家具有限</w:t>
      </w:r>
    </w:p>
    <w:p w14:paraId="2B5861AF">
      <w:pPr>
        <w:ind w:firstLine="0"/>
        <w:jc w:val="center"/>
        <w:rPr>
          <w:rFonts w:hint="eastAsia"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rPr>
        <w:t>公司</w:t>
      </w:r>
      <w:bookmarkStart w:id="0" w:name="_GoBack"/>
      <w:bookmarkEnd w:id="0"/>
      <w:r>
        <w:rPr>
          <w:rFonts w:hint="eastAsia" w:ascii="Times New Roman" w:hAnsi="Times New Roman" w:eastAsia="方正小标宋简体" w:cs="方正小标宋简体"/>
          <w:color w:val="auto"/>
          <w:spacing w:val="-6"/>
          <w:sz w:val="44"/>
          <w:szCs w:val="44"/>
        </w:rPr>
        <w:t>“工改工”宗地项目</w:t>
      </w:r>
    </w:p>
    <w:p w14:paraId="4A7BE28B">
      <w:pPr>
        <w:ind w:firstLine="0"/>
        <w:jc w:val="center"/>
        <w:rPr>
          <w:rFonts w:ascii="Times New Roman" w:hAnsi="Times New Roman" w:eastAsia="方正小标宋简体" w:cs="方正小标宋简体"/>
          <w:color w:val="auto"/>
          <w:spacing w:val="-6"/>
          <w:sz w:val="44"/>
          <w:szCs w:val="44"/>
        </w:rPr>
      </w:pPr>
      <w:r>
        <w:rPr>
          <w:rFonts w:hint="eastAsia" w:ascii="Times New Roman" w:hAnsi="Times New Roman" w:eastAsia="方正小标宋简体" w:cs="方正小标宋简体"/>
          <w:color w:val="auto"/>
          <w:spacing w:val="-6"/>
          <w:sz w:val="44"/>
          <w:szCs w:val="44"/>
        </w:rPr>
        <w:t>“三旧”改造方案</w:t>
      </w:r>
    </w:p>
    <w:p w14:paraId="5AFD1DE1">
      <w:pPr>
        <w:rPr>
          <w:rFonts w:ascii="Times New Roman" w:hAnsi="Times New Roman" w:eastAsia="方正小标宋简体" w:cs="方正小标宋简体"/>
          <w:color w:val="auto"/>
          <w:spacing w:val="-6"/>
          <w:sz w:val="44"/>
          <w:szCs w:val="44"/>
        </w:rPr>
      </w:pPr>
    </w:p>
    <w:p w14:paraId="463520F8">
      <w:pPr>
        <w:pStyle w:val="13"/>
        <w:snapToGrid w:val="0"/>
        <w:spacing w:beforeLines="0" w:afterLines="0" w:line="336" w:lineRule="auto"/>
        <w:ind w:firstLine="641"/>
        <w:jc w:val="both"/>
        <w:rPr>
          <w:rFonts w:ascii="Times New Roman" w:hAnsi="Times New Roman" w:eastAsia="方正小标宋简体" w:cs="方正小标宋简体"/>
          <w:color w:val="auto"/>
          <w:spacing w:val="-6"/>
          <w:sz w:val="44"/>
          <w:szCs w:val="44"/>
        </w:rPr>
      </w:pPr>
      <w:r>
        <w:rPr>
          <w:rFonts w:hint="eastAsia" w:ascii="Times New Roman" w:hAnsi="Times New Roman" w:eastAsia="仿宋" w:cs="仿宋_GB2312"/>
          <w:color w:val="auto"/>
          <w:spacing w:val="-6"/>
          <w:kern w:val="2"/>
          <w:sz w:val="32"/>
          <w:szCs w:val="32"/>
        </w:rPr>
        <w:t>根据《中山市城市更新（“三旧”改造）专项规划（2020-2035年）》</w:t>
      </w:r>
      <w:r>
        <w:rPr>
          <w:rFonts w:hint="eastAsia" w:ascii="Times New Roman" w:hAnsi="Times New Roman" w:eastAsia="仿宋" w:cs="仿宋_GB2312"/>
          <w:color w:val="auto"/>
          <w:spacing w:val="-6"/>
          <w:kern w:val="2"/>
          <w:sz w:val="32"/>
          <w:szCs w:val="32"/>
          <w:lang w:val="en-US" w:eastAsia="zh-CN"/>
        </w:rPr>
        <w:t>及现行控制性详细规划</w:t>
      </w:r>
      <w:r>
        <w:rPr>
          <w:rFonts w:hint="eastAsia" w:ascii="Times New Roman" w:hAnsi="Times New Roman" w:eastAsia="仿宋" w:cs="仿宋_GB2312"/>
          <w:color w:val="auto"/>
          <w:spacing w:val="-6"/>
          <w:kern w:val="2"/>
          <w:sz w:val="32"/>
          <w:szCs w:val="32"/>
        </w:rPr>
        <w:t>，中山市神湾镇人民政府拟对位于中山市神湾镇神溪工业园的谢震山用地进行改造，由土地权利人谢震山</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将该用地</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bidi="ar-SA"/>
        </w:rPr>
        <w:t>转移登记</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至中山美得盛休闲家具有限公司名下，由中山美得盛休闲家具有限公司</w:t>
      </w:r>
      <w:r>
        <w:rPr>
          <w:rFonts w:hint="eastAsia" w:ascii="Times New Roman" w:hAnsi="Times New Roman" w:eastAsia="仿宋" w:cs="仿宋_GB2312"/>
          <w:color w:val="auto"/>
          <w:spacing w:val="-6"/>
          <w:kern w:val="2"/>
          <w:sz w:val="32"/>
          <w:szCs w:val="32"/>
        </w:rPr>
        <w:t>作为改造主体进行自主改造，采取局部改造的改造方式。改造方案如下：</w:t>
      </w:r>
    </w:p>
    <w:p w14:paraId="23961A52">
      <w:pPr>
        <w:pStyle w:val="2"/>
        <w:adjustRightInd w:val="0"/>
        <w:snapToGrid w:val="0"/>
        <w:spacing w:beforeLines="0" w:afterLines="0" w:line="336" w:lineRule="auto"/>
        <w:ind w:firstLine="616"/>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改造地块基本情况</w:t>
      </w:r>
    </w:p>
    <w:p w14:paraId="150538F1">
      <w:pPr>
        <w:pStyle w:val="3"/>
        <w:adjustRightInd w:val="0"/>
        <w:snapToGrid w:val="0"/>
        <w:spacing w:beforeLines="0" w:afterLines="0" w:line="336" w:lineRule="auto"/>
        <w:ind w:right="0" w:rightChars="0" w:firstLine="0"/>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总体情况</w:t>
      </w:r>
    </w:p>
    <w:p w14:paraId="5E307C1B">
      <w:pPr>
        <w:pStyle w:val="13"/>
        <w:snapToGrid w:val="0"/>
        <w:spacing w:beforeLines="0" w:afterLines="0" w:line="336" w:lineRule="auto"/>
        <w:ind w:firstLine="641"/>
        <w:jc w:val="both"/>
        <w:rPr>
          <w:rFonts w:ascii="Times New Roman" w:hAnsi="Times New Roman" w:eastAsia="仿宋_GB2312" w:cs="仿宋_GB2312"/>
          <w:color w:val="auto"/>
          <w:kern w:val="2"/>
          <w:sz w:val="32"/>
          <w:szCs w:val="32"/>
        </w:rPr>
      </w:pPr>
      <w:r>
        <w:rPr>
          <w:rFonts w:hint="eastAsia" w:ascii="Times New Roman" w:hAnsi="Times New Roman" w:eastAsia="仿宋" w:cs="仿宋_GB2312"/>
          <w:color w:val="auto"/>
          <w:spacing w:val="-6"/>
          <w:kern w:val="2"/>
          <w:sz w:val="32"/>
          <w:szCs w:val="32"/>
        </w:rPr>
        <w:t>改造项目位于神湾镇神溪工业园</w:t>
      </w:r>
      <w:r>
        <w:rPr>
          <w:rFonts w:ascii="Times New Roman" w:hAnsi="Times New Roman" w:eastAsia="仿宋" w:cs="仿宋_GB2312"/>
          <w:color w:val="auto"/>
          <w:spacing w:val="-6"/>
          <w:kern w:val="2"/>
          <w:sz w:val="32"/>
          <w:szCs w:val="32"/>
        </w:rPr>
        <w:t>，</w:t>
      </w:r>
      <w:r>
        <w:rPr>
          <w:rFonts w:hint="eastAsia" w:ascii="Times New Roman" w:hAnsi="Times New Roman" w:eastAsia="仿宋" w:cs="仿宋_GB2312"/>
          <w:color w:val="auto"/>
          <w:spacing w:val="-6"/>
          <w:kern w:val="2"/>
          <w:sz w:val="32"/>
          <w:szCs w:val="32"/>
        </w:rPr>
        <w:t>东至绿捷特电动车辆制造有限公司、西至神浩泉塑胶制品有限公司、南至定溪工业路，北至高晋不锈钢制品有限公司，用地面积</w:t>
      </w:r>
      <w:r>
        <w:rPr>
          <w:rFonts w:ascii="Times New Roman" w:hAnsi="Times New Roman" w:eastAsia="仿宋" w:cs="仿宋_GB2312"/>
          <w:color w:val="auto"/>
          <w:spacing w:val="-6"/>
          <w:kern w:val="2"/>
          <w:sz w:val="32"/>
          <w:szCs w:val="32"/>
        </w:rPr>
        <w:t>0.8630</w:t>
      </w:r>
      <w:r>
        <w:rPr>
          <w:rFonts w:hint="eastAsia" w:ascii="Times New Roman" w:hAnsi="Times New Roman" w:eastAsia="仿宋" w:cs="仿宋_GB2312"/>
          <w:color w:val="auto"/>
          <w:spacing w:val="-6"/>
          <w:kern w:val="2"/>
          <w:sz w:val="32"/>
          <w:szCs w:val="32"/>
        </w:rPr>
        <w:t>公顷（</w:t>
      </w:r>
      <w:r>
        <w:rPr>
          <w:rFonts w:ascii="Times New Roman" w:hAnsi="Times New Roman" w:eastAsia="仿宋" w:cs="仿宋_GB2312"/>
          <w:color w:val="auto"/>
          <w:spacing w:val="-6"/>
          <w:kern w:val="2"/>
          <w:sz w:val="32"/>
          <w:szCs w:val="32"/>
        </w:rPr>
        <w:t>8630.00平方米</w:t>
      </w:r>
      <w:r>
        <w:rPr>
          <w:rFonts w:hint="eastAsia" w:ascii="Times New Roman" w:hAnsi="Times New Roman" w:eastAsia="仿宋" w:cs="仿宋_GB2312"/>
          <w:color w:val="auto"/>
          <w:spacing w:val="-6"/>
          <w:kern w:val="2"/>
          <w:sz w:val="32"/>
          <w:szCs w:val="32"/>
        </w:rPr>
        <w:t>，折合约</w:t>
      </w:r>
      <w:r>
        <w:rPr>
          <w:rFonts w:ascii="Times New Roman" w:hAnsi="Times New Roman" w:eastAsia="仿宋" w:cs="仿宋_GB2312"/>
          <w:color w:val="auto"/>
          <w:spacing w:val="-6"/>
          <w:kern w:val="2"/>
          <w:sz w:val="32"/>
          <w:szCs w:val="32"/>
        </w:rPr>
        <w:t>12.95</w:t>
      </w:r>
      <w:r>
        <w:rPr>
          <w:rFonts w:hint="eastAsia" w:ascii="Times New Roman" w:hAnsi="Times New Roman" w:eastAsia="仿宋" w:cs="仿宋_GB2312"/>
          <w:color w:val="auto"/>
          <w:spacing w:val="-6"/>
          <w:kern w:val="2"/>
          <w:sz w:val="32"/>
          <w:szCs w:val="32"/>
        </w:rPr>
        <w:t>亩）。</w:t>
      </w:r>
    </w:p>
    <w:p w14:paraId="4F209546">
      <w:pPr>
        <w:pStyle w:val="3"/>
        <w:adjustRightInd w:val="0"/>
        <w:snapToGrid w:val="0"/>
        <w:spacing w:beforeLines="0" w:afterLines="0" w:line="336" w:lineRule="auto"/>
        <w:ind w:right="0" w:rightChars="0" w:firstLine="0"/>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标图入库情况</w:t>
      </w:r>
    </w:p>
    <w:p w14:paraId="77CEEF8C">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hint="eastAsia" w:ascii="Times New Roman" w:hAnsi="Times New Roman" w:eastAsia="仿宋" w:cs="仿宋_GB2312"/>
          <w:color w:val="auto"/>
          <w:spacing w:val="-6"/>
          <w:kern w:val="2"/>
          <w:sz w:val="32"/>
          <w:szCs w:val="32"/>
        </w:rPr>
        <w:t>改造地块已于2024年7月办理“三旧”标图建库</w:t>
      </w:r>
      <w:r>
        <w:rPr>
          <w:rFonts w:ascii="Times New Roman" w:hAnsi="Times New Roman" w:eastAsia="仿宋" w:cs="仿宋_GB2312"/>
          <w:color w:val="auto"/>
          <w:spacing w:val="-6"/>
          <w:kern w:val="2"/>
          <w:sz w:val="32"/>
          <w:szCs w:val="32"/>
        </w:rPr>
        <w:t>，图斑编号为44200071029，</w:t>
      </w:r>
      <w:r>
        <w:rPr>
          <w:rFonts w:hint="eastAsia" w:ascii="Times New Roman" w:hAnsi="Times New Roman" w:eastAsia="仿宋" w:cs="仿宋_GB2312"/>
          <w:color w:val="auto"/>
          <w:spacing w:val="-6"/>
          <w:kern w:val="2"/>
          <w:sz w:val="32"/>
          <w:szCs w:val="32"/>
        </w:rPr>
        <w:t>图斑面积为</w:t>
      </w:r>
      <w:r>
        <w:rPr>
          <w:rFonts w:ascii="Times New Roman" w:hAnsi="Times New Roman" w:eastAsia="仿宋" w:cs="仿宋_GB2312"/>
          <w:color w:val="auto"/>
          <w:spacing w:val="-6"/>
          <w:kern w:val="2"/>
          <w:sz w:val="32"/>
          <w:szCs w:val="32"/>
        </w:rPr>
        <w:t>0.863</w:t>
      </w:r>
      <w:r>
        <w:rPr>
          <w:rFonts w:hint="eastAsia" w:ascii="Times New Roman" w:hAnsi="Times New Roman" w:eastAsia="仿宋" w:cs="仿宋_GB2312"/>
          <w:color w:val="auto"/>
          <w:spacing w:val="-6"/>
          <w:kern w:val="2"/>
          <w:sz w:val="32"/>
          <w:szCs w:val="32"/>
        </w:rPr>
        <w:t>1公顷（</w:t>
      </w:r>
      <w:r>
        <w:rPr>
          <w:rFonts w:ascii="Times New Roman" w:hAnsi="Times New Roman" w:eastAsia="仿宋" w:cs="仿宋_GB2312"/>
          <w:color w:val="auto"/>
          <w:spacing w:val="-6"/>
          <w:kern w:val="2"/>
          <w:sz w:val="32"/>
          <w:szCs w:val="32"/>
        </w:rPr>
        <w:t>8630.90</w:t>
      </w:r>
      <w:r>
        <w:rPr>
          <w:rFonts w:hint="eastAsia" w:ascii="Times New Roman" w:hAnsi="Times New Roman" w:eastAsia="仿宋" w:cs="仿宋_GB2312"/>
          <w:color w:val="auto"/>
          <w:spacing w:val="-6"/>
          <w:kern w:val="2"/>
          <w:sz w:val="32"/>
          <w:szCs w:val="32"/>
        </w:rPr>
        <w:t>平方米，折合约</w:t>
      </w:r>
      <w:r>
        <w:rPr>
          <w:rFonts w:ascii="Times New Roman" w:hAnsi="Times New Roman" w:eastAsia="仿宋" w:cs="仿宋_GB2312"/>
          <w:color w:val="auto"/>
          <w:spacing w:val="-6"/>
          <w:kern w:val="2"/>
          <w:sz w:val="32"/>
          <w:szCs w:val="32"/>
        </w:rPr>
        <w:t>12.95</w:t>
      </w:r>
      <w:r>
        <w:rPr>
          <w:rFonts w:hint="eastAsia" w:ascii="Times New Roman" w:hAnsi="Times New Roman" w:eastAsia="仿宋" w:cs="仿宋_GB2312"/>
          <w:color w:val="auto"/>
          <w:spacing w:val="-6"/>
          <w:kern w:val="2"/>
          <w:sz w:val="32"/>
          <w:szCs w:val="32"/>
        </w:rPr>
        <w:t>亩），</w:t>
      </w:r>
      <w:r>
        <w:rPr>
          <w:rFonts w:ascii="Times New Roman" w:hAnsi="Times New Roman" w:eastAsia="仿宋" w:cs="仿宋_GB2312"/>
          <w:color w:val="auto"/>
          <w:spacing w:val="-6"/>
          <w:kern w:val="2"/>
          <w:sz w:val="32"/>
          <w:szCs w:val="32"/>
        </w:rPr>
        <w:t>纳入标图入库图斑面积0.8630</w:t>
      </w:r>
      <w:r>
        <w:rPr>
          <w:rFonts w:hint="eastAsia" w:ascii="Times New Roman" w:hAnsi="Times New Roman" w:eastAsia="仿宋" w:cs="仿宋_GB2312"/>
          <w:color w:val="auto"/>
          <w:spacing w:val="-6"/>
          <w:kern w:val="2"/>
          <w:sz w:val="32"/>
          <w:szCs w:val="32"/>
        </w:rPr>
        <w:t>公顷（</w:t>
      </w:r>
      <w:r>
        <w:rPr>
          <w:rFonts w:ascii="Times New Roman" w:hAnsi="Times New Roman" w:eastAsia="仿宋" w:cs="仿宋_GB2312"/>
          <w:color w:val="auto"/>
          <w:spacing w:val="-6"/>
          <w:kern w:val="2"/>
          <w:sz w:val="32"/>
          <w:szCs w:val="32"/>
        </w:rPr>
        <w:t>8630.00平方米</w:t>
      </w:r>
      <w:r>
        <w:rPr>
          <w:rFonts w:hint="eastAsia" w:ascii="Times New Roman" w:hAnsi="Times New Roman" w:eastAsia="仿宋" w:cs="仿宋_GB2312"/>
          <w:color w:val="auto"/>
          <w:spacing w:val="-6"/>
          <w:kern w:val="2"/>
          <w:sz w:val="32"/>
          <w:szCs w:val="32"/>
        </w:rPr>
        <w:t>，折合约</w:t>
      </w:r>
      <w:r>
        <w:rPr>
          <w:rFonts w:ascii="Times New Roman" w:hAnsi="Times New Roman" w:eastAsia="仿宋" w:cs="仿宋_GB2312"/>
          <w:color w:val="auto"/>
          <w:spacing w:val="-6"/>
          <w:kern w:val="2"/>
          <w:sz w:val="32"/>
          <w:szCs w:val="32"/>
        </w:rPr>
        <w:t>12.95</w:t>
      </w:r>
      <w:r>
        <w:rPr>
          <w:rFonts w:hint="eastAsia" w:ascii="Times New Roman" w:hAnsi="Times New Roman" w:eastAsia="仿宋" w:cs="仿宋_GB2312"/>
          <w:color w:val="auto"/>
          <w:spacing w:val="-6"/>
          <w:kern w:val="2"/>
          <w:sz w:val="32"/>
          <w:szCs w:val="32"/>
        </w:rPr>
        <w:t>亩）</w:t>
      </w:r>
      <w:r>
        <w:rPr>
          <w:rFonts w:ascii="Times New Roman" w:hAnsi="Times New Roman" w:eastAsia="仿宋" w:cs="仿宋_GB2312"/>
          <w:color w:val="auto"/>
          <w:spacing w:val="-6"/>
          <w:kern w:val="2"/>
          <w:sz w:val="32"/>
          <w:szCs w:val="32"/>
        </w:rPr>
        <w:t>。</w:t>
      </w:r>
    </w:p>
    <w:p w14:paraId="7518A7F9">
      <w:pPr>
        <w:pStyle w:val="3"/>
        <w:adjustRightInd w:val="0"/>
        <w:snapToGrid w:val="0"/>
        <w:spacing w:beforeLines="0" w:afterLines="0" w:line="336" w:lineRule="auto"/>
        <w:ind w:right="0" w:rightChars="0" w:firstLine="0"/>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权属情况</w:t>
      </w:r>
    </w:p>
    <w:p w14:paraId="38A4E2F4">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ascii="Times New Roman" w:hAnsi="Times New Roman" w:eastAsia="仿宋" w:cs="仿宋_GB2312"/>
          <w:color w:val="auto"/>
          <w:spacing w:val="-6"/>
          <w:kern w:val="2"/>
          <w:sz w:val="32"/>
          <w:szCs w:val="32"/>
        </w:rPr>
        <w:t>改造范围内</w:t>
      </w:r>
      <w:r>
        <w:rPr>
          <w:rFonts w:hint="eastAsia" w:ascii="Times New Roman" w:hAnsi="Times New Roman" w:eastAsia="仿宋" w:cs="仿宋_GB2312"/>
          <w:color w:val="auto"/>
          <w:spacing w:val="-6"/>
          <w:kern w:val="2"/>
          <w:sz w:val="32"/>
          <w:szCs w:val="32"/>
        </w:rPr>
        <w:t>涉及1宗</w:t>
      </w:r>
      <w:r>
        <w:rPr>
          <w:rFonts w:ascii="Times New Roman" w:hAnsi="Times New Roman" w:eastAsia="仿宋" w:cs="仿宋_GB2312"/>
          <w:color w:val="auto"/>
          <w:spacing w:val="-6"/>
          <w:kern w:val="2"/>
          <w:sz w:val="32"/>
          <w:szCs w:val="32"/>
        </w:rPr>
        <w:t>国有建设用地，</w:t>
      </w:r>
      <w:r>
        <w:rPr>
          <w:rFonts w:hint="eastAsia" w:ascii="Times New Roman" w:hAnsi="Times New Roman" w:eastAsia="仿宋" w:cs="仿宋_GB2312"/>
          <w:color w:val="auto"/>
          <w:spacing w:val="-6"/>
          <w:kern w:val="2"/>
          <w:sz w:val="32"/>
          <w:szCs w:val="32"/>
        </w:rPr>
        <w:t>已办理国有建设用地使用权证，证载用途为</w:t>
      </w:r>
      <w:r>
        <w:rPr>
          <w:rFonts w:ascii="Times New Roman" w:hAnsi="Times New Roman" w:eastAsia="仿宋" w:cs="仿宋_GB2312"/>
          <w:color w:val="auto"/>
          <w:spacing w:val="-6"/>
          <w:kern w:val="2"/>
          <w:sz w:val="32"/>
          <w:szCs w:val="32"/>
        </w:rPr>
        <w:t>工业，不动产权证号为</w:t>
      </w:r>
      <w:r>
        <w:rPr>
          <w:rFonts w:hint="eastAsia" w:ascii="Times New Roman" w:hAnsi="Times New Roman" w:eastAsia="仿宋" w:cs="仿宋_GB2312"/>
          <w:color w:val="auto"/>
          <w:spacing w:val="-6"/>
          <w:kern w:val="2"/>
          <w:sz w:val="32"/>
          <w:szCs w:val="32"/>
        </w:rPr>
        <w:t>粤（</w:t>
      </w:r>
      <w:r>
        <w:rPr>
          <w:rFonts w:ascii="Times New Roman" w:hAnsi="Times New Roman" w:eastAsia="仿宋" w:cs="仿宋_GB2312"/>
          <w:color w:val="auto"/>
          <w:spacing w:val="-6"/>
          <w:kern w:val="2"/>
          <w:sz w:val="32"/>
          <w:szCs w:val="32"/>
        </w:rPr>
        <w:t>202</w:t>
      </w:r>
      <w:r>
        <w:rPr>
          <w:rFonts w:hint="eastAsia" w:ascii="Times New Roman" w:hAnsi="Times New Roman" w:eastAsia="仿宋" w:cs="仿宋_GB2312"/>
          <w:color w:val="auto"/>
          <w:spacing w:val="-6"/>
          <w:kern w:val="2"/>
          <w:sz w:val="32"/>
          <w:szCs w:val="32"/>
          <w:lang w:val="en-US" w:eastAsia="zh-CN"/>
        </w:rPr>
        <w:t>5</w:t>
      </w:r>
      <w:r>
        <w:rPr>
          <w:rFonts w:ascii="Times New Roman" w:hAnsi="Times New Roman" w:eastAsia="仿宋" w:cs="仿宋_GB2312"/>
          <w:color w:val="auto"/>
          <w:spacing w:val="-6"/>
          <w:kern w:val="2"/>
          <w:sz w:val="32"/>
          <w:szCs w:val="32"/>
        </w:rPr>
        <w:t>）</w:t>
      </w:r>
      <w:r>
        <w:rPr>
          <w:rFonts w:hint="eastAsia" w:ascii="Times New Roman" w:hAnsi="Times New Roman" w:eastAsia="仿宋" w:cs="仿宋_GB2312"/>
          <w:color w:val="auto"/>
          <w:spacing w:val="-6"/>
          <w:kern w:val="2"/>
          <w:sz w:val="32"/>
          <w:szCs w:val="32"/>
        </w:rPr>
        <w:t>字</w:t>
      </w:r>
      <w:r>
        <w:rPr>
          <w:rFonts w:ascii="Times New Roman" w:hAnsi="Times New Roman" w:eastAsia="仿宋" w:cs="仿宋_GB2312"/>
          <w:color w:val="auto"/>
          <w:spacing w:val="-6"/>
          <w:kern w:val="2"/>
          <w:sz w:val="32"/>
          <w:szCs w:val="32"/>
        </w:rPr>
        <w:t>第</w:t>
      </w:r>
      <w:r>
        <w:rPr>
          <w:rFonts w:hint="eastAsia" w:ascii="Times New Roman" w:hAnsi="Times New Roman" w:eastAsia="仿宋" w:cs="仿宋_GB2312"/>
          <w:color w:val="auto"/>
          <w:spacing w:val="-6"/>
          <w:kern w:val="2"/>
          <w:sz w:val="32"/>
          <w:szCs w:val="32"/>
          <w:lang w:val="en-US" w:eastAsia="zh-CN"/>
        </w:rPr>
        <w:t>0416500</w:t>
      </w:r>
      <w:r>
        <w:rPr>
          <w:rFonts w:ascii="Times New Roman" w:hAnsi="Times New Roman" w:eastAsia="仿宋" w:cs="仿宋_GB2312"/>
          <w:color w:val="auto"/>
          <w:spacing w:val="-6"/>
          <w:kern w:val="2"/>
          <w:sz w:val="32"/>
          <w:szCs w:val="32"/>
        </w:rPr>
        <w:t>号</w:t>
      </w:r>
      <w:r>
        <w:rPr>
          <w:rFonts w:hint="eastAsia" w:ascii="Times New Roman" w:hAnsi="Times New Roman" w:eastAsia="仿宋" w:cs="仿宋_GB2312"/>
          <w:color w:val="auto"/>
          <w:spacing w:val="-6"/>
          <w:kern w:val="2"/>
          <w:sz w:val="32"/>
          <w:szCs w:val="32"/>
        </w:rPr>
        <w:t>，</w:t>
      </w:r>
      <w:r>
        <w:rPr>
          <w:rFonts w:ascii="Times New Roman" w:hAnsi="Times New Roman" w:eastAsia="仿宋" w:cs="仿宋_GB2312"/>
          <w:color w:val="auto"/>
          <w:spacing w:val="-6"/>
          <w:kern w:val="2"/>
          <w:sz w:val="32"/>
          <w:szCs w:val="32"/>
        </w:rPr>
        <w:t>土地权利人为</w:t>
      </w:r>
      <w:r>
        <w:rPr>
          <w:rFonts w:hint="eastAsia" w:ascii="Times New Roman" w:hAnsi="Times New Roman" w:eastAsia="仿宋" w:cs="仿宋_GB2312"/>
          <w:color w:val="auto"/>
          <w:spacing w:val="-6"/>
          <w:kern w:val="2"/>
          <w:sz w:val="32"/>
          <w:szCs w:val="32"/>
        </w:rPr>
        <w:t>谢震山，现作工业用途</w:t>
      </w:r>
      <w:r>
        <w:rPr>
          <w:rFonts w:ascii="Times New Roman" w:hAnsi="Times New Roman" w:eastAsia="仿宋" w:cs="仿宋_GB2312"/>
          <w:color w:val="auto"/>
          <w:spacing w:val="-6"/>
          <w:kern w:val="2"/>
          <w:sz w:val="32"/>
          <w:szCs w:val="32"/>
        </w:rPr>
        <w:t xml:space="preserve">。 </w:t>
      </w:r>
    </w:p>
    <w:p w14:paraId="3D44B257">
      <w:pPr>
        <w:pStyle w:val="3"/>
        <w:adjustRightInd w:val="0"/>
        <w:snapToGrid w:val="0"/>
        <w:spacing w:beforeLines="0" w:afterLines="0" w:line="336" w:lineRule="auto"/>
        <w:ind w:right="0" w:rightChars="0" w:firstLine="0"/>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土地现状情况</w:t>
      </w:r>
    </w:p>
    <w:p w14:paraId="0E158510">
      <w:pPr>
        <w:pStyle w:val="5"/>
        <w:adjustRightInd w:val="0"/>
        <w:snapToGrid w:val="0"/>
        <w:spacing w:before="0" w:beforeLines="0" w:afterLines="0" w:line="336" w:lineRule="auto"/>
        <w:ind w:left="0" w:firstLine="640" w:firstLineChars="200"/>
        <w:jc w:val="both"/>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改造地块</w:t>
      </w:r>
      <w:r>
        <w:rPr>
          <w:rFonts w:hint="default"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CN" w:bidi="ar"/>
        </w:rPr>
        <w:t>二调</w:t>
      </w:r>
      <w:r>
        <w:rPr>
          <w:rFonts w:hint="default"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CN" w:bidi="ar"/>
        </w:rPr>
        <w:t>、最新土地利用现状地类均为建设用地</w:t>
      </w:r>
      <w:r>
        <w:rPr>
          <w:rFonts w:ascii="Times New Roman" w:hAnsi="Times New Roman" w:eastAsia="仿宋" w:cs="仿宋_GB2312"/>
          <w:color w:val="auto"/>
          <w:spacing w:val="-6"/>
          <w:kern w:val="2"/>
          <w:sz w:val="32"/>
          <w:szCs w:val="32"/>
        </w:rPr>
        <w:t>0.8630</w:t>
      </w:r>
      <w:r>
        <w:rPr>
          <w:rFonts w:hint="eastAsia" w:ascii="Times New Roman" w:hAnsi="Times New Roman" w:eastAsia="仿宋" w:cs="仿宋_GB2312"/>
          <w:color w:val="auto"/>
          <w:spacing w:val="-6"/>
          <w:kern w:val="2"/>
          <w:sz w:val="32"/>
          <w:szCs w:val="32"/>
        </w:rPr>
        <w:t>公顷（</w:t>
      </w:r>
      <w:r>
        <w:rPr>
          <w:rFonts w:ascii="Times New Roman" w:hAnsi="Times New Roman" w:eastAsia="仿宋" w:cs="仿宋_GB2312"/>
          <w:color w:val="auto"/>
          <w:spacing w:val="-6"/>
          <w:kern w:val="2"/>
          <w:sz w:val="32"/>
          <w:szCs w:val="32"/>
        </w:rPr>
        <w:t>8630.00平方米</w:t>
      </w:r>
      <w:r>
        <w:rPr>
          <w:rFonts w:hint="eastAsia" w:ascii="Times New Roman" w:hAnsi="Times New Roman" w:eastAsia="仿宋" w:cs="仿宋_GB2312"/>
          <w:color w:val="auto"/>
          <w:spacing w:val="-6"/>
          <w:kern w:val="2"/>
          <w:sz w:val="32"/>
          <w:szCs w:val="32"/>
        </w:rPr>
        <w:t>，折合约</w:t>
      </w:r>
      <w:r>
        <w:rPr>
          <w:rFonts w:ascii="Times New Roman" w:hAnsi="Times New Roman" w:eastAsia="仿宋" w:cs="仿宋_GB2312"/>
          <w:color w:val="auto"/>
          <w:spacing w:val="-6"/>
          <w:kern w:val="2"/>
          <w:sz w:val="32"/>
          <w:szCs w:val="32"/>
        </w:rPr>
        <w:t>12.95</w:t>
      </w:r>
      <w:r>
        <w:rPr>
          <w:rFonts w:hint="eastAsia" w:ascii="Times New Roman" w:hAnsi="Times New Roman" w:eastAsia="仿宋" w:cs="仿宋_GB2312"/>
          <w:color w:val="auto"/>
          <w:spacing w:val="-6"/>
          <w:kern w:val="2"/>
          <w:sz w:val="32"/>
          <w:szCs w:val="32"/>
        </w:rPr>
        <w:t>亩）</w:t>
      </w:r>
      <w:r>
        <w:rPr>
          <w:rFonts w:hint="eastAsia" w:ascii="Times New Roman" w:hAnsi="Times New Roman" w:eastAsia="仿宋_GB2312" w:cs="Times New Roman"/>
          <w:color w:val="auto"/>
          <w:sz w:val="32"/>
          <w:szCs w:val="32"/>
          <w:lang w:val="en-US" w:eastAsia="zh-CN" w:bidi="ar"/>
        </w:rPr>
        <w:t>。</w:t>
      </w:r>
    </w:p>
    <w:p w14:paraId="2A0782B0">
      <w:pPr>
        <w:pStyle w:val="5"/>
        <w:adjustRightInd w:val="0"/>
        <w:snapToGrid w:val="0"/>
        <w:spacing w:before="0" w:beforeLines="0" w:afterLines="0" w:line="336" w:lineRule="auto"/>
        <w:ind w:left="0" w:firstLine="640" w:firstLineChars="20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改造范围不涉及整体利用的边角地、夹心地、插花地（下称</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三地</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）、其他用地、征地留用地、与原</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三旧</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用地置换的</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三旧</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用地或其他存量建设用地、使用原</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三旧</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用地复垦产生的规模或指标的非建设用地。</w:t>
      </w:r>
    </w:p>
    <w:p w14:paraId="36D161FE">
      <w:pPr>
        <w:pStyle w:val="5"/>
        <w:adjustRightInd w:val="0"/>
        <w:snapToGrid w:val="0"/>
        <w:spacing w:before="0" w:beforeLines="0" w:afterLines="0" w:line="336" w:lineRule="auto"/>
        <w:ind w:left="0" w:firstLine="616" w:firstLineChars="200"/>
        <w:jc w:val="both"/>
        <w:rPr>
          <w:rFonts w:ascii="Times New Roman" w:hAnsi="Times New Roman" w:eastAsia="仿宋" w:cs="仿宋_GB2312"/>
          <w:color w:val="auto"/>
          <w:spacing w:val="-6"/>
          <w:kern w:val="2"/>
          <w:lang w:eastAsia="zh-CN"/>
        </w:rPr>
      </w:pPr>
      <w:r>
        <w:rPr>
          <w:rFonts w:hint="eastAsia" w:ascii="Times New Roman" w:hAnsi="Times New Roman" w:eastAsia="仿宋" w:cs="仿宋_GB2312"/>
          <w:color w:val="auto"/>
          <w:spacing w:val="-6"/>
          <w:kern w:val="2"/>
        </w:rPr>
        <w:t>改造地块现有6栋建筑物,为谢震山自2006年12月已开始使用。现有建筑面积18443.93‬平方米，现状容积率2.1</w:t>
      </w:r>
      <w:r>
        <w:rPr>
          <w:rFonts w:hint="eastAsia" w:ascii="Times New Roman" w:hAnsi="Times New Roman" w:eastAsia="仿宋" w:cs="仿宋_GB2312"/>
          <w:color w:val="auto"/>
          <w:spacing w:val="-6"/>
          <w:kern w:val="2"/>
          <w:lang w:val="en-US" w:eastAsia="zh-CN"/>
        </w:rPr>
        <w:t>4</w:t>
      </w:r>
      <w:r>
        <w:rPr>
          <w:rFonts w:hint="eastAsia" w:ascii="Times New Roman" w:hAnsi="Times New Roman" w:eastAsia="仿宋" w:cs="仿宋_GB2312"/>
          <w:color w:val="auto"/>
          <w:spacing w:val="-6"/>
          <w:kern w:val="2"/>
        </w:rPr>
        <w:t>。其中，</w:t>
      </w:r>
      <w:r>
        <w:rPr>
          <w:rFonts w:hint="eastAsia" w:ascii="Times New Roman" w:hAnsi="Times New Roman" w:eastAsia="仿宋" w:cs="仿宋_GB2312"/>
          <w:color w:val="auto"/>
          <w:spacing w:val="-6"/>
          <w:kern w:val="2"/>
          <w:lang w:val="en-US" w:eastAsia="zh-CN"/>
        </w:rPr>
        <w:t>10319.30</w:t>
      </w:r>
      <w:r>
        <w:rPr>
          <w:rFonts w:hint="eastAsia" w:ascii="Times New Roman" w:hAnsi="Times New Roman" w:eastAsia="仿宋" w:cs="仿宋_GB2312"/>
          <w:color w:val="auto"/>
          <w:spacing w:val="-6"/>
          <w:kern w:val="2"/>
        </w:rPr>
        <w:t>平方米建筑物已按规定办理规划报建等手续；8124.63平方米建筑物暂无规划报建等手续</w:t>
      </w:r>
      <w:r>
        <w:rPr>
          <w:rFonts w:ascii="Times New Roman" w:hAnsi="Times New Roman" w:eastAsia="仿宋" w:cs="仿宋_GB2312"/>
          <w:color w:val="auto"/>
          <w:spacing w:val="-6"/>
          <w:kern w:val="2"/>
        </w:rPr>
        <w:t>。该地块目前暂未拆除建筑，改造前年产值为3000万元</w:t>
      </w:r>
      <w:r>
        <w:rPr>
          <w:rFonts w:hint="eastAsia" w:ascii="Times New Roman" w:hAnsi="Times New Roman" w:eastAsia="仿宋" w:cs="仿宋_GB2312"/>
          <w:color w:val="auto"/>
          <w:spacing w:val="-6"/>
          <w:kern w:val="2"/>
          <w:lang w:eastAsia="zh-CN"/>
        </w:rPr>
        <w:t>（亩均231.66万元）</w:t>
      </w:r>
      <w:r>
        <w:rPr>
          <w:rFonts w:ascii="Times New Roman" w:hAnsi="Times New Roman" w:eastAsia="仿宋" w:cs="仿宋_GB2312"/>
          <w:color w:val="auto"/>
          <w:spacing w:val="-6"/>
          <w:kern w:val="2"/>
        </w:rPr>
        <w:t>，年税收为120万元</w:t>
      </w:r>
      <w:r>
        <w:rPr>
          <w:rFonts w:hint="eastAsia" w:ascii="Times New Roman" w:hAnsi="Times New Roman" w:eastAsia="仿宋" w:cs="仿宋_GB2312"/>
          <w:color w:val="auto"/>
          <w:spacing w:val="-6"/>
          <w:kern w:val="2"/>
          <w:lang w:eastAsia="zh-CN"/>
        </w:rPr>
        <w:t>（亩均9.27万元）</w:t>
      </w:r>
      <w:r>
        <w:rPr>
          <w:rFonts w:ascii="Times New Roman" w:hAnsi="Times New Roman" w:eastAsia="仿宋" w:cs="仿宋_GB2312"/>
          <w:color w:val="auto"/>
          <w:spacing w:val="-6"/>
          <w:kern w:val="2"/>
        </w:rPr>
        <w:t xml:space="preserve">。 </w:t>
      </w:r>
    </w:p>
    <w:p w14:paraId="43D9B4FA">
      <w:pPr>
        <w:adjustRightInd w:val="0"/>
        <w:snapToGrid w:val="0"/>
        <w:spacing w:beforeLines="0" w:afterLines="0" w:line="336" w:lineRule="auto"/>
        <w:jc w:val="left"/>
        <w:rPr>
          <w:rFonts w:ascii="Times New Roman" w:hAnsi="Times New Roman" w:eastAsia="仿宋" w:cs="仿宋_GB2312"/>
          <w:color w:val="auto"/>
          <w:spacing w:val="-6"/>
          <w:szCs w:val="32"/>
        </w:rPr>
      </w:pPr>
      <w:r>
        <w:rPr>
          <w:rFonts w:hint="eastAsia" w:ascii="Times New Roman" w:hAnsi="Times New Roman" w:eastAsia="仿宋" w:cs="仿宋_GB2312"/>
          <w:color w:val="auto"/>
          <w:spacing w:val="-6"/>
          <w:kern w:val="2"/>
          <w:sz w:val="32"/>
          <w:szCs w:val="32"/>
        </w:rPr>
        <w:t>改造地块</w:t>
      </w:r>
      <w:r>
        <w:rPr>
          <w:rFonts w:hint="eastAsia" w:ascii="Times New Roman" w:hAnsi="Times New Roman" w:eastAsia="FangSong_GB2312"/>
          <w:color w:val="auto"/>
          <w:sz w:val="32"/>
          <w:szCs w:val="24"/>
        </w:rPr>
        <w:t>未被认定为闲置土地</w:t>
      </w:r>
      <w:r>
        <w:rPr>
          <w:rFonts w:hint="eastAsia" w:ascii="Times New Roman" w:hAnsi="Times New Roman" w:eastAsia="FangSong_GB2312"/>
          <w:color w:val="auto"/>
          <w:sz w:val="32"/>
          <w:szCs w:val="24"/>
          <w:lang w:eastAsia="zh-CN"/>
        </w:rPr>
        <w:t>，</w:t>
      </w:r>
      <w:r>
        <w:rPr>
          <w:rFonts w:hint="eastAsia" w:ascii="Times New Roman" w:hAnsi="Times New Roman" w:eastAsia="FangSong_GB2312"/>
          <w:color w:val="auto"/>
          <w:sz w:val="32"/>
          <w:szCs w:val="24"/>
          <w:lang w:val="en-US" w:eastAsia="zh-CN"/>
        </w:rPr>
        <w:t>不涉及</w:t>
      </w:r>
      <w:r>
        <w:rPr>
          <w:rFonts w:hint="eastAsia" w:ascii="Times New Roman" w:hAnsi="Times New Roman" w:eastAsia="仿宋" w:cs="仿宋_GB2312"/>
          <w:color w:val="auto"/>
          <w:spacing w:val="-6"/>
          <w:kern w:val="2"/>
          <w:sz w:val="32"/>
          <w:szCs w:val="32"/>
        </w:rPr>
        <w:t>查封、历史文化资源要素及土壤环境潜在监管地块等情况。改造地块目前在中山农村商业银行股份有限公司板芙支行办理了抵押手续，抵押文号为中农商银（板芙）授字[2022]第00001号，已征得抵押权人同意改造。</w:t>
      </w:r>
    </w:p>
    <w:p w14:paraId="35374E45">
      <w:pPr>
        <w:pStyle w:val="3"/>
        <w:adjustRightInd w:val="0"/>
        <w:snapToGrid w:val="0"/>
        <w:spacing w:beforeLines="0" w:afterLines="0" w:line="336" w:lineRule="auto"/>
        <w:ind w:right="0" w:rightChars="0" w:firstLine="0"/>
        <w:rPr>
          <w:rFonts w:ascii="Times New Roman" w:hAnsi="Times New Roman" w:eastAsia="楷体" w:cs="楷体"/>
          <w:b w:val="0"/>
          <w:bCs w:val="0"/>
          <w:color w:val="auto"/>
          <w:spacing w:val="-6"/>
          <w:sz w:val="32"/>
        </w:rPr>
      </w:pPr>
      <w:r>
        <w:rPr>
          <w:rFonts w:hint="eastAsia" w:ascii="Times New Roman" w:hAnsi="Times New Roman" w:eastAsia="楷体" w:cs="楷体"/>
          <w:b w:val="0"/>
          <w:bCs w:val="0"/>
          <w:color w:val="auto"/>
          <w:spacing w:val="-6"/>
          <w:sz w:val="32"/>
        </w:rPr>
        <w:t>规划情况</w:t>
      </w:r>
    </w:p>
    <w:p w14:paraId="2FCCEC15">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ascii="Times New Roman" w:hAnsi="Times New Roman" w:eastAsia="仿宋" w:cs="仿宋_GB2312"/>
          <w:color w:val="auto"/>
          <w:spacing w:val="-6"/>
          <w:kern w:val="2"/>
          <w:sz w:val="32"/>
          <w:szCs w:val="32"/>
        </w:rPr>
        <w:t>改造主地块符合《中山市国土空间总体规划（2021-2035年）》，已纳入《中山市城市更新（“三旧”改造）专项规划（2020-2035年）》（中府函〔2022〕414号）。其中，在《中山市国土空间总体规划（2021-2035年）》中，属城镇建设用地0.86</w:t>
      </w:r>
      <w:r>
        <w:rPr>
          <w:rFonts w:hint="eastAsia" w:ascii="Times New Roman" w:hAnsi="Times New Roman" w:eastAsia="仿宋" w:cs="仿宋_GB2312"/>
          <w:color w:val="auto"/>
          <w:spacing w:val="-6"/>
          <w:kern w:val="2"/>
          <w:sz w:val="32"/>
          <w:szCs w:val="32"/>
        </w:rPr>
        <w:t>30公顷（</w:t>
      </w:r>
      <w:r>
        <w:rPr>
          <w:rFonts w:ascii="Times New Roman" w:hAnsi="Times New Roman" w:eastAsia="仿宋" w:cs="仿宋_GB2312"/>
          <w:color w:val="auto"/>
          <w:spacing w:val="-6"/>
          <w:kern w:val="2"/>
          <w:sz w:val="32"/>
          <w:szCs w:val="32"/>
        </w:rPr>
        <w:t>8630.00平方米</w:t>
      </w:r>
      <w:r>
        <w:rPr>
          <w:rFonts w:hint="eastAsia" w:ascii="Times New Roman" w:hAnsi="Times New Roman" w:eastAsia="仿宋" w:cs="仿宋_GB2312"/>
          <w:color w:val="auto"/>
          <w:spacing w:val="-6"/>
          <w:kern w:val="2"/>
          <w:sz w:val="32"/>
          <w:szCs w:val="32"/>
        </w:rPr>
        <w:t>，折合约</w:t>
      </w:r>
      <w:r>
        <w:rPr>
          <w:rFonts w:ascii="Times New Roman" w:hAnsi="Times New Roman" w:eastAsia="仿宋" w:cs="仿宋_GB2312"/>
          <w:color w:val="auto"/>
          <w:spacing w:val="-6"/>
          <w:kern w:val="2"/>
          <w:sz w:val="32"/>
          <w:szCs w:val="32"/>
        </w:rPr>
        <w:t>12.95</w:t>
      </w:r>
      <w:r>
        <w:rPr>
          <w:rFonts w:hint="eastAsia" w:ascii="Times New Roman" w:hAnsi="Times New Roman" w:eastAsia="仿宋" w:cs="仿宋_GB2312"/>
          <w:color w:val="auto"/>
          <w:spacing w:val="-6"/>
          <w:kern w:val="2"/>
          <w:sz w:val="32"/>
          <w:szCs w:val="32"/>
        </w:rPr>
        <w:t>亩）</w:t>
      </w:r>
      <w:r>
        <w:rPr>
          <w:rFonts w:ascii="Times New Roman" w:hAnsi="Times New Roman" w:eastAsia="仿宋" w:cs="仿宋_GB2312"/>
          <w:color w:val="auto"/>
          <w:spacing w:val="-6"/>
          <w:kern w:val="2"/>
          <w:sz w:val="32"/>
          <w:szCs w:val="32"/>
        </w:rPr>
        <w:t>。在</w:t>
      </w:r>
      <w:r>
        <w:rPr>
          <w:rFonts w:hint="eastAsia" w:ascii="Times New Roman" w:hAnsi="Times New Roman" w:eastAsia="仿宋" w:cs="仿宋_GB2312"/>
          <w:color w:val="auto"/>
          <w:spacing w:val="-6"/>
          <w:kern w:val="2"/>
          <w:sz w:val="32"/>
          <w:szCs w:val="32"/>
        </w:rPr>
        <w:t>《中山市神湾镇神溪工业园片区（2106单元）03街区A-7-2(01)地块控制性详细规划局部调整（2024）》</w:t>
      </w:r>
      <w:r>
        <w:rPr>
          <w:rFonts w:ascii="Times New Roman" w:hAnsi="Times New Roman" w:eastAsia="仿宋" w:cs="仿宋_GB2312"/>
          <w:color w:val="auto"/>
          <w:spacing w:val="-6"/>
          <w:kern w:val="2"/>
          <w:sz w:val="32"/>
          <w:szCs w:val="32"/>
        </w:rPr>
        <w:t>（</w:t>
      </w:r>
      <w:r>
        <w:rPr>
          <w:rFonts w:hint="eastAsia" w:ascii="Times New Roman" w:hAnsi="Times New Roman" w:eastAsia="仿宋" w:cs="仿宋_GB2312"/>
          <w:color w:val="auto"/>
          <w:spacing w:val="-6"/>
          <w:kern w:val="2"/>
          <w:sz w:val="32"/>
          <w:szCs w:val="32"/>
        </w:rPr>
        <w:t>中府函〔2024〕32号</w:t>
      </w:r>
      <w:r>
        <w:rPr>
          <w:rFonts w:ascii="Times New Roman" w:hAnsi="Times New Roman" w:eastAsia="仿宋" w:cs="仿宋_GB2312"/>
          <w:color w:val="auto"/>
          <w:spacing w:val="-6"/>
          <w:kern w:val="2"/>
          <w:sz w:val="32"/>
          <w:szCs w:val="32"/>
        </w:rPr>
        <w:t>）中一类工业用地</w:t>
      </w:r>
      <w:r>
        <w:rPr>
          <w:rFonts w:hint="eastAsia" w:ascii="Times New Roman" w:hAnsi="Times New Roman" w:eastAsia="仿宋" w:cs="仿宋_GB2312"/>
          <w:color w:val="auto"/>
          <w:spacing w:val="-6"/>
          <w:kern w:val="2"/>
          <w:sz w:val="32"/>
          <w:szCs w:val="32"/>
        </w:rPr>
        <w:t>面积为</w:t>
      </w:r>
      <w:r>
        <w:rPr>
          <w:rFonts w:ascii="Times New Roman" w:hAnsi="Times New Roman" w:eastAsia="仿宋" w:cs="仿宋_GB2312"/>
          <w:color w:val="auto"/>
          <w:spacing w:val="-6"/>
          <w:kern w:val="2"/>
          <w:sz w:val="32"/>
          <w:szCs w:val="32"/>
        </w:rPr>
        <w:t>0.8</w:t>
      </w:r>
      <w:r>
        <w:rPr>
          <w:rFonts w:hint="eastAsia" w:ascii="Times New Roman" w:hAnsi="Times New Roman" w:eastAsia="仿宋" w:cs="仿宋_GB2312"/>
          <w:color w:val="auto"/>
          <w:spacing w:val="-6"/>
          <w:kern w:val="2"/>
          <w:sz w:val="32"/>
          <w:szCs w:val="32"/>
        </w:rPr>
        <w:t>384公顷（</w:t>
      </w:r>
      <w:r>
        <w:rPr>
          <w:rFonts w:ascii="Times New Roman" w:hAnsi="Times New Roman" w:eastAsia="仿宋" w:cs="仿宋_GB2312"/>
          <w:color w:val="auto"/>
          <w:spacing w:val="-6"/>
          <w:kern w:val="2"/>
          <w:sz w:val="32"/>
          <w:szCs w:val="32"/>
        </w:rPr>
        <w:t>8384.22</w:t>
      </w:r>
      <w:r>
        <w:rPr>
          <w:rFonts w:hint="eastAsia" w:ascii="Times New Roman" w:hAnsi="Times New Roman" w:eastAsia="仿宋" w:cs="仿宋_GB2312"/>
          <w:color w:val="auto"/>
          <w:spacing w:val="-6"/>
          <w:kern w:val="2"/>
          <w:sz w:val="32"/>
          <w:szCs w:val="32"/>
        </w:rPr>
        <w:t>平方米，折合约</w:t>
      </w:r>
      <w:r>
        <w:rPr>
          <w:rFonts w:ascii="Times New Roman" w:hAnsi="Times New Roman" w:eastAsia="仿宋" w:cs="仿宋_GB2312"/>
          <w:color w:val="auto"/>
          <w:spacing w:val="-6"/>
          <w:kern w:val="2"/>
          <w:sz w:val="32"/>
          <w:szCs w:val="32"/>
        </w:rPr>
        <w:t>12.58</w:t>
      </w:r>
      <w:r>
        <w:rPr>
          <w:rFonts w:hint="eastAsia" w:ascii="Times New Roman" w:hAnsi="Times New Roman" w:eastAsia="仿宋" w:cs="仿宋_GB2312"/>
          <w:color w:val="auto"/>
          <w:spacing w:val="-6"/>
          <w:kern w:val="2"/>
          <w:sz w:val="32"/>
          <w:szCs w:val="32"/>
        </w:rPr>
        <w:t>亩）</w:t>
      </w:r>
      <w:r>
        <w:rPr>
          <w:rFonts w:ascii="Times New Roman" w:hAnsi="Times New Roman" w:eastAsia="仿宋" w:cs="仿宋_GB2312"/>
          <w:color w:val="auto"/>
          <w:spacing w:val="-6"/>
          <w:kern w:val="2"/>
          <w:sz w:val="32"/>
          <w:szCs w:val="32"/>
        </w:rPr>
        <w:t>，规划</w:t>
      </w:r>
      <w:r>
        <w:rPr>
          <w:rFonts w:hint="eastAsia" w:ascii="Times New Roman" w:hAnsi="Times New Roman" w:eastAsia="仿宋" w:cs="仿宋_GB2312"/>
          <w:color w:val="auto"/>
          <w:spacing w:val="-6"/>
          <w:kern w:val="2"/>
          <w:sz w:val="32"/>
          <w:szCs w:val="32"/>
        </w:rPr>
        <w:t>指标为</w:t>
      </w:r>
      <w:r>
        <w:rPr>
          <w:rFonts w:ascii="Times New Roman" w:hAnsi="Times New Roman" w:eastAsia="仿宋" w:cs="仿宋_GB2312"/>
          <w:color w:val="auto"/>
          <w:spacing w:val="-6"/>
          <w:kern w:val="2"/>
          <w:sz w:val="32"/>
          <w:szCs w:val="32"/>
        </w:rPr>
        <w:t>容积率1.0-4.0，建筑密度35%-60%，绿地率10%-15%，</w:t>
      </w:r>
      <w:r>
        <w:rPr>
          <w:rFonts w:hint="eastAsia" w:ascii="Times New Roman" w:hAnsi="Times New Roman" w:eastAsia="仿宋" w:cs="仿宋_GB2312"/>
          <w:color w:val="auto"/>
          <w:spacing w:val="-6"/>
          <w:kern w:val="2"/>
          <w:sz w:val="32"/>
          <w:szCs w:val="32"/>
          <w:lang w:val="en-US" w:eastAsia="zh-CN"/>
        </w:rPr>
        <w:t>产业用房</w:t>
      </w:r>
      <w:r>
        <w:rPr>
          <w:rFonts w:ascii="Times New Roman" w:hAnsi="Times New Roman" w:eastAsia="仿宋" w:cs="仿宋_GB2312"/>
          <w:color w:val="auto"/>
          <w:spacing w:val="-6"/>
          <w:kern w:val="2"/>
          <w:sz w:val="32"/>
          <w:szCs w:val="32"/>
        </w:rPr>
        <w:t>高度≤70米（特殊工艺除外），配套设施建筑</w:t>
      </w:r>
      <w:r>
        <w:rPr>
          <w:rFonts w:hint="eastAsia" w:ascii="Times New Roman" w:hAnsi="Times New Roman" w:eastAsia="仿宋" w:cs="仿宋_GB2312"/>
          <w:color w:val="auto"/>
          <w:spacing w:val="-6"/>
          <w:kern w:val="2"/>
          <w:sz w:val="32"/>
          <w:szCs w:val="32"/>
          <w:lang w:val="en-US" w:eastAsia="zh-CN"/>
        </w:rPr>
        <w:t>高度</w:t>
      </w:r>
      <w:r>
        <w:rPr>
          <w:rFonts w:ascii="Times New Roman" w:hAnsi="Times New Roman" w:eastAsia="仿宋" w:cs="仿宋_GB2312"/>
          <w:color w:val="auto"/>
          <w:spacing w:val="-6"/>
          <w:kern w:val="2"/>
          <w:sz w:val="32"/>
          <w:szCs w:val="32"/>
        </w:rPr>
        <w:t>≤100米</w:t>
      </w:r>
      <w:r>
        <w:rPr>
          <w:rFonts w:hint="eastAsia" w:ascii="Times New Roman" w:hAnsi="Times New Roman" w:eastAsia="仿宋" w:cs="仿宋_GB2312"/>
          <w:color w:val="auto"/>
          <w:spacing w:val="-6"/>
          <w:kern w:val="2"/>
          <w:sz w:val="32"/>
          <w:szCs w:val="32"/>
        </w:rPr>
        <w:t>；道路</w:t>
      </w:r>
      <w:r>
        <w:rPr>
          <w:rFonts w:ascii="Times New Roman" w:hAnsi="Times New Roman" w:eastAsia="仿宋" w:cs="仿宋_GB2312"/>
          <w:color w:val="auto"/>
          <w:spacing w:val="-6"/>
          <w:kern w:val="2"/>
          <w:sz w:val="32"/>
          <w:szCs w:val="32"/>
        </w:rPr>
        <w:t>用地0.02</w:t>
      </w:r>
      <w:r>
        <w:rPr>
          <w:rFonts w:hint="eastAsia" w:ascii="Times New Roman" w:hAnsi="Times New Roman" w:eastAsia="仿宋" w:cs="仿宋_GB2312"/>
          <w:color w:val="auto"/>
          <w:spacing w:val="-6"/>
          <w:kern w:val="2"/>
          <w:sz w:val="32"/>
          <w:szCs w:val="32"/>
        </w:rPr>
        <w:t>46公顷（</w:t>
      </w:r>
      <w:r>
        <w:rPr>
          <w:rFonts w:ascii="Times New Roman" w:hAnsi="Times New Roman" w:eastAsia="仿宋" w:cs="仿宋_GB2312"/>
          <w:color w:val="auto"/>
          <w:spacing w:val="-6"/>
          <w:kern w:val="2"/>
          <w:sz w:val="32"/>
          <w:szCs w:val="32"/>
        </w:rPr>
        <w:t>245.78</w:t>
      </w:r>
      <w:r>
        <w:rPr>
          <w:rFonts w:hint="eastAsia" w:ascii="Times New Roman" w:hAnsi="Times New Roman" w:eastAsia="仿宋" w:cs="仿宋_GB2312"/>
          <w:color w:val="auto"/>
          <w:spacing w:val="-6"/>
          <w:kern w:val="2"/>
          <w:sz w:val="32"/>
          <w:szCs w:val="32"/>
        </w:rPr>
        <w:t>平方米，折合约</w:t>
      </w:r>
      <w:r>
        <w:rPr>
          <w:rFonts w:ascii="Times New Roman" w:hAnsi="Times New Roman" w:eastAsia="仿宋" w:cs="仿宋_GB2312"/>
          <w:color w:val="auto"/>
          <w:spacing w:val="-6"/>
          <w:kern w:val="2"/>
          <w:sz w:val="32"/>
          <w:szCs w:val="32"/>
        </w:rPr>
        <w:t>0.37</w:t>
      </w:r>
      <w:r>
        <w:rPr>
          <w:rFonts w:hint="eastAsia" w:ascii="Times New Roman" w:hAnsi="Times New Roman" w:eastAsia="仿宋" w:cs="仿宋_GB2312"/>
          <w:color w:val="auto"/>
          <w:spacing w:val="-6"/>
          <w:kern w:val="2"/>
          <w:sz w:val="32"/>
          <w:szCs w:val="32"/>
        </w:rPr>
        <w:t>亩）。</w:t>
      </w:r>
    </w:p>
    <w:p w14:paraId="01E453EE">
      <w:pPr>
        <w:widowControl/>
        <w:adjustRightInd w:val="0"/>
        <w:snapToGrid w:val="0"/>
        <w:spacing w:beforeLines="0" w:afterLines="0" w:line="336" w:lineRule="auto"/>
        <w:ind w:firstLine="616" w:firstLineChars="200"/>
        <w:jc w:val="left"/>
        <w:rPr>
          <w:rFonts w:ascii="Times New Roman" w:hAnsi="Times New Roman" w:cs="仿宋_GB2312"/>
          <w:color w:val="auto"/>
          <w:spacing w:val="-6"/>
          <w:szCs w:val="32"/>
        </w:rPr>
      </w:pPr>
      <w:r>
        <w:rPr>
          <w:rFonts w:ascii="Times New Roman" w:hAnsi="Times New Roman" w:eastAsia="仿宋" w:cs="仿宋_GB2312"/>
          <w:color w:val="auto"/>
          <w:spacing w:val="-6"/>
          <w:kern w:val="2"/>
          <w:sz w:val="32"/>
          <w:szCs w:val="32"/>
          <w:lang w:val="en-US" w:eastAsia="zh-CN" w:bidi="ar-SA"/>
        </w:rPr>
        <w:t>改造地块全部位于城镇开发边界</w:t>
      </w:r>
      <w:r>
        <w:rPr>
          <w:rFonts w:hint="default" w:ascii="Times New Roman" w:hAnsi="Times New Roman" w:eastAsia="仿宋" w:cs="仿宋_GB2312"/>
          <w:color w:val="auto"/>
          <w:spacing w:val="-6"/>
          <w:kern w:val="2"/>
          <w:sz w:val="32"/>
          <w:szCs w:val="32"/>
          <w:lang w:val="en-US" w:eastAsia="zh-CN" w:bidi="ar-SA"/>
        </w:rPr>
        <w:t>内，有8274.98平方米位于工业用地保护线范围内</w:t>
      </w:r>
      <w:r>
        <w:rPr>
          <w:rFonts w:hint="default" w:ascii="Times New Roman" w:hAnsi="Times New Roman" w:eastAsia="仿宋" w:cs="仿宋_GB2312"/>
          <w:color w:val="auto"/>
          <w:spacing w:val="-6"/>
          <w:kern w:val="2"/>
          <w:sz w:val="32"/>
          <w:szCs w:val="32"/>
        </w:rPr>
        <w:t>，</w:t>
      </w:r>
      <w:r>
        <w:rPr>
          <w:rFonts w:ascii="Times New Roman" w:hAnsi="Times New Roman" w:eastAsia="仿宋" w:cs="仿宋_GB2312"/>
          <w:color w:val="auto"/>
          <w:spacing w:val="-6"/>
          <w:kern w:val="2"/>
          <w:sz w:val="32"/>
          <w:szCs w:val="32"/>
        </w:rPr>
        <w:t>不涉及到永久基本农田、生态保护红线</w:t>
      </w:r>
      <w:r>
        <w:rPr>
          <w:rFonts w:hint="default" w:ascii="Times New Roman" w:hAnsi="Times New Roman" w:eastAsia="仿宋" w:cs="仿宋_GB2312"/>
          <w:color w:val="auto"/>
          <w:spacing w:val="-6"/>
          <w:kern w:val="2"/>
          <w:sz w:val="32"/>
          <w:szCs w:val="32"/>
        </w:rPr>
        <w:t>等管控要求。</w:t>
      </w:r>
      <w:r>
        <w:rPr>
          <w:rFonts w:ascii="Times New Roman" w:hAnsi="Times New Roman" w:eastAsia="仿宋" w:cs="仿宋_GB2312"/>
          <w:color w:val="auto"/>
          <w:spacing w:val="-6"/>
          <w:kern w:val="2"/>
          <w:sz w:val="32"/>
          <w:szCs w:val="32"/>
        </w:rPr>
        <w:t xml:space="preserve"> </w:t>
      </w:r>
    </w:p>
    <w:p w14:paraId="24BEE518">
      <w:pPr>
        <w:pStyle w:val="2"/>
        <w:adjustRightInd w:val="0"/>
        <w:snapToGrid w:val="0"/>
        <w:spacing w:beforeLines="0" w:afterLines="0" w:line="336" w:lineRule="auto"/>
        <w:ind w:firstLine="616"/>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改造意愿</w:t>
      </w:r>
    </w:p>
    <w:p w14:paraId="63CB8514">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hint="eastAsia" w:ascii="Times New Roman" w:hAnsi="Times New Roman" w:eastAsia="仿宋" w:cs="仿宋_GB2312"/>
          <w:color w:val="auto"/>
          <w:spacing w:val="-6"/>
          <w:kern w:val="2"/>
          <w:sz w:val="32"/>
          <w:szCs w:val="32"/>
        </w:rPr>
        <w:t>改</w:t>
      </w:r>
      <w:r>
        <w:rPr>
          <w:rFonts w:ascii="Times New Roman" w:hAnsi="Times New Roman" w:eastAsia="仿宋" w:cs="仿宋_GB2312"/>
          <w:color w:val="auto"/>
          <w:spacing w:val="-6"/>
          <w:kern w:val="2"/>
          <w:sz w:val="32"/>
          <w:szCs w:val="32"/>
        </w:rPr>
        <w:t>造项目涉及“</w:t>
      </w:r>
      <w:r>
        <w:rPr>
          <w:rFonts w:hint="eastAsia" w:ascii="Times New Roman" w:hAnsi="Times New Roman" w:eastAsia="仿宋" w:cs="仿宋_GB2312"/>
          <w:color w:val="auto"/>
          <w:spacing w:val="-6"/>
          <w:kern w:val="2"/>
          <w:sz w:val="32"/>
          <w:szCs w:val="32"/>
        </w:rPr>
        <w:t>谢震山”</w:t>
      </w:r>
      <w:r>
        <w:rPr>
          <w:rFonts w:ascii="Times New Roman" w:hAnsi="Times New Roman" w:eastAsia="仿宋" w:cs="仿宋_GB2312"/>
          <w:color w:val="auto"/>
          <w:spacing w:val="-6"/>
          <w:kern w:val="2"/>
          <w:sz w:val="32"/>
          <w:szCs w:val="32"/>
        </w:rPr>
        <w:t>共1个权利主体</w:t>
      </w:r>
      <w:r>
        <w:rPr>
          <w:rFonts w:hint="eastAsia" w:ascii="Times New Roman" w:hAnsi="Times New Roman" w:eastAsia="仿宋" w:cs="仿宋_GB2312"/>
          <w:color w:val="auto"/>
          <w:spacing w:val="-6"/>
          <w:kern w:val="2"/>
          <w:sz w:val="32"/>
          <w:szCs w:val="32"/>
          <w:lang w:val="en-US" w:eastAsia="zh-CN"/>
        </w:rPr>
        <w:t>及</w:t>
      </w:r>
      <w:r>
        <w:rPr>
          <w:rFonts w:hint="eastAsia" w:ascii="Times New Roman" w:hAnsi="Times New Roman" w:eastAsia="仿宋" w:cs="仿宋_GB2312"/>
          <w:color w:val="auto"/>
          <w:spacing w:val="-6"/>
          <w:kern w:val="2"/>
          <w:sz w:val="32"/>
          <w:szCs w:val="32"/>
          <w:lang w:eastAsia="zh-CN"/>
        </w:rPr>
        <w:t>“</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中山美得盛休闲家具有限公司</w:t>
      </w:r>
      <w:r>
        <w:rPr>
          <w:rFonts w:hint="eastAsia" w:ascii="Times New Roman" w:hAnsi="Times New Roman" w:eastAsia="仿宋" w:cs="仿宋_GB2312"/>
          <w:color w:val="auto"/>
          <w:spacing w:val="-6"/>
          <w:kern w:val="2"/>
          <w:sz w:val="32"/>
          <w:szCs w:val="32"/>
          <w:lang w:eastAsia="zh-CN"/>
        </w:rPr>
        <w:t>”</w:t>
      </w:r>
      <w:r>
        <w:rPr>
          <w:rFonts w:hint="eastAsia" w:ascii="Times New Roman" w:hAnsi="Times New Roman" w:eastAsia="仿宋" w:cs="仿宋_GB2312"/>
          <w:color w:val="auto"/>
          <w:spacing w:val="-6"/>
          <w:kern w:val="2"/>
          <w:sz w:val="32"/>
          <w:szCs w:val="32"/>
          <w:lang w:val="en-US" w:eastAsia="zh-CN"/>
        </w:rPr>
        <w:t>1个改造主体。</w:t>
      </w:r>
      <w:r>
        <w:rPr>
          <w:rFonts w:hint="eastAsia" w:ascii="Times New Roman" w:hAnsi="Times New Roman" w:eastAsia="仿宋" w:cs="仿宋_GB2312"/>
          <w:color w:val="auto"/>
          <w:spacing w:val="-6"/>
          <w:kern w:val="2"/>
          <w:sz w:val="32"/>
          <w:szCs w:val="32"/>
        </w:rPr>
        <w:t>中山市神湾镇人民政府</w:t>
      </w:r>
      <w:r>
        <w:rPr>
          <w:rFonts w:ascii="Times New Roman" w:hAnsi="Times New Roman" w:eastAsia="仿宋" w:cs="仿宋_GB2312"/>
          <w:color w:val="auto"/>
          <w:spacing w:val="-6"/>
          <w:kern w:val="2"/>
          <w:sz w:val="32"/>
          <w:szCs w:val="32"/>
        </w:rPr>
        <w:t>已</w:t>
      </w:r>
      <w:r>
        <w:rPr>
          <w:rFonts w:hint="eastAsia" w:ascii="Times New Roman" w:hAnsi="Times New Roman" w:eastAsia="仿宋" w:cs="仿宋_GB2312"/>
          <w:color w:val="auto"/>
          <w:spacing w:val="-6"/>
          <w:kern w:val="2"/>
          <w:sz w:val="32"/>
          <w:szCs w:val="32"/>
        </w:rPr>
        <w:t>按照法律法规，就改造范围、土地现状、改造主体及拟改造情况等事项征询其改造意愿，同意将涉及土地、房屋纳入改造范围。</w:t>
      </w:r>
      <w:r>
        <w:rPr>
          <w:rFonts w:ascii="Times New Roman" w:hAnsi="Times New Roman" w:eastAsia="仿宋" w:cs="仿宋_GB2312"/>
          <w:color w:val="auto"/>
          <w:spacing w:val="-6"/>
          <w:kern w:val="2"/>
          <w:sz w:val="32"/>
          <w:szCs w:val="32"/>
        </w:rPr>
        <w:t xml:space="preserve"> </w:t>
      </w:r>
    </w:p>
    <w:p w14:paraId="237D7F97">
      <w:pPr>
        <w:pStyle w:val="2"/>
        <w:adjustRightInd w:val="0"/>
        <w:snapToGrid w:val="0"/>
        <w:spacing w:beforeLines="0" w:afterLines="0" w:line="336" w:lineRule="auto"/>
        <w:ind w:firstLine="616"/>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改造主体及拟改造情况</w:t>
      </w:r>
    </w:p>
    <w:p w14:paraId="6DCD1204">
      <w:pPr>
        <w:pStyle w:val="5"/>
        <w:adjustRightInd w:val="0"/>
        <w:snapToGrid w:val="0"/>
        <w:spacing w:before="0" w:beforeLines="0" w:afterLines="0" w:line="336" w:lineRule="auto"/>
        <w:ind w:left="0" w:firstLine="640" w:firstLineChars="200"/>
        <w:jc w:val="both"/>
        <w:rPr>
          <w:rFonts w:ascii="Times New Roman" w:hAnsi="Times New Roman" w:eastAsia="仿宋" w:cs="仿宋_GB2312"/>
          <w:color w:val="auto"/>
          <w:spacing w:val="-6"/>
          <w:kern w:val="2"/>
          <w:sz w:val="32"/>
          <w:szCs w:val="32"/>
        </w:rPr>
      </w:pPr>
      <w:r>
        <w:rPr>
          <w:rFonts w:hint="eastAsia" w:ascii="Times New Roman" w:hAnsi="Times New Roman"/>
          <w:color w:val="auto"/>
          <w:spacing w:val="0"/>
          <w:lang w:eastAsia="zh-CN" w:bidi="ar"/>
        </w:rPr>
        <w:t>根据有关规划要求，改造项目严格按照国土空间规划</w:t>
      </w:r>
      <w:r>
        <w:rPr>
          <w:rFonts w:hint="eastAsia" w:ascii="Times New Roman" w:hAnsi="Times New Roman"/>
          <w:color w:val="auto"/>
          <w:spacing w:val="0"/>
          <w:lang w:val="en-US" w:eastAsia="zh-CN" w:bidi="ar"/>
        </w:rPr>
        <w:t>及</w:t>
      </w:r>
      <w:r>
        <w:rPr>
          <w:rFonts w:hint="eastAsia" w:ascii="Times New Roman" w:hAnsi="Times New Roman"/>
          <w:color w:val="auto"/>
          <w:spacing w:val="0"/>
          <w:lang w:eastAsia="zh-CN" w:bidi="ar"/>
        </w:rPr>
        <w:t>控制性详细规划管控要求实施建设。在规划中属非建设用地部分，按照非建设用地进行管控。</w:t>
      </w:r>
    </w:p>
    <w:p w14:paraId="5D16A5AB">
      <w:pPr>
        <w:adjustRightInd w:val="0"/>
        <w:snapToGrid w:val="0"/>
        <w:spacing w:beforeLines="0" w:afterLines="0" w:line="336" w:lineRule="auto"/>
        <w:ind w:firstLine="616"/>
        <w:rPr>
          <w:rFonts w:ascii="Times New Roman" w:hAnsi="Times New Roman" w:eastAsia="仿宋" w:cs="仿宋_GB2312"/>
          <w:color w:val="auto"/>
          <w:spacing w:val="-6"/>
          <w:kern w:val="2"/>
        </w:rPr>
      </w:pPr>
      <w:r>
        <w:rPr>
          <w:rFonts w:hint="eastAsia" w:ascii="Times New Roman" w:hAnsi="Times New Roman" w:eastAsia="仿宋" w:cs="仿宋_GB2312"/>
          <w:color w:val="auto"/>
          <w:spacing w:val="-6"/>
          <w:kern w:val="2"/>
        </w:rPr>
        <w:t>该改造项目属“工改工”宗地项目，</w:t>
      </w:r>
      <w:r>
        <w:rPr>
          <w:rFonts w:hint="eastAsia" w:ascii="Times New Roman" w:hAnsi="Times New Roman" w:eastAsia="仿宋" w:cs="仿宋_GB2312"/>
          <w:color w:val="auto"/>
          <w:spacing w:val="-6"/>
          <w:kern w:val="2"/>
          <w:sz w:val="32"/>
          <w:szCs w:val="32"/>
        </w:rPr>
        <w:t>由土地权利人谢震山</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将该用地</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bidi="ar-SA"/>
        </w:rPr>
        <w:t>转移登记</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至中山美得盛休闲家具有限公司名下，由中山美得盛休闲家具有限公司</w:t>
      </w:r>
      <w:r>
        <w:rPr>
          <w:rFonts w:hint="eastAsia" w:ascii="Times New Roman" w:hAnsi="Times New Roman" w:eastAsia="仿宋" w:cs="仿宋_GB2312"/>
          <w:color w:val="auto"/>
          <w:spacing w:val="-6"/>
          <w:kern w:val="2"/>
          <w:sz w:val="32"/>
          <w:szCs w:val="32"/>
        </w:rPr>
        <w:t>作为改造主体进行自主改造，采取局部改造的改造方式</w:t>
      </w:r>
      <w:r>
        <w:rPr>
          <w:rFonts w:hint="eastAsia" w:ascii="Times New Roman" w:hAnsi="Times New Roman" w:eastAsia="仿宋" w:cs="仿宋_GB2312"/>
          <w:color w:val="auto"/>
          <w:spacing w:val="-6"/>
          <w:kern w:val="2"/>
        </w:rPr>
        <w:t>，改造后将用于工业用途，规划打造一个金属家具、园艺用品开发、生产、销售于一体多元化复合型的现代化产业园区。在符合详细规划的基础上，容积率不小于2.73，总建筑面积不小于</w:t>
      </w:r>
      <w:r>
        <w:rPr>
          <w:rFonts w:ascii="Times New Roman" w:hAnsi="Times New Roman" w:eastAsia="仿宋" w:cs="仿宋_GB2312"/>
          <w:color w:val="auto"/>
          <w:spacing w:val="-6"/>
          <w:kern w:val="2"/>
        </w:rPr>
        <w:t>23580.44</w:t>
      </w:r>
      <w:r>
        <w:rPr>
          <w:rFonts w:hint="eastAsia" w:ascii="Times New Roman" w:hAnsi="Times New Roman" w:eastAsia="仿宋" w:cs="仿宋_GB2312"/>
          <w:color w:val="auto"/>
          <w:spacing w:val="-6"/>
          <w:kern w:val="2"/>
        </w:rPr>
        <w:t>平方米</w:t>
      </w:r>
      <w:r>
        <w:rPr>
          <w:rFonts w:hint="eastAsia" w:ascii="Times New Roman" w:hAnsi="Times New Roman" w:eastAsia="仿宋" w:cs="仿宋_GB2312"/>
          <w:color w:val="auto"/>
          <w:spacing w:val="-6"/>
          <w:kern w:val="2"/>
          <w:highlight w:val="none"/>
          <w:lang w:eastAsia="en-US"/>
        </w:rPr>
        <w:t>（</w:t>
      </w:r>
      <w:r>
        <w:rPr>
          <w:rFonts w:hint="eastAsia" w:ascii="Times New Roman" w:hAnsi="Times New Roman" w:eastAsia="仿宋" w:cs="仿宋_GB2312"/>
          <w:color w:val="auto"/>
          <w:spacing w:val="-6"/>
          <w:kern w:val="2"/>
          <w:lang w:eastAsia="en-US" w:bidi="ar-SA"/>
        </w:rPr>
        <w:t>不含不计容建筑面积</w:t>
      </w:r>
      <w:r>
        <w:rPr>
          <w:rFonts w:hint="eastAsia" w:ascii="Times New Roman" w:hAnsi="Times New Roman" w:eastAsia="仿宋" w:cs="仿宋_GB2312"/>
          <w:color w:val="auto"/>
          <w:spacing w:val="-6"/>
          <w:kern w:val="2"/>
          <w:highlight w:val="none"/>
          <w:lang w:eastAsia="en-US"/>
        </w:rPr>
        <w:t>）</w:t>
      </w:r>
      <w:r>
        <w:rPr>
          <w:rFonts w:hint="eastAsia" w:ascii="Times New Roman" w:hAnsi="Times New Roman" w:eastAsia="仿宋" w:cs="仿宋_GB2312"/>
          <w:color w:val="auto"/>
          <w:spacing w:val="-6"/>
          <w:kern w:val="2"/>
        </w:rPr>
        <w:t>，</w:t>
      </w:r>
      <w:r>
        <w:rPr>
          <w:rFonts w:ascii="Times New Roman" w:hAnsi="Times New Roman" w:eastAsia="仿宋" w:cs="仿宋_GB2312"/>
          <w:color w:val="auto"/>
          <w:spacing w:val="-6"/>
          <w:kern w:val="2"/>
        </w:rPr>
        <w:t>其中新建建筑面积</w:t>
      </w:r>
      <w:r>
        <w:rPr>
          <w:rFonts w:hint="eastAsia" w:ascii="Times New Roman" w:hAnsi="Times New Roman" w:eastAsia="仿宋" w:cs="仿宋_GB2312"/>
          <w:color w:val="auto"/>
          <w:spacing w:val="-6"/>
          <w:kern w:val="2"/>
        </w:rPr>
        <w:t>不小于</w:t>
      </w:r>
      <w:r>
        <w:rPr>
          <w:rFonts w:ascii="Times New Roman" w:hAnsi="Times New Roman" w:eastAsia="仿宋" w:cs="仿宋_GB2312"/>
          <w:color w:val="auto"/>
          <w:spacing w:val="-6"/>
          <w:kern w:val="2"/>
        </w:rPr>
        <w:t>16768.44平方米，保留</w:t>
      </w:r>
      <w:r>
        <w:rPr>
          <w:rFonts w:hint="eastAsia" w:ascii="Times New Roman" w:hAnsi="Times New Roman" w:eastAsia="仿宋" w:cs="仿宋_GB2312"/>
          <w:color w:val="auto"/>
          <w:spacing w:val="-6"/>
          <w:kern w:val="2"/>
        </w:rPr>
        <w:t>其中一栋新建建筑，其</w:t>
      </w:r>
      <w:r>
        <w:rPr>
          <w:rFonts w:ascii="Times New Roman" w:hAnsi="Times New Roman" w:eastAsia="仿宋" w:cs="仿宋_GB2312"/>
          <w:color w:val="auto"/>
          <w:spacing w:val="-6"/>
          <w:kern w:val="2"/>
        </w:rPr>
        <w:t>产权建筑面积</w:t>
      </w:r>
      <w:r>
        <w:rPr>
          <w:rFonts w:hint="eastAsia" w:ascii="Times New Roman" w:hAnsi="Times New Roman" w:eastAsia="仿宋" w:cs="仿宋_GB2312"/>
          <w:color w:val="auto"/>
          <w:spacing w:val="-6"/>
          <w:kern w:val="2"/>
        </w:rPr>
        <w:t>为</w:t>
      </w:r>
      <w:r>
        <w:rPr>
          <w:rFonts w:hint="eastAsia" w:ascii="Times New Roman" w:hAnsi="Times New Roman" w:cs="仿宋_GB2312"/>
          <w:color w:val="auto"/>
          <w:spacing w:val="-6"/>
          <w:kern w:val="2"/>
          <w:lang w:val="en-US" w:eastAsia="zh-CN"/>
        </w:rPr>
        <w:t>6830.48</w:t>
      </w:r>
      <w:r>
        <w:rPr>
          <w:rFonts w:ascii="Times New Roman" w:hAnsi="Times New Roman" w:eastAsia="仿宋" w:cs="仿宋_GB2312"/>
          <w:color w:val="auto"/>
          <w:spacing w:val="-6"/>
          <w:kern w:val="2"/>
        </w:rPr>
        <w:t>平方米</w:t>
      </w:r>
      <w:r>
        <w:rPr>
          <w:rFonts w:hint="eastAsia" w:ascii="Times New Roman" w:hAnsi="Times New Roman" w:eastAsia="仿宋" w:cs="仿宋_GB2312"/>
          <w:color w:val="auto"/>
          <w:spacing w:val="-6"/>
          <w:kern w:val="2"/>
        </w:rPr>
        <w:t>，剩余原</w:t>
      </w:r>
      <w:r>
        <w:rPr>
          <w:rFonts w:hint="eastAsia" w:ascii="Times New Roman" w:hAnsi="Times New Roman" w:cs="仿宋_GB2312"/>
          <w:color w:val="auto"/>
          <w:spacing w:val="-6"/>
          <w:kern w:val="2"/>
          <w:lang w:val="en-US" w:eastAsia="zh-CN"/>
        </w:rPr>
        <w:t>11613.45‬</w:t>
      </w:r>
      <w:r>
        <w:rPr>
          <w:rFonts w:hint="eastAsia" w:ascii="Times New Roman" w:hAnsi="Times New Roman" w:eastAsia="仿宋_GB2312" w:cs="Times New Roman"/>
          <w:color w:val="auto"/>
          <w:szCs w:val="32"/>
        </w:rPr>
        <w:t>平方米建筑物按规定要求按时拆除</w:t>
      </w:r>
      <w:r>
        <w:rPr>
          <w:rFonts w:hint="eastAsia" w:ascii="Times New Roman" w:hAnsi="Times New Roman" w:eastAsia="仿宋" w:cs="仿宋_GB2312"/>
          <w:color w:val="auto"/>
          <w:spacing w:val="-6"/>
          <w:kern w:val="2"/>
        </w:rPr>
        <w:t>。</w:t>
      </w:r>
      <w:r>
        <w:rPr>
          <w:rFonts w:ascii="Times New Roman" w:hAnsi="Times New Roman" w:eastAsia="仿宋_GB2312" w:cs="Times New Roman"/>
          <w:color w:val="auto"/>
          <w:spacing w:val="-6"/>
          <w:kern w:val="0"/>
          <w:szCs w:val="32"/>
        </w:rPr>
        <w:t>最终容积率及拟建面积以规划许可证批复为准。最终规划方案总平面图及单体图以规划许可证及施工许可证批复为准</w:t>
      </w:r>
      <w:r>
        <w:rPr>
          <w:rFonts w:hint="eastAsia" w:ascii="Times New Roman" w:hAnsi="Times New Roman" w:eastAsia="仿宋_GB2312" w:cs="Times New Roman"/>
          <w:color w:val="auto"/>
          <w:spacing w:val="-6"/>
          <w:kern w:val="0"/>
          <w:szCs w:val="32"/>
        </w:rPr>
        <w:t>。</w:t>
      </w:r>
      <w:r>
        <w:rPr>
          <w:rFonts w:hint="eastAsia" w:ascii="Times New Roman" w:hAnsi="Times New Roman" w:eastAsia="仿宋_GB2312" w:cstheme="minorBidi"/>
          <w:color w:val="auto"/>
          <w:spacing w:val="0"/>
          <w:sz w:val="32"/>
          <w:szCs w:val="32"/>
          <w:lang w:val="en-US" w:eastAsia="zh-CN" w:bidi="ar"/>
        </w:rPr>
        <w:t>项目新建工业物业申请分割销售，其中新建工业物业改造主体自持比例不得小于确权登记建筑面积的</w:t>
      </w:r>
      <w:r>
        <w:rPr>
          <w:rFonts w:hint="eastAsia" w:ascii="Times New Roman" w:hAnsi="Times New Roman" w:cstheme="minorBidi"/>
          <w:color w:val="auto"/>
          <w:spacing w:val="0"/>
          <w:sz w:val="32"/>
          <w:szCs w:val="32"/>
          <w:lang w:val="en-US" w:eastAsia="zh-CN" w:bidi="ar"/>
        </w:rPr>
        <w:t>51</w:t>
      </w:r>
      <w:r>
        <w:rPr>
          <w:rFonts w:hint="eastAsia" w:ascii="Times New Roman" w:hAnsi="Times New Roman" w:eastAsia="仿宋_GB2312" w:cstheme="minorBidi"/>
          <w:color w:val="auto"/>
          <w:spacing w:val="0"/>
          <w:sz w:val="32"/>
          <w:szCs w:val="32"/>
          <w:lang w:val="en-US" w:eastAsia="zh-CN" w:bidi="ar"/>
        </w:rPr>
        <w:t>%。</w:t>
      </w:r>
    </w:p>
    <w:p w14:paraId="54531897">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hint="eastAsia" w:ascii="Times New Roman" w:hAnsi="Times New Roman" w:eastAsia="仿宋" w:cs="仿宋_GB2312"/>
          <w:color w:val="auto"/>
          <w:spacing w:val="-6"/>
          <w:kern w:val="2"/>
          <w:sz w:val="32"/>
          <w:szCs w:val="32"/>
          <w:lang w:eastAsia="en-US"/>
        </w:rPr>
        <w:t>项目情况符合国家《产业结构调整指导目录》《中山市“三线一单”生态环境分区管控方案》《中山市涉挥发性</w:t>
      </w:r>
      <w:r>
        <w:rPr>
          <w:rFonts w:hint="eastAsia" w:ascii="Times New Roman" w:hAnsi="Times New Roman" w:eastAsia="仿宋" w:cs="仿宋_GB2312"/>
          <w:color w:val="auto"/>
          <w:spacing w:val="-6"/>
          <w:kern w:val="2"/>
          <w:sz w:val="32"/>
          <w:szCs w:val="32"/>
        </w:rPr>
        <w:t>有机物项目环保管理规定》。</w:t>
      </w:r>
      <w:r>
        <w:rPr>
          <w:rFonts w:ascii="Times New Roman" w:hAnsi="Times New Roman" w:eastAsia="仿宋" w:cs="仿宋_GB2312"/>
          <w:color w:val="auto"/>
          <w:spacing w:val="-6"/>
          <w:kern w:val="2"/>
          <w:sz w:val="32"/>
          <w:szCs w:val="32"/>
        </w:rPr>
        <w:t>改造后年产值将达到</w:t>
      </w:r>
      <w:r>
        <w:rPr>
          <w:rFonts w:hint="eastAsia" w:ascii="Times New Roman" w:hAnsi="Times New Roman" w:eastAsia="仿宋" w:cs="仿宋_GB2312"/>
          <w:color w:val="auto"/>
          <w:spacing w:val="-6"/>
          <w:kern w:val="2"/>
          <w:sz w:val="32"/>
          <w:szCs w:val="32"/>
        </w:rPr>
        <w:t>7122.</w:t>
      </w:r>
      <w:r>
        <w:rPr>
          <w:rFonts w:hint="eastAsia" w:ascii="Times New Roman" w:hAnsi="Times New Roman" w:eastAsia="仿宋" w:cs="仿宋_GB2312"/>
          <w:color w:val="auto"/>
          <w:spacing w:val="-6"/>
          <w:kern w:val="2"/>
          <w:sz w:val="32"/>
          <w:szCs w:val="32"/>
          <w:lang w:val="en-US" w:eastAsia="zh-CN"/>
        </w:rPr>
        <w:t>00</w:t>
      </w:r>
      <w:r>
        <w:rPr>
          <w:rFonts w:ascii="Times New Roman" w:hAnsi="Times New Roman" w:eastAsia="仿宋" w:cs="仿宋_GB2312"/>
          <w:color w:val="auto"/>
          <w:spacing w:val="-6"/>
          <w:kern w:val="2"/>
          <w:sz w:val="32"/>
          <w:szCs w:val="32"/>
        </w:rPr>
        <w:t>万元（约</w:t>
      </w:r>
      <w:r>
        <w:rPr>
          <w:rFonts w:hint="default" w:ascii="Times New Roman" w:hAnsi="Times New Roman" w:eastAsia="仿宋" w:cs="仿宋_GB2312"/>
          <w:color w:val="auto"/>
          <w:spacing w:val="-6"/>
          <w:kern w:val="2"/>
          <w:sz w:val="32"/>
          <w:szCs w:val="32"/>
          <w:lang w:val="en-US"/>
        </w:rPr>
        <w:t>5</w:t>
      </w:r>
      <w:r>
        <w:rPr>
          <w:rFonts w:hint="eastAsia" w:ascii="Times New Roman" w:hAnsi="Times New Roman" w:eastAsia="仿宋" w:cs="仿宋_GB2312"/>
          <w:color w:val="auto"/>
          <w:spacing w:val="-6"/>
          <w:kern w:val="2"/>
          <w:sz w:val="32"/>
          <w:szCs w:val="32"/>
          <w:lang w:val="en-US" w:eastAsia="zh-CN"/>
        </w:rPr>
        <w:t>50</w:t>
      </w:r>
      <w:r>
        <w:rPr>
          <w:rFonts w:ascii="Times New Roman" w:hAnsi="Times New Roman" w:eastAsia="仿宋" w:cs="仿宋_GB2312"/>
          <w:color w:val="auto"/>
          <w:spacing w:val="-6"/>
          <w:kern w:val="2"/>
          <w:sz w:val="32"/>
          <w:szCs w:val="32"/>
        </w:rPr>
        <w:t>万元/亩），年税收将达到</w:t>
      </w:r>
      <w:r>
        <w:rPr>
          <w:rFonts w:hint="eastAsia" w:ascii="Times New Roman" w:hAnsi="Times New Roman" w:eastAsia="仿宋" w:cs="仿宋_GB2312"/>
          <w:color w:val="auto"/>
          <w:spacing w:val="-6"/>
          <w:kern w:val="2"/>
          <w:sz w:val="32"/>
          <w:szCs w:val="32"/>
        </w:rPr>
        <w:t>194.25</w:t>
      </w:r>
      <w:r>
        <w:rPr>
          <w:rFonts w:ascii="Times New Roman" w:hAnsi="Times New Roman" w:eastAsia="仿宋" w:cs="仿宋_GB2312"/>
          <w:color w:val="auto"/>
          <w:spacing w:val="-6"/>
          <w:kern w:val="2"/>
          <w:sz w:val="32"/>
          <w:szCs w:val="32"/>
        </w:rPr>
        <w:t>万元（约</w:t>
      </w:r>
      <w:r>
        <w:rPr>
          <w:rFonts w:hint="eastAsia" w:ascii="Times New Roman" w:hAnsi="Times New Roman" w:eastAsia="仿宋" w:cs="仿宋_GB2312"/>
          <w:color w:val="auto"/>
          <w:spacing w:val="-6"/>
          <w:kern w:val="2"/>
          <w:sz w:val="32"/>
          <w:szCs w:val="32"/>
          <w:lang w:val="en-US" w:eastAsia="zh-CN"/>
        </w:rPr>
        <w:t>15</w:t>
      </w:r>
      <w:r>
        <w:rPr>
          <w:rFonts w:ascii="Times New Roman" w:hAnsi="Times New Roman" w:eastAsia="仿宋" w:cs="仿宋_GB2312"/>
          <w:color w:val="auto"/>
          <w:spacing w:val="-6"/>
          <w:kern w:val="2"/>
          <w:sz w:val="32"/>
          <w:szCs w:val="32"/>
        </w:rPr>
        <w:t xml:space="preserve">万元/亩）。 </w:t>
      </w:r>
    </w:p>
    <w:p w14:paraId="77D68016">
      <w:pPr>
        <w:pStyle w:val="2"/>
        <w:adjustRightInd w:val="0"/>
        <w:snapToGrid w:val="0"/>
        <w:spacing w:beforeLines="0" w:afterLines="0" w:line="336" w:lineRule="auto"/>
        <w:ind w:firstLine="616"/>
        <w:rPr>
          <w:rFonts w:ascii="Times New Roman" w:hAnsi="Times New Roman" w:cs="黑体"/>
          <w:b w:val="0"/>
          <w:bCs w:val="0"/>
          <w:color w:val="auto"/>
          <w:spacing w:val="-6"/>
          <w:kern w:val="0"/>
          <w:sz w:val="32"/>
          <w:szCs w:val="32"/>
        </w:rPr>
      </w:pPr>
      <w:r>
        <w:rPr>
          <w:rFonts w:hint="eastAsia" w:ascii="Times New Roman" w:hAnsi="Times New Roman" w:cs="黑体"/>
          <w:b w:val="0"/>
          <w:bCs w:val="0"/>
          <w:color w:val="auto"/>
          <w:spacing w:val="-6"/>
          <w:kern w:val="0"/>
          <w:sz w:val="32"/>
          <w:szCs w:val="32"/>
        </w:rPr>
        <w:t>资金筹措</w:t>
      </w:r>
    </w:p>
    <w:p w14:paraId="70AC5281">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hint="eastAsia" w:ascii="Times New Roman" w:hAnsi="Times New Roman" w:eastAsia="仿宋" w:cs="仿宋_GB2312"/>
          <w:color w:val="auto"/>
          <w:spacing w:val="-6"/>
          <w:kern w:val="2"/>
          <w:sz w:val="32"/>
          <w:szCs w:val="32"/>
        </w:rPr>
        <w:t>项目改造总投入预计为</w:t>
      </w:r>
      <w:r>
        <w:rPr>
          <w:rFonts w:hint="eastAsia" w:ascii="Times New Roman" w:hAnsi="Times New Roman" w:eastAsia="仿宋" w:cs="仿宋_GB2312"/>
          <w:color w:val="auto"/>
          <w:spacing w:val="-6"/>
          <w:kern w:val="2"/>
          <w:sz w:val="32"/>
          <w:szCs w:val="32"/>
          <w:lang w:val="en-US" w:eastAsia="zh-CN"/>
        </w:rPr>
        <w:t>6000.00</w:t>
      </w:r>
      <w:r>
        <w:rPr>
          <w:rFonts w:hint="eastAsia" w:ascii="Times New Roman" w:hAnsi="Times New Roman" w:eastAsia="仿宋" w:cs="仿宋_GB2312"/>
          <w:color w:val="auto"/>
          <w:spacing w:val="-6"/>
          <w:kern w:val="2"/>
          <w:sz w:val="32"/>
          <w:szCs w:val="32"/>
        </w:rPr>
        <w:t>‬万</w:t>
      </w:r>
      <w:r>
        <w:rPr>
          <w:rFonts w:ascii="Times New Roman" w:hAnsi="Times New Roman" w:eastAsia="仿宋" w:cs="仿宋_GB2312"/>
          <w:color w:val="auto"/>
          <w:spacing w:val="-6"/>
          <w:kern w:val="2"/>
          <w:sz w:val="32"/>
          <w:szCs w:val="32"/>
        </w:rPr>
        <w:t>元，由改造主体单方全额出</w:t>
      </w:r>
      <w:r>
        <w:rPr>
          <w:rFonts w:hint="eastAsia" w:ascii="Times New Roman" w:hAnsi="Times New Roman" w:eastAsia="仿宋" w:cs="仿宋_GB2312"/>
          <w:color w:val="auto"/>
          <w:spacing w:val="-6"/>
          <w:kern w:val="2"/>
          <w:sz w:val="32"/>
          <w:szCs w:val="32"/>
        </w:rPr>
        <w:t>资。其中自有资金</w:t>
      </w:r>
      <w:r>
        <w:rPr>
          <w:rFonts w:ascii="Times New Roman" w:hAnsi="Times New Roman" w:eastAsia="仿宋" w:cs="仿宋_GB2312"/>
          <w:color w:val="auto"/>
          <w:spacing w:val="-6"/>
          <w:kern w:val="2"/>
          <w:sz w:val="32"/>
          <w:szCs w:val="32"/>
        </w:rPr>
        <w:t>1500</w:t>
      </w:r>
      <w:r>
        <w:rPr>
          <w:rFonts w:hint="eastAsia" w:ascii="Times New Roman" w:hAnsi="Times New Roman" w:eastAsia="仿宋" w:cs="仿宋_GB2312"/>
          <w:color w:val="auto"/>
          <w:spacing w:val="-6"/>
          <w:kern w:val="2"/>
          <w:sz w:val="32"/>
          <w:szCs w:val="32"/>
        </w:rPr>
        <w:t>万元</w:t>
      </w:r>
      <w:r>
        <w:rPr>
          <w:rFonts w:ascii="Times New Roman" w:hAnsi="Times New Roman" w:eastAsia="仿宋" w:cs="仿宋_GB2312"/>
          <w:color w:val="auto"/>
          <w:spacing w:val="-6"/>
          <w:kern w:val="2"/>
          <w:sz w:val="32"/>
          <w:szCs w:val="32"/>
        </w:rPr>
        <w:t>，银行借贷约</w:t>
      </w:r>
      <w:r>
        <w:rPr>
          <w:rFonts w:hint="eastAsia" w:ascii="Times New Roman" w:hAnsi="Times New Roman" w:eastAsia="仿宋" w:cs="仿宋_GB2312"/>
          <w:color w:val="auto"/>
          <w:spacing w:val="-6"/>
          <w:kern w:val="2"/>
          <w:sz w:val="32"/>
          <w:szCs w:val="32"/>
          <w:lang w:val="en-US" w:eastAsia="zh-CN"/>
        </w:rPr>
        <w:t>4500.00</w:t>
      </w:r>
      <w:r>
        <w:rPr>
          <w:rFonts w:hint="eastAsia" w:ascii="Times New Roman" w:hAnsi="Times New Roman" w:eastAsia="仿宋" w:cs="仿宋_GB2312"/>
          <w:color w:val="auto"/>
          <w:spacing w:val="-6"/>
          <w:kern w:val="2"/>
          <w:sz w:val="32"/>
          <w:szCs w:val="32"/>
        </w:rPr>
        <w:t>万</w:t>
      </w:r>
      <w:r>
        <w:rPr>
          <w:rFonts w:ascii="Times New Roman" w:hAnsi="Times New Roman" w:eastAsia="仿宋" w:cs="仿宋_GB2312"/>
          <w:color w:val="auto"/>
          <w:spacing w:val="-6"/>
          <w:kern w:val="2"/>
          <w:sz w:val="32"/>
          <w:szCs w:val="32"/>
        </w:rPr>
        <w:t>元。以上资金筹措为暂定金额，最终以项目实</w:t>
      </w:r>
      <w:r>
        <w:rPr>
          <w:rFonts w:hint="eastAsia" w:ascii="Times New Roman" w:hAnsi="Times New Roman" w:eastAsia="仿宋" w:cs="仿宋_GB2312"/>
          <w:color w:val="auto"/>
          <w:spacing w:val="-6"/>
          <w:kern w:val="2"/>
          <w:sz w:val="32"/>
          <w:szCs w:val="32"/>
        </w:rPr>
        <w:t>际运营为准。</w:t>
      </w:r>
    </w:p>
    <w:p w14:paraId="5C87DE46">
      <w:pPr>
        <w:pStyle w:val="2"/>
        <w:adjustRightInd w:val="0"/>
        <w:snapToGrid w:val="0"/>
        <w:spacing w:beforeLines="0" w:afterLines="0" w:line="336" w:lineRule="auto"/>
        <w:ind w:firstLine="616"/>
        <w:rPr>
          <w:rFonts w:ascii="Times New Roman" w:hAnsi="Times New Roman"/>
          <w:b w:val="0"/>
          <w:color w:val="auto"/>
        </w:rPr>
      </w:pPr>
      <w:r>
        <w:rPr>
          <w:rFonts w:hint="eastAsia" w:ascii="Times New Roman" w:hAnsi="Times New Roman" w:cs="黑体"/>
          <w:b w:val="0"/>
          <w:bCs w:val="0"/>
          <w:color w:val="auto"/>
          <w:spacing w:val="-6"/>
          <w:kern w:val="0"/>
          <w:sz w:val="32"/>
          <w:szCs w:val="32"/>
        </w:rPr>
        <w:t>开发时序</w:t>
      </w:r>
    </w:p>
    <w:p w14:paraId="5A9CE512">
      <w:pPr>
        <w:adjustRightInd w:val="0"/>
        <w:snapToGrid w:val="0"/>
        <w:spacing w:beforeLines="0" w:afterLines="0" w:line="336" w:lineRule="auto"/>
        <w:ind w:firstLine="592"/>
        <w:rPr>
          <w:rFonts w:ascii="Times New Roman" w:hAnsi="Times New Roman" w:eastAsia="仿宋_GB2312" w:cs="Times New Roman"/>
          <w:color w:val="auto"/>
          <w:szCs w:val="32"/>
        </w:rPr>
      </w:pPr>
      <w:r>
        <w:rPr>
          <w:rFonts w:hint="eastAsia" w:ascii="Times New Roman" w:hAnsi="Times New Roman" w:eastAsia="仿宋" w:cs="仿宋_GB2312"/>
          <w:color w:val="auto"/>
          <w:spacing w:val="-6"/>
          <w:kern w:val="2"/>
          <w:sz w:val="32"/>
          <w:szCs w:val="32"/>
          <w:lang w:val="en-US" w:eastAsia="zh-CN"/>
        </w:rPr>
        <w:t>项目</w:t>
      </w:r>
      <w:r>
        <w:rPr>
          <w:rFonts w:hint="eastAsia" w:ascii="Times New Roman" w:hAnsi="Times New Roman" w:eastAsia="仿宋_GB2312" w:cs="仿宋_GB2312"/>
          <w:color w:val="auto"/>
          <w:spacing w:val="-6"/>
          <w:kern w:val="0"/>
          <w:sz w:val="32"/>
          <w:szCs w:val="32"/>
          <w:highlight w:val="none"/>
          <w:lang w:val="en-US" w:eastAsia="zh-CN"/>
        </w:rPr>
        <w:t>自方案批复之日起</w:t>
      </w:r>
      <w:r>
        <w:rPr>
          <w:rFonts w:hint="eastAsia" w:ascii="Times New Roman" w:hAnsi="Times New Roman" w:eastAsia="仿宋_GB2312" w:cs="Times New Roman"/>
          <w:color w:val="auto"/>
          <w:kern w:val="0"/>
          <w:sz w:val="32"/>
          <w:szCs w:val="32"/>
          <w:highlight w:val="none"/>
          <w:lang w:val="en-US" w:eastAsia="zh-CN"/>
        </w:rPr>
        <w:t>365</w:t>
      </w:r>
      <w:r>
        <w:rPr>
          <w:rFonts w:hint="eastAsia" w:ascii="Times New Roman" w:hAnsi="Times New Roman" w:eastAsia="仿宋_GB2312" w:cs="仿宋_GB2312"/>
          <w:color w:val="auto"/>
          <w:spacing w:val="-6"/>
          <w:kern w:val="0"/>
          <w:sz w:val="32"/>
          <w:szCs w:val="32"/>
          <w:highlight w:val="none"/>
          <w:lang w:val="en-US" w:eastAsia="zh-CN"/>
        </w:rPr>
        <w:t>天内动工，自动工之日起</w:t>
      </w:r>
      <w:r>
        <w:rPr>
          <w:rFonts w:hint="eastAsia" w:ascii="Times New Roman" w:hAnsi="Times New Roman" w:eastAsia="仿宋_GB2312" w:cs="Times New Roman"/>
          <w:color w:val="auto"/>
          <w:kern w:val="0"/>
          <w:sz w:val="32"/>
          <w:szCs w:val="32"/>
          <w:highlight w:val="none"/>
          <w:lang w:val="en-US" w:eastAsia="zh-CN"/>
        </w:rPr>
        <w:t>730</w:t>
      </w:r>
      <w:r>
        <w:rPr>
          <w:rFonts w:hint="eastAsia" w:ascii="Times New Roman" w:hAnsi="Times New Roman" w:eastAsia="仿宋_GB2312" w:cs="仿宋_GB2312"/>
          <w:color w:val="auto"/>
          <w:spacing w:val="-6"/>
          <w:kern w:val="0"/>
          <w:sz w:val="32"/>
          <w:szCs w:val="32"/>
          <w:highlight w:val="none"/>
          <w:lang w:val="en-US" w:eastAsia="zh-CN"/>
        </w:rPr>
        <w:t>天内竣工</w:t>
      </w:r>
      <w:r>
        <w:rPr>
          <w:rFonts w:hint="eastAsia" w:ascii="Times New Roman" w:hAnsi="Times New Roman" w:eastAsia="仿宋_GB2312" w:cs="仿宋_GB2312"/>
          <w:color w:val="auto"/>
          <w:kern w:val="0"/>
          <w:sz w:val="32"/>
          <w:szCs w:val="32"/>
        </w:rPr>
        <w:t>拟投入资金</w:t>
      </w:r>
      <w:r>
        <w:rPr>
          <w:rFonts w:hint="eastAsia" w:ascii="Times New Roman" w:hAnsi="Times New Roman" w:cs="仿宋_GB2312"/>
          <w:color w:val="auto"/>
          <w:spacing w:val="-6"/>
          <w:kern w:val="2"/>
          <w:sz w:val="32"/>
          <w:szCs w:val="32"/>
          <w:lang w:val="en-US" w:eastAsia="zh-CN"/>
        </w:rPr>
        <w:t>6000</w:t>
      </w:r>
      <w:r>
        <w:rPr>
          <w:rFonts w:hint="eastAsia" w:ascii="Times New Roman" w:hAnsi="Times New Roman" w:eastAsia="仿宋" w:cs="仿宋_GB2312"/>
          <w:color w:val="auto"/>
          <w:spacing w:val="-6"/>
          <w:kern w:val="2"/>
          <w:sz w:val="32"/>
          <w:szCs w:val="32"/>
          <w:lang w:val="en-US" w:eastAsia="zh-CN"/>
        </w:rPr>
        <w:t>.00</w:t>
      </w:r>
      <w:r>
        <w:rPr>
          <w:rFonts w:hint="eastAsia" w:ascii="Times New Roman" w:hAnsi="Times New Roman" w:eastAsia="仿宋_GB2312" w:cs="仿宋_GB2312"/>
          <w:color w:val="auto"/>
          <w:kern w:val="0"/>
          <w:sz w:val="32"/>
          <w:szCs w:val="32"/>
        </w:rPr>
        <w:t>万元，</w:t>
      </w:r>
      <w:r>
        <w:rPr>
          <w:rFonts w:ascii="Times New Roman" w:hAnsi="Times New Roman" w:eastAsia="仿宋_GB2312" w:cs="Times New Roman"/>
          <w:color w:val="auto"/>
          <w:szCs w:val="32"/>
        </w:rPr>
        <w:t>新建建筑面积</w:t>
      </w:r>
      <w:r>
        <w:rPr>
          <w:rFonts w:hint="eastAsia" w:ascii="Times New Roman" w:hAnsi="Times New Roman" w:eastAsia="仿宋_GB2312" w:cs="Times New Roman"/>
          <w:color w:val="auto"/>
          <w:szCs w:val="32"/>
        </w:rPr>
        <w:t>不小于</w:t>
      </w:r>
      <w:r>
        <w:rPr>
          <w:rFonts w:ascii="Times New Roman" w:hAnsi="Times New Roman" w:eastAsia="仿宋" w:cs="仿宋_GB2312"/>
          <w:color w:val="auto"/>
          <w:spacing w:val="-6"/>
          <w:kern w:val="2"/>
        </w:rPr>
        <w:t>16768.44</w:t>
      </w:r>
      <w:r>
        <w:rPr>
          <w:rFonts w:ascii="Times New Roman" w:hAnsi="Times New Roman" w:eastAsia="仿宋_GB2312" w:cs="Times New Roman"/>
          <w:color w:val="auto"/>
          <w:szCs w:val="32"/>
        </w:rPr>
        <w:t>平方米</w:t>
      </w:r>
      <w:r>
        <w:rPr>
          <w:rFonts w:hint="eastAsia" w:ascii="Times New Roman" w:hAnsi="Times New Roman" w:eastAsia="仿宋_GB2312" w:cs="仿宋_GB2312"/>
          <w:color w:val="auto"/>
          <w:kern w:val="0"/>
          <w:sz w:val="32"/>
          <w:szCs w:val="32"/>
        </w:rPr>
        <w:t>，主要实施工业厂房建设。</w:t>
      </w:r>
    </w:p>
    <w:p w14:paraId="2162152E">
      <w:pPr>
        <w:pStyle w:val="2"/>
        <w:adjustRightInd w:val="0"/>
        <w:snapToGrid w:val="0"/>
        <w:spacing w:beforeLines="0" w:afterLines="0" w:line="336" w:lineRule="auto"/>
        <w:ind w:firstLine="616"/>
        <w:rPr>
          <w:rFonts w:ascii="Times New Roman" w:hAnsi="Times New Roman"/>
          <w:b w:val="0"/>
          <w:color w:val="auto"/>
        </w:rPr>
      </w:pPr>
      <w:r>
        <w:rPr>
          <w:rFonts w:hint="eastAsia" w:ascii="Times New Roman" w:hAnsi="Times New Roman" w:cs="黑体"/>
          <w:b w:val="0"/>
          <w:bCs w:val="0"/>
          <w:color w:val="auto"/>
          <w:spacing w:val="-6"/>
          <w:kern w:val="0"/>
          <w:sz w:val="32"/>
          <w:szCs w:val="32"/>
        </w:rPr>
        <w:t>实施监管</w:t>
      </w:r>
    </w:p>
    <w:p w14:paraId="226AC21E">
      <w:pPr>
        <w:pStyle w:val="13"/>
        <w:snapToGrid w:val="0"/>
        <w:spacing w:beforeLines="0" w:afterLines="0" w:line="336" w:lineRule="auto"/>
        <w:ind w:firstLine="641"/>
        <w:jc w:val="both"/>
        <w:rPr>
          <w:rFonts w:ascii="Times New Roman" w:hAnsi="Times New Roman" w:eastAsia="仿宋" w:cs="仿宋_GB2312"/>
          <w:color w:val="auto"/>
          <w:spacing w:val="-6"/>
          <w:kern w:val="2"/>
          <w:sz w:val="32"/>
          <w:szCs w:val="32"/>
        </w:rPr>
      </w:pPr>
      <w:r>
        <w:rPr>
          <w:rFonts w:hint="eastAsia" w:ascii="Times New Roman" w:hAnsi="Times New Roman" w:eastAsia="仿宋" w:cs="仿宋_GB2312"/>
          <w:color w:val="auto"/>
          <w:spacing w:val="-6"/>
          <w:kern w:val="2"/>
          <w:sz w:val="32"/>
          <w:szCs w:val="32"/>
        </w:rPr>
        <w:t>改造主体应当按规定与中山市神湾镇人民政府签订已拟定的项目实施监管协议，并按监管协议约定实施改造。</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7C51E">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86D8B">
                          <w:pPr>
                            <w:pStyle w:val="6"/>
                            <w:rPr>
                              <w:rFonts w:ascii="Times New Roman" w:hAnsi="Times New Roman" w:cs="Times New Roman"/>
                              <w:sz w:val="30"/>
                              <w:szCs w:val="30"/>
                            </w:rPr>
                          </w:pPr>
                          <w:r>
                            <w:rPr>
                              <w:rFonts w:hint="eastAsia" w:ascii="Times New Roman" w:hAnsi="Times New Roman" w:cs="Times New Roman"/>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cs="Times New Roman"/>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186D8B">
                    <w:pPr>
                      <w:pStyle w:val="6"/>
                      <w:rPr>
                        <w:rFonts w:ascii="Times New Roman" w:hAnsi="Times New Roman" w:cs="Times New Roman"/>
                        <w:sz w:val="30"/>
                        <w:szCs w:val="30"/>
                      </w:rPr>
                    </w:pPr>
                    <w:r>
                      <w:rPr>
                        <w:rFonts w:hint="eastAsia" w:ascii="Times New Roman" w:hAnsi="Times New Roman" w:cs="Times New Roman"/>
                        <w:sz w:val="30"/>
                        <w:szCs w:val="30"/>
                      </w:rPr>
                      <w:t>—</w:t>
                    </w: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Pr>
                        <w:rFonts w:ascii="Times New Roman" w:hAnsi="Times New Roman" w:cs="Times New Roman"/>
                        <w:sz w:val="30"/>
                        <w:szCs w:val="30"/>
                      </w:rPr>
                      <w:t>1</w:t>
                    </w:r>
                    <w:r>
                      <w:rPr>
                        <w:rFonts w:ascii="Times New Roman" w:hAnsi="Times New Roman" w:cs="Times New Roman"/>
                        <w:sz w:val="30"/>
                        <w:szCs w:val="30"/>
                      </w:rPr>
                      <w:fldChar w:fldCharType="end"/>
                    </w:r>
                    <w:r>
                      <w:rPr>
                        <w:rFonts w:hint="eastAsia" w:ascii="Times New Roman" w:hAnsi="Times New Roman" w:cs="Times New Roman"/>
                        <w:sz w:val="30"/>
                        <w:szCs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C4687"/>
    <w:multiLevelType w:val="multilevel"/>
    <w:tmpl w:val="57EC4687"/>
    <w:lvl w:ilvl="0" w:tentative="0">
      <w:start w:val="1"/>
      <w:numFmt w:val="chineseCountingThousand"/>
      <w:pStyle w:val="2"/>
      <w:suff w:val="nothing"/>
      <w:lvlText w:val="%1、"/>
      <w:lvlJc w:val="left"/>
      <w:pPr>
        <w:ind w:left="425" w:hanging="425"/>
      </w:pPr>
      <w:rPr>
        <w:rFonts w:hint="eastAsia"/>
      </w:rPr>
    </w:lvl>
    <w:lvl w:ilvl="1" w:tentative="0">
      <w:start w:val="1"/>
      <w:numFmt w:val="chineseCountingThousand"/>
      <w:pStyle w:val="3"/>
      <w:suff w:val="nothing"/>
      <w:lvlText w:val="（%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ZGZjYWZhMTE5MDdjN2M1NmY2Y2RjMjkzZDllOTAifQ=="/>
  </w:docVars>
  <w:rsids>
    <w:rsidRoot w:val="00172A27"/>
    <w:rsid w:val="0001488C"/>
    <w:rsid w:val="00017CB7"/>
    <w:rsid w:val="000801CE"/>
    <w:rsid w:val="00087722"/>
    <w:rsid w:val="0009148E"/>
    <w:rsid w:val="000A11FE"/>
    <w:rsid w:val="000B050A"/>
    <w:rsid w:val="000B7642"/>
    <w:rsid w:val="000D5E61"/>
    <w:rsid w:val="0012457E"/>
    <w:rsid w:val="00142F94"/>
    <w:rsid w:val="001861CC"/>
    <w:rsid w:val="001B7FDB"/>
    <w:rsid w:val="001C7A94"/>
    <w:rsid w:val="001D27CC"/>
    <w:rsid w:val="001D5AF0"/>
    <w:rsid w:val="001D65A2"/>
    <w:rsid w:val="001F2ACE"/>
    <w:rsid w:val="002026AA"/>
    <w:rsid w:val="0020514A"/>
    <w:rsid w:val="00226D07"/>
    <w:rsid w:val="00292A26"/>
    <w:rsid w:val="002A7206"/>
    <w:rsid w:val="002A77BA"/>
    <w:rsid w:val="002A7F40"/>
    <w:rsid w:val="002E62A2"/>
    <w:rsid w:val="0031591A"/>
    <w:rsid w:val="00327257"/>
    <w:rsid w:val="00341B54"/>
    <w:rsid w:val="00361814"/>
    <w:rsid w:val="00366F6D"/>
    <w:rsid w:val="00367BC6"/>
    <w:rsid w:val="00375CA6"/>
    <w:rsid w:val="00393234"/>
    <w:rsid w:val="003A4132"/>
    <w:rsid w:val="003D57B5"/>
    <w:rsid w:val="0040480B"/>
    <w:rsid w:val="00417B9D"/>
    <w:rsid w:val="00472CBB"/>
    <w:rsid w:val="00481E1B"/>
    <w:rsid w:val="004B5AD7"/>
    <w:rsid w:val="004B5C0E"/>
    <w:rsid w:val="004D309A"/>
    <w:rsid w:val="004D6A11"/>
    <w:rsid w:val="004E165E"/>
    <w:rsid w:val="004E30DB"/>
    <w:rsid w:val="004F2308"/>
    <w:rsid w:val="0055214B"/>
    <w:rsid w:val="00561C0E"/>
    <w:rsid w:val="005903CD"/>
    <w:rsid w:val="00592211"/>
    <w:rsid w:val="00593CB3"/>
    <w:rsid w:val="005A0F16"/>
    <w:rsid w:val="005F4C5E"/>
    <w:rsid w:val="00601D9D"/>
    <w:rsid w:val="00603381"/>
    <w:rsid w:val="00604527"/>
    <w:rsid w:val="00611AD0"/>
    <w:rsid w:val="00646295"/>
    <w:rsid w:val="006529D0"/>
    <w:rsid w:val="0066149B"/>
    <w:rsid w:val="00664AD0"/>
    <w:rsid w:val="00670DA1"/>
    <w:rsid w:val="00682AE1"/>
    <w:rsid w:val="0068404B"/>
    <w:rsid w:val="00686B29"/>
    <w:rsid w:val="00687175"/>
    <w:rsid w:val="0069503B"/>
    <w:rsid w:val="006A29C1"/>
    <w:rsid w:val="006D558A"/>
    <w:rsid w:val="006E5667"/>
    <w:rsid w:val="006F21FF"/>
    <w:rsid w:val="00711BF1"/>
    <w:rsid w:val="00732810"/>
    <w:rsid w:val="00750A68"/>
    <w:rsid w:val="00751BE2"/>
    <w:rsid w:val="00763333"/>
    <w:rsid w:val="00766762"/>
    <w:rsid w:val="00771371"/>
    <w:rsid w:val="00784ECD"/>
    <w:rsid w:val="00785A97"/>
    <w:rsid w:val="00794641"/>
    <w:rsid w:val="007B3D2E"/>
    <w:rsid w:val="008055B2"/>
    <w:rsid w:val="008341A0"/>
    <w:rsid w:val="00855CBD"/>
    <w:rsid w:val="0087399C"/>
    <w:rsid w:val="008B2A41"/>
    <w:rsid w:val="008B4CB0"/>
    <w:rsid w:val="008C4798"/>
    <w:rsid w:val="008C542E"/>
    <w:rsid w:val="0090053E"/>
    <w:rsid w:val="00902B82"/>
    <w:rsid w:val="0092181F"/>
    <w:rsid w:val="00926FCF"/>
    <w:rsid w:val="00930F9D"/>
    <w:rsid w:val="00941E2B"/>
    <w:rsid w:val="00957464"/>
    <w:rsid w:val="00996300"/>
    <w:rsid w:val="009C4868"/>
    <w:rsid w:val="009D1596"/>
    <w:rsid w:val="009D33DB"/>
    <w:rsid w:val="009E3620"/>
    <w:rsid w:val="00A93BCF"/>
    <w:rsid w:val="00A97D40"/>
    <w:rsid w:val="00AA0051"/>
    <w:rsid w:val="00B2458D"/>
    <w:rsid w:val="00B33242"/>
    <w:rsid w:val="00B33318"/>
    <w:rsid w:val="00B45F31"/>
    <w:rsid w:val="00B87CE8"/>
    <w:rsid w:val="00BB7A48"/>
    <w:rsid w:val="00BC129F"/>
    <w:rsid w:val="00BE628A"/>
    <w:rsid w:val="00C1330E"/>
    <w:rsid w:val="00C3469E"/>
    <w:rsid w:val="00C457C4"/>
    <w:rsid w:val="00C45ADC"/>
    <w:rsid w:val="00C45C39"/>
    <w:rsid w:val="00C775E6"/>
    <w:rsid w:val="00C813FD"/>
    <w:rsid w:val="00CB20A0"/>
    <w:rsid w:val="00CC67AA"/>
    <w:rsid w:val="00CD03C5"/>
    <w:rsid w:val="00CD4468"/>
    <w:rsid w:val="00CE437F"/>
    <w:rsid w:val="00D1505F"/>
    <w:rsid w:val="00D17CD7"/>
    <w:rsid w:val="00D21170"/>
    <w:rsid w:val="00D21D3B"/>
    <w:rsid w:val="00D245C0"/>
    <w:rsid w:val="00D62489"/>
    <w:rsid w:val="00D769B1"/>
    <w:rsid w:val="00D848A8"/>
    <w:rsid w:val="00D92AAA"/>
    <w:rsid w:val="00D92E8E"/>
    <w:rsid w:val="00DA0EFA"/>
    <w:rsid w:val="00DB33B4"/>
    <w:rsid w:val="00DD7C89"/>
    <w:rsid w:val="00DF62BF"/>
    <w:rsid w:val="00E00CE3"/>
    <w:rsid w:val="00E16E53"/>
    <w:rsid w:val="00E45AF3"/>
    <w:rsid w:val="00E731FE"/>
    <w:rsid w:val="00E74621"/>
    <w:rsid w:val="00EB0E15"/>
    <w:rsid w:val="00ED0764"/>
    <w:rsid w:val="00EE58DF"/>
    <w:rsid w:val="00EE7F89"/>
    <w:rsid w:val="00F001C9"/>
    <w:rsid w:val="00F30348"/>
    <w:rsid w:val="00F346F9"/>
    <w:rsid w:val="00F83B5C"/>
    <w:rsid w:val="00FA1152"/>
    <w:rsid w:val="00FB7544"/>
    <w:rsid w:val="02550378"/>
    <w:rsid w:val="026D2E84"/>
    <w:rsid w:val="0278381E"/>
    <w:rsid w:val="02EE3AA1"/>
    <w:rsid w:val="0BB33B0D"/>
    <w:rsid w:val="0E04767E"/>
    <w:rsid w:val="1E7F0651"/>
    <w:rsid w:val="1F25043A"/>
    <w:rsid w:val="28726E69"/>
    <w:rsid w:val="32DE1ADB"/>
    <w:rsid w:val="34035CF5"/>
    <w:rsid w:val="3CD64220"/>
    <w:rsid w:val="3E690C74"/>
    <w:rsid w:val="3EF37553"/>
    <w:rsid w:val="3F6430FA"/>
    <w:rsid w:val="40A72054"/>
    <w:rsid w:val="41BE3B5E"/>
    <w:rsid w:val="47FB62B4"/>
    <w:rsid w:val="51865418"/>
    <w:rsid w:val="546F324B"/>
    <w:rsid w:val="55C82ED3"/>
    <w:rsid w:val="5A7F5187"/>
    <w:rsid w:val="5BE869CA"/>
    <w:rsid w:val="5CDF7588"/>
    <w:rsid w:val="613E54A0"/>
    <w:rsid w:val="65106E6C"/>
    <w:rsid w:val="67011E69"/>
    <w:rsid w:val="68CF7573"/>
    <w:rsid w:val="6A215319"/>
    <w:rsid w:val="6BF73E48"/>
    <w:rsid w:val="73146CAB"/>
    <w:rsid w:val="73F54C80"/>
    <w:rsid w:val="7722037C"/>
    <w:rsid w:val="785947FE"/>
    <w:rsid w:val="78632859"/>
    <w:rsid w:val="78B5148D"/>
    <w:rsid w:val="79F42021"/>
    <w:rsid w:val="7D9D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ind w:firstLine="618"/>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2"/>
    <w:qFormat/>
    <w:uiPriority w:val="1"/>
    <w:pPr>
      <w:keepNext/>
      <w:keepLines/>
      <w:numPr>
        <w:ilvl w:val="0"/>
        <w:numId w:val="1"/>
      </w:numPr>
      <w:ind w:left="0" w:firstLine="200" w:firstLineChars="200"/>
      <w:outlineLvl w:val="0"/>
    </w:pPr>
    <w:rPr>
      <w:rFonts w:ascii="Times New Roman" w:hAnsi="Times New Roman" w:eastAsia="黑体" w:cs="Times New Roman"/>
      <w:b/>
      <w:bCs/>
      <w:kern w:val="44"/>
      <w:sz w:val="28"/>
      <w:szCs w:val="44"/>
    </w:rPr>
  </w:style>
  <w:style w:type="paragraph" w:styleId="3">
    <w:name w:val="heading 2"/>
    <w:basedOn w:val="1"/>
    <w:next w:val="1"/>
    <w:link w:val="11"/>
    <w:qFormat/>
    <w:uiPriority w:val="0"/>
    <w:pPr>
      <w:keepNext/>
      <w:keepLines/>
      <w:numPr>
        <w:ilvl w:val="1"/>
        <w:numId w:val="1"/>
      </w:numPr>
      <w:outlineLvl w:val="1"/>
    </w:pPr>
    <w:rPr>
      <w:rFonts w:ascii="Times New Roman" w:hAnsi="Times New Roman" w:eastAsia="楷体_GB2312" w:cs="Times New Roman"/>
      <w:b/>
      <w:bCs/>
      <w:sz w:val="28"/>
      <w:szCs w:val="32"/>
    </w:rPr>
  </w:style>
  <w:style w:type="paragraph" w:styleId="4">
    <w:name w:val="heading 3"/>
    <w:basedOn w:val="1"/>
    <w:next w:val="1"/>
    <w:link w:val="16"/>
    <w:semiHidden/>
    <w:unhideWhenUsed/>
    <w:qFormat/>
    <w:uiPriority w:val="9"/>
    <w:pPr>
      <w:keepNext/>
      <w:keepLines/>
      <w:spacing w:before="260" w:after="260" w:line="416" w:lineRule="atLeast"/>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spacing w:before="36" w:line="240" w:lineRule="auto"/>
      <w:ind w:left="106" w:firstLine="0"/>
      <w:jc w:val="left"/>
    </w:pPr>
    <w:rPr>
      <w:rFonts w:ascii="仿宋_GB2312" w:hAnsi="仿宋_GB2312" w:eastAsia="仿宋_GB2312"/>
      <w:kern w:val="0"/>
      <w:szCs w:val="32"/>
      <w:lang w:eastAsia="en-US"/>
    </w:rPr>
  </w:style>
  <w:style w:type="paragraph" w:styleId="6">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11">
    <w:name w:val="标题 2 字符"/>
    <w:basedOn w:val="10"/>
    <w:link w:val="3"/>
    <w:qFormat/>
    <w:uiPriority w:val="0"/>
    <w:rPr>
      <w:rFonts w:ascii="Times New Roman" w:hAnsi="Times New Roman" w:eastAsia="楷体_GB2312" w:cs="Times New Roman"/>
      <w:b/>
      <w:bCs/>
      <w:sz w:val="28"/>
      <w:szCs w:val="32"/>
    </w:rPr>
  </w:style>
  <w:style w:type="character" w:customStyle="1" w:styleId="12">
    <w:name w:val="标题 1 字符"/>
    <w:basedOn w:val="10"/>
    <w:link w:val="2"/>
    <w:qFormat/>
    <w:uiPriority w:val="0"/>
    <w:rPr>
      <w:rFonts w:ascii="Times New Roman" w:hAnsi="Times New Roman" w:eastAsia="黑体" w:cs="Times New Roman"/>
      <w:b/>
      <w:bCs/>
      <w:kern w:val="44"/>
      <w:sz w:val="28"/>
      <w:szCs w:val="44"/>
    </w:rPr>
  </w:style>
  <w:style w:type="paragraph" w:customStyle="1" w:styleId="13">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14">
    <w:name w:val="页眉 字符"/>
    <w:basedOn w:val="10"/>
    <w:link w:val="7"/>
    <w:qFormat/>
    <w:uiPriority w:val="99"/>
    <w:rPr>
      <w:rFonts w:eastAsia="仿宋"/>
      <w:sz w:val="18"/>
      <w:szCs w:val="18"/>
    </w:rPr>
  </w:style>
  <w:style w:type="character" w:customStyle="1" w:styleId="15">
    <w:name w:val="页脚 字符"/>
    <w:basedOn w:val="10"/>
    <w:link w:val="6"/>
    <w:qFormat/>
    <w:uiPriority w:val="99"/>
    <w:rPr>
      <w:rFonts w:eastAsia="仿宋"/>
      <w:sz w:val="18"/>
      <w:szCs w:val="18"/>
    </w:rPr>
  </w:style>
  <w:style w:type="character" w:customStyle="1" w:styleId="16">
    <w:name w:val="标题 3 字符"/>
    <w:basedOn w:val="10"/>
    <w:link w:val="4"/>
    <w:semiHidden/>
    <w:qFormat/>
    <w:uiPriority w:val="9"/>
    <w:rPr>
      <w:rFonts w:eastAsia="仿宋"/>
      <w:b/>
      <w:bCs/>
      <w:sz w:val="32"/>
      <w:szCs w:val="32"/>
    </w:rPr>
  </w:style>
  <w:style w:type="character" w:customStyle="1" w:styleId="17">
    <w:name w:val="正文文本 字符"/>
    <w:basedOn w:val="10"/>
    <w:link w:val="5"/>
    <w:qFormat/>
    <w:uiPriority w:val="1"/>
    <w:rPr>
      <w:rFonts w:ascii="仿宋_GB2312" w:hAnsi="仿宋_GB2312" w:eastAsia="仿宋_GB2312"/>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1990</Words>
  <Characters>2354</Characters>
  <Lines>15</Lines>
  <Paragraphs>4</Paragraphs>
  <TotalTime>43</TotalTime>
  <ScaleCrop>false</ScaleCrop>
  <LinksUpToDate>false</LinksUpToDate>
  <CharactersWithSpaces>2359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2024-08-15T07:20:00Z</dcterms:created>
  <dc:creator>Yongmei Chang/省建科</dc:creator>
  <cp:lastModifiedBy>吴国展</cp:lastModifiedBy>
  <cp:lastPrinted>2024-02-26T10:25:00Z</cp:lastPrinted>
  <dcterms:modified xsi:type="dcterms:W3CDTF">2025-07-28T07:06:28Z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7FB9D7A681124183BECC5E736D0E6869_13</vt:lpwstr>
  </property>
</Properties>
</file>