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3EDA44">
      <w:pPr>
        <w:spacing w:line="360" w:lineRule="auto"/>
        <w:jc w:val="center"/>
        <w:rPr>
          <w:rFonts w:hint="eastAsia" w:eastAsia="仿宋_GB2312"/>
          <w:b/>
          <w:bCs/>
          <w:sz w:val="36"/>
          <w:szCs w:val="36"/>
        </w:rPr>
      </w:pPr>
      <w:r>
        <w:rPr>
          <w:rFonts w:hint="eastAsia" w:eastAsia="仿宋_GB2312"/>
          <w:b/>
          <w:bCs/>
          <w:sz w:val="36"/>
          <w:szCs w:val="36"/>
        </w:rPr>
        <w:t>中山市</w:t>
      </w:r>
      <w:r>
        <w:rPr>
          <w:rFonts w:hint="eastAsia" w:eastAsia="仿宋_GB2312"/>
          <w:b/>
          <w:bCs/>
          <w:sz w:val="36"/>
          <w:szCs w:val="36"/>
          <w:lang w:val="en-US" w:eastAsia="zh-CN"/>
        </w:rPr>
        <w:t>三角镇</w:t>
      </w:r>
      <w:r>
        <w:rPr>
          <w:rFonts w:hint="eastAsia" w:eastAsia="仿宋_GB2312"/>
          <w:b/>
          <w:bCs/>
          <w:sz w:val="36"/>
          <w:szCs w:val="36"/>
        </w:rPr>
        <w:t>202</w:t>
      </w:r>
      <w:r>
        <w:rPr>
          <w:rFonts w:hint="eastAsia" w:eastAsia="仿宋_GB2312"/>
          <w:b/>
          <w:bCs/>
          <w:sz w:val="36"/>
          <w:szCs w:val="36"/>
          <w:lang w:val="en-US" w:eastAsia="zh-CN"/>
        </w:rPr>
        <w:t>5</w:t>
      </w:r>
      <w:r>
        <w:rPr>
          <w:rFonts w:hint="eastAsia" w:eastAsia="仿宋_GB2312"/>
          <w:b/>
          <w:bCs/>
          <w:sz w:val="36"/>
          <w:szCs w:val="36"/>
        </w:rPr>
        <w:t>年度</w:t>
      </w:r>
      <w:r>
        <w:rPr>
          <w:rFonts w:hint="eastAsia" w:eastAsia="仿宋_GB2312"/>
          <w:b/>
          <w:bCs/>
          <w:sz w:val="36"/>
          <w:szCs w:val="36"/>
          <w:lang w:val="en-US" w:eastAsia="zh-CN"/>
        </w:rPr>
        <w:t>SJ12~SJ18</w:t>
      </w:r>
      <w:r>
        <w:rPr>
          <w:rFonts w:hint="eastAsia" w:eastAsia="仿宋_GB2312"/>
          <w:b/>
          <w:bCs/>
          <w:sz w:val="36"/>
          <w:szCs w:val="36"/>
        </w:rPr>
        <w:t>地块</w:t>
      </w:r>
    </w:p>
    <w:p w14:paraId="6B1B5C95">
      <w:pPr>
        <w:spacing w:line="360" w:lineRule="auto"/>
        <w:jc w:val="center"/>
        <w:rPr>
          <w:rFonts w:eastAsia="仿宋_GB2312"/>
          <w:b/>
          <w:bCs/>
          <w:sz w:val="28"/>
          <w:szCs w:val="28"/>
        </w:rPr>
      </w:pPr>
      <w:r>
        <w:rPr>
          <w:rFonts w:hint="eastAsia" w:eastAsia="仿宋_GB2312"/>
          <w:b/>
          <w:bCs/>
          <w:sz w:val="36"/>
          <w:szCs w:val="36"/>
        </w:rPr>
        <w:t>土地征收成片开发方案</w:t>
      </w:r>
    </w:p>
    <w:p w14:paraId="10517EEE">
      <w:pPr>
        <w:spacing w:line="360" w:lineRule="auto"/>
        <w:jc w:val="center"/>
        <w:rPr>
          <w:rFonts w:eastAsia="仿宋_GB2312"/>
          <w:b/>
          <w:bCs/>
          <w:sz w:val="28"/>
          <w:szCs w:val="28"/>
        </w:rPr>
      </w:pPr>
      <w:r>
        <w:rPr>
          <w:rFonts w:eastAsia="仿宋_GB2312"/>
          <w:b/>
          <w:bCs/>
          <w:sz w:val="28"/>
          <w:szCs w:val="28"/>
        </w:rPr>
        <w:t>（公示草案）</w:t>
      </w:r>
    </w:p>
    <w:p w14:paraId="1A0AAA2F">
      <w:pPr>
        <w:spacing w:before="0" w:beforeLines="0" w:after="0" w:afterLines="0" w:line="360" w:lineRule="auto"/>
        <w:ind w:firstLine="643" w:firstLineChars="200"/>
        <w:outlineLvl w:val="1"/>
        <w:rPr>
          <w:rFonts w:eastAsia="仿宋_GB2312"/>
          <w:b/>
          <w:bCs/>
          <w:sz w:val="32"/>
          <w:szCs w:val="32"/>
        </w:rPr>
      </w:pPr>
      <w:r>
        <w:rPr>
          <w:rFonts w:eastAsia="仿宋_GB2312"/>
          <w:b/>
          <w:bCs/>
          <w:sz w:val="32"/>
          <w:szCs w:val="32"/>
        </w:rPr>
        <w:t>一、编制依据</w:t>
      </w:r>
    </w:p>
    <w:p w14:paraId="50D83861">
      <w:pPr>
        <w:autoSpaceDE w:val="0"/>
        <w:autoSpaceDN w:val="0"/>
        <w:adjustRightInd w:val="0"/>
        <w:spacing w:beforeLines="0" w:afterLines="0" w:line="360" w:lineRule="auto"/>
        <w:ind w:firstLine="560" w:firstLineChars="200"/>
        <w:rPr>
          <w:rFonts w:eastAsia="仿宋_GB2312"/>
          <w:sz w:val="28"/>
          <w:szCs w:val="28"/>
        </w:rPr>
      </w:pPr>
      <w:r>
        <w:rPr>
          <w:rFonts w:eastAsia="仿宋_GB2312"/>
          <w:sz w:val="28"/>
          <w:szCs w:val="28"/>
        </w:rPr>
        <w:t>依据《中华人民共和国土地管理法》（2019年修正）、《自然资源部关于印发&lt;土地征收成片开发标准&gt;的通知》（自然资规〔2023〕7号</w:t>
      </w:r>
      <w:r>
        <w:rPr>
          <w:rFonts w:eastAsia="仿宋_GB2312"/>
          <w:sz w:val="28"/>
          <w:szCs w:val="28"/>
          <w:highlight w:val="none"/>
        </w:rPr>
        <w:t>）</w:t>
      </w:r>
      <w:r>
        <w:rPr>
          <w:rFonts w:hint="eastAsia" w:eastAsia="仿宋_GB2312"/>
          <w:sz w:val="28"/>
          <w:szCs w:val="28"/>
          <w:highlight w:val="none"/>
        </w:rPr>
        <w:t>以及</w:t>
      </w:r>
      <w:r>
        <w:rPr>
          <w:rFonts w:hint="eastAsia" w:ascii="仿宋_GB2312" w:hAnsi="仿宋_GB2312" w:eastAsia="仿宋_GB2312" w:cs="仿宋_GB2312"/>
          <w:sz w:val="28"/>
          <w:szCs w:val="28"/>
          <w:highlight w:val="none"/>
        </w:rPr>
        <w:t>《广东省自然资源厅关</w:t>
      </w:r>
      <w:bookmarkStart w:id="8" w:name="_GoBack"/>
      <w:bookmarkEnd w:id="8"/>
      <w:r>
        <w:rPr>
          <w:rFonts w:hint="eastAsia" w:ascii="仿宋_GB2312" w:hAnsi="仿宋_GB2312" w:eastAsia="仿宋_GB2312" w:cs="仿宋_GB2312"/>
          <w:sz w:val="28"/>
          <w:szCs w:val="28"/>
          <w:highlight w:val="none"/>
        </w:rPr>
        <w:t>于进一步规范土地征收成片开发工作的通知》（粤自然资规字〔2024〕7号）</w:t>
      </w:r>
      <w:r>
        <w:rPr>
          <w:rFonts w:eastAsia="仿宋_GB2312"/>
          <w:sz w:val="28"/>
          <w:szCs w:val="28"/>
          <w:highlight w:val="none"/>
        </w:rPr>
        <w:t>等相关文件</w:t>
      </w:r>
      <w:r>
        <w:rPr>
          <w:rFonts w:eastAsia="仿宋_GB2312"/>
          <w:sz w:val="28"/>
          <w:szCs w:val="28"/>
        </w:rPr>
        <w:t>，编制《</w:t>
      </w:r>
      <w:r>
        <w:rPr>
          <w:rFonts w:hint="eastAsia" w:eastAsia="仿宋_GB2312"/>
          <w:sz w:val="28"/>
          <w:szCs w:val="28"/>
        </w:rPr>
        <w:t>中山市</w:t>
      </w:r>
      <w:r>
        <w:rPr>
          <w:rFonts w:hint="eastAsia" w:eastAsia="仿宋_GB2312"/>
          <w:sz w:val="28"/>
          <w:szCs w:val="28"/>
          <w:lang w:val="en-US" w:eastAsia="zh-CN"/>
        </w:rPr>
        <w:t>三角镇</w:t>
      </w:r>
      <w:r>
        <w:rPr>
          <w:rFonts w:hint="eastAsia" w:eastAsia="仿宋_GB2312"/>
          <w:sz w:val="28"/>
          <w:szCs w:val="28"/>
        </w:rPr>
        <w:t>202</w:t>
      </w:r>
      <w:r>
        <w:rPr>
          <w:rFonts w:hint="eastAsia" w:eastAsia="仿宋_GB2312"/>
          <w:sz w:val="28"/>
          <w:szCs w:val="28"/>
          <w:lang w:val="en-US" w:eastAsia="zh-CN"/>
        </w:rPr>
        <w:t>5</w:t>
      </w:r>
      <w:r>
        <w:rPr>
          <w:rFonts w:hint="eastAsia" w:eastAsia="仿宋_GB2312"/>
          <w:sz w:val="28"/>
          <w:szCs w:val="28"/>
        </w:rPr>
        <w:t>年度</w:t>
      </w:r>
      <w:r>
        <w:rPr>
          <w:rFonts w:hint="eastAsia" w:eastAsia="仿宋_GB2312"/>
          <w:sz w:val="28"/>
          <w:szCs w:val="28"/>
          <w:lang w:val="en-US" w:eastAsia="zh-CN"/>
        </w:rPr>
        <w:t>SJ12~SJ18</w:t>
      </w:r>
      <w:r>
        <w:rPr>
          <w:rFonts w:hint="eastAsia" w:eastAsia="仿宋_GB2312"/>
          <w:sz w:val="28"/>
          <w:szCs w:val="28"/>
        </w:rPr>
        <w:t>地块土地征收成片开发方案</w:t>
      </w:r>
      <w:r>
        <w:rPr>
          <w:rFonts w:eastAsia="仿宋_GB2312"/>
          <w:sz w:val="28"/>
          <w:szCs w:val="28"/>
        </w:rPr>
        <w:t>》。</w:t>
      </w:r>
    </w:p>
    <w:p w14:paraId="0741E81F">
      <w:pPr>
        <w:spacing w:before="0" w:beforeLines="0" w:after="0" w:afterLines="0" w:line="360" w:lineRule="auto"/>
        <w:ind w:firstLine="643" w:firstLineChars="200"/>
        <w:outlineLvl w:val="1"/>
        <w:rPr>
          <w:rFonts w:eastAsia="仿宋_GB2312"/>
          <w:b/>
          <w:bCs/>
          <w:sz w:val="32"/>
          <w:szCs w:val="32"/>
        </w:rPr>
      </w:pPr>
      <w:r>
        <w:rPr>
          <w:rFonts w:eastAsia="仿宋_GB2312"/>
          <w:b/>
          <w:bCs/>
          <w:sz w:val="32"/>
          <w:szCs w:val="32"/>
        </w:rPr>
        <w:t>二、基本情况</w:t>
      </w:r>
    </w:p>
    <w:p w14:paraId="083DF356">
      <w:pPr>
        <w:spacing w:beforeLines="0" w:afterLines="0" w:line="360" w:lineRule="auto"/>
        <w:ind w:firstLine="560" w:firstLineChars="200"/>
        <w:rPr>
          <w:rFonts w:eastAsia="仿宋_GB2312"/>
          <w:sz w:val="28"/>
          <w:szCs w:val="28"/>
        </w:rPr>
      </w:pPr>
      <w:r>
        <w:rPr>
          <w:rFonts w:eastAsia="仿宋_GB2312"/>
          <w:sz w:val="28"/>
          <w:szCs w:val="28"/>
        </w:rPr>
        <w:t>本次成片开发范围共包含</w:t>
      </w:r>
      <w:r>
        <w:rPr>
          <w:rFonts w:hint="eastAsia" w:eastAsia="仿宋_GB2312"/>
          <w:sz w:val="28"/>
          <w:szCs w:val="28"/>
          <w:lang w:val="en-US" w:eastAsia="zh-CN"/>
        </w:rPr>
        <w:t>7</w:t>
      </w:r>
      <w:r>
        <w:rPr>
          <w:rFonts w:eastAsia="仿宋_GB2312"/>
          <w:sz w:val="28"/>
          <w:szCs w:val="28"/>
        </w:rPr>
        <w:t>个成片开发地块，</w:t>
      </w:r>
      <w:r>
        <w:rPr>
          <w:rFonts w:hint="eastAsia" w:eastAsia="仿宋_GB2312"/>
          <w:sz w:val="28"/>
          <w:szCs w:val="28"/>
          <w:lang w:val="en-US" w:eastAsia="zh-CN"/>
        </w:rPr>
        <w:t>面积为58.1458</w:t>
      </w:r>
      <w:r>
        <w:rPr>
          <w:rFonts w:eastAsia="仿宋_GB2312"/>
          <w:sz w:val="28"/>
          <w:szCs w:val="28"/>
        </w:rPr>
        <w:t>公顷，</w:t>
      </w:r>
      <w:r>
        <w:rPr>
          <w:rFonts w:hint="eastAsia" w:eastAsia="仿宋_GB2312"/>
          <w:sz w:val="28"/>
          <w:szCs w:val="28"/>
        </w:rPr>
        <w:t>位于</w:t>
      </w:r>
      <w:r>
        <w:rPr>
          <w:rFonts w:hint="eastAsia" w:eastAsia="仿宋_GB2312"/>
          <w:sz w:val="28"/>
          <w:szCs w:val="28"/>
          <w:lang w:val="en-US" w:eastAsia="zh-CN"/>
        </w:rPr>
        <w:t>东南村、三角村和高平村</w:t>
      </w:r>
      <w:r>
        <w:rPr>
          <w:rFonts w:eastAsia="仿宋_GB2312"/>
          <w:sz w:val="28"/>
          <w:szCs w:val="28"/>
        </w:rPr>
        <w:t>。详细信息见下表。</w:t>
      </w:r>
    </w:p>
    <w:p w14:paraId="1F0A13C0">
      <w:pPr>
        <w:spacing w:beforeLines="0" w:afterLines="0" w:line="240" w:lineRule="auto"/>
        <w:ind w:firstLine="482" w:firstLineChars="200"/>
        <w:jc w:val="center"/>
        <w:rPr>
          <w:rFonts w:eastAsia="仿宋_GB2312"/>
          <w:b/>
          <w:bCs/>
          <w:sz w:val="24"/>
        </w:rPr>
      </w:pPr>
      <w:r>
        <w:rPr>
          <w:rFonts w:eastAsia="仿宋_GB2312"/>
          <w:b/>
          <w:bCs/>
          <w:sz w:val="24"/>
        </w:rPr>
        <w:t>表1  成片开发区域详细信息一览表</w:t>
      </w:r>
    </w:p>
    <w:p w14:paraId="0884122F">
      <w:pPr>
        <w:spacing w:before="0" w:beforeLines="0" w:after="0" w:afterLines="0" w:line="240" w:lineRule="auto"/>
        <w:ind w:firstLine="480" w:firstLineChars="200"/>
        <w:jc w:val="right"/>
        <w:outlineLvl w:val="9"/>
        <w:rPr>
          <w:rFonts w:eastAsia="仿宋_GB2312"/>
          <w:kern w:val="2"/>
          <w:sz w:val="24"/>
          <w:szCs w:val="24"/>
        </w:rPr>
      </w:pPr>
      <w:r>
        <w:rPr>
          <w:rFonts w:hint="eastAsia" w:eastAsia="仿宋_GB2312"/>
          <w:kern w:val="2"/>
          <w:sz w:val="24"/>
          <w:szCs w:val="24"/>
        </w:rPr>
        <w:t>单位：公顷</w:t>
      </w:r>
    </w:p>
    <w:tbl>
      <w:tblPr>
        <w:tblStyle w:val="12"/>
        <w:tblW w:w="4998" w:type="pct"/>
        <w:tblInd w:w="0" w:type="dxa"/>
        <w:tblLayout w:type="autofit"/>
        <w:tblCellMar>
          <w:top w:w="0" w:type="dxa"/>
          <w:left w:w="108" w:type="dxa"/>
          <w:bottom w:w="0" w:type="dxa"/>
          <w:right w:w="108" w:type="dxa"/>
        </w:tblCellMar>
      </w:tblPr>
      <w:tblGrid>
        <w:gridCol w:w="1173"/>
        <w:gridCol w:w="1005"/>
        <w:gridCol w:w="5090"/>
        <w:gridCol w:w="1245"/>
      </w:tblGrid>
      <w:tr w14:paraId="09BD567C">
        <w:tblPrEx>
          <w:tblCellMar>
            <w:top w:w="0" w:type="dxa"/>
            <w:left w:w="108" w:type="dxa"/>
            <w:bottom w:w="0" w:type="dxa"/>
            <w:right w:w="108" w:type="dxa"/>
          </w:tblCellMar>
        </w:tblPrEx>
        <w:trPr>
          <w:trHeight w:val="23" w:hRule="atLeast"/>
        </w:trPr>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2B3CF">
            <w:pPr>
              <w:widowControl/>
              <w:spacing w:beforeLines="0" w:afterLines="0" w:line="240" w:lineRule="auto"/>
              <w:ind w:firstLine="0" w:firstLineChars="0"/>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地块编号</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87210">
            <w:pPr>
              <w:widowControl/>
              <w:spacing w:beforeLines="0" w:afterLines="0" w:line="240" w:lineRule="auto"/>
              <w:ind w:firstLine="0" w:firstLineChars="0"/>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 xml:space="preserve"> 位置</w:t>
            </w:r>
          </w:p>
        </w:tc>
        <w:tc>
          <w:tcPr>
            <w:tcW w:w="29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2613C">
            <w:pPr>
              <w:widowControl/>
              <w:spacing w:beforeLines="0" w:afterLines="0" w:line="240" w:lineRule="auto"/>
              <w:ind w:firstLine="0" w:firstLineChars="0"/>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地块名称</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4BE50">
            <w:pPr>
              <w:widowControl/>
              <w:spacing w:beforeLines="0" w:afterLines="0" w:line="240" w:lineRule="auto"/>
              <w:ind w:firstLine="0" w:firstLineChars="0"/>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地块面积</w:t>
            </w:r>
          </w:p>
        </w:tc>
      </w:tr>
      <w:tr w14:paraId="536047DA">
        <w:tblPrEx>
          <w:tblCellMar>
            <w:top w:w="0" w:type="dxa"/>
            <w:left w:w="108" w:type="dxa"/>
            <w:bottom w:w="0" w:type="dxa"/>
            <w:right w:w="108" w:type="dxa"/>
          </w:tblCellMar>
        </w:tblPrEx>
        <w:trPr>
          <w:trHeight w:val="23" w:hRule="atLeast"/>
        </w:trPr>
        <w:tc>
          <w:tcPr>
            <w:tcW w:w="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FFB86">
            <w:pPr>
              <w:widowControl/>
              <w:spacing w:beforeLines="0" w:afterLines="0" w:line="240" w:lineRule="auto"/>
              <w:ind w:firstLine="0" w:firstLineChars="0"/>
              <w:jc w:val="center"/>
              <w:textAlignment w:val="center"/>
              <w:rPr>
                <w:rFonts w:hint="default" w:ascii="仿宋_GB2312" w:hAnsi="宋体" w:eastAsia="仿宋_GB2312" w:cs="仿宋_GB2312"/>
                <w:color w:val="000000"/>
                <w:szCs w:val="21"/>
                <w:lang w:val="en-US" w:eastAsia="zh-CN"/>
              </w:rPr>
            </w:pPr>
            <w:r>
              <w:rPr>
                <w:rFonts w:hint="eastAsia" w:eastAsia="仿宋_GB2312" w:cs="Times New Roman"/>
                <w:color w:val="000000"/>
                <w:szCs w:val="21"/>
                <w:lang w:val="en-US" w:eastAsia="zh-CN"/>
              </w:rPr>
              <w:t>SJ12</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0C403">
            <w:pPr>
              <w:widowControl/>
              <w:spacing w:beforeLines="0" w:afterLines="0" w:line="240" w:lineRule="auto"/>
              <w:ind w:firstLine="0" w:firstLineChars="0"/>
              <w:jc w:val="center"/>
              <w:textAlignment w:val="center"/>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东南村</w:t>
            </w:r>
          </w:p>
        </w:tc>
        <w:tc>
          <w:tcPr>
            <w:tcW w:w="29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DB1A0">
            <w:pPr>
              <w:widowControl/>
              <w:spacing w:beforeLines="0" w:afterLines="0" w:line="240" w:lineRule="auto"/>
              <w:ind w:firstLine="0" w:firstLineChars="0"/>
              <w:jc w:val="center"/>
              <w:textAlignment w:val="center"/>
              <w:rPr>
                <w:rFonts w:ascii="仿宋_GB2312" w:hAnsi="仿宋_GB2312" w:eastAsia="仿宋_GB2312" w:cs="仿宋_GB2312"/>
                <w:sz w:val="22"/>
                <w:szCs w:val="22"/>
              </w:rPr>
            </w:pPr>
            <w:r>
              <w:rPr>
                <w:rFonts w:hint="eastAsia" w:eastAsia="仿宋_GB2312" w:cs="Times New Roman"/>
                <w:color w:val="000000"/>
                <w:szCs w:val="21"/>
                <w:lang w:val="en-US" w:eastAsia="zh-CN"/>
              </w:rPr>
              <w:t>产业平台项目地块-2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36B4F">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36.5273</w:t>
            </w:r>
          </w:p>
        </w:tc>
      </w:tr>
      <w:tr w14:paraId="3684F1C4">
        <w:tblPrEx>
          <w:tblCellMar>
            <w:top w:w="0" w:type="dxa"/>
            <w:left w:w="108" w:type="dxa"/>
            <w:bottom w:w="0" w:type="dxa"/>
            <w:right w:w="108" w:type="dxa"/>
          </w:tblCellMar>
        </w:tblPrEx>
        <w:trPr>
          <w:trHeight w:val="23" w:hRule="atLeast"/>
        </w:trPr>
        <w:tc>
          <w:tcPr>
            <w:tcW w:w="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C3043">
            <w:pPr>
              <w:widowControl/>
              <w:spacing w:beforeLines="0" w:afterLines="0" w:line="240" w:lineRule="auto"/>
              <w:ind w:firstLine="0" w:firstLineChars="0"/>
              <w:jc w:val="center"/>
              <w:textAlignment w:val="center"/>
              <w:rPr>
                <w:rFonts w:hint="default" w:ascii="Times New Roman" w:hAnsi="Times New Roman" w:eastAsia="仿宋_GB2312" w:cs="Times New Roman"/>
                <w:color w:val="000000"/>
                <w:szCs w:val="21"/>
                <w:lang w:val="en-US" w:eastAsia="zh-CN"/>
              </w:rPr>
            </w:pPr>
            <w:r>
              <w:rPr>
                <w:rFonts w:hint="eastAsia" w:eastAsia="仿宋_GB2312" w:cs="Times New Roman"/>
                <w:color w:val="000000"/>
                <w:szCs w:val="21"/>
                <w:lang w:val="en-US" w:eastAsia="zh-CN"/>
              </w:rPr>
              <w:t>SJ13</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E8671">
            <w:pPr>
              <w:widowControl/>
              <w:spacing w:beforeLines="0" w:afterLines="0" w:line="240" w:lineRule="auto"/>
              <w:ind w:firstLine="0" w:firstLineChars="0"/>
              <w:jc w:val="center"/>
              <w:textAlignment w:val="center"/>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东南村</w:t>
            </w:r>
          </w:p>
        </w:tc>
        <w:tc>
          <w:tcPr>
            <w:tcW w:w="29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30071">
            <w:pPr>
              <w:widowControl/>
              <w:spacing w:beforeLines="0" w:afterLines="0" w:line="240" w:lineRule="auto"/>
              <w:ind w:firstLine="0" w:firstLineChars="0"/>
              <w:jc w:val="center"/>
              <w:textAlignment w:val="center"/>
              <w:rPr>
                <w:rFonts w:hint="eastAsia" w:ascii="Times New Roman" w:hAnsi="Times New Roman" w:eastAsia="仿宋_GB2312" w:cs="Times New Roman"/>
                <w:color w:val="000000"/>
                <w:szCs w:val="21"/>
              </w:rPr>
            </w:pPr>
            <w:r>
              <w:rPr>
                <w:rFonts w:hint="eastAsia" w:eastAsia="仿宋_GB2312" w:cs="Times New Roman"/>
                <w:color w:val="000000"/>
                <w:szCs w:val="21"/>
                <w:lang w:val="en-US" w:eastAsia="zh-CN"/>
              </w:rPr>
              <w:t>产业平台项目地块-3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21CE4">
            <w:pPr>
              <w:keepNext w:val="0"/>
              <w:keepLines w:val="0"/>
              <w:widowControl/>
              <w:suppressLineNumbers w:val="0"/>
              <w:jc w:val="center"/>
              <w:textAlignment w:val="center"/>
              <w:rPr>
                <w:rFonts w:hint="default" w:ascii="Times New Roman" w:hAnsi="Times New Roman" w:cs="Times New Roman"/>
                <w:color w:val="000000"/>
                <w:kern w:val="0"/>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4.6591</w:t>
            </w:r>
          </w:p>
        </w:tc>
      </w:tr>
      <w:tr w14:paraId="6FCD0E12">
        <w:tblPrEx>
          <w:tblCellMar>
            <w:top w:w="0" w:type="dxa"/>
            <w:left w:w="108" w:type="dxa"/>
            <w:bottom w:w="0" w:type="dxa"/>
            <w:right w:w="108" w:type="dxa"/>
          </w:tblCellMar>
        </w:tblPrEx>
        <w:trPr>
          <w:trHeight w:val="23" w:hRule="atLeast"/>
        </w:trPr>
        <w:tc>
          <w:tcPr>
            <w:tcW w:w="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6C844">
            <w:pPr>
              <w:widowControl/>
              <w:spacing w:beforeLines="0" w:afterLines="0" w:line="240" w:lineRule="auto"/>
              <w:ind w:firstLine="0" w:firstLineChars="0"/>
              <w:jc w:val="center"/>
              <w:textAlignment w:val="center"/>
              <w:rPr>
                <w:rFonts w:hint="default" w:eastAsia="仿宋_GB2312" w:cs="Times New Roman"/>
                <w:color w:val="000000"/>
                <w:szCs w:val="21"/>
                <w:lang w:val="en-US" w:eastAsia="zh-CN"/>
              </w:rPr>
            </w:pPr>
            <w:r>
              <w:rPr>
                <w:rFonts w:hint="eastAsia" w:eastAsia="仿宋_GB2312" w:cs="Times New Roman"/>
                <w:color w:val="000000"/>
                <w:szCs w:val="21"/>
                <w:lang w:val="en-US" w:eastAsia="zh-CN"/>
              </w:rPr>
              <w:t>SJ14</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5A3AC">
            <w:pPr>
              <w:widowControl/>
              <w:spacing w:beforeLines="0" w:afterLines="0" w:line="240" w:lineRule="auto"/>
              <w:ind w:firstLine="0" w:firstLineChars="0"/>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东南村</w:t>
            </w:r>
          </w:p>
        </w:tc>
        <w:tc>
          <w:tcPr>
            <w:tcW w:w="29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20D67">
            <w:pPr>
              <w:widowControl/>
              <w:spacing w:beforeLines="0" w:afterLines="0" w:line="240" w:lineRule="auto"/>
              <w:ind w:firstLine="0" w:firstLineChars="0"/>
              <w:jc w:val="center"/>
              <w:textAlignment w:val="center"/>
              <w:rPr>
                <w:rFonts w:hint="eastAsia" w:eastAsia="仿宋_GB2312" w:cs="Times New Roman"/>
                <w:color w:val="000000"/>
                <w:szCs w:val="21"/>
                <w:lang w:val="en-US" w:eastAsia="zh-CN"/>
              </w:rPr>
            </w:pPr>
            <w:r>
              <w:rPr>
                <w:rFonts w:hint="eastAsia" w:eastAsia="仿宋_GB2312" w:cs="Times New Roman"/>
                <w:color w:val="000000"/>
                <w:szCs w:val="21"/>
                <w:lang w:val="en-US" w:eastAsia="zh-CN"/>
              </w:rPr>
              <w:t>深圳市深博智能制造有限公司项目地块</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F2A2D">
            <w:pPr>
              <w:keepNext w:val="0"/>
              <w:keepLines w:val="0"/>
              <w:widowControl/>
              <w:suppressLineNumbers w:val="0"/>
              <w:jc w:val="center"/>
              <w:textAlignment w:val="center"/>
              <w:rPr>
                <w:rFonts w:hint="default" w:ascii="Times New Roman" w:hAnsi="Times New Roman" w:cs="Times New Roman"/>
                <w:color w:val="000000"/>
                <w:kern w:val="0"/>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6.7123</w:t>
            </w:r>
          </w:p>
        </w:tc>
      </w:tr>
      <w:tr w14:paraId="3001EB3A">
        <w:tblPrEx>
          <w:tblCellMar>
            <w:top w:w="0" w:type="dxa"/>
            <w:left w:w="108" w:type="dxa"/>
            <w:bottom w:w="0" w:type="dxa"/>
            <w:right w:w="108" w:type="dxa"/>
          </w:tblCellMar>
        </w:tblPrEx>
        <w:trPr>
          <w:trHeight w:val="23" w:hRule="atLeast"/>
        </w:trPr>
        <w:tc>
          <w:tcPr>
            <w:tcW w:w="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A9C4B">
            <w:pPr>
              <w:widowControl/>
              <w:spacing w:beforeLines="0" w:afterLines="0" w:line="240" w:lineRule="auto"/>
              <w:ind w:firstLine="0" w:firstLineChars="0"/>
              <w:jc w:val="center"/>
              <w:textAlignment w:val="center"/>
              <w:rPr>
                <w:rFonts w:hint="default" w:eastAsia="仿宋_GB2312" w:cs="Times New Roman"/>
                <w:color w:val="000000"/>
                <w:szCs w:val="21"/>
                <w:lang w:val="en-US" w:eastAsia="zh-CN"/>
              </w:rPr>
            </w:pPr>
            <w:r>
              <w:rPr>
                <w:rFonts w:hint="eastAsia" w:eastAsia="仿宋_GB2312" w:cs="Times New Roman"/>
                <w:color w:val="000000"/>
                <w:szCs w:val="21"/>
                <w:lang w:val="en-US" w:eastAsia="zh-CN"/>
              </w:rPr>
              <w:t>SJ15</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22CE0">
            <w:pPr>
              <w:widowControl/>
              <w:spacing w:beforeLines="0" w:afterLines="0" w:line="240" w:lineRule="auto"/>
              <w:ind w:firstLine="0" w:firstLineChars="0"/>
              <w:jc w:val="center"/>
              <w:textAlignment w:val="center"/>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高平村</w:t>
            </w:r>
          </w:p>
        </w:tc>
        <w:tc>
          <w:tcPr>
            <w:tcW w:w="29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E5FB3">
            <w:pPr>
              <w:widowControl/>
              <w:spacing w:beforeLines="0" w:afterLines="0" w:line="240" w:lineRule="auto"/>
              <w:ind w:firstLine="0" w:firstLineChars="0"/>
              <w:jc w:val="center"/>
              <w:textAlignment w:val="center"/>
              <w:rPr>
                <w:rFonts w:hint="eastAsia" w:eastAsia="仿宋_GB2312" w:cs="Times New Roman"/>
                <w:color w:val="000000"/>
                <w:szCs w:val="21"/>
                <w:lang w:val="en-US" w:eastAsia="zh-CN"/>
              </w:rPr>
            </w:pPr>
            <w:r>
              <w:rPr>
                <w:rFonts w:hint="eastAsia" w:eastAsia="仿宋_GB2312" w:cs="Times New Roman"/>
                <w:color w:val="000000"/>
                <w:szCs w:val="21"/>
                <w:lang w:val="en-US" w:eastAsia="zh-CN"/>
              </w:rPr>
              <w:t>中山市大田汽车护理用品有限公司增资扩产项目地块</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469FD">
            <w:pPr>
              <w:keepNext w:val="0"/>
              <w:keepLines w:val="0"/>
              <w:widowControl/>
              <w:suppressLineNumbers w:val="0"/>
              <w:jc w:val="center"/>
              <w:textAlignment w:val="center"/>
              <w:rPr>
                <w:rFonts w:hint="default" w:ascii="Times New Roman" w:hAnsi="Times New Roman" w:cs="Times New Roman"/>
                <w:color w:val="000000"/>
                <w:kern w:val="0"/>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4.7955</w:t>
            </w:r>
          </w:p>
        </w:tc>
      </w:tr>
      <w:tr w14:paraId="02CDDB64">
        <w:tblPrEx>
          <w:tblCellMar>
            <w:top w:w="0" w:type="dxa"/>
            <w:left w:w="108" w:type="dxa"/>
            <w:bottom w:w="0" w:type="dxa"/>
            <w:right w:w="108" w:type="dxa"/>
          </w:tblCellMar>
        </w:tblPrEx>
        <w:trPr>
          <w:trHeight w:val="23" w:hRule="atLeast"/>
        </w:trPr>
        <w:tc>
          <w:tcPr>
            <w:tcW w:w="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C23D8">
            <w:pPr>
              <w:widowControl/>
              <w:spacing w:beforeLines="0" w:afterLines="0" w:line="240" w:lineRule="auto"/>
              <w:ind w:firstLine="0" w:firstLineChars="0"/>
              <w:jc w:val="center"/>
              <w:textAlignment w:val="center"/>
              <w:rPr>
                <w:rFonts w:hint="default" w:eastAsia="仿宋_GB2312" w:cs="Times New Roman"/>
                <w:color w:val="000000"/>
                <w:szCs w:val="21"/>
                <w:lang w:val="en-US" w:eastAsia="zh-CN"/>
              </w:rPr>
            </w:pPr>
            <w:r>
              <w:rPr>
                <w:rFonts w:hint="eastAsia" w:eastAsia="仿宋_GB2312" w:cs="Times New Roman"/>
                <w:color w:val="000000"/>
                <w:szCs w:val="21"/>
                <w:lang w:val="en-US" w:eastAsia="zh-CN"/>
              </w:rPr>
              <w:t>SJ16</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EE18D">
            <w:pPr>
              <w:widowControl/>
              <w:spacing w:beforeLines="0" w:afterLines="0" w:line="240" w:lineRule="auto"/>
              <w:ind w:firstLine="0" w:firstLineChars="0"/>
              <w:jc w:val="center"/>
              <w:textAlignment w:val="center"/>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三角村</w:t>
            </w:r>
          </w:p>
        </w:tc>
        <w:tc>
          <w:tcPr>
            <w:tcW w:w="29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9DCD6">
            <w:pPr>
              <w:widowControl/>
              <w:spacing w:beforeLines="0" w:afterLines="0" w:line="240" w:lineRule="auto"/>
              <w:ind w:firstLine="0" w:firstLineChars="0"/>
              <w:jc w:val="center"/>
              <w:textAlignment w:val="center"/>
              <w:rPr>
                <w:rFonts w:hint="eastAsia" w:eastAsia="仿宋_GB2312" w:cs="Times New Roman"/>
                <w:color w:val="000000"/>
                <w:szCs w:val="21"/>
                <w:lang w:val="en-US" w:eastAsia="zh-CN"/>
              </w:rPr>
            </w:pPr>
            <w:r>
              <w:rPr>
                <w:rFonts w:hint="eastAsia" w:eastAsia="仿宋_GB2312" w:cs="Times New Roman"/>
                <w:color w:val="000000"/>
                <w:szCs w:val="21"/>
                <w:lang w:val="en-US" w:eastAsia="zh-CN"/>
              </w:rPr>
              <w:t>英维克增资扩产及产业平台配套用地项目地块</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BBA24">
            <w:pPr>
              <w:keepNext w:val="0"/>
              <w:keepLines w:val="0"/>
              <w:widowControl/>
              <w:suppressLineNumbers w:val="0"/>
              <w:jc w:val="center"/>
              <w:textAlignment w:val="center"/>
              <w:rPr>
                <w:rFonts w:hint="default" w:ascii="Times New Roman" w:hAnsi="Times New Roman" w:cs="Times New Roman"/>
                <w:color w:val="000000"/>
                <w:kern w:val="0"/>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3.8761</w:t>
            </w:r>
          </w:p>
        </w:tc>
      </w:tr>
      <w:tr w14:paraId="3C989E15">
        <w:tblPrEx>
          <w:tblCellMar>
            <w:top w:w="0" w:type="dxa"/>
            <w:left w:w="108" w:type="dxa"/>
            <w:bottom w:w="0" w:type="dxa"/>
            <w:right w:w="108" w:type="dxa"/>
          </w:tblCellMar>
        </w:tblPrEx>
        <w:trPr>
          <w:trHeight w:val="23" w:hRule="atLeast"/>
        </w:trPr>
        <w:tc>
          <w:tcPr>
            <w:tcW w:w="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8FAED">
            <w:pPr>
              <w:widowControl/>
              <w:spacing w:beforeLines="0" w:afterLines="0" w:line="240" w:lineRule="auto"/>
              <w:ind w:firstLine="0" w:firstLineChars="0"/>
              <w:jc w:val="center"/>
              <w:textAlignment w:val="center"/>
              <w:rPr>
                <w:rFonts w:hint="default" w:eastAsia="仿宋_GB2312" w:cs="Times New Roman"/>
                <w:color w:val="000000"/>
                <w:szCs w:val="21"/>
                <w:lang w:val="en-US" w:eastAsia="zh-CN"/>
              </w:rPr>
            </w:pPr>
            <w:r>
              <w:rPr>
                <w:rFonts w:hint="eastAsia" w:eastAsia="仿宋_GB2312" w:cs="Times New Roman"/>
                <w:color w:val="000000"/>
                <w:szCs w:val="21"/>
                <w:lang w:val="en-US" w:eastAsia="zh-CN"/>
              </w:rPr>
              <w:t>SJ17</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5573F">
            <w:pPr>
              <w:widowControl/>
              <w:spacing w:beforeLines="0" w:afterLines="0" w:line="240" w:lineRule="auto"/>
              <w:ind w:firstLine="0" w:firstLineChars="0"/>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三角村</w:t>
            </w:r>
          </w:p>
        </w:tc>
        <w:tc>
          <w:tcPr>
            <w:tcW w:w="29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50282">
            <w:pPr>
              <w:widowControl/>
              <w:spacing w:beforeLines="0" w:afterLines="0" w:line="240" w:lineRule="auto"/>
              <w:ind w:firstLine="0" w:firstLineChars="0"/>
              <w:jc w:val="center"/>
              <w:textAlignment w:val="center"/>
              <w:rPr>
                <w:rFonts w:hint="eastAsia" w:eastAsia="仿宋_GB2312" w:cs="Times New Roman"/>
                <w:color w:val="000000"/>
                <w:szCs w:val="21"/>
                <w:lang w:val="en-US" w:eastAsia="zh-CN"/>
              </w:rPr>
            </w:pPr>
            <w:r>
              <w:rPr>
                <w:rFonts w:hint="eastAsia" w:eastAsia="仿宋_GB2312" w:cs="Times New Roman"/>
                <w:color w:val="000000"/>
                <w:szCs w:val="21"/>
                <w:lang w:val="en-US" w:eastAsia="zh-CN"/>
              </w:rPr>
              <w:t>产业平台体育场馆用地及配套用地项目地块</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05259">
            <w:pPr>
              <w:keepNext w:val="0"/>
              <w:keepLines w:val="0"/>
              <w:widowControl/>
              <w:suppressLineNumbers w:val="0"/>
              <w:jc w:val="center"/>
              <w:textAlignment w:val="center"/>
              <w:rPr>
                <w:rFonts w:hint="default" w:ascii="Times New Roman" w:hAnsi="Times New Roman" w:cs="Times New Roman"/>
                <w:color w:val="000000"/>
                <w:kern w:val="0"/>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1.2615</w:t>
            </w:r>
          </w:p>
        </w:tc>
      </w:tr>
      <w:tr w14:paraId="5DD51F64">
        <w:tblPrEx>
          <w:tblCellMar>
            <w:top w:w="0" w:type="dxa"/>
            <w:left w:w="108" w:type="dxa"/>
            <w:bottom w:w="0" w:type="dxa"/>
            <w:right w:w="108" w:type="dxa"/>
          </w:tblCellMar>
        </w:tblPrEx>
        <w:trPr>
          <w:trHeight w:val="23" w:hRule="atLeast"/>
        </w:trPr>
        <w:tc>
          <w:tcPr>
            <w:tcW w:w="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8E61B">
            <w:pPr>
              <w:widowControl/>
              <w:spacing w:beforeLines="0" w:afterLines="0" w:line="240" w:lineRule="auto"/>
              <w:ind w:firstLine="0" w:firstLineChars="0"/>
              <w:jc w:val="center"/>
              <w:textAlignment w:val="center"/>
              <w:rPr>
                <w:rFonts w:hint="default" w:eastAsia="仿宋_GB2312" w:cs="Times New Roman"/>
                <w:color w:val="000000"/>
                <w:szCs w:val="21"/>
                <w:lang w:val="en-US" w:eastAsia="zh-CN"/>
              </w:rPr>
            </w:pPr>
            <w:r>
              <w:rPr>
                <w:rFonts w:hint="eastAsia" w:eastAsia="仿宋_GB2312" w:cs="Times New Roman"/>
                <w:color w:val="000000"/>
                <w:szCs w:val="21"/>
                <w:lang w:val="en-US" w:eastAsia="zh-CN"/>
              </w:rPr>
              <w:t>SJ18</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FD699">
            <w:pPr>
              <w:widowControl/>
              <w:spacing w:beforeLines="0" w:afterLines="0" w:line="240" w:lineRule="auto"/>
              <w:ind w:firstLine="0" w:firstLineChars="0"/>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三角村</w:t>
            </w:r>
          </w:p>
        </w:tc>
        <w:tc>
          <w:tcPr>
            <w:tcW w:w="29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5E9E7">
            <w:pPr>
              <w:widowControl/>
              <w:spacing w:beforeLines="0" w:afterLines="0" w:line="240" w:lineRule="auto"/>
              <w:ind w:firstLine="0" w:firstLineChars="0"/>
              <w:jc w:val="center"/>
              <w:textAlignment w:val="center"/>
              <w:rPr>
                <w:rFonts w:hint="eastAsia" w:eastAsia="仿宋_GB2312" w:cs="Times New Roman"/>
                <w:color w:val="000000"/>
                <w:szCs w:val="21"/>
                <w:lang w:val="en-US" w:eastAsia="zh-CN"/>
              </w:rPr>
            </w:pPr>
            <w:r>
              <w:rPr>
                <w:rFonts w:hint="eastAsia" w:eastAsia="仿宋_GB2312" w:cs="Times New Roman"/>
                <w:color w:val="000000"/>
                <w:szCs w:val="21"/>
                <w:lang w:val="en-US" w:eastAsia="zh-CN"/>
              </w:rPr>
              <w:t>中山市福凯科技有限公司二期地块</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68F5A">
            <w:pPr>
              <w:keepNext w:val="0"/>
              <w:keepLines w:val="0"/>
              <w:widowControl/>
              <w:suppressLineNumbers w:val="0"/>
              <w:jc w:val="center"/>
              <w:textAlignment w:val="center"/>
              <w:rPr>
                <w:rFonts w:hint="default" w:ascii="Times New Roman" w:hAnsi="Times New Roman" w:cs="Times New Roman"/>
                <w:color w:val="000000"/>
                <w:kern w:val="0"/>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0.31</w:t>
            </w:r>
            <w:r>
              <w:rPr>
                <w:rFonts w:hint="eastAsia" w:ascii="Times New Roman" w:hAnsi="Times New Roman" w:cs="Times New Roman"/>
                <w:i w:val="0"/>
                <w:iCs w:val="0"/>
                <w:color w:val="000000"/>
                <w:kern w:val="0"/>
                <w:sz w:val="21"/>
                <w:szCs w:val="21"/>
                <w:u w:val="none"/>
                <w:lang w:val="en-US" w:eastAsia="zh-CN" w:bidi="ar"/>
              </w:rPr>
              <w:t>40</w:t>
            </w:r>
          </w:p>
        </w:tc>
      </w:tr>
      <w:tr w14:paraId="77D7C082">
        <w:tblPrEx>
          <w:tblCellMar>
            <w:top w:w="0" w:type="dxa"/>
            <w:left w:w="108" w:type="dxa"/>
            <w:bottom w:w="0" w:type="dxa"/>
            <w:right w:w="108" w:type="dxa"/>
          </w:tblCellMar>
        </w:tblPrEx>
        <w:trPr>
          <w:trHeight w:val="23" w:hRule="atLeast"/>
        </w:trPr>
        <w:tc>
          <w:tcPr>
            <w:tcW w:w="42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75CF7">
            <w:pPr>
              <w:widowControl/>
              <w:spacing w:beforeLines="0" w:afterLines="0" w:line="240" w:lineRule="auto"/>
              <w:ind w:firstLine="0" w:firstLineChars="0"/>
              <w:jc w:val="center"/>
              <w:textAlignment w:val="center"/>
              <w:rPr>
                <w:rFonts w:hint="eastAsia" w:eastAsia="仿宋_GB2312" w:cs="Times New Roman"/>
                <w:color w:val="000000"/>
                <w:szCs w:val="21"/>
                <w:lang w:val="en-US" w:eastAsia="zh-CN"/>
              </w:rPr>
            </w:pPr>
            <w:r>
              <w:rPr>
                <w:rFonts w:hint="eastAsia" w:ascii="仿宋_GB2312" w:hAnsi="仿宋_GB2312" w:eastAsia="仿宋_GB2312" w:cs="仿宋_GB2312"/>
                <w:sz w:val="22"/>
                <w:szCs w:val="22"/>
                <w:lang w:val="en-US" w:eastAsia="zh-CN"/>
              </w:rPr>
              <w:t>合计</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E0661">
            <w:pPr>
              <w:widowControl/>
              <w:spacing w:beforeLines="0" w:afterLines="0" w:line="240" w:lineRule="auto"/>
              <w:ind w:firstLine="0" w:firstLineChars="0"/>
              <w:jc w:val="center"/>
              <w:textAlignment w:val="center"/>
              <w:rPr>
                <w:rFonts w:hint="default"/>
                <w:color w:val="000000"/>
                <w:kern w:val="0"/>
                <w:szCs w:val="21"/>
                <w:lang w:val="en-US" w:eastAsia="zh-CN" w:bidi="ar"/>
              </w:rPr>
            </w:pPr>
            <w:r>
              <w:rPr>
                <w:rFonts w:hint="eastAsia"/>
                <w:color w:val="000000"/>
                <w:kern w:val="0"/>
                <w:szCs w:val="21"/>
                <w:lang w:val="en-US" w:eastAsia="zh-CN" w:bidi="ar"/>
              </w:rPr>
              <w:t>58.1458</w:t>
            </w:r>
          </w:p>
        </w:tc>
      </w:tr>
    </w:tbl>
    <w:p w14:paraId="7C2C10EE">
      <w:pPr>
        <w:spacing w:before="0" w:beforeLines="0" w:after="0" w:afterLines="0" w:line="360" w:lineRule="auto"/>
        <w:ind w:firstLine="643" w:firstLineChars="200"/>
        <w:outlineLvl w:val="1"/>
        <w:rPr>
          <w:rFonts w:eastAsia="仿宋_GB2312"/>
          <w:b/>
          <w:bCs/>
          <w:sz w:val="32"/>
          <w:szCs w:val="32"/>
        </w:rPr>
      </w:pPr>
      <w:r>
        <w:rPr>
          <w:rFonts w:eastAsia="仿宋_GB2312"/>
          <w:b/>
          <w:bCs/>
          <w:sz w:val="32"/>
          <w:szCs w:val="32"/>
        </w:rPr>
        <w:t>三、成片开发条件分析</w:t>
      </w:r>
    </w:p>
    <w:p w14:paraId="506AA501">
      <w:pPr>
        <w:spacing w:before="0" w:beforeLines="0" w:after="0" w:afterLines="0" w:line="360" w:lineRule="auto"/>
        <w:ind w:firstLine="643" w:firstLineChars="200"/>
        <w:outlineLvl w:val="2"/>
        <w:rPr>
          <w:rFonts w:eastAsia="仿宋_GB2312"/>
          <w:b/>
          <w:bCs/>
          <w:sz w:val="32"/>
          <w:szCs w:val="32"/>
        </w:rPr>
      </w:pPr>
      <w:r>
        <w:rPr>
          <w:rFonts w:eastAsia="仿宋_GB2312"/>
          <w:b/>
          <w:bCs/>
          <w:sz w:val="32"/>
          <w:szCs w:val="32"/>
        </w:rPr>
        <w:t>（一）必要性分析</w:t>
      </w:r>
    </w:p>
    <w:p w14:paraId="0C528513">
      <w:pPr>
        <w:spacing w:beforeLines="0" w:afterLines="0" w:line="360" w:lineRule="auto"/>
        <w:ind w:firstLine="560" w:firstLineChars="200"/>
        <w:rPr>
          <w:rFonts w:eastAsia="仿宋_GB2312"/>
          <w:sz w:val="28"/>
          <w:szCs w:val="28"/>
        </w:rPr>
      </w:pPr>
      <w:r>
        <w:rPr>
          <w:rFonts w:eastAsia="仿宋_GB2312"/>
          <w:sz w:val="28"/>
          <w:szCs w:val="28"/>
        </w:rPr>
        <w:t>本次成片开发是落实中山市国民经济和社会发展第十四个五年规划定位的需要，是推进区域开发建设的需要，是</w:t>
      </w:r>
      <w:r>
        <w:rPr>
          <w:rFonts w:hint="eastAsia" w:eastAsia="仿宋_GB2312"/>
          <w:sz w:val="28"/>
          <w:szCs w:val="28"/>
        </w:rPr>
        <w:t>保障重点项目建设，</w:t>
      </w:r>
      <w:r>
        <w:rPr>
          <w:rFonts w:eastAsia="仿宋_GB2312"/>
          <w:sz w:val="28"/>
          <w:szCs w:val="28"/>
        </w:rPr>
        <w:t>是</w:t>
      </w:r>
      <w:r>
        <w:rPr>
          <w:rFonts w:hint="eastAsia" w:eastAsia="仿宋_GB2312"/>
          <w:sz w:val="28"/>
          <w:szCs w:val="28"/>
        </w:rPr>
        <w:t>优化城镇功能布局，是提升土地利用效益的需要</w:t>
      </w:r>
      <w:r>
        <w:rPr>
          <w:rFonts w:eastAsia="仿宋_GB2312"/>
          <w:sz w:val="28"/>
          <w:szCs w:val="28"/>
        </w:rPr>
        <w:t>，</w:t>
      </w:r>
      <w:r>
        <w:rPr>
          <w:rFonts w:hint="eastAsia" w:eastAsia="仿宋_GB2312"/>
          <w:sz w:val="28"/>
          <w:szCs w:val="28"/>
        </w:rPr>
        <w:t>是完善区域公共配套设施与基础设施建设的需要</w:t>
      </w:r>
      <w:r>
        <w:rPr>
          <w:rFonts w:eastAsia="仿宋_GB2312"/>
          <w:sz w:val="28"/>
          <w:szCs w:val="28"/>
        </w:rPr>
        <w:t>。</w:t>
      </w:r>
    </w:p>
    <w:p w14:paraId="5EB51666">
      <w:pPr>
        <w:spacing w:before="0" w:beforeLines="0" w:after="0" w:afterLines="0" w:line="360" w:lineRule="auto"/>
        <w:ind w:firstLine="643" w:firstLineChars="200"/>
        <w:outlineLvl w:val="2"/>
        <w:rPr>
          <w:rFonts w:eastAsia="仿宋_GB2312"/>
          <w:b/>
          <w:bCs/>
          <w:sz w:val="32"/>
          <w:szCs w:val="32"/>
        </w:rPr>
      </w:pPr>
      <w:r>
        <w:rPr>
          <w:rFonts w:eastAsia="仿宋_GB2312"/>
          <w:b/>
          <w:bCs/>
          <w:sz w:val="32"/>
          <w:szCs w:val="32"/>
        </w:rPr>
        <w:t>（二）合规性分析</w:t>
      </w:r>
    </w:p>
    <w:p w14:paraId="033E1C4D">
      <w:pPr>
        <w:spacing w:beforeLines="0" w:afterLines="0" w:line="360" w:lineRule="auto"/>
        <w:ind w:firstLine="560" w:firstLineChars="200"/>
        <w:rPr>
          <w:rFonts w:eastAsia="仿宋_GB2312"/>
          <w:sz w:val="28"/>
          <w:szCs w:val="28"/>
        </w:rPr>
      </w:pPr>
      <w:r>
        <w:rPr>
          <w:rFonts w:eastAsia="仿宋_GB2312"/>
          <w:sz w:val="28"/>
          <w:szCs w:val="28"/>
        </w:rPr>
        <w:t>成片开发</w:t>
      </w:r>
      <w:r>
        <w:rPr>
          <w:rFonts w:hint="eastAsia" w:eastAsia="仿宋_GB2312"/>
          <w:sz w:val="28"/>
          <w:szCs w:val="28"/>
        </w:rPr>
        <w:t>拟征收</w:t>
      </w:r>
      <w:r>
        <w:rPr>
          <w:rFonts w:eastAsia="仿宋_GB2312"/>
          <w:sz w:val="28"/>
          <w:szCs w:val="28"/>
        </w:rPr>
        <w:t>地块不涉</w:t>
      </w:r>
      <w:r>
        <w:rPr>
          <w:rFonts w:eastAsia="仿宋_GB2312"/>
          <w:sz w:val="28"/>
          <w:szCs w:val="28"/>
          <w:highlight w:val="none"/>
        </w:rPr>
        <w:t>及占用永久基本农田和生态保护红线，</w:t>
      </w:r>
      <w:r>
        <w:rPr>
          <w:rFonts w:hint="eastAsia" w:eastAsia="仿宋_GB2312"/>
          <w:sz w:val="28"/>
          <w:szCs w:val="28"/>
          <w:highlight w:val="none"/>
          <w:lang w:val="en-US" w:eastAsia="zh-CN"/>
        </w:rPr>
        <w:t>位于城镇开发边界内，</w:t>
      </w:r>
      <w:r>
        <w:rPr>
          <w:rFonts w:eastAsia="仿宋_GB2312"/>
          <w:sz w:val="28"/>
          <w:szCs w:val="28"/>
          <w:highlight w:val="none"/>
        </w:rPr>
        <w:t>片区内公益性用地比例在</w:t>
      </w:r>
      <w:r>
        <w:rPr>
          <w:rFonts w:hint="eastAsia" w:eastAsia="仿宋_GB2312"/>
          <w:sz w:val="28"/>
          <w:szCs w:val="28"/>
          <w:highlight w:val="none"/>
          <w:lang w:eastAsia="zh-CN"/>
        </w:rPr>
        <w:t>3</w:t>
      </w:r>
      <w:r>
        <w:rPr>
          <w:rFonts w:hint="eastAsia" w:eastAsia="仿宋_GB2312"/>
          <w:sz w:val="28"/>
          <w:szCs w:val="28"/>
          <w:highlight w:val="none"/>
          <w:lang w:val="en-US" w:eastAsia="zh-CN"/>
        </w:rPr>
        <w:t>0</w:t>
      </w:r>
      <w:r>
        <w:rPr>
          <w:rFonts w:eastAsia="仿宋_GB2312"/>
          <w:sz w:val="28"/>
          <w:szCs w:val="28"/>
          <w:highlight w:val="none"/>
        </w:rPr>
        <w:t>%以上。本次土地</w:t>
      </w:r>
      <w:r>
        <w:rPr>
          <w:rFonts w:eastAsia="仿宋_GB2312"/>
          <w:sz w:val="28"/>
          <w:szCs w:val="28"/>
        </w:rPr>
        <w:t>征收成片开发方案符合</w:t>
      </w:r>
      <w:r>
        <w:rPr>
          <w:rFonts w:hint="eastAsia" w:eastAsia="仿宋_GB2312"/>
          <w:sz w:val="28"/>
          <w:szCs w:val="28"/>
        </w:rPr>
        <w:t>中山市</w:t>
      </w:r>
      <w:r>
        <w:rPr>
          <w:rFonts w:eastAsia="仿宋_GB2312"/>
          <w:sz w:val="28"/>
          <w:szCs w:val="28"/>
        </w:rPr>
        <w:t>国民经济和社会发展规划、国土空间总体规划和专项规划，做到了节约集约用地、保护生态环境，能够促进经济社会可持续发展。</w:t>
      </w:r>
    </w:p>
    <w:p w14:paraId="4AE76ADC">
      <w:pPr>
        <w:spacing w:before="0" w:beforeLines="0" w:after="0" w:afterLines="0" w:line="360" w:lineRule="auto"/>
        <w:ind w:firstLine="643" w:firstLineChars="200"/>
        <w:outlineLvl w:val="1"/>
        <w:rPr>
          <w:rFonts w:eastAsia="仿宋_GB2312"/>
          <w:b/>
          <w:bCs/>
          <w:sz w:val="32"/>
          <w:szCs w:val="32"/>
        </w:rPr>
      </w:pPr>
      <w:r>
        <w:rPr>
          <w:rFonts w:eastAsia="仿宋_GB2312"/>
          <w:b/>
          <w:bCs/>
          <w:sz w:val="32"/>
          <w:szCs w:val="32"/>
        </w:rPr>
        <w:t>四、拟安排项目及实施计划</w:t>
      </w:r>
    </w:p>
    <w:p w14:paraId="21237812">
      <w:pPr>
        <w:spacing w:beforeLines="0" w:afterLines="0" w:line="360" w:lineRule="auto"/>
        <w:ind w:firstLine="560" w:firstLineChars="200"/>
        <w:rPr>
          <w:rFonts w:eastAsia="仿宋_GB2312"/>
          <w:sz w:val="28"/>
          <w:szCs w:val="28"/>
        </w:rPr>
      </w:pPr>
      <w:r>
        <w:rPr>
          <w:rFonts w:eastAsia="仿宋_GB2312"/>
          <w:sz w:val="28"/>
          <w:szCs w:val="28"/>
        </w:rPr>
        <w:t>本方案由</w:t>
      </w:r>
      <w:r>
        <w:rPr>
          <w:rFonts w:hint="eastAsia" w:eastAsia="仿宋_GB2312"/>
          <w:sz w:val="28"/>
          <w:szCs w:val="28"/>
          <w:lang w:val="en-US" w:eastAsia="zh-CN"/>
        </w:rPr>
        <w:t>7</w:t>
      </w:r>
      <w:r>
        <w:rPr>
          <w:rFonts w:eastAsia="仿宋_GB2312"/>
          <w:sz w:val="28"/>
          <w:szCs w:val="28"/>
        </w:rPr>
        <w:t>个</w:t>
      </w:r>
      <w:r>
        <w:rPr>
          <w:rFonts w:hint="eastAsia" w:eastAsia="仿宋_GB2312"/>
          <w:sz w:val="28"/>
          <w:szCs w:val="28"/>
        </w:rPr>
        <w:t>地块</w:t>
      </w:r>
      <w:r>
        <w:rPr>
          <w:rFonts w:eastAsia="仿宋_GB2312"/>
          <w:sz w:val="28"/>
          <w:szCs w:val="28"/>
        </w:rPr>
        <w:t>组成，总面积为</w:t>
      </w:r>
      <w:r>
        <w:rPr>
          <w:rFonts w:hint="eastAsia" w:eastAsia="仿宋_GB2312"/>
          <w:sz w:val="28"/>
          <w:szCs w:val="28"/>
          <w:lang w:val="en-US" w:eastAsia="zh-CN"/>
        </w:rPr>
        <w:t>58.1458</w:t>
      </w:r>
      <w:r>
        <w:rPr>
          <w:rFonts w:eastAsia="仿宋_GB2312"/>
          <w:sz w:val="28"/>
          <w:szCs w:val="28"/>
        </w:rPr>
        <w:t>公顷。结合规划建设计划、被征地单位意愿、征地资金情况、土地审批信息情况等因素，综合分析论证后制定拟建项目开发时序为</w:t>
      </w:r>
      <w:r>
        <w:rPr>
          <w:rFonts w:hint="eastAsia" w:eastAsia="仿宋_GB2312"/>
          <w:sz w:val="28"/>
          <w:szCs w:val="28"/>
          <w:lang w:val="en-US" w:eastAsia="zh-CN"/>
        </w:rPr>
        <w:t>1</w:t>
      </w:r>
      <w:r>
        <w:rPr>
          <w:rFonts w:eastAsia="仿宋_GB2312"/>
          <w:sz w:val="28"/>
          <w:szCs w:val="28"/>
        </w:rPr>
        <w:t>年（即</w:t>
      </w:r>
      <w:r>
        <w:rPr>
          <w:rFonts w:hint="eastAsia" w:eastAsia="仿宋_GB2312"/>
          <w:sz w:val="28"/>
          <w:szCs w:val="28"/>
          <w:lang w:val="en-US" w:eastAsia="zh-CN"/>
        </w:rPr>
        <w:t>2027年</w:t>
      </w:r>
      <w:r>
        <w:rPr>
          <w:rFonts w:eastAsia="仿宋_GB2312"/>
          <w:sz w:val="28"/>
          <w:szCs w:val="28"/>
        </w:rPr>
        <w:t>）。</w:t>
      </w:r>
    </w:p>
    <w:p w14:paraId="2D162BD2">
      <w:pPr>
        <w:spacing w:beforeLines="0" w:afterLines="0" w:line="240" w:lineRule="auto"/>
        <w:ind w:firstLine="482" w:firstLineChars="200"/>
        <w:jc w:val="center"/>
        <w:rPr>
          <w:rFonts w:eastAsia="仿宋_GB2312"/>
          <w:b/>
          <w:bCs/>
          <w:sz w:val="24"/>
        </w:rPr>
      </w:pPr>
      <w:r>
        <w:rPr>
          <w:rFonts w:eastAsia="仿宋_GB2312"/>
          <w:b/>
          <w:bCs/>
          <w:sz w:val="24"/>
        </w:rPr>
        <w:t>表2  成片开发项目一览表</w:t>
      </w:r>
    </w:p>
    <w:p w14:paraId="6894FD1E">
      <w:pPr>
        <w:spacing w:beforeLines="0" w:afterLines="0" w:line="240" w:lineRule="auto"/>
        <w:ind w:firstLine="480" w:firstLineChars="200"/>
        <w:jc w:val="right"/>
        <w:outlineLvl w:val="9"/>
      </w:pPr>
      <w:r>
        <w:rPr>
          <w:rFonts w:hint="eastAsia" w:eastAsia="仿宋_GB2312"/>
          <w:kern w:val="2"/>
          <w:sz w:val="24"/>
          <w:szCs w:val="24"/>
        </w:rPr>
        <w:t>单位：公顷</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2866"/>
        <w:gridCol w:w="1409"/>
        <w:gridCol w:w="2066"/>
        <w:gridCol w:w="1256"/>
      </w:tblGrid>
      <w:tr w14:paraId="3D00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538" w:type="pct"/>
            <w:vMerge w:val="restart"/>
            <w:vAlign w:val="center"/>
          </w:tcPr>
          <w:p w14:paraId="46956DF3">
            <w:pPr>
              <w:widowControl/>
              <w:spacing w:beforeLines="0" w:afterLines="0" w:line="240" w:lineRule="auto"/>
              <w:ind w:firstLine="0" w:firstLineChars="0"/>
              <w:jc w:val="center"/>
              <w:rPr>
                <w:rFonts w:ascii="仿宋_GB2312" w:hAnsi="仿宋_GB2312" w:eastAsia="仿宋_GB2312" w:cs="仿宋_GB2312"/>
                <w:b/>
                <w:bCs/>
                <w:kern w:val="0"/>
                <w:sz w:val="22"/>
                <w:szCs w:val="22"/>
              </w:rPr>
            </w:pPr>
            <w:r>
              <w:rPr>
                <w:rFonts w:hint="eastAsia" w:ascii="仿宋_GB2312" w:hAnsi="仿宋_GB2312" w:eastAsia="仿宋_GB2312" w:cs="仿宋_GB2312"/>
                <w:b/>
                <w:bCs/>
                <w:kern w:val="0"/>
                <w:sz w:val="22"/>
                <w:szCs w:val="22"/>
              </w:rPr>
              <w:t>成片开发地块编号</w:t>
            </w:r>
          </w:p>
        </w:tc>
        <w:tc>
          <w:tcPr>
            <w:tcW w:w="1683" w:type="pct"/>
            <w:vMerge w:val="restart"/>
            <w:vAlign w:val="center"/>
          </w:tcPr>
          <w:p w14:paraId="10BB5296">
            <w:pPr>
              <w:widowControl/>
              <w:spacing w:beforeLines="0" w:afterLines="0" w:line="240" w:lineRule="auto"/>
              <w:ind w:firstLine="0" w:firstLineChars="0"/>
              <w:jc w:val="center"/>
              <w:rPr>
                <w:rFonts w:ascii="仿宋_GB2312" w:hAnsi="仿宋_GB2312" w:eastAsia="仿宋_GB2312" w:cs="仿宋_GB2312"/>
                <w:b/>
                <w:bCs/>
                <w:kern w:val="0"/>
                <w:sz w:val="22"/>
                <w:szCs w:val="22"/>
              </w:rPr>
            </w:pPr>
            <w:r>
              <w:rPr>
                <w:rFonts w:hint="eastAsia" w:ascii="仿宋_GB2312" w:hAnsi="仿宋_GB2312" w:eastAsia="仿宋_GB2312" w:cs="仿宋_GB2312"/>
                <w:b/>
                <w:kern w:val="0"/>
                <w:sz w:val="22"/>
                <w:szCs w:val="22"/>
                <w:lang w:bidi="ar"/>
              </w:rPr>
              <w:t>成片开发地块</w:t>
            </w:r>
            <w:r>
              <w:rPr>
                <w:rFonts w:hint="eastAsia" w:ascii="仿宋_GB2312" w:hAnsi="仿宋_GB2312" w:eastAsia="仿宋_GB2312" w:cs="仿宋_GB2312"/>
                <w:b/>
                <w:bCs/>
                <w:kern w:val="0"/>
                <w:sz w:val="22"/>
                <w:szCs w:val="22"/>
              </w:rPr>
              <w:t>名称</w:t>
            </w:r>
          </w:p>
        </w:tc>
        <w:tc>
          <w:tcPr>
            <w:tcW w:w="827" w:type="pct"/>
            <w:vMerge w:val="restart"/>
            <w:vAlign w:val="center"/>
          </w:tcPr>
          <w:p w14:paraId="3ABA203F">
            <w:pPr>
              <w:widowControl/>
              <w:spacing w:beforeLines="0" w:afterLines="0" w:line="240" w:lineRule="auto"/>
              <w:ind w:firstLine="0" w:firstLineChars="0"/>
              <w:jc w:val="center"/>
              <w:rPr>
                <w:rFonts w:ascii="仿宋_GB2312" w:hAnsi="仿宋_GB2312" w:eastAsia="仿宋_GB2312" w:cs="仿宋_GB2312"/>
                <w:b/>
                <w:bCs/>
                <w:kern w:val="0"/>
                <w:sz w:val="22"/>
                <w:szCs w:val="22"/>
              </w:rPr>
            </w:pPr>
            <w:r>
              <w:rPr>
                <w:rFonts w:hint="eastAsia" w:ascii="仿宋_GB2312" w:hAnsi="仿宋_GB2312" w:eastAsia="仿宋_GB2312" w:cs="仿宋_GB2312"/>
                <w:b/>
                <w:bCs/>
                <w:kern w:val="0"/>
                <w:sz w:val="22"/>
                <w:szCs w:val="22"/>
              </w:rPr>
              <w:t>成片开发地块面积</w:t>
            </w:r>
          </w:p>
        </w:tc>
        <w:tc>
          <w:tcPr>
            <w:tcW w:w="1213" w:type="pct"/>
            <w:vMerge w:val="restart"/>
            <w:vAlign w:val="center"/>
          </w:tcPr>
          <w:p w14:paraId="653B75BD">
            <w:pPr>
              <w:widowControl/>
              <w:spacing w:beforeLines="0" w:afterLines="0" w:line="240" w:lineRule="auto"/>
              <w:ind w:firstLine="0" w:firstLineChars="0"/>
              <w:jc w:val="center"/>
              <w:rPr>
                <w:rFonts w:ascii="仿宋_GB2312" w:hAnsi="仿宋_GB2312" w:eastAsia="仿宋_GB2312" w:cs="仿宋_GB2312"/>
                <w:b/>
                <w:bCs/>
                <w:kern w:val="0"/>
                <w:sz w:val="22"/>
                <w:szCs w:val="22"/>
              </w:rPr>
            </w:pPr>
            <w:r>
              <w:rPr>
                <w:rFonts w:hint="eastAsia" w:ascii="仿宋_GB2312" w:hAnsi="仿宋_GB2312" w:eastAsia="仿宋_GB2312" w:cs="仿宋_GB2312"/>
                <w:b/>
                <w:bCs/>
                <w:kern w:val="0"/>
                <w:sz w:val="22"/>
                <w:szCs w:val="22"/>
              </w:rPr>
              <w:t>主要用途</w:t>
            </w:r>
          </w:p>
        </w:tc>
        <w:tc>
          <w:tcPr>
            <w:tcW w:w="737" w:type="pct"/>
            <w:vMerge w:val="restart"/>
            <w:vAlign w:val="center"/>
          </w:tcPr>
          <w:p w14:paraId="27AB2451">
            <w:pPr>
              <w:widowControl/>
              <w:spacing w:beforeLines="0" w:afterLines="0" w:line="240" w:lineRule="auto"/>
              <w:ind w:firstLine="0" w:firstLineChars="0"/>
              <w:jc w:val="center"/>
              <w:rPr>
                <w:rFonts w:ascii="仿宋_GB2312" w:hAnsi="仿宋_GB2312" w:eastAsia="仿宋_GB2312" w:cs="仿宋_GB2312"/>
                <w:b/>
                <w:bCs/>
                <w:kern w:val="0"/>
                <w:sz w:val="22"/>
                <w:szCs w:val="22"/>
              </w:rPr>
            </w:pPr>
            <w:r>
              <w:rPr>
                <w:rFonts w:hint="eastAsia" w:ascii="仿宋_GB2312" w:hAnsi="仿宋_GB2312" w:eastAsia="仿宋_GB2312" w:cs="仿宋_GB2312"/>
                <w:b/>
                <w:bCs/>
                <w:kern w:val="0"/>
                <w:sz w:val="22"/>
                <w:szCs w:val="22"/>
              </w:rPr>
              <w:t>取得批文</w:t>
            </w:r>
          </w:p>
        </w:tc>
      </w:tr>
      <w:tr w14:paraId="524A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38" w:type="pct"/>
            <w:vMerge w:val="continue"/>
            <w:vAlign w:val="center"/>
          </w:tcPr>
          <w:p w14:paraId="5ED16101">
            <w:pPr>
              <w:widowControl/>
              <w:spacing w:beforeLines="0" w:afterLines="0" w:line="240" w:lineRule="auto"/>
              <w:ind w:firstLine="0" w:firstLineChars="0"/>
              <w:jc w:val="center"/>
              <w:rPr>
                <w:rFonts w:eastAsia="仿宋"/>
                <w:kern w:val="0"/>
                <w:sz w:val="22"/>
                <w:szCs w:val="22"/>
              </w:rPr>
            </w:pPr>
          </w:p>
        </w:tc>
        <w:tc>
          <w:tcPr>
            <w:tcW w:w="1683" w:type="pct"/>
            <w:vMerge w:val="continue"/>
            <w:vAlign w:val="center"/>
          </w:tcPr>
          <w:p w14:paraId="3BE8E2BE">
            <w:pPr>
              <w:widowControl/>
              <w:spacing w:beforeLines="0" w:afterLines="0" w:line="240" w:lineRule="auto"/>
              <w:ind w:firstLine="0" w:firstLineChars="0"/>
              <w:jc w:val="center"/>
              <w:rPr>
                <w:rFonts w:eastAsia="仿宋"/>
                <w:kern w:val="0"/>
                <w:sz w:val="22"/>
                <w:szCs w:val="22"/>
              </w:rPr>
            </w:pPr>
          </w:p>
        </w:tc>
        <w:tc>
          <w:tcPr>
            <w:tcW w:w="827" w:type="pct"/>
            <w:vMerge w:val="continue"/>
            <w:vAlign w:val="center"/>
          </w:tcPr>
          <w:p w14:paraId="5E4D3941">
            <w:pPr>
              <w:widowControl/>
              <w:spacing w:beforeLines="0" w:afterLines="0" w:line="240" w:lineRule="auto"/>
              <w:ind w:firstLine="0" w:firstLineChars="0"/>
              <w:jc w:val="center"/>
              <w:rPr>
                <w:rFonts w:eastAsia="仿宋"/>
                <w:kern w:val="0"/>
                <w:sz w:val="22"/>
                <w:szCs w:val="22"/>
              </w:rPr>
            </w:pPr>
          </w:p>
        </w:tc>
        <w:tc>
          <w:tcPr>
            <w:tcW w:w="1213" w:type="pct"/>
            <w:vMerge w:val="continue"/>
            <w:vAlign w:val="center"/>
          </w:tcPr>
          <w:p w14:paraId="1CF0A4AC">
            <w:pPr>
              <w:widowControl/>
              <w:spacing w:beforeLines="0" w:afterLines="0" w:line="240" w:lineRule="auto"/>
              <w:ind w:firstLine="0" w:firstLineChars="0"/>
              <w:jc w:val="center"/>
              <w:rPr>
                <w:rFonts w:eastAsia="仿宋"/>
                <w:kern w:val="0"/>
                <w:sz w:val="22"/>
                <w:szCs w:val="22"/>
              </w:rPr>
            </w:pPr>
          </w:p>
        </w:tc>
        <w:tc>
          <w:tcPr>
            <w:tcW w:w="737" w:type="pct"/>
            <w:vMerge w:val="continue"/>
            <w:vAlign w:val="center"/>
          </w:tcPr>
          <w:p w14:paraId="20894334">
            <w:pPr>
              <w:widowControl/>
              <w:spacing w:beforeLines="0" w:afterLines="0" w:line="240" w:lineRule="auto"/>
              <w:ind w:firstLine="0" w:firstLineChars="0"/>
              <w:jc w:val="center"/>
              <w:rPr>
                <w:rFonts w:eastAsia="仿宋"/>
                <w:kern w:val="0"/>
                <w:sz w:val="22"/>
                <w:szCs w:val="22"/>
              </w:rPr>
            </w:pPr>
          </w:p>
        </w:tc>
      </w:tr>
      <w:tr w14:paraId="77B2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38" w:type="pct"/>
            <w:vMerge w:val="continue"/>
            <w:vAlign w:val="center"/>
          </w:tcPr>
          <w:p w14:paraId="4C3C3416">
            <w:pPr>
              <w:widowControl/>
              <w:spacing w:beforeLines="0" w:afterLines="0" w:line="240" w:lineRule="auto"/>
              <w:ind w:firstLine="0" w:firstLineChars="0"/>
              <w:jc w:val="center"/>
              <w:rPr>
                <w:rFonts w:eastAsia="仿宋"/>
                <w:kern w:val="0"/>
                <w:sz w:val="22"/>
                <w:szCs w:val="22"/>
              </w:rPr>
            </w:pPr>
          </w:p>
        </w:tc>
        <w:tc>
          <w:tcPr>
            <w:tcW w:w="1683" w:type="pct"/>
            <w:vMerge w:val="continue"/>
            <w:vAlign w:val="center"/>
          </w:tcPr>
          <w:p w14:paraId="10C23552">
            <w:pPr>
              <w:widowControl/>
              <w:spacing w:beforeLines="0" w:afterLines="0" w:line="240" w:lineRule="auto"/>
              <w:ind w:firstLine="0" w:firstLineChars="0"/>
              <w:jc w:val="center"/>
              <w:rPr>
                <w:rFonts w:eastAsia="仿宋"/>
                <w:kern w:val="0"/>
                <w:sz w:val="22"/>
                <w:szCs w:val="22"/>
              </w:rPr>
            </w:pPr>
          </w:p>
        </w:tc>
        <w:tc>
          <w:tcPr>
            <w:tcW w:w="827" w:type="pct"/>
            <w:vMerge w:val="continue"/>
            <w:vAlign w:val="center"/>
          </w:tcPr>
          <w:p w14:paraId="625EF377">
            <w:pPr>
              <w:widowControl/>
              <w:spacing w:beforeLines="0" w:afterLines="0" w:line="240" w:lineRule="auto"/>
              <w:ind w:firstLine="0" w:firstLineChars="0"/>
              <w:jc w:val="center"/>
              <w:rPr>
                <w:rFonts w:eastAsia="仿宋"/>
                <w:kern w:val="0"/>
                <w:sz w:val="22"/>
                <w:szCs w:val="22"/>
              </w:rPr>
            </w:pPr>
          </w:p>
        </w:tc>
        <w:tc>
          <w:tcPr>
            <w:tcW w:w="1213" w:type="pct"/>
            <w:vMerge w:val="continue"/>
            <w:vAlign w:val="center"/>
          </w:tcPr>
          <w:p w14:paraId="0EEEA286">
            <w:pPr>
              <w:widowControl/>
              <w:spacing w:beforeLines="0" w:afterLines="0" w:line="240" w:lineRule="auto"/>
              <w:ind w:firstLine="0" w:firstLineChars="0"/>
              <w:jc w:val="center"/>
              <w:rPr>
                <w:rFonts w:eastAsia="仿宋"/>
                <w:kern w:val="0"/>
                <w:sz w:val="22"/>
                <w:szCs w:val="22"/>
              </w:rPr>
            </w:pPr>
          </w:p>
        </w:tc>
        <w:tc>
          <w:tcPr>
            <w:tcW w:w="737" w:type="pct"/>
            <w:vMerge w:val="continue"/>
            <w:vAlign w:val="center"/>
          </w:tcPr>
          <w:p w14:paraId="37C358EB">
            <w:pPr>
              <w:widowControl/>
              <w:spacing w:beforeLines="0" w:afterLines="0" w:line="240" w:lineRule="auto"/>
              <w:ind w:firstLine="0" w:firstLineChars="0"/>
              <w:jc w:val="center"/>
              <w:rPr>
                <w:rFonts w:eastAsia="仿宋"/>
                <w:kern w:val="0"/>
                <w:sz w:val="22"/>
                <w:szCs w:val="22"/>
              </w:rPr>
            </w:pPr>
          </w:p>
        </w:tc>
      </w:tr>
      <w:tr w14:paraId="3171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8" w:type="pct"/>
            <w:vAlign w:val="center"/>
          </w:tcPr>
          <w:p w14:paraId="76432E9C">
            <w:pPr>
              <w:widowControl/>
              <w:spacing w:beforeLines="0" w:afterLines="0" w:line="240" w:lineRule="auto"/>
              <w:ind w:firstLine="0" w:firstLineChars="0"/>
              <w:jc w:val="center"/>
              <w:textAlignment w:val="center"/>
              <w:rPr>
                <w:rFonts w:hint="default" w:eastAsia="仿宋"/>
                <w:kern w:val="0"/>
                <w:sz w:val="24"/>
                <w:lang w:val="en-US" w:eastAsia="zh-CN"/>
              </w:rPr>
            </w:pPr>
            <w:r>
              <w:rPr>
                <w:rFonts w:hint="eastAsia" w:eastAsia="仿宋_GB2312" w:cs="Times New Roman"/>
                <w:color w:val="000000"/>
                <w:szCs w:val="21"/>
                <w:lang w:val="en-US" w:eastAsia="zh-CN"/>
              </w:rPr>
              <w:t>SJ12</w:t>
            </w:r>
          </w:p>
        </w:tc>
        <w:tc>
          <w:tcPr>
            <w:tcW w:w="1683" w:type="pct"/>
            <w:vAlign w:val="center"/>
          </w:tcPr>
          <w:p w14:paraId="4BBDFC83">
            <w:pPr>
              <w:widowControl/>
              <w:spacing w:beforeLines="0" w:afterLines="0" w:line="240" w:lineRule="auto"/>
              <w:ind w:firstLine="0" w:firstLineChars="0"/>
              <w:jc w:val="center"/>
              <w:textAlignment w:val="center"/>
              <w:rPr>
                <w:rFonts w:ascii="仿宋_GB2312" w:hAnsi="仿宋_GB2312" w:eastAsia="仿宋_GB2312" w:cs="仿宋_GB2312"/>
                <w:kern w:val="0"/>
                <w:sz w:val="22"/>
                <w:szCs w:val="22"/>
              </w:rPr>
            </w:pPr>
            <w:r>
              <w:rPr>
                <w:rFonts w:hint="eastAsia" w:eastAsia="仿宋_GB2312" w:cs="Times New Roman"/>
                <w:color w:val="000000"/>
                <w:szCs w:val="21"/>
                <w:lang w:val="en-US" w:eastAsia="zh-CN"/>
              </w:rPr>
              <w:t>产业平台项目地块-2</w:t>
            </w:r>
          </w:p>
        </w:tc>
        <w:tc>
          <w:tcPr>
            <w:tcW w:w="827" w:type="pct"/>
            <w:vAlign w:val="center"/>
          </w:tcPr>
          <w:p w14:paraId="03C701F1">
            <w:pPr>
              <w:keepNext w:val="0"/>
              <w:keepLines w:val="0"/>
              <w:widowControl/>
              <w:suppressLineNumbers w:val="0"/>
              <w:jc w:val="center"/>
              <w:textAlignment w:val="center"/>
              <w:rPr>
                <w:rFonts w:hint="default"/>
                <w:kern w:val="0"/>
                <w:sz w:val="22"/>
                <w:szCs w:val="22"/>
                <w:lang w:val="en-US"/>
              </w:rPr>
            </w:pPr>
            <w:r>
              <w:rPr>
                <w:rFonts w:hint="default" w:ascii="Times New Roman" w:hAnsi="Times New Roman" w:eastAsia="宋体" w:cs="Times New Roman"/>
                <w:i w:val="0"/>
                <w:iCs w:val="0"/>
                <w:color w:val="000000"/>
                <w:kern w:val="0"/>
                <w:sz w:val="21"/>
                <w:szCs w:val="21"/>
                <w:u w:val="none"/>
                <w:lang w:val="en-US" w:eastAsia="zh-CN" w:bidi="ar"/>
              </w:rPr>
              <w:t>36.5273</w:t>
            </w:r>
          </w:p>
        </w:tc>
        <w:tc>
          <w:tcPr>
            <w:tcW w:w="1213" w:type="pct"/>
            <w:vAlign w:val="center"/>
          </w:tcPr>
          <w:p w14:paraId="16718CFC">
            <w:pPr>
              <w:widowControl/>
              <w:spacing w:beforeLines="0" w:afterLines="0" w:line="240" w:lineRule="auto"/>
              <w:ind w:firstLine="0" w:firstLineChars="0"/>
              <w:jc w:val="center"/>
              <w:textAlignment w:val="center"/>
              <w:rPr>
                <w:rFonts w:hint="default" w:ascii="仿宋_GB2312" w:hAnsi="仿宋_GB2312" w:eastAsia="仿宋_GB2312" w:cs="仿宋_GB2312"/>
                <w:kern w:val="0"/>
                <w:sz w:val="22"/>
                <w:szCs w:val="22"/>
                <w:lang w:val="en-US" w:eastAsia="zh-CN" w:bidi="ar"/>
              </w:rPr>
            </w:pPr>
            <w:r>
              <w:rPr>
                <w:rFonts w:hint="eastAsia" w:ascii="仿宋_GB2312" w:hAnsi="仿宋_GB2312" w:eastAsia="仿宋_GB2312" w:cs="仿宋_GB2312"/>
                <w:kern w:val="0"/>
                <w:sz w:val="22"/>
                <w:szCs w:val="22"/>
                <w:lang w:val="en-US" w:eastAsia="zh-CN" w:bidi="ar"/>
              </w:rPr>
              <w:t>一类工业用地、防护绿地、城市道路用地</w:t>
            </w:r>
          </w:p>
        </w:tc>
        <w:tc>
          <w:tcPr>
            <w:tcW w:w="737" w:type="pct"/>
            <w:vAlign w:val="center"/>
          </w:tcPr>
          <w:p w14:paraId="08DF1A46">
            <w:pPr>
              <w:widowControl/>
              <w:spacing w:beforeLines="0" w:afterLines="0" w:line="240" w:lineRule="auto"/>
              <w:ind w:firstLine="0" w:firstLineChars="0"/>
              <w:jc w:val="center"/>
              <w:rPr>
                <w:rFonts w:eastAsia="仿宋"/>
                <w:kern w:val="0"/>
                <w:sz w:val="22"/>
                <w:szCs w:val="22"/>
              </w:rPr>
            </w:pPr>
            <w:r>
              <w:rPr>
                <w:rFonts w:hint="eastAsia" w:eastAsia="仿宋_GB2312"/>
                <w:kern w:val="0"/>
                <w:sz w:val="22"/>
                <w:szCs w:val="22"/>
              </w:rPr>
              <w:t>202</w:t>
            </w:r>
            <w:r>
              <w:rPr>
                <w:rFonts w:hint="eastAsia" w:eastAsia="仿宋_GB2312"/>
                <w:kern w:val="0"/>
                <w:sz w:val="22"/>
                <w:szCs w:val="22"/>
                <w:lang w:val="en-US" w:eastAsia="zh-CN"/>
              </w:rPr>
              <w:t>7</w:t>
            </w:r>
            <w:r>
              <w:rPr>
                <w:rFonts w:hint="eastAsia" w:eastAsia="仿宋_GB2312"/>
                <w:kern w:val="0"/>
                <w:sz w:val="22"/>
                <w:szCs w:val="22"/>
              </w:rPr>
              <w:t>年</w:t>
            </w:r>
          </w:p>
        </w:tc>
      </w:tr>
      <w:tr w14:paraId="562D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8" w:type="pct"/>
            <w:vAlign w:val="center"/>
          </w:tcPr>
          <w:p w14:paraId="38EBDF6A">
            <w:pPr>
              <w:widowControl/>
              <w:spacing w:beforeLines="0" w:afterLines="0" w:line="240" w:lineRule="auto"/>
              <w:ind w:firstLine="0" w:firstLineChars="0"/>
              <w:jc w:val="center"/>
              <w:textAlignment w:val="center"/>
              <w:rPr>
                <w:rFonts w:hint="default" w:ascii="Times New Roman" w:hAnsi="Times New Roman" w:eastAsia="仿宋_GB2312" w:cs="Times New Roman"/>
                <w:color w:val="000000"/>
                <w:sz w:val="22"/>
                <w:szCs w:val="22"/>
                <w:lang w:val="en-US" w:eastAsia="zh-CN"/>
              </w:rPr>
            </w:pPr>
            <w:r>
              <w:rPr>
                <w:rFonts w:hint="eastAsia" w:eastAsia="仿宋_GB2312" w:cs="Times New Roman"/>
                <w:color w:val="000000"/>
                <w:szCs w:val="21"/>
                <w:lang w:val="en-US" w:eastAsia="zh-CN"/>
              </w:rPr>
              <w:t>SJ13</w:t>
            </w:r>
          </w:p>
        </w:tc>
        <w:tc>
          <w:tcPr>
            <w:tcW w:w="1683" w:type="pct"/>
            <w:vAlign w:val="center"/>
          </w:tcPr>
          <w:p w14:paraId="4CE0981C">
            <w:pPr>
              <w:widowControl/>
              <w:spacing w:beforeLines="0" w:afterLines="0" w:line="240" w:lineRule="auto"/>
              <w:ind w:firstLine="0" w:firstLineChars="0"/>
              <w:jc w:val="center"/>
              <w:textAlignment w:val="center"/>
              <w:rPr>
                <w:rFonts w:hint="eastAsia" w:ascii="Times New Roman" w:hAnsi="Times New Roman" w:eastAsia="仿宋_GB2312" w:cs="Times New Roman"/>
                <w:color w:val="000000"/>
                <w:szCs w:val="21"/>
              </w:rPr>
            </w:pPr>
            <w:r>
              <w:rPr>
                <w:rFonts w:hint="eastAsia" w:eastAsia="仿宋_GB2312" w:cs="Times New Roman"/>
                <w:color w:val="000000"/>
                <w:szCs w:val="21"/>
                <w:lang w:val="en-US" w:eastAsia="zh-CN"/>
              </w:rPr>
              <w:t>产业平台项目地块-3</w:t>
            </w:r>
          </w:p>
        </w:tc>
        <w:tc>
          <w:tcPr>
            <w:tcW w:w="827" w:type="pct"/>
            <w:vAlign w:val="center"/>
          </w:tcPr>
          <w:p w14:paraId="2BE3691E">
            <w:pPr>
              <w:keepNext w:val="0"/>
              <w:keepLines w:val="0"/>
              <w:widowControl/>
              <w:suppressLineNumbers w:val="0"/>
              <w:jc w:val="center"/>
              <w:textAlignment w:val="center"/>
              <w:rPr>
                <w:rFonts w:hint="default"/>
                <w:color w:val="000000"/>
                <w:kern w:val="0"/>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4.6591</w:t>
            </w:r>
          </w:p>
        </w:tc>
        <w:tc>
          <w:tcPr>
            <w:tcW w:w="1213" w:type="pct"/>
            <w:vAlign w:val="center"/>
          </w:tcPr>
          <w:p w14:paraId="656F4B2D">
            <w:pPr>
              <w:widowControl/>
              <w:spacing w:beforeLines="0" w:afterLines="0" w:line="240" w:lineRule="auto"/>
              <w:ind w:firstLine="0" w:firstLineChars="0"/>
              <w:jc w:val="center"/>
              <w:textAlignment w:val="center"/>
              <w:rPr>
                <w:rFonts w:hint="default" w:ascii="Times New Roman" w:hAnsi="Times New Roman" w:eastAsia="仿宋_GB2312" w:cs="Times New Roman"/>
                <w:color w:val="000000"/>
                <w:kern w:val="0"/>
                <w:szCs w:val="21"/>
                <w:lang w:val="en-US" w:eastAsia="zh-CN"/>
              </w:rPr>
            </w:pPr>
            <w:r>
              <w:rPr>
                <w:rFonts w:hint="eastAsia" w:eastAsia="仿宋_GB2312" w:cs="Times New Roman"/>
                <w:color w:val="000000"/>
                <w:kern w:val="0"/>
                <w:szCs w:val="21"/>
                <w:lang w:val="en-US" w:eastAsia="zh-CN"/>
              </w:rPr>
              <w:t>防护绿地、城市道路用地</w:t>
            </w:r>
          </w:p>
        </w:tc>
        <w:tc>
          <w:tcPr>
            <w:tcW w:w="737" w:type="pct"/>
            <w:vAlign w:val="center"/>
          </w:tcPr>
          <w:p w14:paraId="06314D55">
            <w:pPr>
              <w:widowControl/>
              <w:spacing w:beforeLines="0" w:afterLines="0" w:line="240" w:lineRule="auto"/>
              <w:ind w:firstLine="0" w:firstLineChars="0"/>
              <w:jc w:val="center"/>
              <w:rPr>
                <w:rFonts w:hint="eastAsia" w:eastAsia="仿宋_GB2312"/>
                <w:kern w:val="0"/>
                <w:sz w:val="22"/>
                <w:szCs w:val="22"/>
              </w:rPr>
            </w:pPr>
            <w:r>
              <w:rPr>
                <w:rFonts w:hint="eastAsia" w:eastAsia="仿宋_GB2312"/>
                <w:kern w:val="0"/>
                <w:sz w:val="22"/>
                <w:szCs w:val="22"/>
              </w:rPr>
              <w:t>202</w:t>
            </w:r>
            <w:r>
              <w:rPr>
                <w:rFonts w:hint="eastAsia" w:eastAsia="仿宋_GB2312"/>
                <w:kern w:val="0"/>
                <w:sz w:val="22"/>
                <w:szCs w:val="22"/>
                <w:lang w:val="en-US" w:eastAsia="zh-CN"/>
              </w:rPr>
              <w:t>7</w:t>
            </w:r>
            <w:r>
              <w:rPr>
                <w:rFonts w:hint="eastAsia" w:eastAsia="仿宋_GB2312"/>
                <w:kern w:val="0"/>
                <w:sz w:val="22"/>
                <w:szCs w:val="22"/>
              </w:rPr>
              <w:t>年</w:t>
            </w:r>
          </w:p>
        </w:tc>
      </w:tr>
      <w:tr w14:paraId="751B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8" w:type="pct"/>
            <w:vAlign w:val="center"/>
          </w:tcPr>
          <w:p w14:paraId="47EBC331">
            <w:pPr>
              <w:widowControl/>
              <w:spacing w:beforeLines="0" w:afterLines="0" w:line="240" w:lineRule="auto"/>
              <w:ind w:firstLine="0" w:firstLineChars="0"/>
              <w:jc w:val="center"/>
              <w:textAlignment w:val="center"/>
              <w:rPr>
                <w:rFonts w:hint="eastAsia" w:eastAsia="仿宋_GB2312" w:cs="Times New Roman"/>
                <w:color w:val="000000"/>
                <w:sz w:val="22"/>
                <w:szCs w:val="22"/>
                <w:lang w:val="en-US" w:eastAsia="zh-CN"/>
              </w:rPr>
            </w:pPr>
            <w:r>
              <w:rPr>
                <w:rFonts w:hint="eastAsia" w:eastAsia="仿宋_GB2312" w:cs="Times New Roman"/>
                <w:color w:val="000000"/>
                <w:szCs w:val="21"/>
                <w:lang w:val="en-US" w:eastAsia="zh-CN"/>
              </w:rPr>
              <w:t>SJ14</w:t>
            </w:r>
          </w:p>
        </w:tc>
        <w:tc>
          <w:tcPr>
            <w:tcW w:w="1683" w:type="pct"/>
            <w:vAlign w:val="center"/>
          </w:tcPr>
          <w:p w14:paraId="478A01E6">
            <w:pPr>
              <w:widowControl/>
              <w:spacing w:beforeLines="0" w:afterLines="0" w:line="240" w:lineRule="auto"/>
              <w:ind w:firstLine="0" w:firstLineChars="0"/>
              <w:jc w:val="center"/>
              <w:textAlignment w:val="center"/>
              <w:rPr>
                <w:rFonts w:hint="eastAsia" w:eastAsia="仿宋_GB2312" w:cs="Times New Roman"/>
                <w:color w:val="000000"/>
                <w:szCs w:val="21"/>
                <w:lang w:val="en-US" w:eastAsia="zh-CN"/>
              </w:rPr>
            </w:pPr>
            <w:r>
              <w:rPr>
                <w:rFonts w:hint="eastAsia" w:eastAsia="仿宋_GB2312" w:cs="Times New Roman"/>
                <w:color w:val="000000"/>
                <w:szCs w:val="21"/>
                <w:lang w:val="en-US" w:eastAsia="zh-CN"/>
              </w:rPr>
              <w:t>深圳市深博智能制造有限公司项目地块</w:t>
            </w:r>
          </w:p>
        </w:tc>
        <w:tc>
          <w:tcPr>
            <w:tcW w:w="827" w:type="pct"/>
            <w:vAlign w:val="center"/>
          </w:tcPr>
          <w:p w14:paraId="165532CE">
            <w:pPr>
              <w:keepNext w:val="0"/>
              <w:keepLines w:val="0"/>
              <w:widowControl/>
              <w:suppressLineNumbers w:val="0"/>
              <w:jc w:val="center"/>
              <w:textAlignment w:val="center"/>
              <w:rPr>
                <w:rFonts w:hint="eastAsia"/>
                <w:color w:val="000000"/>
                <w:kern w:val="0"/>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6.7123</w:t>
            </w:r>
          </w:p>
        </w:tc>
        <w:tc>
          <w:tcPr>
            <w:tcW w:w="1213" w:type="pct"/>
            <w:vAlign w:val="center"/>
          </w:tcPr>
          <w:p w14:paraId="4656815B">
            <w:pPr>
              <w:widowControl/>
              <w:spacing w:beforeLines="0" w:afterLines="0" w:line="240" w:lineRule="auto"/>
              <w:ind w:firstLine="0" w:firstLineChars="0"/>
              <w:jc w:val="center"/>
              <w:textAlignment w:val="center"/>
              <w:rPr>
                <w:rFonts w:hint="eastAsia" w:eastAsia="仿宋_GB2312" w:cs="Times New Roman"/>
                <w:color w:val="000000"/>
                <w:kern w:val="0"/>
                <w:szCs w:val="21"/>
                <w:lang w:val="en-US" w:eastAsia="zh-CN"/>
              </w:rPr>
            </w:pPr>
            <w:r>
              <w:rPr>
                <w:rFonts w:hint="eastAsia" w:ascii="仿宋_GB2312" w:hAnsi="仿宋_GB2312" w:eastAsia="仿宋_GB2312" w:cs="仿宋_GB2312"/>
                <w:kern w:val="0"/>
                <w:sz w:val="22"/>
                <w:szCs w:val="22"/>
                <w:lang w:val="en-US" w:eastAsia="zh-CN" w:bidi="ar"/>
              </w:rPr>
              <w:t>一类工业用地、防护绿地、城市道路用地</w:t>
            </w:r>
          </w:p>
        </w:tc>
        <w:tc>
          <w:tcPr>
            <w:tcW w:w="737" w:type="pct"/>
            <w:vAlign w:val="center"/>
          </w:tcPr>
          <w:p w14:paraId="3E63791E">
            <w:pPr>
              <w:widowControl/>
              <w:spacing w:beforeLines="0" w:afterLines="0" w:line="240" w:lineRule="auto"/>
              <w:ind w:firstLine="0" w:firstLineChars="0"/>
              <w:jc w:val="center"/>
              <w:rPr>
                <w:rFonts w:hint="eastAsia" w:eastAsia="仿宋_GB2312"/>
                <w:kern w:val="0"/>
                <w:sz w:val="22"/>
                <w:szCs w:val="22"/>
              </w:rPr>
            </w:pPr>
            <w:r>
              <w:rPr>
                <w:rFonts w:hint="eastAsia" w:eastAsia="仿宋_GB2312"/>
                <w:kern w:val="0"/>
                <w:sz w:val="22"/>
                <w:szCs w:val="22"/>
              </w:rPr>
              <w:t>202</w:t>
            </w:r>
            <w:r>
              <w:rPr>
                <w:rFonts w:hint="eastAsia" w:eastAsia="仿宋_GB2312"/>
                <w:kern w:val="0"/>
                <w:sz w:val="22"/>
                <w:szCs w:val="22"/>
                <w:lang w:val="en-US" w:eastAsia="zh-CN"/>
              </w:rPr>
              <w:t>7</w:t>
            </w:r>
            <w:r>
              <w:rPr>
                <w:rFonts w:hint="eastAsia" w:eastAsia="仿宋_GB2312"/>
                <w:kern w:val="0"/>
                <w:sz w:val="22"/>
                <w:szCs w:val="22"/>
              </w:rPr>
              <w:t>年</w:t>
            </w:r>
          </w:p>
        </w:tc>
      </w:tr>
      <w:tr w14:paraId="4B69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8" w:type="pct"/>
            <w:vAlign w:val="center"/>
          </w:tcPr>
          <w:p w14:paraId="51FD54FB">
            <w:pPr>
              <w:widowControl/>
              <w:spacing w:beforeLines="0" w:afterLines="0" w:line="240" w:lineRule="auto"/>
              <w:ind w:firstLine="0" w:firstLineChars="0"/>
              <w:jc w:val="center"/>
              <w:textAlignment w:val="center"/>
              <w:rPr>
                <w:rFonts w:hint="eastAsia" w:eastAsia="仿宋_GB2312" w:cs="Times New Roman"/>
                <w:color w:val="000000"/>
                <w:sz w:val="22"/>
                <w:szCs w:val="22"/>
                <w:lang w:val="en-US" w:eastAsia="zh-CN"/>
              </w:rPr>
            </w:pPr>
            <w:r>
              <w:rPr>
                <w:rFonts w:hint="eastAsia" w:eastAsia="仿宋_GB2312" w:cs="Times New Roman"/>
                <w:color w:val="000000"/>
                <w:szCs w:val="21"/>
                <w:lang w:val="en-US" w:eastAsia="zh-CN"/>
              </w:rPr>
              <w:t>SJ15</w:t>
            </w:r>
          </w:p>
        </w:tc>
        <w:tc>
          <w:tcPr>
            <w:tcW w:w="1683" w:type="pct"/>
            <w:vAlign w:val="center"/>
          </w:tcPr>
          <w:p w14:paraId="1B3FE0DD">
            <w:pPr>
              <w:widowControl/>
              <w:spacing w:beforeLines="0" w:afterLines="0" w:line="240" w:lineRule="auto"/>
              <w:ind w:firstLine="0" w:firstLineChars="0"/>
              <w:jc w:val="center"/>
              <w:textAlignment w:val="center"/>
              <w:rPr>
                <w:rFonts w:hint="eastAsia" w:eastAsia="仿宋_GB2312" w:cs="Times New Roman"/>
                <w:color w:val="000000"/>
                <w:szCs w:val="21"/>
                <w:lang w:val="en-US" w:eastAsia="zh-CN"/>
              </w:rPr>
            </w:pPr>
            <w:r>
              <w:rPr>
                <w:rFonts w:hint="eastAsia" w:eastAsia="仿宋_GB2312" w:cs="Times New Roman"/>
                <w:color w:val="000000"/>
                <w:szCs w:val="21"/>
                <w:lang w:val="en-US" w:eastAsia="zh-CN"/>
              </w:rPr>
              <w:t>中山市大田汽车护理用品有限公司增资扩产项目地块</w:t>
            </w:r>
          </w:p>
        </w:tc>
        <w:tc>
          <w:tcPr>
            <w:tcW w:w="827" w:type="pct"/>
            <w:vAlign w:val="center"/>
          </w:tcPr>
          <w:p w14:paraId="3DA1208F">
            <w:pPr>
              <w:keepNext w:val="0"/>
              <w:keepLines w:val="0"/>
              <w:widowControl/>
              <w:suppressLineNumbers w:val="0"/>
              <w:jc w:val="center"/>
              <w:textAlignment w:val="center"/>
              <w:rPr>
                <w:rFonts w:hint="eastAsia"/>
                <w:color w:val="000000"/>
                <w:kern w:val="0"/>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4.7955</w:t>
            </w:r>
          </w:p>
        </w:tc>
        <w:tc>
          <w:tcPr>
            <w:tcW w:w="1213" w:type="pct"/>
            <w:vAlign w:val="center"/>
          </w:tcPr>
          <w:p w14:paraId="22167004">
            <w:pPr>
              <w:widowControl/>
              <w:spacing w:beforeLines="0" w:afterLines="0" w:line="240" w:lineRule="auto"/>
              <w:ind w:firstLine="0" w:firstLineChars="0"/>
              <w:jc w:val="center"/>
              <w:textAlignment w:val="center"/>
              <w:rPr>
                <w:rFonts w:hint="default" w:eastAsia="仿宋_GB2312" w:cs="Times New Roman"/>
                <w:color w:val="000000"/>
                <w:kern w:val="0"/>
                <w:szCs w:val="21"/>
                <w:lang w:val="en-US" w:eastAsia="zh-CN"/>
              </w:rPr>
            </w:pPr>
            <w:r>
              <w:rPr>
                <w:rFonts w:hint="eastAsia" w:eastAsia="仿宋_GB2312" w:cs="Times New Roman"/>
                <w:color w:val="000000"/>
                <w:kern w:val="0"/>
                <w:szCs w:val="21"/>
                <w:lang w:val="en-US" w:eastAsia="zh-CN"/>
              </w:rPr>
              <w:t>二类工业用地、防护绿地、交通场站用地、供燃气用地、城市道路用地</w:t>
            </w:r>
          </w:p>
        </w:tc>
        <w:tc>
          <w:tcPr>
            <w:tcW w:w="737" w:type="pct"/>
            <w:vAlign w:val="center"/>
          </w:tcPr>
          <w:p w14:paraId="185028E6">
            <w:pPr>
              <w:widowControl/>
              <w:spacing w:beforeLines="0" w:afterLines="0" w:line="240" w:lineRule="auto"/>
              <w:ind w:firstLine="0" w:firstLineChars="0"/>
              <w:jc w:val="center"/>
              <w:rPr>
                <w:rFonts w:hint="eastAsia" w:eastAsia="仿宋_GB2312"/>
                <w:kern w:val="0"/>
                <w:sz w:val="22"/>
                <w:szCs w:val="22"/>
              </w:rPr>
            </w:pPr>
            <w:r>
              <w:rPr>
                <w:rFonts w:hint="eastAsia" w:eastAsia="仿宋_GB2312"/>
                <w:kern w:val="0"/>
                <w:sz w:val="22"/>
                <w:szCs w:val="22"/>
              </w:rPr>
              <w:t>202</w:t>
            </w:r>
            <w:r>
              <w:rPr>
                <w:rFonts w:hint="eastAsia" w:eastAsia="仿宋_GB2312"/>
                <w:kern w:val="0"/>
                <w:sz w:val="22"/>
                <w:szCs w:val="22"/>
                <w:lang w:val="en-US" w:eastAsia="zh-CN"/>
              </w:rPr>
              <w:t>7</w:t>
            </w:r>
            <w:r>
              <w:rPr>
                <w:rFonts w:hint="eastAsia" w:eastAsia="仿宋_GB2312"/>
                <w:kern w:val="0"/>
                <w:sz w:val="22"/>
                <w:szCs w:val="22"/>
              </w:rPr>
              <w:t>年</w:t>
            </w:r>
          </w:p>
        </w:tc>
      </w:tr>
      <w:tr w14:paraId="13EA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8" w:type="pct"/>
            <w:vAlign w:val="center"/>
          </w:tcPr>
          <w:p w14:paraId="6E42CD49">
            <w:pPr>
              <w:widowControl/>
              <w:spacing w:beforeLines="0" w:afterLines="0" w:line="240" w:lineRule="auto"/>
              <w:ind w:firstLine="0" w:firstLineChars="0"/>
              <w:jc w:val="center"/>
              <w:textAlignment w:val="center"/>
              <w:rPr>
                <w:rFonts w:hint="eastAsia" w:eastAsia="仿宋_GB2312" w:cs="Times New Roman"/>
                <w:color w:val="000000"/>
                <w:sz w:val="22"/>
                <w:szCs w:val="22"/>
                <w:lang w:val="en-US" w:eastAsia="zh-CN"/>
              </w:rPr>
            </w:pPr>
            <w:r>
              <w:rPr>
                <w:rFonts w:hint="eastAsia" w:eastAsia="仿宋_GB2312" w:cs="Times New Roman"/>
                <w:color w:val="000000"/>
                <w:szCs w:val="21"/>
                <w:lang w:val="en-US" w:eastAsia="zh-CN"/>
              </w:rPr>
              <w:t>SJ16</w:t>
            </w:r>
          </w:p>
        </w:tc>
        <w:tc>
          <w:tcPr>
            <w:tcW w:w="1683" w:type="pct"/>
            <w:vAlign w:val="center"/>
          </w:tcPr>
          <w:p w14:paraId="25D64879">
            <w:pPr>
              <w:widowControl/>
              <w:spacing w:beforeLines="0" w:afterLines="0" w:line="240" w:lineRule="auto"/>
              <w:ind w:firstLine="0" w:firstLineChars="0"/>
              <w:jc w:val="center"/>
              <w:textAlignment w:val="center"/>
              <w:rPr>
                <w:rFonts w:hint="eastAsia" w:eastAsia="仿宋_GB2312" w:cs="Times New Roman"/>
                <w:color w:val="000000"/>
                <w:szCs w:val="21"/>
                <w:lang w:val="en-US" w:eastAsia="zh-CN"/>
              </w:rPr>
            </w:pPr>
            <w:r>
              <w:rPr>
                <w:rFonts w:hint="eastAsia" w:eastAsia="仿宋_GB2312" w:cs="Times New Roman"/>
                <w:color w:val="000000"/>
                <w:szCs w:val="21"/>
                <w:lang w:val="en-US" w:eastAsia="zh-CN"/>
              </w:rPr>
              <w:t>英维克增资扩产及产业平台配套用地项目地块</w:t>
            </w:r>
          </w:p>
        </w:tc>
        <w:tc>
          <w:tcPr>
            <w:tcW w:w="827" w:type="pct"/>
            <w:vAlign w:val="center"/>
          </w:tcPr>
          <w:p w14:paraId="6EC4ED48">
            <w:pPr>
              <w:keepNext w:val="0"/>
              <w:keepLines w:val="0"/>
              <w:widowControl/>
              <w:suppressLineNumbers w:val="0"/>
              <w:jc w:val="center"/>
              <w:textAlignment w:val="center"/>
              <w:rPr>
                <w:rFonts w:hint="eastAsia"/>
                <w:color w:val="000000"/>
                <w:kern w:val="0"/>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3.8761</w:t>
            </w:r>
          </w:p>
        </w:tc>
        <w:tc>
          <w:tcPr>
            <w:tcW w:w="1213" w:type="pct"/>
            <w:vAlign w:val="center"/>
          </w:tcPr>
          <w:p w14:paraId="649B285C">
            <w:pPr>
              <w:widowControl/>
              <w:spacing w:beforeLines="0" w:afterLines="0" w:line="240" w:lineRule="auto"/>
              <w:ind w:firstLine="0" w:firstLineChars="0"/>
              <w:jc w:val="center"/>
              <w:textAlignment w:val="center"/>
              <w:rPr>
                <w:rFonts w:hint="default" w:eastAsia="仿宋_GB2312" w:cs="Times New Roman"/>
                <w:color w:val="000000"/>
                <w:kern w:val="0"/>
                <w:szCs w:val="21"/>
                <w:lang w:val="en-US" w:eastAsia="zh-CN"/>
              </w:rPr>
            </w:pPr>
            <w:r>
              <w:rPr>
                <w:rFonts w:hint="eastAsia" w:eastAsia="仿宋_GB2312" w:cs="Times New Roman"/>
                <w:color w:val="000000"/>
                <w:kern w:val="0"/>
                <w:szCs w:val="21"/>
                <w:lang w:val="en-US" w:eastAsia="zh-CN"/>
              </w:rPr>
              <w:t>二类工业用地、零售商业用地、公园绿地、科研用地、城市道路用地</w:t>
            </w:r>
          </w:p>
        </w:tc>
        <w:tc>
          <w:tcPr>
            <w:tcW w:w="737" w:type="pct"/>
            <w:vAlign w:val="center"/>
          </w:tcPr>
          <w:p w14:paraId="34F5149E">
            <w:pPr>
              <w:widowControl/>
              <w:spacing w:beforeLines="0" w:afterLines="0" w:line="240" w:lineRule="auto"/>
              <w:ind w:firstLine="0" w:firstLineChars="0"/>
              <w:jc w:val="center"/>
              <w:rPr>
                <w:rFonts w:hint="eastAsia" w:eastAsia="仿宋_GB2312"/>
                <w:kern w:val="0"/>
                <w:sz w:val="22"/>
                <w:szCs w:val="22"/>
              </w:rPr>
            </w:pPr>
            <w:r>
              <w:rPr>
                <w:rFonts w:hint="eastAsia" w:eastAsia="仿宋_GB2312"/>
                <w:kern w:val="0"/>
                <w:sz w:val="22"/>
                <w:szCs w:val="22"/>
              </w:rPr>
              <w:t>202</w:t>
            </w:r>
            <w:r>
              <w:rPr>
                <w:rFonts w:hint="eastAsia" w:eastAsia="仿宋_GB2312"/>
                <w:kern w:val="0"/>
                <w:sz w:val="22"/>
                <w:szCs w:val="22"/>
                <w:lang w:val="en-US" w:eastAsia="zh-CN"/>
              </w:rPr>
              <w:t>7</w:t>
            </w:r>
            <w:r>
              <w:rPr>
                <w:rFonts w:hint="eastAsia" w:eastAsia="仿宋_GB2312"/>
                <w:kern w:val="0"/>
                <w:sz w:val="22"/>
                <w:szCs w:val="22"/>
              </w:rPr>
              <w:t>年</w:t>
            </w:r>
          </w:p>
        </w:tc>
      </w:tr>
      <w:tr w14:paraId="122F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8" w:type="pct"/>
            <w:vAlign w:val="center"/>
          </w:tcPr>
          <w:p w14:paraId="49605ADE">
            <w:pPr>
              <w:widowControl/>
              <w:spacing w:beforeLines="0" w:afterLines="0" w:line="240" w:lineRule="auto"/>
              <w:ind w:firstLine="0" w:firstLineChars="0"/>
              <w:jc w:val="center"/>
              <w:textAlignment w:val="center"/>
              <w:rPr>
                <w:rFonts w:hint="eastAsia" w:eastAsia="仿宋_GB2312" w:cs="Times New Roman"/>
                <w:color w:val="000000"/>
                <w:sz w:val="22"/>
                <w:szCs w:val="22"/>
                <w:lang w:val="en-US" w:eastAsia="zh-CN"/>
              </w:rPr>
            </w:pPr>
            <w:r>
              <w:rPr>
                <w:rFonts w:hint="eastAsia" w:eastAsia="仿宋_GB2312" w:cs="Times New Roman"/>
                <w:color w:val="000000"/>
                <w:szCs w:val="21"/>
                <w:lang w:val="en-US" w:eastAsia="zh-CN"/>
              </w:rPr>
              <w:t>SJ17</w:t>
            </w:r>
          </w:p>
        </w:tc>
        <w:tc>
          <w:tcPr>
            <w:tcW w:w="1683" w:type="pct"/>
            <w:vAlign w:val="center"/>
          </w:tcPr>
          <w:p w14:paraId="2535D780">
            <w:pPr>
              <w:widowControl/>
              <w:spacing w:beforeLines="0" w:afterLines="0" w:line="240" w:lineRule="auto"/>
              <w:ind w:firstLine="0" w:firstLineChars="0"/>
              <w:jc w:val="center"/>
              <w:textAlignment w:val="center"/>
              <w:rPr>
                <w:rFonts w:hint="eastAsia" w:eastAsia="仿宋_GB2312" w:cs="Times New Roman"/>
                <w:color w:val="000000"/>
                <w:szCs w:val="21"/>
                <w:lang w:val="en-US" w:eastAsia="zh-CN"/>
              </w:rPr>
            </w:pPr>
            <w:r>
              <w:rPr>
                <w:rFonts w:hint="eastAsia" w:eastAsia="仿宋_GB2312" w:cs="Times New Roman"/>
                <w:color w:val="000000"/>
                <w:szCs w:val="21"/>
                <w:lang w:val="en-US" w:eastAsia="zh-CN"/>
              </w:rPr>
              <w:t>产业平台体育场馆用地及配套用地项目地块</w:t>
            </w:r>
          </w:p>
        </w:tc>
        <w:tc>
          <w:tcPr>
            <w:tcW w:w="827" w:type="pct"/>
            <w:vAlign w:val="center"/>
          </w:tcPr>
          <w:p w14:paraId="69612CDC">
            <w:pPr>
              <w:keepNext w:val="0"/>
              <w:keepLines w:val="0"/>
              <w:widowControl/>
              <w:suppressLineNumbers w:val="0"/>
              <w:jc w:val="center"/>
              <w:textAlignment w:val="center"/>
              <w:rPr>
                <w:rFonts w:hint="eastAsia"/>
                <w:color w:val="000000"/>
                <w:kern w:val="0"/>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1.2615</w:t>
            </w:r>
          </w:p>
        </w:tc>
        <w:tc>
          <w:tcPr>
            <w:tcW w:w="1213" w:type="pct"/>
            <w:vAlign w:val="center"/>
          </w:tcPr>
          <w:p w14:paraId="4D791452">
            <w:pPr>
              <w:widowControl/>
              <w:spacing w:beforeLines="0" w:afterLines="0" w:line="240" w:lineRule="auto"/>
              <w:ind w:firstLine="0" w:firstLineChars="0"/>
              <w:jc w:val="center"/>
              <w:textAlignment w:val="center"/>
              <w:rPr>
                <w:rFonts w:hint="default" w:eastAsia="仿宋_GB2312" w:cs="Times New Roman"/>
                <w:color w:val="000000"/>
                <w:kern w:val="0"/>
                <w:szCs w:val="21"/>
                <w:lang w:val="en-US" w:eastAsia="zh-CN"/>
              </w:rPr>
            </w:pPr>
            <w:r>
              <w:rPr>
                <w:rFonts w:hint="eastAsia" w:eastAsia="仿宋_GB2312" w:cs="Times New Roman"/>
                <w:color w:val="000000"/>
                <w:kern w:val="0"/>
                <w:szCs w:val="21"/>
                <w:lang w:val="en-US" w:eastAsia="zh-CN"/>
              </w:rPr>
              <w:t>体育场馆用地、机关团体用地、公园绿地、城市道路用地</w:t>
            </w:r>
          </w:p>
        </w:tc>
        <w:tc>
          <w:tcPr>
            <w:tcW w:w="737" w:type="pct"/>
            <w:vAlign w:val="center"/>
          </w:tcPr>
          <w:p w14:paraId="334577A5">
            <w:pPr>
              <w:widowControl/>
              <w:spacing w:beforeLines="0" w:afterLines="0" w:line="240" w:lineRule="auto"/>
              <w:ind w:firstLine="0" w:firstLineChars="0"/>
              <w:jc w:val="center"/>
              <w:rPr>
                <w:rFonts w:hint="eastAsia" w:eastAsia="仿宋_GB2312"/>
                <w:kern w:val="0"/>
                <w:sz w:val="22"/>
                <w:szCs w:val="22"/>
              </w:rPr>
            </w:pPr>
            <w:r>
              <w:rPr>
                <w:rFonts w:hint="eastAsia" w:eastAsia="仿宋_GB2312"/>
                <w:kern w:val="0"/>
                <w:sz w:val="22"/>
                <w:szCs w:val="22"/>
              </w:rPr>
              <w:t>202</w:t>
            </w:r>
            <w:r>
              <w:rPr>
                <w:rFonts w:hint="eastAsia" w:eastAsia="仿宋_GB2312"/>
                <w:kern w:val="0"/>
                <w:sz w:val="22"/>
                <w:szCs w:val="22"/>
                <w:lang w:val="en-US" w:eastAsia="zh-CN"/>
              </w:rPr>
              <w:t>7</w:t>
            </w:r>
            <w:r>
              <w:rPr>
                <w:rFonts w:hint="eastAsia" w:eastAsia="仿宋_GB2312"/>
                <w:kern w:val="0"/>
                <w:sz w:val="22"/>
                <w:szCs w:val="22"/>
              </w:rPr>
              <w:t>年</w:t>
            </w:r>
          </w:p>
        </w:tc>
      </w:tr>
      <w:tr w14:paraId="6A5B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8" w:type="pct"/>
            <w:vAlign w:val="center"/>
          </w:tcPr>
          <w:p w14:paraId="1567B75E">
            <w:pPr>
              <w:widowControl/>
              <w:spacing w:beforeLines="0" w:afterLines="0" w:line="240" w:lineRule="auto"/>
              <w:ind w:firstLine="0" w:firstLineChars="0"/>
              <w:jc w:val="center"/>
              <w:textAlignment w:val="center"/>
              <w:rPr>
                <w:rFonts w:hint="eastAsia" w:eastAsia="仿宋_GB2312" w:cs="Times New Roman"/>
                <w:color w:val="000000"/>
                <w:sz w:val="22"/>
                <w:szCs w:val="22"/>
                <w:lang w:val="en-US" w:eastAsia="zh-CN"/>
              </w:rPr>
            </w:pPr>
            <w:r>
              <w:rPr>
                <w:rFonts w:hint="eastAsia" w:eastAsia="仿宋_GB2312" w:cs="Times New Roman"/>
                <w:color w:val="000000"/>
                <w:szCs w:val="21"/>
                <w:lang w:val="en-US" w:eastAsia="zh-CN"/>
              </w:rPr>
              <w:t>SJ18</w:t>
            </w:r>
          </w:p>
        </w:tc>
        <w:tc>
          <w:tcPr>
            <w:tcW w:w="1683" w:type="pct"/>
            <w:vAlign w:val="center"/>
          </w:tcPr>
          <w:p w14:paraId="7545A0EC">
            <w:pPr>
              <w:widowControl/>
              <w:spacing w:beforeLines="0" w:afterLines="0" w:line="240" w:lineRule="auto"/>
              <w:ind w:firstLine="0" w:firstLineChars="0"/>
              <w:jc w:val="center"/>
              <w:textAlignment w:val="center"/>
              <w:rPr>
                <w:rFonts w:hint="eastAsia" w:eastAsia="仿宋_GB2312" w:cs="Times New Roman"/>
                <w:color w:val="000000"/>
                <w:szCs w:val="21"/>
                <w:lang w:val="en-US" w:eastAsia="zh-CN"/>
              </w:rPr>
            </w:pPr>
            <w:r>
              <w:rPr>
                <w:rFonts w:hint="eastAsia" w:eastAsia="仿宋_GB2312" w:cs="Times New Roman"/>
                <w:color w:val="000000"/>
                <w:szCs w:val="21"/>
                <w:lang w:val="en-US" w:eastAsia="zh-CN"/>
              </w:rPr>
              <w:t>中山市福凯科技有限公司二期地块</w:t>
            </w:r>
          </w:p>
        </w:tc>
        <w:tc>
          <w:tcPr>
            <w:tcW w:w="827" w:type="pct"/>
            <w:vAlign w:val="center"/>
          </w:tcPr>
          <w:p w14:paraId="111A6F39">
            <w:pPr>
              <w:keepNext w:val="0"/>
              <w:keepLines w:val="0"/>
              <w:widowControl/>
              <w:suppressLineNumbers w:val="0"/>
              <w:jc w:val="center"/>
              <w:textAlignment w:val="center"/>
              <w:rPr>
                <w:rFonts w:hint="eastAsia"/>
                <w:color w:val="000000"/>
                <w:kern w:val="0"/>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0.31</w:t>
            </w:r>
            <w:r>
              <w:rPr>
                <w:rFonts w:hint="eastAsia" w:ascii="Times New Roman" w:hAnsi="Times New Roman" w:cs="Times New Roman"/>
                <w:i w:val="0"/>
                <w:iCs w:val="0"/>
                <w:color w:val="000000"/>
                <w:kern w:val="0"/>
                <w:sz w:val="21"/>
                <w:szCs w:val="21"/>
                <w:u w:val="none"/>
                <w:lang w:val="en-US" w:eastAsia="zh-CN" w:bidi="ar"/>
              </w:rPr>
              <w:t>40</w:t>
            </w:r>
          </w:p>
        </w:tc>
        <w:tc>
          <w:tcPr>
            <w:tcW w:w="1213" w:type="pct"/>
            <w:vAlign w:val="center"/>
          </w:tcPr>
          <w:p w14:paraId="272D0E19">
            <w:pPr>
              <w:widowControl/>
              <w:spacing w:beforeLines="0" w:afterLines="0" w:line="240" w:lineRule="auto"/>
              <w:ind w:firstLine="0" w:firstLineChars="0"/>
              <w:jc w:val="center"/>
              <w:textAlignment w:val="center"/>
              <w:rPr>
                <w:rFonts w:hint="default" w:eastAsia="仿宋_GB2312" w:cs="Times New Roman"/>
                <w:color w:val="000000"/>
                <w:kern w:val="0"/>
                <w:szCs w:val="21"/>
                <w:lang w:val="en-US" w:eastAsia="zh-CN"/>
              </w:rPr>
            </w:pPr>
            <w:r>
              <w:rPr>
                <w:rFonts w:hint="eastAsia" w:eastAsia="仿宋_GB2312" w:cs="Times New Roman"/>
                <w:color w:val="000000"/>
                <w:kern w:val="0"/>
                <w:szCs w:val="21"/>
                <w:lang w:val="en-US" w:eastAsia="zh-CN"/>
              </w:rPr>
              <w:t>二类工业用地</w:t>
            </w:r>
          </w:p>
        </w:tc>
        <w:tc>
          <w:tcPr>
            <w:tcW w:w="737" w:type="pct"/>
            <w:vAlign w:val="center"/>
          </w:tcPr>
          <w:p w14:paraId="42FBD2DC">
            <w:pPr>
              <w:widowControl/>
              <w:spacing w:beforeLines="0" w:afterLines="0" w:line="240" w:lineRule="auto"/>
              <w:ind w:firstLine="0" w:firstLineChars="0"/>
              <w:jc w:val="center"/>
              <w:rPr>
                <w:rFonts w:hint="eastAsia" w:eastAsia="仿宋_GB2312"/>
                <w:kern w:val="0"/>
                <w:sz w:val="22"/>
                <w:szCs w:val="22"/>
              </w:rPr>
            </w:pPr>
            <w:r>
              <w:rPr>
                <w:rFonts w:hint="eastAsia" w:eastAsia="仿宋_GB2312"/>
                <w:kern w:val="0"/>
                <w:sz w:val="22"/>
                <w:szCs w:val="22"/>
              </w:rPr>
              <w:t>202</w:t>
            </w:r>
            <w:r>
              <w:rPr>
                <w:rFonts w:hint="eastAsia" w:eastAsia="仿宋_GB2312"/>
                <w:kern w:val="0"/>
                <w:sz w:val="22"/>
                <w:szCs w:val="22"/>
                <w:lang w:val="en-US" w:eastAsia="zh-CN"/>
              </w:rPr>
              <w:t>7</w:t>
            </w:r>
            <w:r>
              <w:rPr>
                <w:rFonts w:hint="eastAsia" w:eastAsia="仿宋_GB2312"/>
                <w:kern w:val="0"/>
                <w:sz w:val="22"/>
                <w:szCs w:val="22"/>
              </w:rPr>
              <w:t>年</w:t>
            </w:r>
          </w:p>
        </w:tc>
      </w:tr>
      <w:tr w14:paraId="2A83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221" w:type="pct"/>
            <w:gridSpan w:val="2"/>
            <w:vAlign w:val="center"/>
          </w:tcPr>
          <w:p w14:paraId="7ED1D5F2">
            <w:pPr>
              <w:widowControl/>
              <w:spacing w:beforeLines="0" w:afterLines="0" w:line="240" w:lineRule="auto"/>
              <w:ind w:firstLine="0" w:firstLineChars="0"/>
              <w:jc w:val="center"/>
              <w:textAlignment w:val="center"/>
              <w:rPr>
                <w:rFonts w:hint="default" w:eastAsia="仿宋_GB2312" w:cs="Times New Roman"/>
                <w:color w:val="000000"/>
                <w:szCs w:val="21"/>
                <w:lang w:val="en-US" w:eastAsia="zh-CN"/>
              </w:rPr>
            </w:pPr>
            <w:r>
              <w:rPr>
                <w:rFonts w:hint="eastAsia" w:eastAsia="仿宋_GB2312" w:cs="Times New Roman"/>
                <w:color w:val="000000"/>
                <w:szCs w:val="21"/>
                <w:lang w:val="en-US" w:eastAsia="zh-CN"/>
              </w:rPr>
              <w:t>合计</w:t>
            </w:r>
          </w:p>
        </w:tc>
        <w:tc>
          <w:tcPr>
            <w:tcW w:w="827" w:type="pct"/>
            <w:vAlign w:val="center"/>
          </w:tcPr>
          <w:p w14:paraId="22670565">
            <w:pPr>
              <w:widowControl/>
              <w:spacing w:beforeLines="0" w:afterLines="0" w:line="240" w:lineRule="auto"/>
              <w:ind w:firstLine="0" w:firstLineChars="0"/>
              <w:jc w:val="center"/>
              <w:textAlignment w:val="center"/>
              <w:rPr>
                <w:rFonts w:hint="default"/>
                <w:color w:val="000000"/>
                <w:kern w:val="0"/>
                <w:szCs w:val="21"/>
                <w:lang w:val="en-US" w:eastAsia="zh-CN" w:bidi="ar"/>
              </w:rPr>
            </w:pPr>
            <w:r>
              <w:rPr>
                <w:rFonts w:hint="eastAsia"/>
                <w:color w:val="000000"/>
                <w:kern w:val="0"/>
                <w:szCs w:val="21"/>
                <w:lang w:val="en-US" w:eastAsia="zh-CN" w:bidi="ar"/>
              </w:rPr>
              <w:t>58.1458</w:t>
            </w:r>
          </w:p>
        </w:tc>
        <w:tc>
          <w:tcPr>
            <w:tcW w:w="1213" w:type="pct"/>
            <w:vAlign w:val="center"/>
          </w:tcPr>
          <w:p w14:paraId="2BDBBA7D">
            <w:pPr>
              <w:widowControl/>
              <w:spacing w:beforeLines="0" w:afterLines="0" w:line="240" w:lineRule="auto"/>
              <w:ind w:firstLine="0" w:firstLineChars="0"/>
              <w:jc w:val="center"/>
              <w:textAlignment w:val="center"/>
              <w:rPr>
                <w:rFonts w:hint="eastAsia" w:eastAsia="仿宋_GB2312" w:cs="Times New Roman"/>
                <w:color w:val="000000"/>
                <w:kern w:val="0"/>
                <w:szCs w:val="21"/>
                <w:lang w:val="en-US" w:eastAsia="zh-CN"/>
              </w:rPr>
            </w:pPr>
            <w:r>
              <w:rPr>
                <w:rFonts w:hint="eastAsia" w:eastAsia="仿宋_GB2312" w:cs="Times New Roman"/>
                <w:color w:val="000000"/>
                <w:kern w:val="0"/>
                <w:szCs w:val="21"/>
                <w:lang w:val="en-US" w:eastAsia="zh-CN"/>
              </w:rPr>
              <w:t>——</w:t>
            </w:r>
          </w:p>
        </w:tc>
        <w:tc>
          <w:tcPr>
            <w:tcW w:w="737" w:type="pct"/>
            <w:vAlign w:val="center"/>
          </w:tcPr>
          <w:p w14:paraId="4DF21B77">
            <w:pPr>
              <w:widowControl/>
              <w:spacing w:beforeLines="0" w:afterLines="0" w:line="240" w:lineRule="auto"/>
              <w:ind w:firstLine="0" w:firstLineChars="0"/>
              <w:jc w:val="center"/>
              <w:rPr>
                <w:rFonts w:hint="eastAsia" w:eastAsia="仿宋_GB2312"/>
                <w:kern w:val="0"/>
                <w:sz w:val="22"/>
                <w:szCs w:val="22"/>
                <w:lang w:eastAsia="zh-CN"/>
              </w:rPr>
            </w:pPr>
            <w:r>
              <w:rPr>
                <w:rFonts w:hint="eastAsia" w:eastAsia="仿宋_GB2312"/>
                <w:kern w:val="0"/>
                <w:sz w:val="22"/>
                <w:szCs w:val="22"/>
                <w:lang w:eastAsia="zh-CN"/>
              </w:rPr>
              <w:t>——</w:t>
            </w:r>
          </w:p>
        </w:tc>
      </w:tr>
    </w:tbl>
    <w:p w14:paraId="2CDC77D7">
      <w:pPr>
        <w:spacing w:before="0" w:beforeLines="0" w:after="0" w:afterLines="0" w:line="360" w:lineRule="auto"/>
        <w:ind w:firstLine="643" w:firstLineChars="200"/>
        <w:outlineLvl w:val="1"/>
        <w:rPr>
          <w:rFonts w:eastAsia="仿宋_GB2312"/>
          <w:b/>
          <w:bCs/>
          <w:sz w:val="32"/>
          <w:szCs w:val="32"/>
        </w:rPr>
      </w:pPr>
      <w:r>
        <w:rPr>
          <w:rFonts w:eastAsia="仿宋_GB2312"/>
          <w:b/>
          <w:bCs/>
          <w:sz w:val="32"/>
          <w:szCs w:val="32"/>
        </w:rPr>
        <w:t>五、公益性用地情况</w:t>
      </w:r>
    </w:p>
    <w:p w14:paraId="6A4123E5">
      <w:pPr>
        <w:spacing w:beforeLines="0" w:afterLines="0" w:line="360" w:lineRule="auto"/>
        <w:ind w:firstLine="560" w:firstLineChars="200"/>
        <w:rPr>
          <w:rFonts w:eastAsia="仿宋_GB2312"/>
          <w:sz w:val="28"/>
          <w:szCs w:val="28"/>
          <w:highlight w:val="none"/>
        </w:rPr>
      </w:pPr>
      <w:r>
        <w:rPr>
          <w:rFonts w:eastAsia="仿宋_GB2312"/>
          <w:sz w:val="28"/>
          <w:szCs w:val="28"/>
        </w:rPr>
        <w:t>成片开发区域内公益性用地主要为</w:t>
      </w:r>
      <w:r>
        <w:rPr>
          <w:rFonts w:hint="eastAsia" w:eastAsia="仿宋_GB2312"/>
          <w:sz w:val="28"/>
          <w:szCs w:val="28"/>
          <w:lang w:val="en-US" w:eastAsia="zh-CN"/>
        </w:rPr>
        <w:t>城市道路用地、</w:t>
      </w:r>
      <w:bookmarkStart w:id="0" w:name="OLE_LINK1"/>
      <w:r>
        <w:rPr>
          <w:rFonts w:hint="eastAsia" w:eastAsia="仿宋_GB2312"/>
          <w:sz w:val="28"/>
          <w:szCs w:val="28"/>
        </w:rPr>
        <w:t>教育科研用地</w:t>
      </w:r>
      <w:bookmarkEnd w:id="0"/>
      <w:r>
        <w:rPr>
          <w:rFonts w:eastAsia="仿宋_GB2312"/>
          <w:sz w:val="28"/>
          <w:szCs w:val="28"/>
        </w:rPr>
        <w:t>。经核查，成片开发范围符</w:t>
      </w:r>
      <w:r>
        <w:rPr>
          <w:rFonts w:eastAsia="仿宋_GB2312"/>
          <w:sz w:val="28"/>
          <w:szCs w:val="28"/>
          <w:highlight w:val="none"/>
        </w:rPr>
        <w:t>合</w:t>
      </w:r>
      <w:r>
        <w:rPr>
          <w:rFonts w:hint="eastAsia" w:eastAsia="仿宋_GB2312"/>
          <w:sz w:val="28"/>
          <w:szCs w:val="28"/>
          <w:highlight w:val="none"/>
        </w:rPr>
        <w:t>《广东省自然资源厅关于进一步规范土地征收成片开发工作的通知》（粤自然资规字〔2024〕7号）</w:t>
      </w:r>
      <w:r>
        <w:rPr>
          <w:rFonts w:hint="eastAsia" w:eastAsia="仿宋_GB2312"/>
          <w:sz w:val="28"/>
          <w:szCs w:val="28"/>
          <w:highlight w:val="none"/>
          <w:lang w:val="en-US" w:eastAsia="zh-CN"/>
        </w:rPr>
        <w:t>在城镇开发边界内，其他地区</w:t>
      </w:r>
      <w:r>
        <w:rPr>
          <w:rFonts w:eastAsia="仿宋_GB2312"/>
          <w:sz w:val="28"/>
          <w:szCs w:val="28"/>
          <w:highlight w:val="none"/>
        </w:rPr>
        <w:t>公益性用地比例一般不低于</w:t>
      </w:r>
      <w:r>
        <w:rPr>
          <w:rFonts w:hint="eastAsia" w:eastAsia="仿宋_GB2312"/>
          <w:sz w:val="28"/>
          <w:szCs w:val="28"/>
          <w:highlight w:val="none"/>
          <w:lang w:eastAsia="zh-CN"/>
        </w:rPr>
        <w:t>3</w:t>
      </w:r>
      <w:r>
        <w:rPr>
          <w:rFonts w:hint="eastAsia" w:eastAsia="仿宋_GB2312"/>
          <w:sz w:val="28"/>
          <w:szCs w:val="28"/>
          <w:highlight w:val="none"/>
          <w:lang w:val="en-US" w:eastAsia="zh-CN"/>
        </w:rPr>
        <w:t>0</w:t>
      </w:r>
      <w:r>
        <w:rPr>
          <w:rFonts w:eastAsia="仿宋_GB2312"/>
          <w:sz w:val="28"/>
          <w:szCs w:val="28"/>
          <w:highlight w:val="none"/>
        </w:rPr>
        <w:t>%的要求。</w:t>
      </w:r>
    </w:p>
    <w:p w14:paraId="4EBFC401">
      <w:pPr>
        <w:spacing w:beforeLines="0" w:afterLines="0" w:line="240" w:lineRule="auto"/>
        <w:ind w:firstLine="482" w:firstLineChars="200"/>
        <w:jc w:val="center"/>
        <w:rPr>
          <w:rFonts w:eastAsia="仿宋_GB2312"/>
          <w:b/>
          <w:bCs/>
          <w:sz w:val="24"/>
        </w:rPr>
      </w:pPr>
      <w:r>
        <w:rPr>
          <w:rFonts w:eastAsia="仿宋_GB2312"/>
          <w:b/>
          <w:bCs/>
          <w:sz w:val="24"/>
        </w:rPr>
        <w:t>表3  公益性用地情况一览表</w:t>
      </w:r>
    </w:p>
    <w:p w14:paraId="4E0FC683">
      <w:pPr>
        <w:spacing w:beforeLines="0" w:afterLines="0" w:line="240" w:lineRule="auto"/>
        <w:ind w:firstLine="420" w:firstLineChars="200"/>
        <w:jc w:val="right"/>
        <w:rPr>
          <w:rFonts w:eastAsia="仿宋_GB2312"/>
        </w:rPr>
      </w:pPr>
      <w:r>
        <w:rPr>
          <w:rFonts w:eastAsia="仿宋_GB2312"/>
        </w:rPr>
        <w:t>单位：公顷、%</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7"/>
        <w:gridCol w:w="1833"/>
        <w:gridCol w:w="1598"/>
        <w:gridCol w:w="2155"/>
      </w:tblGrid>
      <w:tr w14:paraId="6193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blHeader/>
        </w:trPr>
        <w:tc>
          <w:tcPr>
            <w:tcW w:w="1719" w:type="pct"/>
            <w:vAlign w:val="center"/>
          </w:tcPr>
          <w:p w14:paraId="29D0BE1A">
            <w:pPr>
              <w:spacing w:beforeLines="0" w:afterLines="0" w:line="240" w:lineRule="auto"/>
              <w:ind w:left="0" w:leftChars="0" w:firstLine="0" w:firstLineChars="0"/>
              <w:jc w:val="center"/>
              <w:rPr>
                <w:rFonts w:eastAsia="仿宋_GB2312"/>
                <w:b/>
                <w:bCs/>
                <w:sz w:val="22"/>
                <w:szCs w:val="22"/>
              </w:rPr>
            </w:pPr>
            <w:r>
              <w:rPr>
                <w:rFonts w:hint="eastAsia" w:eastAsia="仿宋_GB2312"/>
                <w:b/>
                <w:bCs/>
                <w:sz w:val="22"/>
                <w:szCs w:val="22"/>
              </w:rPr>
              <w:t>地块</w:t>
            </w:r>
            <w:r>
              <w:rPr>
                <w:rFonts w:eastAsia="仿宋_GB2312"/>
                <w:b/>
                <w:bCs/>
                <w:sz w:val="22"/>
                <w:szCs w:val="22"/>
              </w:rPr>
              <w:t>名称</w:t>
            </w:r>
          </w:p>
        </w:tc>
        <w:tc>
          <w:tcPr>
            <w:tcW w:w="1076" w:type="pct"/>
            <w:vAlign w:val="center"/>
          </w:tcPr>
          <w:p w14:paraId="417B3352">
            <w:pPr>
              <w:spacing w:beforeLines="0" w:afterLines="0" w:line="240" w:lineRule="auto"/>
              <w:ind w:left="0" w:leftChars="0" w:firstLine="0" w:firstLineChars="0"/>
              <w:jc w:val="center"/>
              <w:rPr>
                <w:rFonts w:eastAsia="仿宋_GB2312"/>
                <w:b/>
                <w:bCs/>
                <w:sz w:val="22"/>
                <w:szCs w:val="22"/>
              </w:rPr>
            </w:pPr>
            <w:r>
              <w:rPr>
                <w:rFonts w:eastAsia="仿宋_GB2312"/>
                <w:b/>
                <w:bCs/>
                <w:sz w:val="22"/>
                <w:szCs w:val="22"/>
              </w:rPr>
              <w:t>公益性用地面积</w:t>
            </w:r>
          </w:p>
        </w:tc>
        <w:tc>
          <w:tcPr>
            <w:tcW w:w="938" w:type="pct"/>
            <w:vAlign w:val="center"/>
          </w:tcPr>
          <w:p w14:paraId="0E7BCCCE">
            <w:pPr>
              <w:spacing w:beforeLines="0" w:afterLines="0" w:line="240" w:lineRule="auto"/>
              <w:ind w:left="0" w:leftChars="0" w:firstLine="0" w:firstLineChars="0"/>
              <w:jc w:val="center"/>
              <w:rPr>
                <w:rFonts w:eastAsia="仿宋_GB2312"/>
                <w:b/>
                <w:bCs/>
                <w:sz w:val="22"/>
                <w:szCs w:val="22"/>
              </w:rPr>
            </w:pPr>
            <w:r>
              <w:rPr>
                <w:rFonts w:eastAsia="仿宋_GB2312"/>
                <w:b/>
                <w:bCs/>
                <w:sz w:val="22"/>
                <w:szCs w:val="22"/>
              </w:rPr>
              <w:t>总用地面积</w:t>
            </w:r>
          </w:p>
        </w:tc>
        <w:tc>
          <w:tcPr>
            <w:tcW w:w="1265" w:type="pct"/>
            <w:vAlign w:val="center"/>
          </w:tcPr>
          <w:p w14:paraId="11BAE696">
            <w:pPr>
              <w:spacing w:beforeLines="0" w:afterLines="0" w:line="240" w:lineRule="auto"/>
              <w:ind w:left="0" w:leftChars="0" w:firstLine="0" w:firstLineChars="0"/>
              <w:jc w:val="center"/>
              <w:rPr>
                <w:rFonts w:eastAsia="仿宋_GB2312"/>
                <w:b/>
                <w:bCs/>
                <w:sz w:val="22"/>
                <w:szCs w:val="22"/>
              </w:rPr>
            </w:pPr>
            <w:r>
              <w:rPr>
                <w:rFonts w:eastAsia="仿宋_GB2312"/>
                <w:b/>
                <w:bCs/>
                <w:sz w:val="22"/>
                <w:szCs w:val="22"/>
              </w:rPr>
              <w:t>公益性用地比例</w:t>
            </w:r>
          </w:p>
        </w:tc>
      </w:tr>
      <w:tr w14:paraId="06DD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pct"/>
            <w:vAlign w:val="center"/>
          </w:tcPr>
          <w:p w14:paraId="6D557FAA">
            <w:pPr>
              <w:widowControl/>
              <w:spacing w:beforeLines="0" w:afterLines="0" w:line="240" w:lineRule="auto"/>
              <w:ind w:firstLine="0" w:firstLineChars="0"/>
              <w:jc w:val="center"/>
              <w:textAlignment w:val="center"/>
              <w:rPr>
                <w:rFonts w:ascii="仿宋_GB2312" w:hAnsi="仿宋_GB2312" w:eastAsia="仿宋_GB2312" w:cs="仿宋_GB2312"/>
                <w:sz w:val="22"/>
                <w:szCs w:val="22"/>
              </w:rPr>
            </w:pPr>
            <w:r>
              <w:rPr>
                <w:rFonts w:hint="eastAsia" w:eastAsia="仿宋_GB2312" w:cs="Times New Roman"/>
                <w:color w:val="000000"/>
                <w:szCs w:val="21"/>
                <w:lang w:val="en-US" w:eastAsia="zh-CN"/>
              </w:rPr>
              <w:t>产业平台项目地块-2</w:t>
            </w:r>
          </w:p>
        </w:tc>
        <w:tc>
          <w:tcPr>
            <w:tcW w:w="1076" w:type="pct"/>
            <w:vAlign w:val="center"/>
          </w:tcPr>
          <w:p w14:paraId="523781E8">
            <w:pPr>
              <w:keepNext w:val="0"/>
              <w:keepLines w:val="0"/>
              <w:widowControl/>
              <w:suppressLineNumbers w:val="0"/>
              <w:jc w:val="center"/>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11.6063</w:t>
            </w:r>
          </w:p>
        </w:tc>
        <w:tc>
          <w:tcPr>
            <w:tcW w:w="938" w:type="pct"/>
            <w:vAlign w:val="center"/>
          </w:tcPr>
          <w:p w14:paraId="6E5E2407">
            <w:pPr>
              <w:keepNext w:val="0"/>
              <w:keepLines w:val="0"/>
              <w:widowControl/>
              <w:suppressLineNumbers w:val="0"/>
              <w:jc w:val="center"/>
              <w:textAlignment w:val="center"/>
              <w:rPr>
                <w:rFonts w:hint="default" w:eastAsia="仿宋_GB2312"/>
                <w:sz w:val="22"/>
                <w:szCs w:val="22"/>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36.5273</w:t>
            </w:r>
          </w:p>
        </w:tc>
        <w:tc>
          <w:tcPr>
            <w:tcW w:w="1265" w:type="pct"/>
            <w:vAlign w:val="center"/>
          </w:tcPr>
          <w:p w14:paraId="1DAB77D1">
            <w:pPr>
              <w:widowControl/>
              <w:spacing w:beforeLines="0" w:afterLines="0" w:line="240" w:lineRule="auto"/>
              <w:ind w:firstLine="0" w:firstLineChars="0"/>
              <w:jc w:val="center"/>
              <w:textAlignment w:val="center"/>
              <w:rPr>
                <w:rFonts w:hint="default" w:eastAsia="仿宋_GB2312"/>
                <w:sz w:val="22"/>
                <w:szCs w:val="22"/>
                <w:lang w:val="en-US" w:eastAsia="zh-CN"/>
              </w:rPr>
            </w:pPr>
            <w:r>
              <w:rPr>
                <w:rFonts w:hint="eastAsia" w:eastAsia="仿宋_GB2312"/>
                <w:color w:val="000000" w:themeColor="text1"/>
                <w:szCs w:val="21"/>
                <w:lang w:val="en-US" w:eastAsia="zh-CN"/>
                <w14:textFill>
                  <w14:solidFill>
                    <w14:schemeClr w14:val="tx1"/>
                  </w14:solidFill>
                </w14:textFill>
              </w:rPr>
              <w:t>31.77</w:t>
            </w:r>
          </w:p>
        </w:tc>
      </w:tr>
      <w:tr w14:paraId="0325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pct"/>
            <w:vAlign w:val="center"/>
          </w:tcPr>
          <w:p w14:paraId="01F3A833">
            <w:pPr>
              <w:widowControl/>
              <w:spacing w:beforeLines="0" w:afterLines="0" w:line="240" w:lineRule="auto"/>
              <w:ind w:firstLine="0" w:firstLineChars="0"/>
              <w:jc w:val="center"/>
              <w:textAlignment w:val="center"/>
              <w:rPr>
                <w:rFonts w:hint="eastAsia" w:ascii="Times New Roman" w:hAnsi="Times New Roman" w:eastAsia="仿宋_GB2312" w:cs="Times New Roman"/>
                <w:color w:val="000000"/>
                <w:szCs w:val="21"/>
              </w:rPr>
            </w:pPr>
            <w:bookmarkStart w:id="1" w:name="_Toc72190178"/>
            <w:r>
              <w:rPr>
                <w:rFonts w:hint="eastAsia" w:eastAsia="仿宋_GB2312" w:cs="Times New Roman"/>
                <w:color w:val="000000"/>
                <w:szCs w:val="21"/>
                <w:lang w:val="en-US" w:eastAsia="zh-CN"/>
              </w:rPr>
              <w:t>产业平台项目地块-3</w:t>
            </w:r>
          </w:p>
        </w:tc>
        <w:tc>
          <w:tcPr>
            <w:tcW w:w="1076" w:type="pct"/>
            <w:vAlign w:val="center"/>
          </w:tcPr>
          <w:p w14:paraId="6B5EA51D">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4.6429</w:t>
            </w:r>
          </w:p>
        </w:tc>
        <w:tc>
          <w:tcPr>
            <w:tcW w:w="938" w:type="pct"/>
            <w:vAlign w:val="center"/>
          </w:tcPr>
          <w:p w14:paraId="73351482">
            <w:pPr>
              <w:keepNext w:val="0"/>
              <w:keepLines w:val="0"/>
              <w:widowControl/>
              <w:suppressLineNumbers w:val="0"/>
              <w:jc w:val="center"/>
              <w:textAlignment w:val="center"/>
              <w:rPr>
                <w:rFonts w:hint="default" w:eastAsia="仿宋_GB2312"/>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4.6591</w:t>
            </w:r>
          </w:p>
        </w:tc>
        <w:tc>
          <w:tcPr>
            <w:tcW w:w="1265" w:type="pct"/>
            <w:vAlign w:val="center"/>
          </w:tcPr>
          <w:p w14:paraId="161FFB82">
            <w:pPr>
              <w:widowControl/>
              <w:spacing w:beforeLines="0" w:afterLines="0" w:line="240" w:lineRule="auto"/>
              <w:ind w:firstLine="0" w:firstLineChars="0"/>
              <w:jc w:val="center"/>
              <w:textAlignment w:val="center"/>
              <w:rPr>
                <w:rFonts w:hint="default" w:eastAsia="仿宋_GB2312"/>
                <w:color w:val="000000" w:themeColor="text1"/>
                <w:szCs w:val="21"/>
                <w:lang w:val="en-US" w:eastAsia="zh-CN"/>
                <w14:textFill>
                  <w14:solidFill>
                    <w14:schemeClr w14:val="tx1"/>
                  </w14:solidFill>
                </w14:textFill>
              </w:rPr>
            </w:pPr>
            <w:r>
              <w:rPr>
                <w:rFonts w:hint="eastAsia" w:eastAsia="仿宋_GB2312"/>
                <w:color w:val="000000" w:themeColor="text1"/>
                <w:szCs w:val="21"/>
                <w:lang w:val="en-US" w:eastAsia="zh-CN"/>
                <w14:textFill>
                  <w14:solidFill>
                    <w14:schemeClr w14:val="tx1"/>
                  </w14:solidFill>
                </w14:textFill>
              </w:rPr>
              <w:t>99.65</w:t>
            </w:r>
          </w:p>
        </w:tc>
      </w:tr>
      <w:tr w14:paraId="75A6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pct"/>
            <w:vAlign w:val="center"/>
          </w:tcPr>
          <w:p w14:paraId="7C11399B">
            <w:pPr>
              <w:widowControl/>
              <w:spacing w:beforeLines="0" w:afterLines="0" w:line="240" w:lineRule="auto"/>
              <w:ind w:firstLine="0" w:firstLineChars="0"/>
              <w:jc w:val="center"/>
              <w:textAlignment w:val="center"/>
              <w:rPr>
                <w:rFonts w:hint="eastAsia" w:eastAsia="仿宋_GB2312" w:cs="Times New Roman"/>
                <w:color w:val="000000"/>
                <w:szCs w:val="21"/>
                <w:lang w:val="en-US" w:eastAsia="zh-CN"/>
              </w:rPr>
            </w:pPr>
            <w:r>
              <w:rPr>
                <w:rFonts w:hint="eastAsia" w:eastAsia="仿宋_GB2312" w:cs="Times New Roman"/>
                <w:color w:val="000000"/>
                <w:szCs w:val="21"/>
                <w:lang w:val="en-US" w:eastAsia="zh-CN"/>
              </w:rPr>
              <w:t>深圳市深博智能制造有限公司项目地块</w:t>
            </w:r>
          </w:p>
        </w:tc>
        <w:tc>
          <w:tcPr>
            <w:tcW w:w="1076" w:type="pct"/>
            <w:vAlign w:val="center"/>
          </w:tcPr>
          <w:p w14:paraId="150B3115">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1.519</w:t>
            </w:r>
            <w:r>
              <w:rPr>
                <w:rFonts w:hint="eastAsia" w:ascii="Times New Roman" w:hAnsi="Times New Roman" w:cs="Times New Roman"/>
                <w:i w:val="0"/>
                <w:iCs w:val="0"/>
                <w:color w:val="000000"/>
                <w:kern w:val="0"/>
                <w:sz w:val="21"/>
                <w:szCs w:val="21"/>
                <w:u w:val="none"/>
                <w:lang w:val="en-US" w:eastAsia="zh-CN" w:bidi="ar"/>
              </w:rPr>
              <w:t>0</w:t>
            </w:r>
          </w:p>
        </w:tc>
        <w:tc>
          <w:tcPr>
            <w:tcW w:w="938" w:type="pct"/>
            <w:vAlign w:val="center"/>
          </w:tcPr>
          <w:p w14:paraId="473C0FA9">
            <w:pPr>
              <w:keepNext w:val="0"/>
              <w:keepLines w:val="0"/>
              <w:widowControl/>
              <w:suppressLineNumbers w:val="0"/>
              <w:jc w:val="center"/>
              <w:textAlignment w:val="center"/>
              <w:rPr>
                <w:rFonts w:hint="eastAsia" w:eastAsia="仿宋_GB2312"/>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6.7123</w:t>
            </w:r>
          </w:p>
        </w:tc>
        <w:tc>
          <w:tcPr>
            <w:tcW w:w="1265" w:type="pct"/>
            <w:vAlign w:val="center"/>
          </w:tcPr>
          <w:p w14:paraId="3AE42CAB">
            <w:pPr>
              <w:widowControl/>
              <w:spacing w:beforeLines="0" w:afterLines="0" w:line="240" w:lineRule="auto"/>
              <w:ind w:firstLine="0" w:firstLineChars="0"/>
              <w:jc w:val="center"/>
              <w:textAlignment w:val="center"/>
              <w:rPr>
                <w:rFonts w:hint="default" w:eastAsia="仿宋_GB2312"/>
                <w:color w:val="000000" w:themeColor="text1"/>
                <w:szCs w:val="21"/>
                <w:lang w:val="en-US" w:eastAsia="zh-CN"/>
                <w14:textFill>
                  <w14:solidFill>
                    <w14:schemeClr w14:val="tx1"/>
                  </w14:solidFill>
                </w14:textFill>
              </w:rPr>
            </w:pPr>
            <w:r>
              <w:rPr>
                <w:rFonts w:hint="eastAsia" w:eastAsia="仿宋_GB2312"/>
                <w:color w:val="000000" w:themeColor="text1"/>
                <w:szCs w:val="21"/>
                <w:lang w:val="en-US" w:eastAsia="zh-CN"/>
                <w14:textFill>
                  <w14:solidFill>
                    <w14:schemeClr w14:val="tx1"/>
                  </w14:solidFill>
                </w14:textFill>
              </w:rPr>
              <w:t>22.63</w:t>
            </w:r>
          </w:p>
        </w:tc>
      </w:tr>
      <w:tr w14:paraId="2322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pct"/>
            <w:vAlign w:val="center"/>
          </w:tcPr>
          <w:p w14:paraId="763C74F1">
            <w:pPr>
              <w:widowControl/>
              <w:spacing w:beforeLines="0" w:afterLines="0" w:line="240" w:lineRule="auto"/>
              <w:ind w:firstLine="0" w:firstLineChars="0"/>
              <w:jc w:val="center"/>
              <w:textAlignment w:val="center"/>
              <w:rPr>
                <w:rFonts w:hint="eastAsia" w:eastAsia="仿宋_GB2312" w:cs="Times New Roman"/>
                <w:color w:val="000000"/>
                <w:szCs w:val="21"/>
                <w:lang w:val="en-US" w:eastAsia="zh-CN"/>
              </w:rPr>
            </w:pPr>
            <w:r>
              <w:rPr>
                <w:rFonts w:hint="eastAsia" w:eastAsia="仿宋_GB2312" w:cs="Times New Roman"/>
                <w:color w:val="000000"/>
                <w:szCs w:val="21"/>
                <w:lang w:val="en-US" w:eastAsia="zh-CN"/>
              </w:rPr>
              <w:t>中山市大田汽车护理用品有限公司增资扩产项目地块</w:t>
            </w:r>
          </w:p>
        </w:tc>
        <w:tc>
          <w:tcPr>
            <w:tcW w:w="1076" w:type="pct"/>
            <w:vAlign w:val="center"/>
          </w:tcPr>
          <w:p w14:paraId="3D00E478">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1.3658</w:t>
            </w:r>
          </w:p>
        </w:tc>
        <w:tc>
          <w:tcPr>
            <w:tcW w:w="938" w:type="pct"/>
            <w:vAlign w:val="center"/>
          </w:tcPr>
          <w:p w14:paraId="2C3811C9">
            <w:pPr>
              <w:keepNext w:val="0"/>
              <w:keepLines w:val="0"/>
              <w:widowControl/>
              <w:suppressLineNumbers w:val="0"/>
              <w:jc w:val="center"/>
              <w:textAlignment w:val="center"/>
              <w:rPr>
                <w:rFonts w:hint="eastAsia" w:eastAsia="仿宋_GB2312"/>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4.7955</w:t>
            </w:r>
          </w:p>
        </w:tc>
        <w:tc>
          <w:tcPr>
            <w:tcW w:w="1265" w:type="pct"/>
            <w:vAlign w:val="center"/>
          </w:tcPr>
          <w:p w14:paraId="603544A4">
            <w:pPr>
              <w:widowControl/>
              <w:spacing w:beforeLines="0" w:afterLines="0" w:line="240" w:lineRule="auto"/>
              <w:ind w:firstLine="0" w:firstLineChars="0"/>
              <w:jc w:val="center"/>
              <w:textAlignment w:val="center"/>
              <w:rPr>
                <w:rFonts w:hint="default" w:eastAsia="仿宋_GB2312"/>
                <w:color w:val="000000" w:themeColor="text1"/>
                <w:szCs w:val="21"/>
                <w:lang w:val="en-US" w:eastAsia="zh-CN"/>
                <w14:textFill>
                  <w14:solidFill>
                    <w14:schemeClr w14:val="tx1"/>
                  </w14:solidFill>
                </w14:textFill>
              </w:rPr>
            </w:pPr>
            <w:r>
              <w:rPr>
                <w:rFonts w:hint="eastAsia" w:eastAsia="仿宋_GB2312"/>
                <w:color w:val="000000" w:themeColor="text1"/>
                <w:szCs w:val="21"/>
                <w:lang w:val="en-US" w:eastAsia="zh-CN"/>
                <w14:textFill>
                  <w14:solidFill>
                    <w14:schemeClr w14:val="tx1"/>
                  </w14:solidFill>
                </w14:textFill>
              </w:rPr>
              <w:t>28.48</w:t>
            </w:r>
          </w:p>
        </w:tc>
      </w:tr>
      <w:tr w14:paraId="1633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pct"/>
            <w:vAlign w:val="center"/>
          </w:tcPr>
          <w:p w14:paraId="797D910D">
            <w:pPr>
              <w:widowControl/>
              <w:spacing w:beforeLines="0" w:afterLines="0" w:line="240" w:lineRule="auto"/>
              <w:ind w:firstLine="0" w:firstLineChars="0"/>
              <w:jc w:val="center"/>
              <w:textAlignment w:val="center"/>
              <w:rPr>
                <w:rFonts w:hint="eastAsia" w:eastAsia="仿宋_GB2312" w:cs="Times New Roman"/>
                <w:color w:val="000000"/>
                <w:szCs w:val="21"/>
                <w:lang w:val="en-US" w:eastAsia="zh-CN"/>
              </w:rPr>
            </w:pPr>
            <w:r>
              <w:rPr>
                <w:rFonts w:hint="eastAsia" w:eastAsia="仿宋_GB2312" w:cs="Times New Roman"/>
                <w:color w:val="000000"/>
                <w:szCs w:val="21"/>
                <w:lang w:val="en-US" w:eastAsia="zh-CN"/>
              </w:rPr>
              <w:t>英维克增资扩产及产业平台配套用地项目地块</w:t>
            </w:r>
          </w:p>
        </w:tc>
        <w:tc>
          <w:tcPr>
            <w:tcW w:w="1076" w:type="pct"/>
            <w:vAlign w:val="center"/>
          </w:tcPr>
          <w:p w14:paraId="10EFAAA6">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1.9296</w:t>
            </w:r>
          </w:p>
        </w:tc>
        <w:tc>
          <w:tcPr>
            <w:tcW w:w="938" w:type="pct"/>
            <w:vAlign w:val="center"/>
          </w:tcPr>
          <w:p w14:paraId="14DC991D">
            <w:pPr>
              <w:keepNext w:val="0"/>
              <w:keepLines w:val="0"/>
              <w:widowControl/>
              <w:suppressLineNumbers w:val="0"/>
              <w:jc w:val="center"/>
              <w:textAlignment w:val="center"/>
              <w:rPr>
                <w:rFonts w:hint="eastAsia" w:eastAsia="仿宋_GB2312"/>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3.8761</w:t>
            </w:r>
          </w:p>
        </w:tc>
        <w:tc>
          <w:tcPr>
            <w:tcW w:w="1265" w:type="pct"/>
            <w:vAlign w:val="center"/>
          </w:tcPr>
          <w:p w14:paraId="2A425B78">
            <w:pPr>
              <w:widowControl/>
              <w:spacing w:beforeLines="0" w:afterLines="0" w:line="240" w:lineRule="auto"/>
              <w:ind w:firstLine="0" w:firstLineChars="0"/>
              <w:jc w:val="center"/>
              <w:textAlignment w:val="center"/>
              <w:rPr>
                <w:rFonts w:hint="default" w:eastAsia="仿宋_GB2312"/>
                <w:color w:val="000000" w:themeColor="text1"/>
                <w:szCs w:val="21"/>
                <w:lang w:val="en-US" w:eastAsia="zh-CN"/>
                <w14:textFill>
                  <w14:solidFill>
                    <w14:schemeClr w14:val="tx1"/>
                  </w14:solidFill>
                </w14:textFill>
              </w:rPr>
            </w:pPr>
            <w:r>
              <w:rPr>
                <w:rFonts w:hint="eastAsia" w:eastAsia="仿宋_GB2312"/>
                <w:color w:val="000000" w:themeColor="text1"/>
                <w:szCs w:val="21"/>
                <w:lang w:val="en-US" w:eastAsia="zh-CN"/>
                <w14:textFill>
                  <w14:solidFill>
                    <w14:schemeClr w14:val="tx1"/>
                  </w14:solidFill>
                </w14:textFill>
              </w:rPr>
              <w:t>49.78</w:t>
            </w:r>
          </w:p>
        </w:tc>
      </w:tr>
      <w:tr w14:paraId="3286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pct"/>
            <w:vAlign w:val="center"/>
          </w:tcPr>
          <w:p w14:paraId="2E9D892E">
            <w:pPr>
              <w:widowControl/>
              <w:spacing w:beforeLines="0" w:afterLines="0" w:line="240" w:lineRule="auto"/>
              <w:ind w:firstLine="0" w:firstLineChars="0"/>
              <w:jc w:val="center"/>
              <w:textAlignment w:val="center"/>
              <w:rPr>
                <w:rFonts w:hint="eastAsia" w:eastAsia="仿宋_GB2312" w:cs="Times New Roman"/>
                <w:color w:val="000000"/>
                <w:szCs w:val="21"/>
                <w:lang w:val="en-US" w:eastAsia="zh-CN"/>
              </w:rPr>
            </w:pPr>
            <w:r>
              <w:rPr>
                <w:rFonts w:hint="eastAsia" w:eastAsia="仿宋_GB2312" w:cs="Times New Roman"/>
                <w:color w:val="000000"/>
                <w:szCs w:val="21"/>
                <w:lang w:val="en-US" w:eastAsia="zh-CN"/>
              </w:rPr>
              <w:t>产业平台体育场馆用地及配套用地项目地块</w:t>
            </w:r>
          </w:p>
        </w:tc>
        <w:tc>
          <w:tcPr>
            <w:tcW w:w="1076" w:type="pct"/>
            <w:vAlign w:val="center"/>
          </w:tcPr>
          <w:p w14:paraId="488F1ABC">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1.2615</w:t>
            </w:r>
          </w:p>
        </w:tc>
        <w:tc>
          <w:tcPr>
            <w:tcW w:w="938" w:type="pct"/>
            <w:vAlign w:val="center"/>
          </w:tcPr>
          <w:p w14:paraId="023443E0">
            <w:pPr>
              <w:keepNext w:val="0"/>
              <w:keepLines w:val="0"/>
              <w:widowControl/>
              <w:suppressLineNumbers w:val="0"/>
              <w:jc w:val="center"/>
              <w:textAlignment w:val="center"/>
              <w:rPr>
                <w:rFonts w:hint="eastAsia" w:eastAsia="仿宋_GB2312"/>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1.2615</w:t>
            </w:r>
          </w:p>
        </w:tc>
        <w:tc>
          <w:tcPr>
            <w:tcW w:w="1265" w:type="pct"/>
            <w:vAlign w:val="center"/>
          </w:tcPr>
          <w:p w14:paraId="779C3D95">
            <w:pPr>
              <w:widowControl/>
              <w:spacing w:beforeLines="0" w:afterLines="0" w:line="240" w:lineRule="auto"/>
              <w:ind w:firstLine="0" w:firstLineChars="0"/>
              <w:jc w:val="center"/>
              <w:textAlignment w:val="center"/>
              <w:rPr>
                <w:rFonts w:hint="default" w:eastAsia="仿宋_GB2312"/>
                <w:color w:val="000000" w:themeColor="text1"/>
                <w:szCs w:val="21"/>
                <w:lang w:val="en-US" w:eastAsia="zh-CN"/>
                <w14:textFill>
                  <w14:solidFill>
                    <w14:schemeClr w14:val="tx1"/>
                  </w14:solidFill>
                </w14:textFill>
              </w:rPr>
            </w:pPr>
            <w:r>
              <w:rPr>
                <w:rFonts w:hint="eastAsia" w:eastAsia="仿宋_GB2312"/>
                <w:color w:val="000000" w:themeColor="text1"/>
                <w:szCs w:val="21"/>
                <w:lang w:val="en-US" w:eastAsia="zh-CN"/>
                <w14:textFill>
                  <w14:solidFill>
                    <w14:schemeClr w14:val="tx1"/>
                  </w14:solidFill>
                </w14:textFill>
              </w:rPr>
              <w:t>100</w:t>
            </w:r>
          </w:p>
        </w:tc>
      </w:tr>
      <w:tr w14:paraId="3B3A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pct"/>
            <w:vAlign w:val="center"/>
          </w:tcPr>
          <w:p w14:paraId="7584DADC">
            <w:pPr>
              <w:widowControl/>
              <w:spacing w:beforeLines="0" w:afterLines="0" w:line="240" w:lineRule="auto"/>
              <w:ind w:firstLine="0" w:firstLineChars="0"/>
              <w:jc w:val="center"/>
              <w:textAlignment w:val="center"/>
              <w:rPr>
                <w:rFonts w:hint="eastAsia" w:eastAsia="仿宋_GB2312" w:cs="Times New Roman"/>
                <w:color w:val="000000"/>
                <w:szCs w:val="21"/>
                <w:lang w:val="en-US" w:eastAsia="zh-CN"/>
              </w:rPr>
            </w:pPr>
            <w:r>
              <w:rPr>
                <w:rFonts w:hint="eastAsia" w:eastAsia="仿宋_GB2312" w:cs="Times New Roman"/>
                <w:color w:val="000000"/>
                <w:szCs w:val="21"/>
                <w:lang w:val="en-US" w:eastAsia="zh-CN"/>
              </w:rPr>
              <w:t>中山市福凯科技有限公司二期地块</w:t>
            </w:r>
          </w:p>
        </w:tc>
        <w:tc>
          <w:tcPr>
            <w:tcW w:w="1076" w:type="pct"/>
            <w:vAlign w:val="center"/>
          </w:tcPr>
          <w:p w14:paraId="3F0CF06D">
            <w:pPr>
              <w:widowControl/>
              <w:spacing w:beforeLines="0" w:afterLines="0" w:line="240" w:lineRule="auto"/>
              <w:ind w:firstLine="0" w:firstLineChars="0"/>
              <w:jc w:val="center"/>
              <w:textAlignment w:val="center"/>
              <w:rPr>
                <w:rFonts w:hint="default" w:eastAsia="仿宋_GB2312"/>
                <w:color w:val="000000" w:themeColor="text1"/>
                <w:kern w:val="0"/>
                <w:szCs w:val="21"/>
                <w:lang w:val="en-US" w:eastAsia="zh-CN"/>
                <w14:textFill>
                  <w14:solidFill>
                    <w14:schemeClr w14:val="tx1"/>
                  </w14:solidFill>
                </w14:textFill>
              </w:rPr>
            </w:pPr>
            <w:r>
              <w:rPr>
                <w:rFonts w:hint="eastAsia" w:eastAsia="仿宋_GB2312"/>
                <w:color w:val="000000" w:themeColor="text1"/>
                <w:kern w:val="0"/>
                <w:szCs w:val="21"/>
                <w:lang w:val="en-US" w:eastAsia="zh-CN"/>
                <w14:textFill>
                  <w14:solidFill>
                    <w14:schemeClr w14:val="tx1"/>
                  </w14:solidFill>
                </w14:textFill>
              </w:rPr>
              <w:t>0</w:t>
            </w:r>
          </w:p>
        </w:tc>
        <w:tc>
          <w:tcPr>
            <w:tcW w:w="938" w:type="pct"/>
            <w:vAlign w:val="center"/>
          </w:tcPr>
          <w:p w14:paraId="55BAAC7B">
            <w:pPr>
              <w:keepNext w:val="0"/>
              <w:keepLines w:val="0"/>
              <w:widowControl/>
              <w:suppressLineNumbers w:val="0"/>
              <w:jc w:val="center"/>
              <w:textAlignment w:val="center"/>
              <w:rPr>
                <w:rFonts w:hint="eastAsia" w:eastAsia="仿宋_GB2312"/>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0.31</w:t>
            </w:r>
            <w:r>
              <w:rPr>
                <w:rFonts w:hint="eastAsia" w:ascii="Times New Roman" w:hAnsi="Times New Roman" w:cs="Times New Roman"/>
                <w:i w:val="0"/>
                <w:iCs w:val="0"/>
                <w:color w:val="000000"/>
                <w:kern w:val="0"/>
                <w:sz w:val="21"/>
                <w:szCs w:val="21"/>
                <w:u w:val="none"/>
                <w:lang w:val="en-US" w:eastAsia="zh-CN" w:bidi="ar"/>
              </w:rPr>
              <w:t>40</w:t>
            </w:r>
          </w:p>
        </w:tc>
        <w:tc>
          <w:tcPr>
            <w:tcW w:w="1265" w:type="pct"/>
            <w:vAlign w:val="center"/>
          </w:tcPr>
          <w:p w14:paraId="23588FB0">
            <w:pPr>
              <w:widowControl/>
              <w:spacing w:beforeLines="0" w:afterLines="0" w:line="240" w:lineRule="auto"/>
              <w:ind w:firstLine="0" w:firstLineChars="0"/>
              <w:jc w:val="center"/>
              <w:textAlignment w:val="center"/>
              <w:rPr>
                <w:rFonts w:hint="default" w:eastAsia="仿宋_GB2312"/>
                <w:color w:val="000000" w:themeColor="text1"/>
                <w:szCs w:val="21"/>
                <w:lang w:val="en-US" w:eastAsia="zh-CN"/>
                <w14:textFill>
                  <w14:solidFill>
                    <w14:schemeClr w14:val="tx1"/>
                  </w14:solidFill>
                </w14:textFill>
              </w:rPr>
            </w:pPr>
            <w:r>
              <w:rPr>
                <w:rFonts w:hint="eastAsia" w:eastAsia="仿宋_GB2312"/>
                <w:color w:val="000000" w:themeColor="text1"/>
                <w:szCs w:val="21"/>
                <w:lang w:val="en-US" w:eastAsia="zh-CN"/>
                <w14:textFill>
                  <w14:solidFill>
                    <w14:schemeClr w14:val="tx1"/>
                  </w14:solidFill>
                </w14:textFill>
              </w:rPr>
              <w:t>0</w:t>
            </w:r>
          </w:p>
        </w:tc>
      </w:tr>
      <w:tr w14:paraId="4EF1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pct"/>
            <w:vAlign w:val="center"/>
          </w:tcPr>
          <w:p w14:paraId="5C91F3E7">
            <w:pPr>
              <w:widowControl/>
              <w:spacing w:beforeLines="0" w:afterLines="0" w:line="240" w:lineRule="auto"/>
              <w:ind w:firstLine="0" w:firstLineChars="0"/>
              <w:jc w:val="center"/>
              <w:textAlignment w:val="center"/>
              <w:rPr>
                <w:rFonts w:hint="default" w:eastAsia="仿宋_GB2312" w:cs="Times New Roman"/>
                <w:color w:val="000000"/>
                <w:szCs w:val="21"/>
                <w:lang w:val="en-US" w:eastAsia="zh-CN"/>
              </w:rPr>
            </w:pPr>
            <w:r>
              <w:rPr>
                <w:rFonts w:hint="eastAsia" w:eastAsia="仿宋_GB2312" w:cs="Times New Roman"/>
                <w:color w:val="000000"/>
                <w:szCs w:val="21"/>
                <w:lang w:val="en-US" w:eastAsia="zh-CN"/>
              </w:rPr>
              <w:t>合计</w:t>
            </w:r>
          </w:p>
        </w:tc>
        <w:tc>
          <w:tcPr>
            <w:tcW w:w="1076" w:type="pct"/>
            <w:vAlign w:val="center"/>
          </w:tcPr>
          <w:p w14:paraId="4FF8F986">
            <w:pPr>
              <w:widowControl/>
              <w:spacing w:beforeLines="0" w:afterLines="0" w:line="240" w:lineRule="auto"/>
              <w:ind w:firstLine="0" w:firstLineChars="0"/>
              <w:jc w:val="center"/>
              <w:textAlignment w:val="center"/>
              <w:rPr>
                <w:rFonts w:hint="default" w:eastAsia="仿宋_GB2312"/>
                <w:color w:val="000000" w:themeColor="text1"/>
                <w:kern w:val="0"/>
                <w:szCs w:val="21"/>
                <w:lang w:val="en-US" w:eastAsia="zh-CN"/>
                <w14:textFill>
                  <w14:solidFill>
                    <w14:schemeClr w14:val="tx1"/>
                  </w14:solidFill>
                </w14:textFill>
              </w:rPr>
            </w:pPr>
            <w:r>
              <w:rPr>
                <w:rFonts w:hint="eastAsia" w:eastAsia="仿宋_GB2312"/>
                <w:color w:val="000000" w:themeColor="text1"/>
                <w:kern w:val="0"/>
                <w:szCs w:val="21"/>
                <w:lang w:val="en-US" w:eastAsia="zh-CN"/>
                <w14:textFill>
                  <w14:solidFill>
                    <w14:schemeClr w14:val="tx1"/>
                  </w14:solidFill>
                </w14:textFill>
              </w:rPr>
              <w:t>3.8046</w:t>
            </w:r>
          </w:p>
        </w:tc>
        <w:tc>
          <w:tcPr>
            <w:tcW w:w="938" w:type="pct"/>
            <w:vAlign w:val="center"/>
          </w:tcPr>
          <w:p w14:paraId="15C80885">
            <w:pPr>
              <w:widowControl/>
              <w:spacing w:beforeLines="0" w:afterLines="0" w:line="240" w:lineRule="auto"/>
              <w:ind w:firstLine="0" w:firstLineChars="0"/>
              <w:jc w:val="center"/>
              <w:textAlignment w:val="center"/>
              <w:rPr>
                <w:rFonts w:hint="default" w:eastAsia="仿宋_GB2312"/>
                <w:color w:val="000000" w:themeColor="text1"/>
                <w:kern w:val="0"/>
                <w:szCs w:val="21"/>
                <w:lang w:val="en-US" w:eastAsia="zh-CN"/>
                <w14:textFill>
                  <w14:solidFill>
                    <w14:schemeClr w14:val="tx1"/>
                  </w14:solidFill>
                </w14:textFill>
              </w:rPr>
            </w:pPr>
            <w:r>
              <w:rPr>
                <w:rFonts w:hint="eastAsia" w:eastAsia="仿宋_GB2312"/>
                <w:color w:val="000000" w:themeColor="text1"/>
                <w:kern w:val="0"/>
                <w:szCs w:val="21"/>
                <w:lang w:val="en-US" w:eastAsia="zh-CN"/>
                <w14:textFill>
                  <w14:solidFill>
                    <w14:schemeClr w14:val="tx1"/>
                  </w14:solidFill>
                </w14:textFill>
              </w:rPr>
              <w:t>58.1458</w:t>
            </w:r>
          </w:p>
        </w:tc>
        <w:tc>
          <w:tcPr>
            <w:tcW w:w="1265" w:type="pct"/>
            <w:vAlign w:val="center"/>
          </w:tcPr>
          <w:p w14:paraId="125A1F7C">
            <w:pPr>
              <w:widowControl/>
              <w:spacing w:beforeLines="0" w:afterLines="0" w:line="240" w:lineRule="auto"/>
              <w:ind w:firstLine="0" w:firstLineChars="0"/>
              <w:jc w:val="center"/>
              <w:textAlignment w:val="center"/>
              <w:rPr>
                <w:rFonts w:hint="default" w:eastAsia="仿宋_GB2312"/>
                <w:color w:val="000000" w:themeColor="text1"/>
                <w:szCs w:val="21"/>
                <w:lang w:val="en-US" w:eastAsia="zh-CN"/>
                <w14:textFill>
                  <w14:solidFill>
                    <w14:schemeClr w14:val="tx1"/>
                  </w14:solidFill>
                </w14:textFill>
              </w:rPr>
            </w:pPr>
            <w:r>
              <w:rPr>
                <w:rFonts w:hint="eastAsia" w:eastAsia="仿宋_GB2312"/>
                <w:color w:val="000000" w:themeColor="text1"/>
                <w:szCs w:val="21"/>
                <w:lang w:val="en-US" w:eastAsia="zh-CN"/>
                <w14:textFill>
                  <w14:solidFill>
                    <w14:schemeClr w14:val="tx1"/>
                  </w14:solidFill>
                </w14:textFill>
              </w:rPr>
              <w:t>38.40</w:t>
            </w:r>
          </w:p>
        </w:tc>
      </w:tr>
    </w:tbl>
    <w:p w14:paraId="5E19A24C">
      <w:pPr>
        <w:spacing w:before="0" w:beforeLines="0" w:after="0" w:afterLines="0" w:line="360" w:lineRule="auto"/>
        <w:ind w:firstLine="643" w:firstLineChars="200"/>
        <w:outlineLvl w:val="1"/>
        <w:rPr>
          <w:rFonts w:eastAsia="仿宋_GB2312"/>
          <w:b/>
          <w:bCs/>
          <w:sz w:val="32"/>
          <w:szCs w:val="32"/>
        </w:rPr>
      </w:pPr>
      <w:r>
        <w:rPr>
          <w:rFonts w:eastAsia="仿宋_GB2312"/>
          <w:b/>
          <w:bCs/>
          <w:sz w:val="32"/>
          <w:szCs w:val="32"/>
        </w:rPr>
        <w:t>六、综合效益评估</w:t>
      </w:r>
      <w:bookmarkEnd w:id="1"/>
    </w:p>
    <w:p w14:paraId="415E6953">
      <w:pPr>
        <w:spacing w:before="0" w:beforeLines="0" w:after="0" w:afterLines="0" w:line="360" w:lineRule="auto"/>
        <w:ind w:firstLine="643" w:firstLineChars="200"/>
        <w:outlineLvl w:val="1"/>
        <w:rPr>
          <w:rFonts w:eastAsia="仿宋_GB2312"/>
          <w:b/>
          <w:bCs/>
          <w:sz w:val="32"/>
          <w:szCs w:val="32"/>
        </w:rPr>
      </w:pPr>
      <w:bookmarkStart w:id="2" w:name="_Toc72190179"/>
      <w:r>
        <w:rPr>
          <w:rFonts w:eastAsia="仿宋_GB2312"/>
          <w:b/>
          <w:bCs/>
          <w:sz w:val="32"/>
          <w:szCs w:val="32"/>
        </w:rPr>
        <w:t>（一）土地利用效益评估</w:t>
      </w:r>
      <w:bookmarkEnd w:id="2"/>
    </w:p>
    <w:p w14:paraId="5F0D5B05">
      <w:pPr>
        <w:spacing w:beforeLines="0" w:afterLines="0" w:line="360" w:lineRule="auto"/>
        <w:ind w:firstLine="560" w:firstLineChars="200"/>
        <w:rPr>
          <w:rFonts w:eastAsia="仿宋_GB2312"/>
          <w:sz w:val="28"/>
          <w:szCs w:val="28"/>
        </w:rPr>
      </w:pPr>
      <w:r>
        <w:rPr>
          <w:rFonts w:hint="eastAsia" w:eastAsia="仿宋_GB2312"/>
          <w:sz w:val="28"/>
          <w:szCs w:val="28"/>
        </w:rPr>
        <w:t>通过土地征收成片开发，将有效推进用地节约集约利用，避免用地浪费，实现土地资源的合理配置。在布局优化方面，成片开发范围规划用地符合《中山市城市控制性详细规划实施办法》等相关规范导则要求，能够科学合理布局各类用地、优化区域功能结构</w:t>
      </w:r>
      <w:r>
        <w:rPr>
          <w:rFonts w:eastAsia="仿宋_GB2312"/>
          <w:sz w:val="28"/>
          <w:szCs w:val="28"/>
        </w:rPr>
        <w:t>。</w:t>
      </w:r>
    </w:p>
    <w:p w14:paraId="31F59FDD">
      <w:pPr>
        <w:spacing w:before="0" w:beforeLines="0" w:after="0" w:afterLines="0" w:line="360" w:lineRule="auto"/>
        <w:ind w:firstLine="643" w:firstLineChars="200"/>
        <w:outlineLvl w:val="1"/>
        <w:rPr>
          <w:rFonts w:eastAsia="仿宋_GB2312"/>
          <w:b/>
          <w:bCs/>
          <w:sz w:val="32"/>
          <w:szCs w:val="32"/>
        </w:rPr>
      </w:pPr>
      <w:bookmarkStart w:id="3" w:name="_Toc72190180"/>
      <w:r>
        <w:rPr>
          <w:rFonts w:eastAsia="仿宋_GB2312"/>
          <w:b/>
          <w:bCs/>
          <w:sz w:val="32"/>
          <w:szCs w:val="32"/>
        </w:rPr>
        <w:t>（二）经济效益评估</w:t>
      </w:r>
      <w:bookmarkEnd w:id="3"/>
    </w:p>
    <w:p w14:paraId="78C29D30">
      <w:pPr>
        <w:spacing w:beforeLines="0" w:afterLines="0" w:line="360" w:lineRule="auto"/>
        <w:ind w:firstLine="560" w:firstLineChars="200"/>
        <w:rPr>
          <w:rFonts w:eastAsia="仿宋_GB2312"/>
          <w:sz w:val="28"/>
          <w:szCs w:val="28"/>
        </w:rPr>
      </w:pPr>
      <w:r>
        <w:rPr>
          <w:rFonts w:hint="eastAsia" w:eastAsia="仿宋_GB2312"/>
          <w:sz w:val="28"/>
          <w:szCs w:val="28"/>
        </w:rPr>
        <w:t>成片开发范围经济盈利能力和抗风险能力相对较强，预计可产生良好的经济效益。项目具有较强的辐射带动作用，能够与周边形成联动发展，改善投资环境促进规模化发展建设，推动经济社会高质量发展。</w:t>
      </w:r>
    </w:p>
    <w:p w14:paraId="05E93B7F">
      <w:pPr>
        <w:spacing w:before="0" w:beforeLines="0" w:after="0" w:afterLines="0" w:line="360" w:lineRule="auto"/>
        <w:ind w:firstLine="643" w:firstLineChars="200"/>
        <w:outlineLvl w:val="1"/>
        <w:rPr>
          <w:rFonts w:eastAsia="仿宋_GB2312"/>
          <w:b/>
          <w:bCs/>
          <w:sz w:val="32"/>
          <w:szCs w:val="32"/>
        </w:rPr>
      </w:pPr>
      <w:bookmarkStart w:id="4" w:name="_Toc72190181"/>
      <w:r>
        <w:rPr>
          <w:rFonts w:eastAsia="仿宋_GB2312"/>
          <w:b/>
          <w:bCs/>
          <w:sz w:val="32"/>
          <w:szCs w:val="32"/>
        </w:rPr>
        <w:t>（三）社会效益评估</w:t>
      </w:r>
      <w:bookmarkEnd w:id="4"/>
    </w:p>
    <w:p w14:paraId="763CA610">
      <w:pPr>
        <w:spacing w:before="0" w:beforeLines="0" w:after="0" w:afterLines="0" w:line="360" w:lineRule="auto"/>
        <w:ind w:firstLine="562" w:firstLineChars="200"/>
        <w:outlineLvl w:val="2"/>
        <w:rPr>
          <w:rFonts w:eastAsia="仿宋_GB2312"/>
          <w:b/>
          <w:bCs/>
          <w:sz w:val="28"/>
          <w:szCs w:val="28"/>
        </w:rPr>
      </w:pPr>
      <w:r>
        <w:rPr>
          <w:rFonts w:hint="eastAsia" w:eastAsia="仿宋_GB2312"/>
          <w:b/>
          <w:bCs/>
          <w:sz w:val="28"/>
          <w:szCs w:val="28"/>
        </w:rPr>
        <w:t>1</w:t>
      </w:r>
      <w:r>
        <w:rPr>
          <w:rFonts w:eastAsia="仿宋_GB2312"/>
          <w:b/>
          <w:bCs/>
          <w:sz w:val="28"/>
          <w:szCs w:val="28"/>
        </w:rPr>
        <w:t>、</w:t>
      </w:r>
      <w:r>
        <w:rPr>
          <w:rFonts w:hint="eastAsia" w:eastAsia="仿宋_GB2312"/>
          <w:b/>
          <w:bCs/>
          <w:sz w:val="28"/>
          <w:szCs w:val="28"/>
        </w:rPr>
        <w:t>保障公共产品供给，提升公共服务水平</w:t>
      </w:r>
    </w:p>
    <w:p w14:paraId="22B10030">
      <w:pPr>
        <w:spacing w:beforeLines="0" w:afterLines="0" w:line="360" w:lineRule="auto"/>
        <w:ind w:firstLine="560" w:firstLineChars="200"/>
        <w:rPr>
          <w:rFonts w:hint="eastAsia" w:eastAsia="仿宋_GB2312"/>
          <w:sz w:val="28"/>
          <w:szCs w:val="28"/>
        </w:rPr>
      </w:pPr>
      <w:r>
        <w:rPr>
          <w:rFonts w:hint="eastAsia" w:eastAsia="仿宋_GB2312"/>
          <w:sz w:val="28"/>
          <w:szCs w:val="28"/>
        </w:rPr>
        <w:t>在完善生活设施配套方面，成片开发范围内</w:t>
      </w:r>
      <w:r>
        <w:rPr>
          <w:rFonts w:hint="eastAsia" w:eastAsia="仿宋_GB2312"/>
          <w:sz w:val="28"/>
          <w:szCs w:val="28"/>
          <w:lang w:val="en-US" w:eastAsia="zh-CN"/>
        </w:rPr>
        <w:t>公共设施、</w:t>
      </w:r>
      <w:r>
        <w:rPr>
          <w:rFonts w:hint="eastAsia" w:eastAsia="仿宋_GB2312"/>
          <w:sz w:val="28"/>
          <w:szCs w:val="28"/>
        </w:rPr>
        <w:t>道路设施</w:t>
      </w:r>
      <w:r>
        <w:rPr>
          <w:rFonts w:hint="eastAsia" w:eastAsia="仿宋_GB2312"/>
          <w:sz w:val="28"/>
          <w:szCs w:val="28"/>
          <w:lang w:eastAsia="zh-CN"/>
        </w:rPr>
        <w:t>、</w:t>
      </w:r>
      <w:r>
        <w:rPr>
          <w:rFonts w:hint="eastAsia" w:eastAsia="仿宋_GB2312"/>
          <w:sz w:val="28"/>
          <w:szCs w:val="28"/>
          <w:lang w:val="en-US" w:eastAsia="zh-CN"/>
        </w:rPr>
        <w:t>绿地</w:t>
      </w:r>
      <w:r>
        <w:rPr>
          <w:rFonts w:hint="eastAsia" w:eastAsia="仿宋_GB2312"/>
          <w:sz w:val="28"/>
          <w:szCs w:val="28"/>
        </w:rPr>
        <w:t>等统筹建设，能够有效保障片区设施配套建设需求</w:t>
      </w:r>
      <w:r>
        <w:rPr>
          <w:rFonts w:eastAsia="仿宋_GB2312"/>
          <w:sz w:val="28"/>
          <w:szCs w:val="28"/>
        </w:rPr>
        <w:t>。</w:t>
      </w:r>
    </w:p>
    <w:p w14:paraId="647CBCA8">
      <w:pPr>
        <w:spacing w:before="0" w:beforeLines="0" w:after="0" w:afterLines="0" w:line="360" w:lineRule="auto"/>
        <w:ind w:firstLine="562" w:firstLineChars="200"/>
        <w:outlineLvl w:val="2"/>
        <w:rPr>
          <w:rFonts w:eastAsia="仿宋_GB2312"/>
          <w:b/>
          <w:bCs/>
          <w:sz w:val="28"/>
          <w:szCs w:val="28"/>
        </w:rPr>
      </w:pPr>
      <w:r>
        <w:rPr>
          <w:rFonts w:hint="eastAsia" w:eastAsia="仿宋_GB2312"/>
          <w:b/>
          <w:bCs/>
          <w:sz w:val="28"/>
          <w:szCs w:val="28"/>
        </w:rPr>
        <w:t>2</w:t>
      </w:r>
      <w:r>
        <w:rPr>
          <w:rFonts w:eastAsia="仿宋_GB2312"/>
          <w:b/>
          <w:bCs/>
          <w:sz w:val="28"/>
          <w:szCs w:val="28"/>
        </w:rPr>
        <w:t>、</w:t>
      </w:r>
      <w:r>
        <w:rPr>
          <w:rFonts w:hint="eastAsia" w:eastAsia="仿宋_GB2312"/>
          <w:b/>
          <w:bCs/>
          <w:sz w:val="28"/>
          <w:szCs w:val="28"/>
        </w:rPr>
        <w:t>增加就业机会，吸引人口流入</w:t>
      </w:r>
    </w:p>
    <w:p w14:paraId="58E8C778">
      <w:pPr>
        <w:ind w:firstLine="560" w:firstLineChars="200"/>
        <w:rPr>
          <w:rFonts w:eastAsia="仿宋_GB2312"/>
          <w:sz w:val="28"/>
          <w:szCs w:val="28"/>
        </w:rPr>
      </w:pPr>
      <w:r>
        <w:rPr>
          <w:rFonts w:hint="eastAsia" w:eastAsia="仿宋_GB2312"/>
          <w:sz w:val="28"/>
          <w:szCs w:val="28"/>
        </w:rPr>
        <w:t>通过引进优质产业项目，统筹促进经济发展和就业增长的良性互动，扩大就业容量，创造大量就业岗位，促进常住人口数量增长，积极推进产业</w:t>
      </w:r>
      <w:r>
        <w:rPr>
          <w:rFonts w:hint="eastAsia" w:eastAsia="仿宋_GB2312"/>
          <w:sz w:val="28"/>
          <w:szCs w:val="28"/>
          <w:lang w:val="en-US" w:eastAsia="zh-CN"/>
        </w:rPr>
        <w:t>集聚</w:t>
      </w:r>
      <w:r>
        <w:rPr>
          <w:rFonts w:hint="eastAsia" w:eastAsia="仿宋_GB2312"/>
          <w:sz w:val="28"/>
          <w:szCs w:val="28"/>
        </w:rPr>
        <w:t>发展，协同推动经济转型升级和就业民生改善</w:t>
      </w:r>
      <w:r>
        <w:rPr>
          <w:rFonts w:eastAsia="仿宋_GB2312"/>
          <w:sz w:val="28"/>
          <w:szCs w:val="28"/>
        </w:rPr>
        <w:t>。</w:t>
      </w:r>
    </w:p>
    <w:p w14:paraId="475D6428">
      <w:pPr>
        <w:spacing w:before="0" w:beforeLines="0" w:after="0" w:afterLines="0" w:line="360" w:lineRule="auto"/>
        <w:ind w:firstLine="562" w:firstLineChars="200"/>
        <w:outlineLvl w:val="2"/>
        <w:rPr>
          <w:rFonts w:eastAsia="仿宋_GB2312"/>
          <w:b/>
          <w:bCs/>
          <w:sz w:val="28"/>
          <w:szCs w:val="28"/>
        </w:rPr>
      </w:pPr>
      <w:r>
        <w:rPr>
          <w:rFonts w:hint="eastAsia" w:eastAsia="仿宋_GB2312"/>
          <w:b/>
          <w:bCs/>
          <w:sz w:val="28"/>
          <w:szCs w:val="28"/>
          <w:lang w:val="en-US" w:eastAsia="zh-CN"/>
        </w:rPr>
        <w:t>3</w:t>
      </w:r>
      <w:r>
        <w:rPr>
          <w:rFonts w:eastAsia="仿宋_GB2312"/>
          <w:b/>
          <w:bCs/>
          <w:sz w:val="28"/>
          <w:szCs w:val="28"/>
        </w:rPr>
        <w:t>、</w:t>
      </w:r>
      <w:r>
        <w:rPr>
          <w:rFonts w:hint="eastAsia" w:eastAsia="仿宋_GB2312"/>
          <w:b/>
          <w:bCs/>
          <w:sz w:val="28"/>
          <w:szCs w:val="28"/>
        </w:rPr>
        <w:t>带动地方、社会经济发展</w:t>
      </w:r>
    </w:p>
    <w:p w14:paraId="25C1F4A7">
      <w:pPr>
        <w:spacing w:beforeLines="0" w:afterLines="0" w:line="360" w:lineRule="auto"/>
        <w:ind w:firstLine="560" w:firstLineChars="200"/>
        <w:rPr>
          <w:rFonts w:eastAsia="仿宋_GB2312"/>
          <w:sz w:val="28"/>
          <w:szCs w:val="28"/>
        </w:rPr>
      </w:pPr>
      <w:bookmarkStart w:id="5" w:name="OLE_LINK2"/>
      <w:r>
        <w:rPr>
          <w:rFonts w:hint="eastAsia" w:eastAsia="仿宋_GB2312"/>
          <w:sz w:val="28"/>
          <w:szCs w:val="28"/>
        </w:rPr>
        <w:t>本次土地征收成片开发土地补偿费和安置补助费标准将按照《中山市人民政府关于公布实施征收农用地区片综合地价的公告》</w:t>
      </w:r>
      <w:bookmarkEnd w:id="5"/>
      <w:r>
        <w:rPr>
          <w:rFonts w:hint="eastAsia" w:eastAsia="仿宋_GB2312"/>
          <w:sz w:val="28"/>
          <w:szCs w:val="28"/>
        </w:rPr>
        <w:t>对被征地农民进行补偿。同时，区域基础设施配套提升完善，为城市</w:t>
      </w:r>
      <w:r>
        <w:rPr>
          <w:rFonts w:hint="eastAsia" w:eastAsia="仿宋_GB2312"/>
          <w:sz w:val="28"/>
          <w:szCs w:val="28"/>
          <w:lang w:val="en-US" w:eastAsia="zh-CN"/>
        </w:rPr>
        <w:t>发展打下坚实的基础</w:t>
      </w:r>
      <w:r>
        <w:rPr>
          <w:rFonts w:hint="eastAsia" w:eastAsia="仿宋_GB2312"/>
          <w:sz w:val="28"/>
          <w:szCs w:val="28"/>
        </w:rPr>
        <w:t>，在带动社会经济发展中的作用越来越明显，能够使周边地区的地价及不动产升值，吸引投资，从而推动该区域的经济和社会发展</w:t>
      </w:r>
      <w:r>
        <w:rPr>
          <w:rFonts w:eastAsia="仿宋_GB2312"/>
          <w:sz w:val="28"/>
          <w:szCs w:val="28"/>
        </w:rPr>
        <w:t>。</w:t>
      </w:r>
    </w:p>
    <w:p w14:paraId="6FA257CC">
      <w:pPr>
        <w:spacing w:before="0" w:beforeLines="0" w:after="0" w:afterLines="0" w:line="360" w:lineRule="auto"/>
        <w:ind w:firstLine="643" w:firstLineChars="200"/>
        <w:outlineLvl w:val="1"/>
        <w:rPr>
          <w:rFonts w:eastAsia="仿宋_GB2312"/>
          <w:b/>
          <w:bCs/>
          <w:sz w:val="32"/>
          <w:szCs w:val="32"/>
        </w:rPr>
      </w:pPr>
      <w:bookmarkStart w:id="6" w:name="_Toc72190182"/>
      <w:r>
        <w:rPr>
          <w:rFonts w:eastAsia="仿宋_GB2312"/>
          <w:b/>
          <w:bCs/>
          <w:sz w:val="32"/>
          <w:szCs w:val="32"/>
        </w:rPr>
        <w:t>（四）生态效益评估</w:t>
      </w:r>
      <w:bookmarkEnd w:id="6"/>
    </w:p>
    <w:p w14:paraId="6F07B830">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textAlignment w:val="auto"/>
        <w:rPr>
          <w:rFonts w:hint="eastAsia" w:eastAsia="仿宋_GB2312"/>
          <w:sz w:val="28"/>
          <w:szCs w:val="28"/>
        </w:rPr>
      </w:pPr>
      <w:r>
        <w:rPr>
          <w:rFonts w:hint="eastAsia" w:eastAsia="仿宋_GB2312"/>
          <w:sz w:val="28"/>
          <w:szCs w:val="28"/>
          <w:lang w:val="en-US" w:eastAsia="zh-CN"/>
        </w:rPr>
        <w:t>成片开发范围内开发建设会毁坏现有农用地，由农用地变更为建设用地，对现有生态环境有一定的负面影响。另一方面，通过加强绿化建设，有效提高人均绿地面积，提升城市品质。</w:t>
      </w:r>
    </w:p>
    <w:p w14:paraId="7B520122">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textAlignment w:val="auto"/>
        <w:rPr>
          <w:rFonts w:hint="default" w:eastAsia="仿宋_GB2312"/>
          <w:sz w:val="28"/>
          <w:szCs w:val="28"/>
          <w:lang w:val="en-US" w:eastAsia="zh-CN"/>
        </w:rPr>
      </w:pPr>
      <w:r>
        <w:rPr>
          <w:rFonts w:hint="eastAsia" w:eastAsia="仿宋_GB2312"/>
          <w:sz w:val="28"/>
          <w:szCs w:val="28"/>
          <w:lang w:val="en-US" w:eastAsia="zh-CN"/>
        </w:rPr>
        <w:t>同时，通过制定生态保护和环境整治措施，合理利用环境容量，可以使片区范围内的大气环境质量、水环境质量和声环境质量达到国家规范标准要求，尽可能降低生态损失，实现经济、社会和生态效益协调发展。</w:t>
      </w:r>
    </w:p>
    <w:p w14:paraId="0C7B42A7">
      <w:pPr>
        <w:spacing w:before="0" w:beforeLines="0" w:after="0" w:afterLines="0" w:line="360" w:lineRule="auto"/>
        <w:ind w:firstLine="643" w:firstLineChars="200"/>
        <w:outlineLvl w:val="1"/>
        <w:rPr>
          <w:rFonts w:eastAsia="仿宋_GB2312"/>
          <w:b/>
          <w:bCs/>
          <w:sz w:val="32"/>
          <w:szCs w:val="32"/>
        </w:rPr>
      </w:pPr>
      <w:bookmarkStart w:id="7" w:name="_Toc72190184"/>
      <w:r>
        <w:rPr>
          <w:rFonts w:eastAsia="仿宋_GB2312"/>
          <w:b/>
          <w:bCs/>
          <w:sz w:val="32"/>
          <w:szCs w:val="32"/>
        </w:rPr>
        <w:t>七、结论</w:t>
      </w:r>
      <w:bookmarkEnd w:id="7"/>
    </w:p>
    <w:p w14:paraId="19962DDF">
      <w:pPr>
        <w:spacing w:beforeLines="0" w:afterLines="0" w:line="360" w:lineRule="auto"/>
        <w:ind w:firstLine="560" w:firstLineChars="200"/>
        <w:rPr>
          <w:rFonts w:eastAsia="仿宋_GB2312"/>
          <w:sz w:val="28"/>
          <w:szCs w:val="28"/>
          <w:highlight w:val="none"/>
        </w:rPr>
      </w:pPr>
      <w:r>
        <w:rPr>
          <w:rFonts w:eastAsia="仿宋_GB2312"/>
          <w:sz w:val="28"/>
          <w:szCs w:val="28"/>
        </w:rPr>
        <w:t>综上所述，《</w:t>
      </w:r>
      <w:r>
        <w:rPr>
          <w:rFonts w:hint="eastAsia" w:eastAsia="仿宋_GB2312"/>
          <w:sz w:val="28"/>
          <w:szCs w:val="28"/>
        </w:rPr>
        <w:t>中山市</w:t>
      </w:r>
      <w:r>
        <w:rPr>
          <w:rFonts w:hint="eastAsia" w:eastAsia="仿宋_GB2312"/>
          <w:sz w:val="28"/>
          <w:szCs w:val="28"/>
          <w:lang w:val="en-US" w:eastAsia="zh-CN"/>
        </w:rPr>
        <w:t>三角镇</w:t>
      </w:r>
      <w:r>
        <w:rPr>
          <w:rFonts w:hint="eastAsia" w:eastAsia="仿宋_GB2312"/>
          <w:sz w:val="28"/>
          <w:szCs w:val="28"/>
        </w:rPr>
        <w:t>2025年度</w:t>
      </w:r>
      <w:r>
        <w:rPr>
          <w:rFonts w:hint="eastAsia" w:eastAsia="仿宋_GB2312"/>
          <w:sz w:val="28"/>
          <w:szCs w:val="28"/>
          <w:lang w:val="en-US" w:eastAsia="zh-CN"/>
        </w:rPr>
        <w:t>SJ12</w:t>
      </w:r>
      <w:r>
        <w:rPr>
          <w:rFonts w:hint="eastAsia" w:eastAsia="仿宋_GB2312"/>
          <w:sz w:val="28"/>
          <w:szCs w:val="28"/>
        </w:rPr>
        <w:t>~</w:t>
      </w:r>
      <w:r>
        <w:rPr>
          <w:rFonts w:hint="eastAsia" w:eastAsia="仿宋_GB2312"/>
          <w:sz w:val="28"/>
          <w:szCs w:val="28"/>
          <w:lang w:val="en-US" w:eastAsia="zh-CN"/>
        </w:rPr>
        <w:t>SJ18</w:t>
      </w:r>
      <w:r>
        <w:rPr>
          <w:rFonts w:hint="eastAsia" w:eastAsia="仿宋_GB2312"/>
          <w:sz w:val="28"/>
          <w:szCs w:val="28"/>
        </w:rPr>
        <w:t>地块土地征收成片开发方案</w:t>
      </w:r>
      <w:r>
        <w:rPr>
          <w:rFonts w:eastAsia="仿宋_GB2312"/>
          <w:sz w:val="28"/>
          <w:szCs w:val="28"/>
        </w:rPr>
        <w:t>》符合《自然资源部关于印发&lt;土地征收成片开发标准&gt;的通知》（自然资规〔2023</w:t>
      </w:r>
      <w:r>
        <w:rPr>
          <w:rFonts w:eastAsia="仿宋_GB2312"/>
          <w:sz w:val="28"/>
          <w:szCs w:val="28"/>
          <w:highlight w:val="none"/>
        </w:rPr>
        <w:t>〕7号））</w:t>
      </w:r>
      <w:r>
        <w:rPr>
          <w:rFonts w:hint="eastAsia" w:eastAsia="仿宋_GB2312"/>
          <w:sz w:val="28"/>
          <w:szCs w:val="28"/>
          <w:highlight w:val="none"/>
        </w:rPr>
        <w:t>以及</w:t>
      </w:r>
      <w:r>
        <w:rPr>
          <w:rFonts w:hint="eastAsia" w:ascii="仿宋_GB2312" w:hAnsi="仿宋_GB2312" w:eastAsia="仿宋_GB2312" w:cs="仿宋_GB2312"/>
          <w:sz w:val="28"/>
          <w:szCs w:val="28"/>
          <w:highlight w:val="none"/>
        </w:rPr>
        <w:t>《广东省自然资源厅关于进一步规范土地征收成片开发工作的通知》</w:t>
      </w:r>
      <w:r>
        <w:rPr>
          <w:rFonts w:hint="default" w:ascii="Times New Roman" w:hAnsi="Times New Roman" w:eastAsia="仿宋_GB2312" w:cs="Times New Roman"/>
          <w:sz w:val="28"/>
          <w:szCs w:val="28"/>
          <w:highlight w:val="none"/>
        </w:rPr>
        <w:t>（粤自然资规字〔2024〕7号）</w:t>
      </w:r>
      <w:r>
        <w:rPr>
          <w:rFonts w:hint="default" w:eastAsia="仿宋_GB2312"/>
          <w:sz w:val="28"/>
          <w:szCs w:val="28"/>
          <w:highlight w:val="none"/>
        </w:rPr>
        <w:t>等相关文件</w:t>
      </w:r>
      <w:r>
        <w:rPr>
          <w:rFonts w:eastAsia="仿宋_GB2312"/>
          <w:sz w:val="28"/>
          <w:szCs w:val="28"/>
          <w:highlight w:val="none"/>
        </w:rPr>
        <w:t>的要求。</w:t>
      </w:r>
    </w:p>
    <w:p w14:paraId="1B4B1DFC">
      <w:pPr>
        <w:widowControl/>
        <w:spacing w:beforeLines="0" w:afterLines="0" w:line="360" w:lineRule="auto"/>
        <w:ind w:firstLine="643" w:firstLineChars="200"/>
        <w:jc w:val="left"/>
        <w:outlineLvl w:val="1"/>
        <w:rPr>
          <w:rFonts w:eastAsia="仿宋_GB2312"/>
          <w:b/>
          <w:bCs/>
          <w:sz w:val="32"/>
          <w:szCs w:val="32"/>
        </w:rPr>
      </w:pPr>
      <w:r>
        <w:rPr>
          <w:rFonts w:hint="eastAsia" w:eastAsia="仿宋_GB2312"/>
          <w:b/>
          <w:bCs/>
          <w:sz w:val="32"/>
          <w:szCs w:val="32"/>
          <w:lang w:val="en-US" w:eastAsia="zh-CN"/>
        </w:rPr>
        <w:t>八、</w:t>
      </w:r>
      <w:r>
        <w:rPr>
          <w:rFonts w:eastAsia="仿宋_GB2312"/>
          <w:b/>
          <w:bCs/>
          <w:sz w:val="32"/>
          <w:szCs w:val="32"/>
        </w:rPr>
        <w:t>附</w:t>
      </w:r>
      <w:r>
        <w:rPr>
          <w:rFonts w:hint="eastAsia" w:eastAsia="仿宋_GB2312"/>
          <w:b/>
          <w:bCs/>
          <w:sz w:val="32"/>
          <w:szCs w:val="32"/>
        </w:rPr>
        <w:t>图</w:t>
      </w:r>
    </w:p>
    <w:p w14:paraId="305242F9">
      <w:pPr>
        <w:spacing w:before="156" w:beforeLines="50" w:after="156" w:afterLines="50" w:line="360" w:lineRule="auto"/>
        <w:ind w:firstLine="840" w:firstLineChars="300"/>
        <w:outlineLvl w:val="9"/>
        <w:rPr>
          <w:rFonts w:eastAsia="仿宋_GB2312"/>
          <w:sz w:val="28"/>
          <w:szCs w:val="28"/>
        </w:rPr>
      </w:pPr>
      <w:r>
        <w:rPr>
          <w:rFonts w:eastAsia="仿宋_GB2312"/>
          <w:sz w:val="28"/>
          <w:szCs w:val="28"/>
        </w:rPr>
        <w:t>1</w:t>
      </w:r>
      <w:r>
        <w:rPr>
          <w:rFonts w:hint="eastAsia" w:eastAsia="仿宋_GB2312"/>
          <w:sz w:val="28"/>
          <w:szCs w:val="28"/>
        </w:rPr>
        <w:t>.中山市</w:t>
      </w:r>
      <w:r>
        <w:rPr>
          <w:rFonts w:hint="eastAsia" w:eastAsia="仿宋_GB2312"/>
          <w:sz w:val="28"/>
          <w:szCs w:val="28"/>
          <w:lang w:val="en-US" w:eastAsia="zh-CN"/>
        </w:rPr>
        <w:t>三角镇2025年度SJ12~SJ18</w:t>
      </w:r>
      <w:r>
        <w:rPr>
          <w:rFonts w:hint="eastAsia" w:eastAsia="仿宋_GB2312"/>
          <w:sz w:val="28"/>
          <w:szCs w:val="28"/>
        </w:rPr>
        <w:t>地块土地征收成片开发</w:t>
      </w:r>
      <w:r>
        <w:rPr>
          <w:rFonts w:hint="eastAsia" w:eastAsia="仿宋_GB2312"/>
          <w:sz w:val="28"/>
          <w:szCs w:val="28"/>
          <w:lang w:val="en-US" w:eastAsia="zh-CN"/>
        </w:rPr>
        <w:t>地块</w:t>
      </w:r>
      <w:r>
        <w:rPr>
          <w:rFonts w:hint="eastAsia" w:eastAsia="仿宋_GB2312"/>
          <w:sz w:val="28"/>
          <w:szCs w:val="28"/>
        </w:rPr>
        <w:t>位置示意图</w:t>
      </w:r>
    </w:p>
    <w:p w14:paraId="39791937">
      <w:pPr>
        <w:spacing w:line="360" w:lineRule="auto"/>
        <w:ind w:firstLine="840" w:firstLineChars="300"/>
        <w:rPr>
          <w:rFonts w:eastAsia="仿宋_GB2312"/>
          <w:sz w:val="32"/>
          <w:szCs w:val="32"/>
        </w:rPr>
      </w:pPr>
      <w:r>
        <w:rPr>
          <w:rFonts w:eastAsia="仿宋_GB2312"/>
          <w:sz w:val="28"/>
          <w:szCs w:val="28"/>
        </w:rPr>
        <w:t>2</w:t>
      </w:r>
      <w:r>
        <w:rPr>
          <w:rFonts w:hint="eastAsia" w:eastAsia="仿宋_GB2312"/>
          <w:sz w:val="28"/>
          <w:szCs w:val="28"/>
        </w:rPr>
        <w:t>.中山</w:t>
      </w:r>
      <w:r>
        <w:rPr>
          <w:rFonts w:hint="eastAsia" w:eastAsia="仿宋_GB2312"/>
          <w:sz w:val="28"/>
          <w:szCs w:val="28"/>
          <w:lang w:val="en-US" w:eastAsia="zh-CN"/>
        </w:rPr>
        <w:t>市三角镇2025年度SJ12~SJ18</w:t>
      </w:r>
      <w:r>
        <w:rPr>
          <w:rFonts w:hint="eastAsia" w:eastAsia="仿宋_GB2312"/>
          <w:sz w:val="28"/>
          <w:szCs w:val="28"/>
        </w:rPr>
        <w:t>地块土地征收成片开发</w:t>
      </w:r>
      <w:r>
        <w:rPr>
          <w:rFonts w:hint="eastAsia" w:eastAsia="仿宋_GB2312"/>
          <w:sz w:val="28"/>
          <w:szCs w:val="28"/>
          <w:lang w:val="en-US" w:eastAsia="zh-CN"/>
        </w:rPr>
        <w:t>地块</w:t>
      </w:r>
      <w:r>
        <w:rPr>
          <w:rFonts w:hint="eastAsia" w:eastAsia="仿宋_GB2312"/>
          <w:sz w:val="28"/>
          <w:szCs w:val="28"/>
        </w:rPr>
        <w:t>开发时序图</w:t>
      </w:r>
    </w:p>
    <w:p w14:paraId="546443E6">
      <w:pPr>
        <w:pStyle w:val="10"/>
        <w:shd w:val="clear" w:color="auto" w:fill="FFFFFF"/>
        <w:spacing w:beforeAutospacing="0" w:afterAutospacing="0" w:line="360" w:lineRule="auto"/>
        <w:jc w:val="right"/>
        <w:rPr>
          <w:rFonts w:hint="default" w:ascii="Times New Roman" w:hAnsi="Times New Roman" w:eastAsia="仿宋_GB2312" w:cs="Times New Roman"/>
          <w:kern w:val="2"/>
          <w:sz w:val="28"/>
          <w:szCs w:val="28"/>
          <w:highlight w:val="none"/>
          <w:lang w:val="en-US" w:eastAsia="zh-CN"/>
        </w:rPr>
      </w:pPr>
      <w:r>
        <w:rPr>
          <w:rFonts w:hint="eastAsia" w:ascii="Times New Roman" w:hAnsi="Times New Roman" w:eastAsia="仿宋_GB2312" w:cs="Times New Roman"/>
          <w:kern w:val="2"/>
          <w:sz w:val="28"/>
          <w:szCs w:val="28"/>
          <w:highlight w:val="none"/>
        </w:rPr>
        <w:t>中山市</w:t>
      </w:r>
      <w:r>
        <w:rPr>
          <w:rFonts w:hint="eastAsia" w:ascii="Times New Roman" w:hAnsi="Times New Roman" w:eastAsia="仿宋_GB2312" w:cs="Times New Roman"/>
          <w:kern w:val="2"/>
          <w:sz w:val="28"/>
          <w:szCs w:val="28"/>
          <w:highlight w:val="none"/>
          <w:lang w:val="en-US" w:eastAsia="zh-CN"/>
        </w:rPr>
        <w:t>三角镇人民政府</w:t>
      </w:r>
    </w:p>
    <w:p w14:paraId="3146286C">
      <w:pPr>
        <w:pStyle w:val="10"/>
        <w:shd w:val="clear" w:color="auto" w:fill="FFFFFF"/>
        <w:spacing w:beforeAutospacing="0" w:afterAutospacing="0" w:line="360" w:lineRule="auto"/>
        <w:jc w:val="right"/>
        <w:rPr>
          <w:rFonts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rPr>
        <w:t>　　</w:t>
      </w:r>
      <w:r>
        <w:rPr>
          <w:rFonts w:hint="eastAsia" w:ascii="Times New Roman" w:hAnsi="Times New Roman" w:eastAsia="仿宋_GB2312" w:cs="Times New Roman"/>
          <w:kern w:val="2"/>
          <w:sz w:val="28"/>
          <w:szCs w:val="28"/>
          <w:highlight w:val="none"/>
        </w:rPr>
        <w:t>202</w:t>
      </w:r>
      <w:r>
        <w:rPr>
          <w:rFonts w:hint="eastAsia" w:ascii="Times New Roman" w:hAnsi="Times New Roman" w:eastAsia="仿宋_GB2312" w:cs="Times New Roman"/>
          <w:kern w:val="2"/>
          <w:sz w:val="28"/>
          <w:szCs w:val="28"/>
          <w:highlight w:val="none"/>
          <w:lang w:val="en-US" w:eastAsia="zh-CN"/>
        </w:rPr>
        <w:t>5</w:t>
      </w:r>
      <w:r>
        <w:rPr>
          <w:rFonts w:hint="eastAsia" w:ascii="Times New Roman" w:hAnsi="Times New Roman" w:eastAsia="仿宋_GB2312" w:cs="Times New Roman"/>
          <w:kern w:val="2"/>
          <w:sz w:val="28"/>
          <w:szCs w:val="28"/>
          <w:highlight w:val="none"/>
        </w:rPr>
        <w:t>年</w:t>
      </w:r>
      <w:r>
        <w:rPr>
          <w:rFonts w:hint="eastAsia" w:ascii="Times New Roman" w:hAnsi="Times New Roman" w:eastAsia="仿宋_GB2312" w:cs="Times New Roman"/>
          <w:kern w:val="2"/>
          <w:sz w:val="28"/>
          <w:szCs w:val="28"/>
          <w:highlight w:val="none"/>
          <w:lang w:val="en-US" w:eastAsia="zh-CN"/>
        </w:rPr>
        <w:t>6</w:t>
      </w:r>
      <w:r>
        <w:rPr>
          <w:rFonts w:hint="eastAsia" w:ascii="Times New Roman" w:hAnsi="Times New Roman" w:eastAsia="仿宋_GB2312" w:cs="Times New Roman"/>
          <w:kern w:val="2"/>
          <w:sz w:val="28"/>
          <w:szCs w:val="28"/>
          <w:highlight w:val="none"/>
        </w:rPr>
        <w:t>月</w:t>
      </w:r>
      <w:r>
        <w:rPr>
          <w:rFonts w:hint="eastAsia" w:ascii="Times New Roman" w:hAnsi="Times New Roman" w:eastAsia="仿宋_GB2312" w:cs="Times New Roman"/>
          <w:kern w:val="2"/>
          <w:sz w:val="28"/>
          <w:szCs w:val="28"/>
          <w:highlight w:val="none"/>
          <w:lang w:val="en-US" w:eastAsia="zh-CN"/>
        </w:rPr>
        <w:t>17</w:t>
      </w:r>
      <w:r>
        <w:rPr>
          <w:rFonts w:hint="eastAsia" w:ascii="Times New Roman" w:hAnsi="Times New Roman" w:eastAsia="仿宋_GB2312" w:cs="Times New Roman"/>
          <w:kern w:val="2"/>
          <w:sz w:val="28"/>
          <w:szCs w:val="28"/>
          <w:highlight w:val="none"/>
        </w:rPr>
        <w:t>日</w:t>
      </w:r>
    </w:p>
    <w:p w14:paraId="005DB99C">
      <w:pPr>
        <w:jc w:val="left"/>
        <w:rPr>
          <w:rFonts w:eastAsia="仿宋_GB2312"/>
        </w:rPr>
      </w:pPr>
      <w:r>
        <w:rPr>
          <w:rFonts w:eastAsia="仿宋_GB2312"/>
          <w:sz w:val="28"/>
          <w:szCs w:val="28"/>
        </w:rPr>
        <w:t>附</w:t>
      </w:r>
      <w:r>
        <w:rPr>
          <w:rFonts w:hint="eastAsia" w:eastAsia="仿宋_GB2312"/>
          <w:sz w:val="28"/>
          <w:szCs w:val="28"/>
        </w:rPr>
        <w:t>图</w:t>
      </w:r>
      <w:r>
        <w:rPr>
          <w:rFonts w:eastAsia="仿宋_GB2312"/>
          <w:sz w:val="28"/>
          <w:szCs w:val="28"/>
        </w:rPr>
        <w:t>1 .</w:t>
      </w:r>
      <w:r>
        <w:rPr>
          <w:rFonts w:hint="eastAsia" w:eastAsia="仿宋_GB2312"/>
          <w:sz w:val="28"/>
          <w:szCs w:val="28"/>
        </w:rPr>
        <w:t>中山市</w:t>
      </w:r>
      <w:r>
        <w:rPr>
          <w:rFonts w:hint="eastAsia" w:eastAsia="仿宋_GB2312"/>
          <w:sz w:val="28"/>
          <w:szCs w:val="28"/>
          <w:lang w:val="en-US" w:eastAsia="zh-CN"/>
        </w:rPr>
        <w:t>三角镇2025年度SJ12~SJ18</w:t>
      </w:r>
      <w:r>
        <w:rPr>
          <w:rFonts w:hint="eastAsia" w:eastAsia="仿宋_GB2312"/>
          <w:sz w:val="28"/>
          <w:szCs w:val="28"/>
        </w:rPr>
        <w:t>地块土地征收成片开发地块位置示意图</w:t>
      </w:r>
    </w:p>
    <w:p w14:paraId="20F1949C">
      <w:pPr>
        <w:jc w:val="center"/>
        <w:rPr>
          <w:rFonts w:eastAsia="仿宋_GB2312"/>
          <w:sz w:val="32"/>
          <w:szCs w:val="32"/>
        </w:rPr>
      </w:pPr>
      <w:r>
        <w:rPr>
          <w:rFonts w:hint="eastAsia"/>
        </w:rPr>
        <w:drawing>
          <wp:inline distT="0" distB="0" distL="114300" distR="114300">
            <wp:extent cx="5104765" cy="7442835"/>
            <wp:effectExtent l="0" t="0" r="635" b="5715"/>
            <wp:docPr id="1" name="图片 1" descr="174953645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9536458646"/>
                    <pic:cNvPicPr>
                      <a:picLocks noChangeAspect="1"/>
                    </pic:cNvPicPr>
                  </pic:nvPicPr>
                  <pic:blipFill>
                    <a:blip r:embed="rId5"/>
                    <a:stretch>
                      <a:fillRect/>
                    </a:stretch>
                  </pic:blipFill>
                  <pic:spPr>
                    <a:xfrm>
                      <a:off x="0" y="0"/>
                      <a:ext cx="5104765" cy="7442835"/>
                    </a:xfrm>
                    <a:prstGeom prst="rect">
                      <a:avLst/>
                    </a:prstGeom>
                  </pic:spPr>
                </pic:pic>
              </a:graphicData>
            </a:graphic>
          </wp:inline>
        </w:drawing>
      </w:r>
    </w:p>
    <w:p w14:paraId="4882D05A">
      <w:pPr>
        <w:jc w:val="left"/>
        <w:rPr>
          <w:rFonts w:eastAsia="仿宋_GB2312"/>
          <w:sz w:val="28"/>
          <w:szCs w:val="28"/>
        </w:rPr>
      </w:pPr>
    </w:p>
    <w:p w14:paraId="74E8870D">
      <w:pPr>
        <w:jc w:val="left"/>
        <w:rPr>
          <w:rFonts w:hint="eastAsia" w:eastAsia="仿宋_GB2312"/>
          <w:sz w:val="28"/>
          <w:szCs w:val="28"/>
        </w:rPr>
      </w:pPr>
      <w:r>
        <w:rPr>
          <w:rFonts w:eastAsia="仿宋_GB2312"/>
          <w:sz w:val="28"/>
          <w:szCs w:val="28"/>
        </w:rPr>
        <w:t>附</w:t>
      </w:r>
      <w:r>
        <w:rPr>
          <w:rFonts w:hint="eastAsia" w:eastAsia="仿宋_GB2312"/>
          <w:sz w:val="28"/>
          <w:szCs w:val="28"/>
        </w:rPr>
        <w:t>图</w:t>
      </w:r>
      <w:r>
        <w:rPr>
          <w:rFonts w:eastAsia="仿宋_GB2312"/>
          <w:sz w:val="28"/>
          <w:szCs w:val="28"/>
        </w:rPr>
        <w:t>2.</w:t>
      </w:r>
      <w:r>
        <w:rPr>
          <w:rFonts w:hint="eastAsia" w:eastAsia="仿宋_GB2312"/>
          <w:sz w:val="28"/>
          <w:szCs w:val="28"/>
        </w:rPr>
        <w:t>中山市</w:t>
      </w:r>
      <w:r>
        <w:rPr>
          <w:rFonts w:hint="eastAsia" w:eastAsia="仿宋_GB2312"/>
          <w:sz w:val="28"/>
          <w:szCs w:val="28"/>
          <w:lang w:val="en-US" w:eastAsia="zh-CN"/>
        </w:rPr>
        <w:t>三角镇2025年度SJ12~SJ18</w:t>
      </w:r>
      <w:r>
        <w:rPr>
          <w:rFonts w:hint="eastAsia" w:eastAsia="仿宋_GB2312"/>
          <w:sz w:val="28"/>
          <w:szCs w:val="28"/>
        </w:rPr>
        <w:t>地块土地征收成片开发地块开发时序图</w:t>
      </w:r>
    </w:p>
    <w:p w14:paraId="002441A1">
      <w:pPr>
        <w:jc w:val="center"/>
        <w:rPr>
          <w:rFonts w:hint="eastAsia" w:eastAsia="仿宋_GB2312"/>
          <w:lang w:eastAsia="zh-CN"/>
        </w:rPr>
      </w:pPr>
      <w:r>
        <w:rPr>
          <w:rFonts w:hint="eastAsia" w:eastAsia="仿宋_GB2312"/>
          <w:lang w:eastAsia="zh-CN"/>
        </w:rPr>
        <w:drawing>
          <wp:inline distT="0" distB="0" distL="114300" distR="114300">
            <wp:extent cx="5266690" cy="7677785"/>
            <wp:effectExtent l="0" t="0" r="10160" b="18415"/>
            <wp:docPr id="2" name="图片 2" descr="174953650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9536502399"/>
                    <pic:cNvPicPr>
                      <a:picLocks noChangeAspect="1"/>
                    </pic:cNvPicPr>
                  </pic:nvPicPr>
                  <pic:blipFill>
                    <a:blip r:embed="rId6"/>
                    <a:stretch>
                      <a:fillRect/>
                    </a:stretch>
                  </pic:blipFill>
                  <pic:spPr>
                    <a:xfrm>
                      <a:off x="0" y="0"/>
                      <a:ext cx="5266690" cy="7677785"/>
                    </a:xfrm>
                    <a:prstGeom prst="rect">
                      <a:avLst/>
                    </a:prstGeom>
                  </pic:spPr>
                </pic:pic>
              </a:graphicData>
            </a:graphic>
          </wp:inline>
        </w:drawing>
      </w:r>
    </w:p>
    <w:sectPr>
      <w:footerReference r:id="rId3" w:type="default"/>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7781927"/>
    </w:sdtPr>
    <w:sdtContent>
      <w:p w14:paraId="661D3AA4">
        <w:pPr>
          <w:pStyle w:val="6"/>
          <w:jc w:val="center"/>
        </w:pPr>
        <w:r>
          <w:fldChar w:fldCharType="begin"/>
        </w:r>
        <w:r>
          <w:instrText xml:space="preserve">PAGE   \* MERGEFORMAT</w:instrText>
        </w:r>
        <w:r>
          <w:fldChar w:fldCharType="separate"/>
        </w:r>
        <w:r>
          <w:rPr>
            <w:lang w:val="zh-CN"/>
          </w:rPr>
          <w:t>2</w:t>
        </w:r>
        <w:r>
          <w:fldChar w:fldCharType="end"/>
        </w:r>
      </w:p>
    </w:sdtContent>
  </w:sdt>
  <w:p w14:paraId="17A41560">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trackRevisions w:val="1"/>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Y0YjBhZDQxNTNhYTYwZjY4MzEzODM0NjcyMGMzZGYifQ=="/>
    <w:docVar w:name="KSO_WPS_MARK_KEY" w:val="2047d71f-3537-4e63-8b54-85db08c9fc44"/>
  </w:docVars>
  <w:rsids>
    <w:rsidRoot w:val="00C535A2"/>
    <w:rsid w:val="00005465"/>
    <w:rsid w:val="0000783A"/>
    <w:rsid w:val="0001135C"/>
    <w:rsid w:val="00024777"/>
    <w:rsid w:val="00026860"/>
    <w:rsid w:val="00033B6D"/>
    <w:rsid w:val="000353DD"/>
    <w:rsid w:val="0003575F"/>
    <w:rsid w:val="00043AEA"/>
    <w:rsid w:val="00050EA6"/>
    <w:rsid w:val="000566D5"/>
    <w:rsid w:val="000600BB"/>
    <w:rsid w:val="00063E6E"/>
    <w:rsid w:val="0007525E"/>
    <w:rsid w:val="00075DE9"/>
    <w:rsid w:val="00076A09"/>
    <w:rsid w:val="00077636"/>
    <w:rsid w:val="00082264"/>
    <w:rsid w:val="00084BD2"/>
    <w:rsid w:val="00085E71"/>
    <w:rsid w:val="000A530F"/>
    <w:rsid w:val="000A65C2"/>
    <w:rsid w:val="000C5935"/>
    <w:rsid w:val="000D10B8"/>
    <w:rsid w:val="000D7CB8"/>
    <w:rsid w:val="000F7C15"/>
    <w:rsid w:val="001051E0"/>
    <w:rsid w:val="00114382"/>
    <w:rsid w:val="00116009"/>
    <w:rsid w:val="00117CAA"/>
    <w:rsid w:val="00125CA4"/>
    <w:rsid w:val="00135FD4"/>
    <w:rsid w:val="00140C56"/>
    <w:rsid w:val="00142C54"/>
    <w:rsid w:val="00152AEE"/>
    <w:rsid w:val="00152DCE"/>
    <w:rsid w:val="00160A2D"/>
    <w:rsid w:val="00164462"/>
    <w:rsid w:val="0017122E"/>
    <w:rsid w:val="00177904"/>
    <w:rsid w:val="00180074"/>
    <w:rsid w:val="00181299"/>
    <w:rsid w:val="001819FA"/>
    <w:rsid w:val="00184879"/>
    <w:rsid w:val="00194641"/>
    <w:rsid w:val="00197F4C"/>
    <w:rsid w:val="001B2930"/>
    <w:rsid w:val="001C379A"/>
    <w:rsid w:val="001D164F"/>
    <w:rsid w:val="001D380B"/>
    <w:rsid w:val="001D3BFB"/>
    <w:rsid w:val="001E2A5D"/>
    <w:rsid w:val="001E7FC3"/>
    <w:rsid w:val="001F0B76"/>
    <w:rsid w:val="001F6124"/>
    <w:rsid w:val="00202503"/>
    <w:rsid w:val="00207709"/>
    <w:rsid w:val="002165ED"/>
    <w:rsid w:val="00222163"/>
    <w:rsid w:val="00225DB9"/>
    <w:rsid w:val="00247943"/>
    <w:rsid w:val="00252B24"/>
    <w:rsid w:val="002544BD"/>
    <w:rsid w:val="00255509"/>
    <w:rsid w:val="00262054"/>
    <w:rsid w:val="00262C70"/>
    <w:rsid w:val="00263415"/>
    <w:rsid w:val="00263992"/>
    <w:rsid w:val="00267894"/>
    <w:rsid w:val="00272266"/>
    <w:rsid w:val="00273A4B"/>
    <w:rsid w:val="00273CD3"/>
    <w:rsid w:val="00274FB6"/>
    <w:rsid w:val="00276312"/>
    <w:rsid w:val="00276C76"/>
    <w:rsid w:val="00280CA8"/>
    <w:rsid w:val="00291F89"/>
    <w:rsid w:val="00292367"/>
    <w:rsid w:val="002936CA"/>
    <w:rsid w:val="00295EEA"/>
    <w:rsid w:val="002A18D3"/>
    <w:rsid w:val="002A1A0D"/>
    <w:rsid w:val="002A3868"/>
    <w:rsid w:val="002A4945"/>
    <w:rsid w:val="002B0673"/>
    <w:rsid w:val="002C4016"/>
    <w:rsid w:val="002C41C3"/>
    <w:rsid w:val="002C7084"/>
    <w:rsid w:val="002D016D"/>
    <w:rsid w:val="002D3BC7"/>
    <w:rsid w:val="002E01C1"/>
    <w:rsid w:val="002E0467"/>
    <w:rsid w:val="002E29F6"/>
    <w:rsid w:val="002E6AAD"/>
    <w:rsid w:val="002F06AC"/>
    <w:rsid w:val="002F6236"/>
    <w:rsid w:val="002F71F6"/>
    <w:rsid w:val="00326E89"/>
    <w:rsid w:val="00327CB1"/>
    <w:rsid w:val="00331D9A"/>
    <w:rsid w:val="003433C6"/>
    <w:rsid w:val="00354383"/>
    <w:rsid w:val="003732F2"/>
    <w:rsid w:val="00377DD0"/>
    <w:rsid w:val="00380A77"/>
    <w:rsid w:val="00385C43"/>
    <w:rsid w:val="00392EB5"/>
    <w:rsid w:val="00397F07"/>
    <w:rsid w:val="003A5A2E"/>
    <w:rsid w:val="003B5DC8"/>
    <w:rsid w:val="003C2087"/>
    <w:rsid w:val="003E4CA7"/>
    <w:rsid w:val="003F2A32"/>
    <w:rsid w:val="004068D3"/>
    <w:rsid w:val="00420D27"/>
    <w:rsid w:val="00423630"/>
    <w:rsid w:val="004279A7"/>
    <w:rsid w:val="004331E8"/>
    <w:rsid w:val="00433D78"/>
    <w:rsid w:val="0043767B"/>
    <w:rsid w:val="00445471"/>
    <w:rsid w:val="00466EBD"/>
    <w:rsid w:val="00471535"/>
    <w:rsid w:val="004746F6"/>
    <w:rsid w:val="004776B6"/>
    <w:rsid w:val="004805A2"/>
    <w:rsid w:val="0048240F"/>
    <w:rsid w:val="00497873"/>
    <w:rsid w:val="004A0829"/>
    <w:rsid w:val="004A1BFB"/>
    <w:rsid w:val="004B55E2"/>
    <w:rsid w:val="004C1D3A"/>
    <w:rsid w:val="004C2748"/>
    <w:rsid w:val="004C3F1D"/>
    <w:rsid w:val="004D34E0"/>
    <w:rsid w:val="004E10AC"/>
    <w:rsid w:val="00513C4E"/>
    <w:rsid w:val="00513DFC"/>
    <w:rsid w:val="005211DA"/>
    <w:rsid w:val="0053244E"/>
    <w:rsid w:val="005355CB"/>
    <w:rsid w:val="00545F35"/>
    <w:rsid w:val="00551C28"/>
    <w:rsid w:val="005529E3"/>
    <w:rsid w:val="00554234"/>
    <w:rsid w:val="0055486C"/>
    <w:rsid w:val="00556CDF"/>
    <w:rsid w:val="0058028D"/>
    <w:rsid w:val="0058375C"/>
    <w:rsid w:val="00597A23"/>
    <w:rsid w:val="005A5647"/>
    <w:rsid w:val="005B157D"/>
    <w:rsid w:val="005B2BC9"/>
    <w:rsid w:val="005B31DC"/>
    <w:rsid w:val="005C2E0E"/>
    <w:rsid w:val="005C4943"/>
    <w:rsid w:val="005C7ECD"/>
    <w:rsid w:val="005D454A"/>
    <w:rsid w:val="005E0AA6"/>
    <w:rsid w:val="005E487B"/>
    <w:rsid w:val="005E78AF"/>
    <w:rsid w:val="005E7DB6"/>
    <w:rsid w:val="005E7E66"/>
    <w:rsid w:val="005F2D93"/>
    <w:rsid w:val="005F2FB4"/>
    <w:rsid w:val="005F3341"/>
    <w:rsid w:val="005F5A6E"/>
    <w:rsid w:val="00605F64"/>
    <w:rsid w:val="00607023"/>
    <w:rsid w:val="00610755"/>
    <w:rsid w:val="00611DAB"/>
    <w:rsid w:val="00611EFE"/>
    <w:rsid w:val="00620AB1"/>
    <w:rsid w:val="00622871"/>
    <w:rsid w:val="006242F7"/>
    <w:rsid w:val="0064791A"/>
    <w:rsid w:val="00647C6D"/>
    <w:rsid w:val="006515B4"/>
    <w:rsid w:val="006558E6"/>
    <w:rsid w:val="006577BB"/>
    <w:rsid w:val="006624A7"/>
    <w:rsid w:val="006767B4"/>
    <w:rsid w:val="006811C1"/>
    <w:rsid w:val="006907E8"/>
    <w:rsid w:val="00692405"/>
    <w:rsid w:val="00694C7F"/>
    <w:rsid w:val="00697DFB"/>
    <w:rsid w:val="006B5C8A"/>
    <w:rsid w:val="006B7723"/>
    <w:rsid w:val="006C5F89"/>
    <w:rsid w:val="006D2A98"/>
    <w:rsid w:val="006D654E"/>
    <w:rsid w:val="006E35D3"/>
    <w:rsid w:val="006E64C9"/>
    <w:rsid w:val="006E75F8"/>
    <w:rsid w:val="006E7C48"/>
    <w:rsid w:val="006F0FD3"/>
    <w:rsid w:val="006F4C98"/>
    <w:rsid w:val="00701BF5"/>
    <w:rsid w:val="00713463"/>
    <w:rsid w:val="00722161"/>
    <w:rsid w:val="00731C9E"/>
    <w:rsid w:val="00734BE8"/>
    <w:rsid w:val="007424BE"/>
    <w:rsid w:val="00750F05"/>
    <w:rsid w:val="00754C11"/>
    <w:rsid w:val="00784AAE"/>
    <w:rsid w:val="00784E16"/>
    <w:rsid w:val="00785255"/>
    <w:rsid w:val="00790258"/>
    <w:rsid w:val="00797AD6"/>
    <w:rsid w:val="007A4656"/>
    <w:rsid w:val="007A7C4C"/>
    <w:rsid w:val="007B1541"/>
    <w:rsid w:val="007B47E5"/>
    <w:rsid w:val="007B4B5C"/>
    <w:rsid w:val="007F351A"/>
    <w:rsid w:val="0080487C"/>
    <w:rsid w:val="008128D3"/>
    <w:rsid w:val="00812D07"/>
    <w:rsid w:val="0081773C"/>
    <w:rsid w:val="00821B40"/>
    <w:rsid w:val="00821D9C"/>
    <w:rsid w:val="008224A6"/>
    <w:rsid w:val="00840411"/>
    <w:rsid w:val="00841640"/>
    <w:rsid w:val="00850253"/>
    <w:rsid w:val="008507C6"/>
    <w:rsid w:val="00852336"/>
    <w:rsid w:val="0085364B"/>
    <w:rsid w:val="00857FF5"/>
    <w:rsid w:val="008608B9"/>
    <w:rsid w:val="00862259"/>
    <w:rsid w:val="00872C12"/>
    <w:rsid w:val="0087570A"/>
    <w:rsid w:val="00890EF4"/>
    <w:rsid w:val="0089283E"/>
    <w:rsid w:val="008A3FF6"/>
    <w:rsid w:val="008A66E9"/>
    <w:rsid w:val="008C6025"/>
    <w:rsid w:val="008D5C23"/>
    <w:rsid w:val="008D6DC4"/>
    <w:rsid w:val="008E4C17"/>
    <w:rsid w:val="008E7A68"/>
    <w:rsid w:val="008F2820"/>
    <w:rsid w:val="00901AAA"/>
    <w:rsid w:val="00904114"/>
    <w:rsid w:val="00904D21"/>
    <w:rsid w:val="00910F9E"/>
    <w:rsid w:val="00911099"/>
    <w:rsid w:val="0092215B"/>
    <w:rsid w:val="00923856"/>
    <w:rsid w:val="00951978"/>
    <w:rsid w:val="00954BCB"/>
    <w:rsid w:val="00955F0E"/>
    <w:rsid w:val="00956574"/>
    <w:rsid w:val="00963C6C"/>
    <w:rsid w:val="00970CDE"/>
    <w:rsid w:val="009762CC"/>
    <w:rsid w:val="009868EA"/>
    <w:rsid w:val="00986FAB"/>
    <w:rsid w:val="00990D2F"/>
    <w:rsid w:val="00993D9F"/>
    <w:rsid w:val="00997301"/>
    <w:rsid w:val="00997970"/>
    <w:rsid w:val="009B4BE1"/>
    <w:rsid w:val="009C03A9"/>
    <w:rsid w:val="009C4AC2"/>
    <w:rsid w:val="009D4C66"/>
    <w:rsid w:val="009E139B"/>
    <w:rsid w:val="009F24D9"/>
    <w:rsid w:val="00A061E4"/>
    <w:rsid w:val="00A06BE9"/>
    <w:rsid w:val="00A14CD0"/>
    <w:rsid w:val="00A20B55"/>
    <w:rsid w:val="00A21E9B"/>
    <w:rsid w:val="00A32AAB"/>
    <w:rsid w:val="00A346E9"/>
    <w:rsid w:val="00A43E27"/>
    <w:rsid w:val="00A50E5C"/>
    <w:rsid w:val="00A62994"/>
    <w:rsid w:val="00A63415"/>
    <w:rsid w:val="00A673A1"/>
    <w:rsid w:val="00A712A7"/>
    <w:rsid w:val="00A7466C"/>
    <w:rsid w:val="00A74815"/>
    <w:rsid w:val="00A7507B"/>
    <w:rsid w:val="00A86727"/>
    <w:rsid w:val="00A907EF"/>
    <w:rsid w:val="00AB5AD5"/>
    <w:rsid w:val="00AC244E"/>
    <w:rsid w:val="00AC2C9B"/>
    <w:rsid w:val="00AC4F50"/>
    <w:rsid w:val="00AD02D5"/>
    <w:rsid w:val="00AD7E2A"/>
    <w:rsid w:val="00AF1595"/>
    <w:rsid w:val="00AF49A0"/>
    <w:rsid w:val="00B025ED"/>
    <w:rsid w:val="00B02E7A"/>
    <w:rsid w:val="00B043EC"/>
    <w:rsid w:val="00B15A9F"/>
    <w:rsid w:val="00B27AA6"/>
    <w:rsid w:val="00B3317B"/>
    <w:rsid w:val="00B45797"/>
    <w:rsid w:val="00B553D7"/>
    <w:rsid w:val="00B612C0"/>
    <w:rsid w:val="00B73952"/>
    <w:rsid w:val="00B80AD8"/>
    <w:rsid w:val="00B8427F"/>
    <w:rsid w:val="00B86920"/>
    <w:rsid w:val="00B943E0"/>
    <w:rsid w:val="00BA419E"/>
    <w:rsid w:val="00BA523C"/>
    <w:rsid w:val="00BB0498"/>
    <w:rsid w:val="00BB0ABF"/>
    <w:rsid w:val="00BC1035"/>
    <w:rsid w:val="00BC545B"/>
    <w:rsid w:val="00BC5F25"/>
    <w:rsid w:val="00BC7592"/>
    <w:rsid w:val="00BD0F1E"/>
    <w:rsid w:val="00BD14E4"/>
    <w:rsid w:val="00BD3E17"/>
    <w:rsid w:val="00BD751C"/>
    <w:rsid w:val="00BE7A65"/>
    <w:rsid w:val="00C0177B"/>
    <w:rsid w:val="00C0278A"/>
    <w:rsid w:val="00C207A0"/>
    <w:rsid w:val="00C25839"/>
    <w:rsid w:val="00C2655E"/>
    <w:rsid w:val="00C3468A"/>
    <w:rsid w:val="00C42B26"/>
    <w:rsid w:val="00C45925"/>
    <w:rsid w:val="00C535A2"/>
    <w:rsid w:val="00C54EF1"/>
    <w:rsid w:val="00C56A4F"/>
    <w:rsid w:val="00C8199C"/>
    <w:rsid w:val="00C837AA"/>
    <w:rsid w:val="00C84862"/>
    <w:rsid w:val="00C9150C"/>
    <w:rsid w:val="00CB5AD2"/>
    <w:rsid w:val="00CC202E"/>
    <w:rsid w:val="00CC2B80"/>
    <w:rsid w:val="00CD0E46"/>
    <w:rsid w:val="00CE10A3"/>
    <w:rsid w:val="00CE1CDB"/>
    <w:rsid w:val="00CE5E85"/>
    <w:rsid w:val="00CF0754"/>
    <w:rsid w:val="00CF46D3"/>
    <w:rsid w:val="00D022CC"/>
    <w:rsid w:val="00D12F19"/>
    <w:rsid w:val="00D26390"/>
    <w:rsid w:val="00D51542"/>
    <w:rsid w:val="00D81ADD"/>
    <w:rsid w:val="00D824CE"/>
    <w:rsid w:val="00D82C11"/>
    <w:rsid w:val="00D84650"/>
    <w:rsid w:val="00D9248D"/>
    <w:rsid w:val="00DB351F"/>
    <w:rsid w:val="00DB3890"/>
    <w:rsid w:val="00DC70E6"/>
    <w:rsid w:val="00DD2B85"/>
    <w:rsid w:val="00DD4BE3"/>
    <w:rsid w:val="00DE13BC"/>
    <w:rsid w:val="00DE3896"/>
    <w:rsid w:val="00DF2916"/>
    <w:rsid w:val="00E04CE1"/>
    <w:rsid w:val="00E10146"/>
    <w:rsid w:val="00E15D6B"/>
    <w:rsid w:val="00E322B1"/>
    <w:rsid w:val="00E422FF"/>
    <w:rsid w:val="00E47732"/>
    <w:rsid w:val="00E60F37"/>
    <w:rsid w:val="00E66C4B"/>
    <w:rsid w:val="00E737E4"/>
    <w:rsid w:val="00E743D1"/>
    <w:rsid w:val="00E77827"/>
    <w:rsid w:val="00E8011B"/>
    <w:rsid w:val="00E80D11"/>
    <w:rsid w:val="00E83413"/>
    <w:rsid w:val="00E83614"/>
    <w:rsid w:val="00EB16AA"/>
    <w:rsid w:val="00EC1EC1"/>
    <w:rsid w:val="00EC3B06"/>
    <w:rsid w:val="00EC7990"/>
    <w:rsid w:val="00ED0FA9"/>
    <w:rsid w:val="00ED53CB"/>
    <w:rsid w:val="00EE2621"/>
    <w:rsid w:val="00EF1C22"/>
    <w:rsid w:val="00F1104D"/>
    <w:rsid w:val="00F13D62"/>
    <w:rsid w:val="00F17777"/>
    <w:rsid w:val="00F226EA"/>
    <w:rsid w:val="00F23003"/>
    <w:rsid w:val="00F24054"/>
    <w:rsid w:val="00F35CAB"/>
    <w:rsid w:val="00F43D92"/>
    <w:rsid w:val="00F52210"/>
    <w:rsid w:val="00F52802"/>
    <w:rsid w:val="00F529F8"/>
    <w:rsid w:val="00F5445E"/>
    <w:rsid w:val="00F54F31"/>
    <w:rsid w:val="00F565C7"/>
    <w:rsid w:val="00F64E62"/>
    <w:rsid w:val="00F66928"/>
    <w:rsid w:val="00F6775F"/>
    <w:rsid w:val="00F7060B"/>
    <w:rsid w:val="00F74D28"/>
    <w:rsid w:val="00F77022"/>
    <w:rsid w:val="00F911E0"/>
    <w:rsid w:val="00F91254"/>
    <w:rsid w:val="00F96020"/>
    <w:rsid w:val="00FA2EAA"/>
    <w:rsid w:val="00FA546F"/>
    <w:rsid w:val="00FA560E"/>
    <w:rsid w:val="00FA79EC"/>
    <w:rsid w:val="00FB04D2"/>
    <w:rsid w:val="00FB707F"/>
    <w:rsid w:val="00FC1614"/>
    <w:rsid w:val="00FC1BC9"/>
    <w:rsid w:val="00FC1F8D"/>
    <w:rsid w:val="00FD6A03"/>
    <w:rsid w:val="00FE486B"/>
    <w:rsid w:val="00FE5219"/>
    <w:rsid w:val="00FE682F"/>
    <w:rsid w:val="00FF38B9"/>
    <w:rsid w:val="01114787"/>
    <w:rsid w:val="012E3A48"/>
    <w:rsid w:val="015B6D94"/>
    <w:rsid w:val="019A1A61"/>
    <w:rsid w:val="01B66E93"/>
    <w:rsid w:val="02391766"/>
    <w:rsid w:val="024C492F"/>
    <w:rsid w:val="025F28B4"/>
    <w:rsid w:val="02D60912"/>
    <w:rsid w:val="031E451D"/>
    <w:rsid w:val="03451AAA"/>
    <w:rsid w:val="035C5045"/>
    <w:rsid w:val="037B196F"/>
    <w:rsid w:val="037D2423"/>
    <w:rsid w:val="03962305"/>
    <w:rsid w:val="03DE5A5A"/>
    <w:rsid w:val="0437692F"/>
    <w:rsid w:val="0449381C"/>
    <w:rsid w:val="04536448"/>
    <w:rsid w:val="0477794E"/>
    <w:rsid w:val="04CC1D57"/>
    <w:rsid w:val="05091A55"/>
    <w:rsid w:val="052B4CCF"/>
    <w:rsid w:val="059243C7"/>
    <w:rsid w:val="05A475AD"/>
    <w:rsid w:val="05C0795A"/>
    <w:rsid w:val="05EC26B0"/>
    <w:rsid w:val="06100B18"/>
    <w:rsid w:val="0627193B"/>
    <w:rsid w:val="06A6368C"/>
    <w:rsid w:val="06B021A1"/>
    <w:rsid w:val="06C62F02"/>
    <w:rsid w:val="06CE625A"/>
    <w:rsid w:val="06EE72F8"/>
    <w:rsid w:val="07181283"/>
    <w:rsid w:val="075A76A2"/>
    <w:rsid w:val="07A12D60"/>
    <w:rsid w:val="07CD206E"/>
    <w:rsid w:val="07DA5D9B"/>
    <w:rsid w:val="08031F33"/>
    <w:rsid w:val="082B0284"/>
    <w:rsid w:val="08843074"/>
    <w:rsid w:val="08C276F9"/>
    <w:rsid w:val="08DC6BCA"/>
    <w:rsid w:val="08EA7114"/>
    <w:rsid w:val="09390790"/>
    <w:rsid w:val="093C394F"/>
    <w:rsid w:val="095F3199"/>
    <w:rsid w:val="098F7F23"/>
    <w:rsid w:val="099D5E06"/>
    <w:rsid w:val="09AA6B0A"/>
    <w:rsid w:val="09C15C02"/>
    <w:rsid w:val="0A0F2E11"/>
    <w:rsid w:val="0A4A209B"/>
    <w:rsid w:val="0A4F76B2"/>
    <w:rsid w:val="0A583896"/>
    <w:rsid w:val="0A9E51BA"/>
    <w:rsid w:val="0ABD3C43"/>
    <w:rsid w:val="0ADD1EE6"/>
    <w:rsid w:val="0B0B7215"/>
    <w:rsid w:val="0BF277E3"/>
    <w:rsid w:val="0C012C2E"/>
    <w:rsid w:val="0C0B585A"/>
    <w:rsid w:val="0C3065D4"/>
    <w:rsid w:val="0C817F17"/>
    <w:rsid w:val="0CA02733"/>
    <w:rsid w:val="0CAE44D7"/>
    <w:rsid w:val="0CD0112D"/>
    <w:rsid w:val="0CDC7A5E"/>
    <w:rsid w:val="0D041C65"/>
    <w:rsid w:val="0D170DD3"/>
    <w:rsid w:val="0D927FE1"/>
    <w:rsid w:val="0DAE649D"/>
    <w:rsid w:val="0DE6032D"/>
    <w:rsid w:val="0E230C39"/>
    <w:rsid w:val="0ED4462A"/>
    <w:rsid w:val="0EE556B6"/>
    <w:rsid w:val="0F4C5F6E"/>
    <w:rsid w:val="0F5F3EF3"/>
    <w:rsid w:val="0F875AE2"/>
    <w:rsid w:val="0F9A13CF"/>
    <w:rsid w:val="0FC06569"/>
    <w:rsid w:val="0FC85936"/>
    <w:rsid w:val="0FE20680"/>
    <w:rsid w:val="0FF7412C"/>
    <w:rsid w:val="100A6CC9"/>
    <w:rsid w:val="10466E61"/>
    <w:rsid w:val="106B4D12"/>
    <w:rsid w:val="10864733"/>
    <w:rsid w:val="108B0D18"/>
    <w:rsid w:val="10AF022F"/>
    <w:rsid w:val="10B96DCF"/>
    <w:rsid w:val="10EF7542"/>
    <w:rsid w:val="111725AC"/>
    <w:rsid w:val="11AF6FAB"/>
    <w:rsid w:val="122A7862"/>
    <w:rsid w:val="12AB56A1"/>
    <w:rsid w:val="130A34FE"/>
    <w:rsid w:val="133D22DF"/>
    <w:rsid w:val="134D6B6A"/>
    <w:rsid w:val="13545D39"/>
    <w:rsid w:val="136C39EE"/>
    <w:rsid w:val="138A52B7"/>
    <w:rsid w:val="13946135"/>
    <w:rsid w:val="13957657"/>
    <w:rsid w:val="139B5716"/>
    <w:rsid w:val="141D2158"/>
    <w:rsid w:val="142B4CEC"/>
    <w:rsid w:val="148B1F5D"/>
    <w:rsid w:val="14BB6070"/>
    <w:rsid w:val="14CB202B"/>
    <w:rsid w:val="14CF38C9"/>
    <w:rsid w:val="15194B44"/>
    <w:rsid w:val="15783F91"/>
    <w:rsid w:val="159266A5"/>
    <w:rsid w:val="15DB1E4F"/>
    <w:rsid w:val="15EA028F"/>
    <w:rsid w:val="162514E2"/>
    <w:rsid w:val="16321ADC"/>
    <w:rsid w:val="163C2256"/>
    <w:rsid w:val="164B3423"/>
    <w:rsid w:val="167B3E10"/>
    <w:rsid w:val="16816E45"/>
    <w:rsid w:val="16970417"/>
    <w:rsid w:val="178503CB"/>
    <w:rsid w:val="17B9260F"/>
    <w:rsid w:val="17BB0135"/>
    <w:rsid w:val="17BF5E77"/>
    <w:rsid w:val="183A374F"/>
    <w:rsid w:val="187D363C"/>
    <w:rsid w:val="18AC1C26"/>
    <w:rsid w:val="18B352B0"/>
    <w:rsid w:val="18BF5A03"/>
    <w:rsid w:val="18F25DD8"/>
    <w:rsid w:val="18F554CB"/>
    <w:rsid w:val="19112EC7"/>
    <w:rsid w:val="192D03A2"/>
    <w:rsid w:val="196B7938"/>
    <w:rsid w:val="198E0B5B"/>
    <w:rsid w:val="199959EE"/>
    <w:rsid w:val="19AD1CFF"/>
    <w:rsid w:val="19D0691C"/>
    <w:rsid w:val="19DD2D01"/>
    <w:rsid w:val="1A0F6516"/>
    <w:rsid w:val="1A1D5545"/>
    <w:rsid w:val="1A571927"/>
    <w:rsid w:val="1A61445B"/>
    <w:rsid w:val="1A7647E7"/>
    <w:rsid w:val="1AD60012"/>
    <w:rsid w:val="1AEB099E"/>
    <w:rsid w:val="1B043BA1"/>
    <w:rsid w:val="1B3527CE"/>
    <w:rsid w:val="1B5A7DEF"/>
    <w:rsid w:val="1B6F54BE"/>
    <w:rsid w:val="1B9A6171"/>
    <w:rsid w:val="1BAF1D5E"/>
    <w:rsid w:val="1BCC108E"/>
    <w:rsid w:val="1BE23517"/>
    <w:rsid w:val="1C077DEC"/>
    <w:rsid w:val="1C0C71B1"/>
    <w:rsid w:val="1C35495A"/>
    <w:rsid w:val="1C3E3908"/>
    <w:rsid w:val="1C536B8E"/>
    <w:rsid w:val="1CC62DE7"/>
    <w:rsid w:val="1D2C4401"/>
    <w:rsid w:val="1D3A7D4E"/>
    <w:rsid w:val="1DA63635"/>
    <w:rsid w:val="1DAE4992"/>
    <w:rsid w:val="1DB96EC4"/>
    <w:rsid w:val="1DD65CC8"/>
    <w:rsid w:val="1E29229C"/>
    <w:rsid w:val="1EE11DD2"/>
    <w:rsid w:val="1EEE7042"/>
    <w:rsid w:val="1F136AA8"/>
    <w:rsid w:val="1F1C595D"/>
    <w:rsid w:val="1F220A99"/>
    <w:rsid w:val="1F2B3DF2"/>
    <w:rsid w:val="1F33644B"/>
    <w:rsid w:val="1F422EEA"/>
    <w:rsid w:val="1F58270D"/>
    <w:rsid w:val="1F861028"/>
    <w:rsid w:val="1F9F20EA"/>
    <w:rsid w:val="1FCC483D"/>
    <w:rsid w:val="1FD46237"/>
    <w:rsid w:val="1FF0209D"/>
    <w:rsid w:val="201523AC"/>
    <w:rsid w:val="203C5B8B"/>
    <w:rsid w:val="204A1CA1"/>
    <w:rsid w:val="204D1B46"/>
    <w:rsid w:val="20EA55E7"/>
    <w:rsid w:val="212068EC"/>
    <w:rsid w:val="21333432"/>
    <w:rsid w:val="21BB208F"/>
    <w:rsid w:val="21CD73E2"/>
    <w:rsid w:val="21FE0D6D"/>
    <w:rsid w:val="221E19EC"/>
    <w:rsid w:val="223E3E3C"/>
    <w:rsid w:val="22421B7E"/>
    <w:rsid w:val="225B5797"/>
    <w:rsid w:val="22B440FE"/>
    <w:rsid w:val="22BF2BE2"/>
    <w:rsid w:val="22D402FC"/>
    <w:rsid w:val="22E83DA8"/>
    <w:rsid w:val="22EC5AE9"/>
    <w:rsid w:val="22F336FA"/>
    <w:rsid w:val="239F6B5C"/>
    <w:rsid w:val="23FC7B0B"/>
    <w:rsid w:val="24102108"/>
    <w:rsid w:val="2426052F"/>
    <w:rsid w:val="246102B6"/>
    <w:rsid w:val="246B15B2"/>
    <w:rsid w:val="24AD52A9"/>
    <w:rsid w:val="24C30629"/>
    <w:rsid w:val="24CD2C84"/>
    <w:rsid w:val="24CF3471"/>
    <w:rsid w:val="24EA02AB"/>
    <w:rsid w:val="24EF7F00"/>
    <w:rsid w:val="25016F4E"/>
    <w:rsid w:val="25052E0F"/>
    <w:rsid w:val="251B0465"/>
    <w:rsid w:val="25341526"/>
    <w:rsid w:val="255E0351"/>
    <w:rsid w:val="25D11850"/>
    <w:rsid w:val="25EE7927"/>
    <w:rsid w:val="26413EFB"/>
    <w:rsid w:val="26700B3E"/>
    <w:rsid w:val="26A85D28"/>
    <w:rsid w:val="27160EE4"/>
    <w:rsid w:val="272F6449"/>
    <w:rsid w:val="276734AD"/>
    <w:rsid w:val="27806CA5"/>
    <w:rsid w:val="27A6670B"/>
    <w:rsid w:val="27B9449E"/>
    <w:rsid w:val="2824787C"/>
    <w:rsid w:val="28291CBC"/>
    <w:rsid w:val="283C4ED8"/>
    <w:rsid w:val="28537F15"/>
    <w:rsid w:val="28697739"/>
    <w:rsid w:val="28760B56"/>
    <w:rsid w:val="287700A8"/>
    <w:rsid w:val="28C826B1"/>
    <w:rsid w:val="29565F0F"/>
    <w:rsid w:val="29A32996"/>
    <w:rsid w:val="2A1262DA"/>
    <w:rsid w:val="2A17569E"/>
    <w:rsid w:val="2A3C5105"/>
    <w:rsid w:val="2AB54EB7"/>
    <w:rsid w:val="2AC82E3D"/>
    <w:rsid w:val="2B211383"/>
    <w:rsid w:val="2B603075"/>
    <w:rsid w:val="2B612949"/>
    <w:rsid w:val="2BBD4024"/>
    <w:rsid w:val="2BD10CEF"/>
    <w:rsid w:val="2BD31A99"/>
    <w:rsid w:val="2C3A43A6"/>
    <w:rsid w:val="2C6C77F8"/>
    <w:rsid w:val="2C76251F"/>
    <w:rsid w:val="2CD05FD9"/>
    <w:rsid w:val="2CEA709A"/>
    <w:rsid w:val="2D2B1461"/>
    <w:rsid w:val="2D2F4B7E"/>
    <w:rsid w:val="2D3E2F42"/>
    <w:rsid w:val="2D4F33A1"/>
    <w:rsid w:val="2DF87595"/>
    <w:rsid w:val="2E2B796A"/>
    <w:rsid w:val="2E364F31"/>
    <w:rsid w:val="2E382087"/>
    <w:rsid w:val="2E756E38"/>
    <w:rsid w:val="2EC456C9"/>
    <w:rsid w:val="2EE62640"/>
    <w:rsid w:val="2F01691D"/>
    <w:rsid w:val="2F0F103A"/>
    <w:rsid w:val="2F3621B9"/>
    <w:rsid w:val="2F9B68F6"/>
    <w:rsid w:val="2FC736C3"/>
    <w:rsid w:val="300E30A0"/>
    <w:rsid w:val="30194BEE"/>
    <w:rsid w:val="302C5C1C"/>
    <w:rsid w:val="30534F57"/>
    <w:rsid w:val="30BC0D4E"/>
    <w:rsid w:val="30C561C8"/>
    <w:rsid w:val="31010E56"/>
    <w:rsid w:val="311A1F18"/>
    <w:rsid w:val="31215055"/>
    <w:rsid w:val="31273F18"/>
    <w:rsid w:val="31413001"/>
    <w:rsid w:val="316D35E7"/>
    <w:rsid w:val="31796C3F"/>
    <w:rsid w:val="318B0720"/>
    <w:rsid w:val="319A0963"/>
    <w:rsid w:val="31E85AEB"/>
    <w:rsid w:val="31F467E5"/>
    <w:rsid w:val="32017C6B"/>
    <w:rsid w:val="32607DFF"/>
    <w:rsid w:val="32A777DC"/>
    <w:rsid w:val="336851BD"/>
    <w:rsid w:val="33A1247D"/>
    <w:rsid w:val="33A65CE5"/>
    <w:rsid w:val="33D8367D"/>
    <w:rsid w:val="33F62166"/>
    <w:rsid w:val="34136216"/>
    <w:rsid w:val="341669C7"/>
    <w:rsid w:val="34790D04"/>
    <w:rsid w:val="34BA1818"/>
    <w:rsid w:val="34EC7728"/>
    <w:rsid w:val="357A4D33"/>
    <w:rsid w:val="35867B7C"/>
    <w:rsid w:val="359E3B85"/>
    <w:rsid w:val="35B20971"/>
    <w:rsid w:val="35C3056F"/>
    <w:rsid w:val="35D408E8"/>
    <w:rsid w:val="35D45CEC"/>
    <w:rsid w:val="35DA3A24"/>
    <w:rsid w:val="35EB5C31"/>
    <w:rsid w:val="35EF5721"/>
    <w:rsid w:val="35FC3092"/>
    <w:rsid w:val="361C5DEB"/>
    <w:rsid w:val="3652180C"/>
    <w:rsid w:val="3669267B"/>
    <w:rsid w:val="370E0BA2"/>
    <w:rsid w:val="372633C5"/>
    <w:rsid w:val="373408F6"/>
    <w:rsid w:val="37555A58"/>
    <w:rsid w:val="37732382"/>
    <w:rsid w:val="37E1109A"/>
    <w:rsid w:val="37E56DDC"/>
    <w:rsid w:val="37F963E3"/>
    <w:rsid w:val="38082ACA"/>
    <w:rsid w:val="38664899"/>
    <w:rsid w:val="38AE3672"/>
    <w:rsid w:val="38DE55D9"/>
    <w:rsid w:val="38E26F5B"/>
    <w:rsid w:val="396C0E37"/>
    <w:rsid w:val="39B60304"/>
    <w:rsid w:val="39E76710"/>
    <w:rsid w:val="3A0F6392"/>
    <w:rsid w:val="3A157721"/>
    <w:rsid w:val="3A340F4B"/>
    <w:rsid w:val="3A4D3507"/>
    <w:rsid w:val="3A7B3A28"/>
    <w:rsid w:val="3A7C154E"/>
    <w:rsid w:val="3A816B64"/>
    <w:rsid w:val="3AA840F1"/>
    <w:rsid w:val="3AB02FA5"/>
    <w:rsid w:val="3AC90DE8"/>
    <w:rsid w:val="3ADC3D29"/>
    <w:rsid w:val="3AE3337B"/>
    <w:rsid w:val="3B077069"/>
    <w:rsid w:val="3B5F70BA"/>
    <w:rsid w:val="3B691AD2"/>
    <w:rsid w:val="3B954D20"/>
    <w:rsid w:val="3C61318A"/>
    <w:rsid w:val="3C621D86"/>
    <w:rsid w:val="3C7805A2"/>
    <w:rsid w:val="3C7C3A87"/>
    <w:rsid w:val="3CD73ACF"/>
    <w:rsid w:val="3D0C4E0B"/>
    <w:rsid w:val="3D494E46"/>
    <w:rsid w:val="3D802923"/>
    <w:rsid w:val="3DB66B25"/>
    <w:rsid w:val="3DC7317B"/>
    <w:rsid w:val="3DCB6A74"/>
    <w:rsid w:val="3E17629B"/>
    <w:rsid w:val="3E1929C1"/>
    <w:rsid w:val="3E1C28DB"/>
    <w:rsid w:val="3E4B54BF"/>
    <w:rsid w:val="3E615280"/>
    <w:rsid w:val="3ED26D52"/>
    <w:rsid w:val="3F4E528D"/>
    <w:rsid w:val="3F632CDC"/>
    <w:rsid w:val="3F696545"/>
    <w:rsid w:val="3F6F51DD"/>
    <w:rsid w:val="3FB03CE3"/>
    <w:rsid w:val="3FCD150A"/>
    <w:rsid w:val="3FDC1BDA"/>
    <w:rsid w:val="3FDF05B5"/>
    <w:rsid w:val="40186C21"/>
    <w:rsid w:val="40292A23"/>
    <w:rsid w:val="404448BC"/>
    <w:rsid w:val="404B79F8"/>
    <w:rsid w:val="40776A3F"/>
    <w:rsid w:val="40A330A5"/>
    <w:rsid w:val="40E913D4"/>
    <w:rsid w:val="41175B2C"/>
    <w:rsid w:val="41557F55"/>
    <w:rsid w:val="4182569C"/>
    <w:rsid w:val="420C765B"/>
    <w:rsid w:val="42867CC7"/>
    <w:rsid w:val="42AE2416"/>
    <w:rsid w:val="42BC0202"/>
    <w:rsid w:val="42D00689"/>
    <w:rsid w:val="42D02437"/>
    <w:rsid w:val="42E3660E"/>
    <w:rsid w:val="431C0670"/>
    <w:rsid w:val="433E6FA0"/>
    <w:rsid w:val="434541E2"/>
    <w:rsid w:val="434E2B29"/>
    <w:rsid w:val="43D9531B"/>
    <w:rsid w:val="43DE6DD5"/>
    <w:rsid w:val="440E3BC2"/>
    <w:rsid w:val="44597DE4"/>
    <w:rsid w:val="44BA6EFA"/>
    <w:rsid w:val="44DF2E05"/>
    <w:rsid w:val="44EF0F09"/>
    <w:rsid w:val="450D5DF8"/>
    <w:rsid w:val="45682DFA"/>
    <w:rsid w:val="45AC3014"/>
    <w:rsid w:val="45C76627"/>
    <w:rsid w:val="462A00B0"/>
    <w:rsid w:val="464C44CA"/>
    <w:rsid w:val="466A5972"/>
    <w:rsid w:val="468402C4"/>
    <w:rsid w:val="46854A56"/>
    <w:rsid w:val="46A61E2C"/>
    <w:rsid w:val="46C73B51"/>
    <w:rsid w:val="46E30D8F"/>
    <w:rsid w:val="46EC35B7"/>
    <w:rsid w:val="46F3609A"/>
    <w:rsid w:val="471825FE"/>
    <w:rsid w:val="47815AC5"/>
    <w:rsid w:val="47FC6E6D"/>
    <w:rsid w:val="48177488"/>
    <w:rsid w:val="484F7A1A"/>
    <w:rsid w:val="48661A22"/>
    <w:rsid w:val="49011778"/>
    <w:rsid w:val="49393E12"/>
    <w:rsid w:val="4942391C"/>
    <w:rsid w:val="498A2D68"/>
    <w:rsid w:val="49B1034B"/>
    <w:rsid w:val="4A0F7CE8"/>
    <w:rsid w:val="4A29738A"/>
    <w:rsid w:val="4A427EE8"/>
    <w:rsid w:val="4A776687"/>
    <w:rsid w:val="4AC00FE3"/>
    <w:rsid w:val="4B105AC6"/>
    <w:rsid w:val="4B2459A4"/>
    <w:rsid w:val="4B6202EC"/>
    <w:rsid w:val="4B62209A"/>
    <w:rsid w:val="4B8D42E2"/>
    <w:rsid w:val="4BDA3825"/>
    <w:rsid w:val="4C017B05"/>
    <w:rsid w:val="4C26756B"/>
    <w:rsid w:val="4C341E7A"/>
    <w:rsid w:val="4C3E2B07"/>
    <w:rsid w:val="4CCE105B"/>
    <w:rsid w:val="4CFF7314"/>
    <w:rsid w:val="4DC9456E"/>
    <w:rsid w:val="4DF07E31"/>
    <w:rsid w:val="4DF80A94"/>
    <w:rsid w:val="4E015B9A"/>
    <w:rsid w:val="4E094EF3"/>
    <w:rsid w:val="4EB62E28"/>
    <w:rsid w:val="4ECC61A8"/>
    <w:rsid w:val="4EE2777A"/>
    <w:rsid w:val="4EE96D5A"/>
    <w:rsid w:val="4EEB32EF"/>
    <w:rsid w:val="4F2002A2"/>
    <w:rsid w:val="4F36690F"/>
    <w:rsid w:val="4F604B42"/>
    <w:rsid w:val="4F610FE6"/>
    <w:rsid w:val="4F6E54B1"/>
    <w:rsid w:val="4F960564"/>
    <w:rsid w:val="4F9F38BD"/>
    <w:rsid w:val="4FA26F09"/>
    <w:rsid w:val="4FAD422B"/>
    <w:rsid w:val="4FB32C3B"/>
    <w:rsid w:val="4FB37B89"/>
    <w:rsid w:val="4FC60E49"/>
    <w:rsid w:val="4FE2120F"/>
    <w:rsid w:val="50710EEF"/>
    <w:rsid w:val="508D5E0B"/>
    <w:rsid w:val="50951CC6"/>
    <w:rsid w:val="50A76ECD"/>
    <w:rsid w:val="50BD1C2B"/>
    <w:rsid w:val="50C555A5"/>
    <w:rsid w:val="50D37CC2"/>
    <w:rsid w:val="50F6575E"/>
    <w:rsid w:val="51723C49"/>
    <w:rsid w:val="51D13AD5"/>
    <w:rsid w:val="51F534B8"/>
    <w:rsid w:val="52102923"/>
    <w:rsid w:val="52157E66"/>
    <w:rsid w:val="52177EC2"/>
    <w:rsid w:val="523F42ED"/>
    <w:rsid w:val="527F3531"/>
    <w:rsid w:val="52992845"/>
    <w:rsid w:val="529C40E3"/>
    <w:rsid w:val="52BC6534"/>
    <w:rsid w:val="52C308D8"/>
    <w:rsid w:val="531445C2"/>
    <w:rsid w:val="53301F7C"/>
    <w:rsid w:val="53397B84"/>
    <w:rsid w:val="534F73A8"/>
    <w:rsid w:val="535B5D4C"/>
    <w:rsid w:val="53603363"/>
    <w:rsid w:val="538A6632"/>
    <w:rsid w:val="538B7A05"/>
    <w:rsid w:val="53AE40CE"/>
    <w:rsid w:val="53B236C8"/>
    <w:rsid w:val="53B46E53"/>
    <w:rsid w:val="53C102A5"/>
    <w:rsid w:val="544F687F"/>
    <w:rsid w:val="54615244"/>
    <w:rsid w:val="54673DA7"/>
    <w:rsid w:val="54D17306"/>
    <w:rsid w:val="54DD1D56"/>
    <w:rsid w:val="54F3218D"/>
    <w:rsid w:val="55125CF2"/>
    <w:rsid w:val="5516017D"/>
    <w:rsid w:val="55306D65"/>
    <w:rsid w:val="557650C0"/>
    <w:rsid w:val="557A725C"/>
    <w:rsid w:val="55894270"/>
    <w:rsid w:val="55BD4A9D"/>
    <w:rsid w:val="55EA33B8"/>
    <w:rsid w:val="564B654C"/>
    <w:rsid w:val="567D2FDC"/>
    <w:rsid w:val="571602F8"/>
    <w:rsid w:val="576F728A"/>
    <w:rsid w:val="577675F9"/>
    <w:rsid w:val="57D4674D"/>
    <w:rsid w:val="57D52571"/>
    <w:rsid w:val="57EC1669"/>
    <w:rsid w:val="57F37F1E"/>
    <w:rsid w:val="580E5A83"/>
    <w:rsid w:val="582232DD"/>
    <w:rsid w:val="58366D88"/>
    <w:rsid w:val="58AE5F4C"/>
    <w:rsid w:val="58D5034F"/>
    <w:rsid w:val="58E24393"/>
    <w:rsid w:val="598F6750"/>
    <w:rsid w:val="59975605"/>
    <w:rsid w:val="5A3115B5"/>
    <w:rsid w:val="5A6279C1"/>
    <w:rsid w:val="5A7F0572"/>
    <w:rsid w:val="5A8E07B6"/>
    <w:rsid w:val="5B15237A"/>
    <w:rsid w:val="5B242FC1"/>
    <w:rsid w:val="5B2B676A"/>
    <w:rsid w:val="5B472801"/>
    <w:rsid w:val="5B4B48F9"/>
    <w:rsid w:val="5B575A6D"/>
    <w:rsid w:val="5B6C5663"/>
    <w:rsid w:val="5BEE2A2D"/>
    <w:rsid w:val="5BF31218"/>
    <w:rsid w:val="5BF94355"/>
    <w:rsid w:val="5BFB44B7"/>
    <w:rsid w:val="5CC26543"/>
    <w:rsid w:val="5CC40822"/>
    <w:rsid w:val="5CDC6150"/>
    <w:rsid w:val="5CE70651"/>
    <w:rsid w:val="5CF37BEF"/>
    <w:rsid w:val="5CF50FC0"/>
    <w:rsid w:val="5CFA0384"/>
    <w:rsid w:val="5D746389"/>
    <w:rsid w:val="5D7C523D"/>
    <w:rsid w:val="5D995DEF"/>
    <w:rsid w:val="5DBD3243"/>
    <w:rsid w:val="5DDC5CDC"/>
    <w:rsid w:val="5DF50B4C"/>
    <w:rsid w:val="5E1702A1"/>
    <w:rsid w:val="5E257683"/>
    <w:rsid w:val="5E6006BB"/>
    <w:rsid w:val="5E895E64"/>
    <w:rsid w:val="5E9F5687"/>
    <w:rsid w:val="5ED23EBE"/>
    <w:rsid w:val="5F223BC2"/>
    <w:rsid w:val="5F3C1E43"/>
    <w:rsid w:val="5F742670"/>
    <w:rsid w:val="5F8B5C0B"/>
    <w:rsid w:val="5FB7255D"/>
    <w:rsid w:val="5FF92B75"/>
    <w:rsid w:val="604A310B"/>
    <w:rsid w:val="60507AC4"/>
    <w:rsid w:val="608763D3"/>
    <w:rsid w:val="60EC4488"/>
    <w:rsid w:val="61954B1F"/>
    <w:rsid w:val="61A82AA5"/>
    <w:rsid w:val="61AD1E69"/>
    <w:rsid w:val="61D54F1C"/>
    <w:rsid w:val="62045801"/>
    <w:rsid w:val="621C6FEF"/>
    <w:rsid w:val="62233ED9"/>
    <w:rsid w:val="62263BD8"/>
    <w:rsid w:val="622C0888"/>
    <w:rsid w:val="6257252B"/>
    <w:rsid w:val="62600C89"/>
    <w:rsid w:val="628F77C1"/>
    <w:rsid w:val="62C54F90"/>
    <w:rsid w:val="62E0799D"/>
    <w:rsid w:val="62E621D4"/>
    <w:rsid w:val="6308436C"/>
    <w:rsid w:val="6351180B"/>
    <w:rsid w:val="63CD67F3"/>
    <w:rsid w:val="63CE4319"/>
    <w:rsid w:val="63DF51AD"/>
    <w:rsid w:val="640A5AD0"/>
    <w:rsid w:val="64304B46"/>
    <w:rsid w:val="64395CA5"/>
    <w:rsid w:val="64521FA0"/>
    <w:rsid w:val="645667E8"/>
    <w:rsid w:val="64591E34"/>
    <w:rsid w:val="646C600B"/>
    <w:rsid w:val="64C039B6"/>
    <w:rsid w:val="64C875C4"/>
    <w:rsid w:val="64E21DC8"/>
    <w:rsid w:val="65640A91"/>
    <w:rsid w:val="656767D3"/>
    <w:rsid w:val="65B337C6"/>
    <w:rsid w:val="660472CF"/>
    <w:rsid w:val="67140294"/>
    <w:rsid w:val="6759214B"/>
    <w:rsid w:val="676905DD"/>
    <w:rsid w:val="679118E5"/>
    <w:rsid w:val="679641F1"/>
    <w:rsid w:val="68103152"/>
    <w:rsid w:val="68165351"/>
    <w:rsid w:val="682664D1"/>
    <w:rsid w:val="682E35D8"/>
    <w:rsid w:val="685017A0"/>
    <w:rsid w:val="68866F70"/>
    <w:rsid w:val="68896538"/>
    <w:rsid w:val="69644728"/>
    <w:rsid w:val="697274F4"/>
    <w:rsid w:val="697D0373"/>
    <w:rsid w:val="698E432E"/>
    <w:rsid w:val="69D871E5"/>
    <w:rsid w:val="69EB4481"/>
    <w:rsid w:val="69F66377"/>
    <w:rsid w:val="6A111863"/>
    <w:rsid w:val="6A331379"/>
    <w:rsid w:val="6A4B66C3"/>
    <w:rsid w:val="6A69644B"/>
    <w:rsid w:val="6A7554EE"/>
    <w:rsid w:val="6A783BEA"/>
    <w:rsid w:val="6A99742E"/>
    <w:rsid w:val="6AC02C0D"/>
    <w:rsid w:val="6AE354A7"/>
    <w:rsid w:val="6AEF52A0"/>
    <w:rsid w:val="6B8F2820"/>
    <w:rsid w:val="6BAE0CB8"/>
    <w:rsid w:val="6BB169FA"/>
    <w:rsid w:val="6BCB6C2F"/>
    <w:rsid w:val="6BD66471"/>
    <w:rsid w:val="6C1256EA"/>
    <w:rsid w:val="6C4038DA"/>
    <w:rsid w:val="6C487EFF"/>
    <w:rsid w:val="6C8A4E71"/>
    <w:rsid w:val="6CFC3CA5"/>
    <w:rsid w:val="6D0112BB"/>
    <w:rsid w:val="6D4F2026"/>
    <w:rsid w:val="6D7101EF"/>
    <w:rsid w:val="6D716441"/>
    <w:rsid w:val="6DBB590E"/>
    <w:rsid w:val="6DDF7AE5"/>
    <w:rsid w:val="6E1F40EF"/>
    <w:rsid w:val="6E2349FF"/>
    <w:rsid w:val="6E2F5C74"/>
    <w:rsid w:val="6E3E51AA"/>
    <w:rsid w:val="6E4E6782"/>
    <w:rsid w:val="6E6E0BD2"/>
    <w:rsid w:val="6EBC193D"/>
    <w:rsid w:val="6F70792E"/>
    <w:rsid w:val="6FA32AFD"/>
    <w:rsid w:val="6FAD74D8"/>
    <w:rsid w:val="6FC767EC"/>
    <w:rsid w:val="6FD14130"/>
    <w:rsid w:val="6FD32E0B"/>
    <w:rsid w:val="6FD7241D"/>
    <w:rsid w:val="6FEB23DA"/>
    <w:rsid w:val="6FEC1DAE"/>
    <w:rsid w:val="70473489"/>
    <w:rsid w:val="70570090"/>
    <w:rsid w:val="70787AE6"/>
    <w:rsid w:val="70A26911"/>
    <w:rsid w:val="70F33611"/>
    <w:rsid w:val="71107D1F"/>
    <w:rsid w:val="714125CE"/>
    <w:rsid w:val="714E7FB6"/>
    <w:rsid w:val="71DB4DD5"/>
    <w:rsid w:val="71FC4693"/>
    <w:rsid w:val="723E08BB"/>
    <w:rsid w:val="7250460A"/>
    <w:rsid w:val="72BA2638"/>
    <w:rsid w:val="72F22DB0"/>
    <w:rsid w:val="730F7BD2"/>
    <w:rsid w:val="73860005"/>
    <w:rsid w:val="73A429A0"/>
    <w:rsid w:val="73CF3EC1"/>
    <w:rsid w:val="74406B6D"/>
    <w:rsid w:val="744476B0"/>
    <w:rsid w:val="744F32FB"/>
    <w:rsid w:val="746D7236"/>
    <w:rsid w:val="74C23A26"/>
    <w:rsid w:val="74D177C5"/>
    <w:rsid w:val="75271ADB"/>
    <w:rsid w:val="753179E2"/>
    <w:rsid w:val="75622370"/>
    <w:rsid w:val="75631015"/>
    <w:rsid w:val="75BA403F"/>
    <w:rsid w:val="75C93405"/>
    <w:rsid w:val="75D05CCE"/>
    <w:rsid w:val="75DA6B4D"/>
    <w:rsid w:val="75F42AD2"/>
    <w:rsid w:val="7634625D"/>
    <w:rsid w:val="76481D09"/>
    <w:rsid w:val="767C19B2"/>
    <w:rsid w:val="76DA077E"/>
    <w:rsid w:val="770D39EA"/>
    <w:rsid w:val="77667C3F"/>
    <w:rsid w:val="7789082B"/>
    <w:rsid w:val="780D451C"/>
    <w:rsid w:val="781E0F73"/>
    <w:rsid w:val="78866B18"/>
    <w:rsid w:val="78CD4747"/>
    <w:rsid w:val="78F21FCA"/>
    <w:rsid w:val="79324120"/>
    <w:rsid w:val="79464C25"/>
    <w:rsid w:val="79660E24"/>
    <w:rsid w:val="798C015E"/>
    <w:rsid w:val="7998397B"/>
    <w:rsid w:val="79A61220"/>
    <w:rsid w:val="79B55907"/>
    <w:rsid w:val="79C221C9"/>
    <w:rsid w:val="79EC0789"/>
    <w:rsid w:val="79F47B20"/>
    <w:rsid w:val="7A0D129F"/>
    <w:rsid w:val="7A340F22"/>
    <w:rsid w:val="7A392094"/>
    <w:rsid w:val="7AA00365"/>
    <w:rsid w:val="7B3B1E3C"/>
    <w:rsid w:val="7B445194"/>
    <w:rsid w:val="7B5A6033"/>
    <w:rsid w:val="7B5B428C"/>
    <w:rsid w:val="7BEF281B"/>
    <w:rsid w:val="7C09018C"/>
    <w:rsid w:val="7C1032C9"/>
    <w:rsid w:val="7C3F770A"/>
    <w:rsid w:val="7C52743D"/>
    <w:rsid w:val="7C9C7379"/>
    <w:rsid w:val="7CAA1027"/>
    <w:rsid w:val="7CAB7E05"/>
    <w:rsid w:val="7CAC467A"/>
    <w:rsid w:val="7CD07221"/>
    <w:rsid w:val="7CD95694"/>
    <w:rsid w:val="7D0573B2"/>
    <w:rsid w:val="7D284642"/>
    <w:rsid w:val="7D8E720C"/>
    <w:rsid w:val="7DA846F2"/>
    <w:rsid w:val="7DF519C9"/>
    <w:rsid w:val="7E192908"/>
    <w:rsid w:val="7E3E411D"/>
    <w:rsid w:val="7E57301D"/>
    <w:rsid w:val="7EE14A37"/>
    <w:rsid w:val="7EEF5417"/>
    <w:rsid w:val="7F6140C8"/>
    <w:rsid w:val="7FAE0E2E"/>
    <w:rsid w:val="7FD44AD8"/>
    <w:rsid w:val="7FE707E4"/>
    <w:rsid w:val="B3FB0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9"/>
    <w:pPr>
      <w:keepNext/>
      <w:keepLines/>
      <w:spacing w:before="340" w:after="330" w:line="578" w:lineRule="auto"/>
      <w:outlineLvl w:val="0"/>
    </w:pPr>
    <w:rPr>
      <w:b/>
      <w:bCs/>
      <w:kern w:val="44"/>
      <w:sz w:val="44"/>
      <w:szCs w:val="4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99"/>
    <w:pPr>
      <w:spacing w:after="120" w:line="480" w:lineRule="auto"/>
      <w:ind w:left="420" w:leftChars="200"/>
    </w:pPr>
  </w:style>
  <w:style w:type="paragraph" w:styleId="4">
    <w:name w:val="annotation text"/>
    <w:basedOn w:val="1"/>
    <w:link w:val="22"/>
    <w:semiHidden/>
    <w:unhideWhenUsed/>
    <w:qFormat/>
    <w:uiPriority w:val="99"/>
    <w:pPr>
      <w:jc w:val="left"/>
    </w:pPr>
  </w:style>
  <w:style w:type="paragraph" w:styleId="5">
    <w:name w:val="Balloon Text"/>
    <w:basedOn w:val="1"/>
    <w:link w:val="21"/>
    <w:semiHidden/>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11">
    <w:name w:val="annotation subject"/>
    <w:basedOn w:val="4"/>
    <w:next w:val="4"/>
    <w:link w:val="23"/>
    <w:semiHidden/>
    <w:unhideWhenUsed/>
    <w:qFormat/>
    <w:uiPriority w:val="99"/>
    <w:rPr>
      <w:b/>
      <w:bCs/>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000FF"/>
      <w:u w:val="single"/>
    </w:rPr>
  </w:style>
  <w:style w:type="character" w:styleId="16">
    <w:name w:val="annotation reference"/>
    <w:basedOn w:val="14"/>
    <w:semiHidden/>
    <w:unhideWhenUsed/>
    <w:qFormat/>
    <w:uiPriority w:val="99"/>
    <w:rPr>
      <w:sz w:val="21"/>
      <w:szCs w:val="21"/>
    </w:rPr>
  </w:style>
  <w:style w:type="character" w:customStyle="1" w:styleId="17">
    <w:name w:val="页眉 字符"/>
    <w:basedOn w:val="14"/>
    <w:link w:val="7"/>
    <w:qFormat/>
    <w:uiPriority w:val="99"/>
    <w:rPr>
      <w:sz w:val="18"/>
      <w:szCs w:val="18"/>
    </w:rPr>
  </w:style>
  <w:style w:type="character" w:customStyle="1" w:styleId="18">
    <w:name w:val="页脚 字符"/>
    <w:basedOn w:val="14"/>
    <w:link w:val="6"/>
    <w:qFormat/>
    <w:uiPriority w:val="99"/>
    <w:rPr>
      <w:sz w:val="18"/>
      <w:szCs w:val="18"/>
    </w:rPr>
  </w:style>
  <w:style w:type="character" w:customStyle="1" w:styleId="19">
    <w:name w:val="标题 1 字符"/>
    <w:basedOn w:val="14"/>
    <w:link w:val="3"/>
    <w:qFormat/>
    <w:uiPriority w:val="9"/>
    <w:rPr>
      <w:rFonts w:ascii="Times New Roman" w:hAnsi="Times New Roman" w:eastAsia="宋体" w:cs="Times New Roman"/>
      <w:b/>
      <w:bCs/>
      <w:kern w:val="44"/>
      <w:sz w:val="44"/>
      <w:szCs w:val="44"/>
    </w:rPr>
  </w:style>
  <w:style w:type="paragraph" w:styleId="20">
    <w:name w:val="List Paragraph"/>
    <w:basedOn w:val="1"/>
    <w:qFormat/>
    <w:uiPriority w:val="34"/>
    <w:pPr>
      <w:ind w:firstLine="420" w:firstLineChars="200"/>
    </w:pPr>
  </w:style>
  <w:style w:type="character" w:customStyle="1" w:styleId="21">
    <w:name w:val="批注框文本 字符"/>
    <w:basedOn w:val="14"/>
    <w:link w:val="5"/>
    <w:semiHidden/>
    <w:qFormat/>
    <w:uiPriority w:val="99"/>
    <w:rPr>
      <w:rFonts w:ascii="Times New Roman" w:hAnsi="Times New Roman" w:eastAsia="宋体" w:cs="Times New Roman"/>
      <w:sz w:val="18"/>
      <w:szCs w:val="18"/>
    </w:rPr>
  </w:style>
  <w:style w:type="character" w:customStyle="1" w:styleId="22">
    <w:name w:val="批注文字 字符"/>
    <w:basedOn w:val="14"/>
    <w:link w:val="4"/>
    <w:semiHidden/>
    <w:qFormat/>
    <w:uiPriority w:val="99"/>
    <w:rPr>
      <w:rFonts w:ascii="Times New Roman" w:hAnsi="Times New Roman" w:eastAsia="宋体" w:cs="Times New Roman"/>
      <w:szCs w:val="24"/>
    </w:rPr>
  </w:style>
  <w:style w:type="character" w:customStyle="1" w:styleId="23">
    <w:name w:val="批注主题 字符"/>
    <w:basedOn w:val="22"/>
    <w:link w:val="11"/>
    <w:semiHidden/>
    <w:qFormat/>
    <w:uiPriority w:val="99"/>
    <w:rPr>
      <w:rFonts w:ascii="Times New Roman" w:hAnsi="Times New Roman" w:eastAsia="宋体" w:cs="Times New Roman"/>
      <w:b/>
      <w:bCs/>
      <w:szCs w:val="24"/>
    </w:rPr>
  </w:style>
  <w:style w:type="paragraph" w:customStyle="1" w:styleId="24">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5">
    <w:name w:val="修订2"/>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Pages>
  <Words>2445</Words>
  <Characters>2827</Characters>
  <Lines>17</Lines>
  <Paragraphs>4</Paragraphs>
  <TotalTime>152</TotalTime>
  <ScaleCrop>false</ScaleCrop>
  <LinksUpToDate>false</LinksUpToDate>
  <CharactersWithSpaces>2837</CharactersWithSpaces>
  <Application>WPS Office_12.8.2.18606_F1E327BC-269C-435d-A152-05C5408002CA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2021-04-22T10:04:00Z</dcterms:created>
  <dc:creator>Administrator</dc:creator>
  <cp:lastModifiedBy>梁慧珠</cp:lastModifiedBy>
  <dcterms:modified xsi:type="dcterms:W3CDTF">2025-06-17T07:41:22Z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2052-12.8.2.18606</vt:lpwstr>
  </property>
  <property fmtid="{D5CDD505-2E9C-101B-9397-08002B2CF9AE}" pid="3" name="ICV">
    <vt:lpwstr>C303111EF8DB47E2BA88CB25927C5939_13</vt:lpwstr>
  </property>
</Properties>
</file>