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</w:rPr>
        <w:t>中山市“香山书房”建设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val="en-US" w:eastAsia="zh-CN"/>
        </w:rPr>
        <w:t>及运营服务工作指引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Chars="0" w:right="0" w:rightChars="0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第一章 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总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则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为推动中山市“香山书房”新型文化阅读空间的建设管理和运营服务持续发展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，引导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和鼓励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社会力量参与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“香山书房”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建设运营，推动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公共文化服务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高质量发展，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更好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广大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群众高品质文化需求，依据《中华人民共和国公共文化服务保障法》《中华人民共和国公共图书馆法》等相关法规及政策，结合本市实际，制定本指引。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“香山书房”是以“公益导向、政府引导、多方参与、共建共享”为原则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为市民提供免费阅读、图书借阅、文献信息查询、参与阅读分享讲座等相关文化活动的新型公共文化空间。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本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指引遵循《中山市“香山书房”建设和管理导则》《中山市“香山书房”退出机制（试行）》《中山市“香山书房”运营管理实施细则》《香山书房服务规范》等制度文件，为“香山书房”管理者、建设者、运营者及其他参与主体提供工作指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3288" w:right="0" w:firstLine="0" w:firstLineChars="0"/>
        <w:jc w:val="both"/>
        <w:textAlignment w:val="baseline"/>
        <w:outlineLvl w:val="0"/>
        <w:rPr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3288" w:right="0" w:firstLine="0" w:firstLineChars="0"/>
        <w:jc w:val="both"/>
        <w:textAlignment w:val="baseline"/>
        <w:outlineLvl w:val="0"/>
        <w:rPr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第二章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 选址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建设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选址要求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选址科学、合理、便民，优先与城市更新、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文旅融合、乡村振兴、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产（工）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业园区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等项目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配套推进，融入市政休闲公园、市民广场、居民住宅区、大型商业中心、文旅场馆等人流密集场所。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）优先选择人口集中、交通便利、配套设施良好的区域。宜按照服务半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1.5km或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服务人口5000人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的条件进行布点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（三）优先选一楼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面向公共街区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场所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，二楼以上宜配备电梯，确保独立出入口和功能区域，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具备独立开放条件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outlineLvl w:val="0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（四）鼓励结合老旧城区改造、公共服务设施配套建设，充分利用政府或企业腾退、闲置空间建设。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建设要求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（一）建筑物质量符合相关安全规定，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并满足抗震抗灾、防雷防电、节能环保、消防安全等方面规范和要求，具备防火、防水、防虫、防潮、防盗等条件。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场馆建筑面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积应不少于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150平方米。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（三）建筑物产权清晰，承诺提供服务期限不少于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5年。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应设阅读区、活动区，宜设展示区和便民服务区。鼓励设少儿阅读区和母婴室。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 xml:space="preserve"> 环境营造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（一）建筑设计应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融合人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文、时尚、环保、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美学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元素，彰显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地方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文化特色。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（二）阅览空间实行藏阅一体化，注重功能分区和动静分隔。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（三）装修色彩清新雅致，宜选用环保材质家具，适当布置软装饰品，营造舒适阅读环境。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宜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配备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防滑地面、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防撞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圆角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安全家具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（四）市内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空气流通性好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，室温及湿度适宜，配备空调。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（五）采用自然采光及辅助照明，照度均匀，照明充足，避免阳光直晒。阅览桌上的辅助照明平均照度不应低于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200Lx。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（六）场馆名称，室内外标识、标牌、图案、符号等需按相关规范要求统一设置，不得随意修改或增设。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3102" w:leftChars="0" w:right="0" w:rightChars="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章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 申报流程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 xml:space="preserve"> 建设主体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（一）市属机关单位、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各镇政府（区管委会、街道办事处）或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在中山市相关部门正式登记注册的企事业单位、社会组织等，具有独立承担民事责任的能力。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（二）具备“香山书房”设施建设的能力，能按照要求完成场馆装修、软装家具及专业设备购置并承担相关费用，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履行申报程序、规划选址、环境营造、设备设施等工作，满足相关要求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（三）对“香山书房”后续运营发展、阅读推广、品牌打造等有较成熟的基础条件和工作方案。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第八条 建设申报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（一）申报事项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在中山市范围内新建“香山书房”项目。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（二）申报流程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1.建设主体为市属机关或企事业单位，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各镇政府（区管委会、街道办事处）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的，由建设主体作为申报主体向市文化广电旅游局提交申请。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2.建设主体为其他企事业单位、社会组织等机构的，由建设主体先向所在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各镇政府（区管委会、街道办事处）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宣传文化部门提交申请资料进行初审，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各镇政府（区管委会、街道办事处）完成申请资料初审并勘察、研判后同意申请建设的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各镇政府（区管委会、街道办事处）作为申报主体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向市文化广电旅游局提交申请。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（三）申报资料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1.申请报告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载明建设主体简介、项目概况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（包括但不限于建设构想、室内外面积、空间布局及座席设置、配套服务及业态融合等情况）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选址位置介绍、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资金投入安排、建设计划进度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及运营管理模式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2.项目运营管理方案，包括但不限于管理运营模式、阅读推广开展计划等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.建设主体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为企业、社会组织等机构的，需附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登记注册证明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.项目建筑产权证明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建设地理位置图、项目内部布局图（装修设计图稿），项目现状照片。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5.其他能佐证建设主体具备建设和管理香山书房能力的材料。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（四）审批流程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1.市文化广电旅游局收到申请后，组织中山纪念图书馆对申报项目的选址环境、建设条件、空间布局、运营管理等进行综合考察和沟通研讨。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经市文化广电旅游局审批同意建设后，建设主体按计划开展建设。项目建设过程中，建设主体应主动沟通并积极配合中山纪念图书馆、属地镇街宣传文化部门，按要求落实布局设计、家具配置、行走动线、线位预留、图书配送、设备安装、业态配套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3.中山纪念图书馆、属地镇街宣传文化部门负责监督、指导建设主体按计划开展项目建设。如在建设过程中出现重大变更的，按变更申报程序办理后方可实行。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第九条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变更申报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（一）申报事项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1.已建成开放的“香山书房”：整体重新装修、搬迁，改变功能或用途等变更事项。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2.建设过程中的“香山书房”：选址、装修设计方案、运营管理模式等变更事项。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（二）申报主体和流程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与建设主体和申报流程一致。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630" w:right="0" w:rightChars="0" w:firstLine="0" w:firstLineChars="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（三）申报材料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592" w:right="0" w:rightChars="0" w:firstLine="0" w:firstLineChars="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1.书面申请：包括变更内容、原因、相关措施等事项。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2.项目变更所涉材料：如变更后的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项目建筑产权证明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建设地理位置图、项目内部布局图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、装修设计图、运营管理方案等。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（四）审批流程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1.市文化广电旅游局收到申请后，组织中山纪念图书馆对变更事项进行综合考察和沟通研讨。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2.经市文化广电旅游局审批同意变更后，申报主体应在中山纪念图书馆、属地镇街宣传文化部门的监督、指导落实变更事项，做好相关处置工作。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第十条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退出申报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（一）申报事项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符合《中山市“香山书房”退出机制（试行）》有关要求的“香山书房”退出事项。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（二）申报主体和流程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与建设主体和申报流程一致。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630" w:right="0" w:rightChars="0" w:firstLine="0" w:firstLineChars="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（三）申报材料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1.书面申请：包括退出缘由、综合研判情况等事项。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2.如涉及运营主体已明确表达退出意愿，或协议期满不再续签的，需提供相关协议文本和运营主体书面退出申请。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3.如因不可抗力因素或客观条件导致需要退出的，需提供相关佐证材料。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（四）审批流程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1.市文化广电旅游局收到申请后，组织中山纪念图书馆对申请退出的“香山书房”情况进行核准和沟通研讨。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2.经市文化广电旅游局审批同意退出后（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如申请退出项目为2022年精品示范香山书房，由市文化广电旅游局报请市政府审批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），申报主体应在中山纪念图书馆、属地镇街宣传文化部门的监督、指导下配合做好资产处置和公示公告等相关处置工作。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0" w:firstLineChars="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/>
        <w:jc w:val="center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第四章 设备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配置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rightChars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应设置必要的温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度调节和照明等设备，单独设立电源、网络通讯，不受其他场馆限制和影响。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所配备的电器设备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定时开关、统一控制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室内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无线网络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覆盖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rightChars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图书文献由中山纪念图书馆协同属地镇街图书馆分馆统筹配置。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rightChars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第十三条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阅览坐席不少于30席，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综合满足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成人和儿童阅读需求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rightChars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第十四条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书架整体应可容纳不少于5000册纸质图书，选用坚固耐用材质构造，且配备书立。宜设置杂志架。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第十五条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智能化管理和服务终端设备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由中山纪念图书馆协同各镇街宣传文化部门统筹调剂，库存不足部分由建设主体负责。包括但不限于：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自助办证借还一体机、RFID防盗门禁、安全报警联动系统、刷脸开门系统终端、视频监控系统、电子报刊阅读机、进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馆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人数统计系统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含大数据展示设备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、图书杀菌机、系统集成服务等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第十六条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视频监控系统、智能家居控制系统等设备通过城域网与香山书房智慧管理系统联网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宜采用先进智能网络系统，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实现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书房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智慧化服务和管理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第十七条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 xml:space="preserve"> 鼓励设置视听及数字阅读设备、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电子听书墙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视障和老龄阅读设备等。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rightChars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eastAsia="zh-CN"/>
        </w:rPr>
        <w:t>第十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应配置无障碍设施，以及消防器材、防雷等设备设施，建立定期维护机制。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配备24小时安保措施，满足应急处置要求。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0" w:firstLineChars="0"/>
        <w:jc w:val="center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章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 运营发展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香山书房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建成后，由中山纪念图书馆协同各镇街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"/>
        </w:rPr>
        <w:t>或有关部门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，与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"/>
        </w:rPr>
        <w:t>香山书房的建设或管理主体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签订管理协议，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"/>
        </w:rPr>
        <w:t>落实图书文献及设施设备等固定资产日常管理责任。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具体管理服务要求，按《中山市“香山书房”运营管理实施细则》《香山书房服务规范》执行。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探索香山书房场馆物业所有权和使用权分置。有条件、有意愿的所有权人，可将书房使用权委托第三方主理人、优质企业或社会机构承接，签订委托使用管理协议，明确权利、义务、责任、效益归属。所有权和使用权人相关情况，须及时向属地镇街宣传文化部门、中山纪念图书馆报备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香山书房运营主体可结合书房环境、属性等特点，结合实际和发展形势，探索多元融合发展路径，因地制宜拓展文创产品销售、轻食餐饮、研学旅游、创意活动、新书签售、文艺潮玩、健身休闲、场地租赁等，与文化、教育、旅游、农业、科技、自然等相关联的配套经营，充分用足用活书房空间，满足读者多样化、分众化服务需求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香山书房运营主体宜加强书房线上线下宣传推广，让社会广泛知晓本书房特色与服务。鼓励有条件的运营主体尝试为香山书房引入人工智能相关管理服务，丰富读者文化科技体验。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在中山纪念图书馆、各镇街宣传文化部门指导下，鼓励香山书房运营主体为香山书房购买补充新书，共同做好新书把关、入库、流转等工作。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香山书房运营主体在书房内实施收费的项目必须合法合规。鼓励在有条件下，将收入所得适当反哺书房运营的租金、水电、网络等方面开销，维持书房刚性运营所需。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鼓励不同香山书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房之间，探索在活动开展、文创产品、收费项目、文化资源等方面开展合作，共同策划正向营销，相互链接取长补短，放大共融合作效益。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 xml:space="preserve"> 中山纪念图书馆按实际情况，召集相关香山书房相互交流走访，协助各香山书房持续开拓可持续发展新局面。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0" w:firstLineChars="0"/>
        <w:jc w:val="center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章 附 则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本标准由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中山市文化广电旅游局会同中山纪念图书馆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负责解释。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right="0" w:firstLine="616" w:firstLineChars="200"/>
        <w:jc w:val="both"/>
        <w:textAlignment w:val="baseline"/>
        <w:rPr>
          <w:color w:val="auto"/>
          <w:spacing w:val="-6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en-US" w:bidi="ar-SA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en-US" w:bidi="ar-SA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 xml:space="preserve"> 本标准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指引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自发布之日起实施。</w:t>
      </w:r>
    </w:p>
    <w:sectPr>
      <w:footerReference r:id="rId5" w:type="default"/>
      <w:pgSz w:w="11906" w:h="16838"/>
      <w:pgMar w:top="2098" w:right="1587" w:bottom="2098" w:left="1587" w:header="1587" w:footer="1701" w:gutter="0"/>
      <w:pgNumType w:fmt="numberInDash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17117"/>
    <w:multiLevelType w:val="multilevel"/>
    <w:tmpl w:val="53817117"/>
    <w:lvl w:ilvl="0" w:tentative="0">
      <w:start w:val="1"/>
      <w:numFmt w:val="decimal"/>
      <w:suff w:val="nothing"/>
      <w:lvlText w:val="%1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1" w:tentative="0">
      <w:start w:val="1"/>
      <w:numFmt w:val="decimal"/>
      <w:suff w:val="nothing"/>
      <w:lvlText w:val="%1.%2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suff w:val="nothing"/>
      <w:lvlText w:val="%1.%2.%3.%4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B043F"/>
    <w:rsid w:val="00197CB8"/>
    <w:rsid w:val="00264DCF"/>
    <w:rsid w:val="004408DF"/>
    <w:rsid w:val="008F0F7B"/>
    <w:rsid w:val="015D20F7"/>
    <w:rsid w:val="02231391"/>
    <w:rsid w:val="0265787C"/>
    <w:rsid w:val="02AF690D"/>
    <w:rsid w:val="02B66382"/>
    <w:rsid w:val="02C43119"/>
    <w:rsid w:val="02D149AD"/>
    <w:rsid w:val="032234B3"/>
    <w:rsid w:val="03551AB9"/>
    <w:rsid w:val="044F2C20"/>
    <w:rsid w:val="04BC79D1"/>
    <w:rsid w:val="05313213"/>
    <w:rsid w:val="053E2528"/>
    <w:rsid w:val="055C1AD8"/>
    <w:rsid w:val="05EF6AC9"/>
    <w:rsid w:val="062D7C32"/>
    <w:rsid w:val="064C4C64"/>
    <w:rsid w:val="065B5CF5"/>
    <w:rsid w:val="06983A5E"/>
    <w:rsid w:val="06D03FC1"/>
    <w:rsid w:val="081E2961"/>
    <w:rsid w:val="085E5949"/>
    <w:rsid w:val="088D6498"/>
    <w:rsid w:val="097B701A"/>
    <w:rsid w:val="09C63C16"/>
    <w:rsid w:val="09CA5EA0"/>
    <w:rsid w:val="09E9764E"/>
    <w:rsid w:val="0A336573"/>
    <w:rsid w:val="0A4B76F2"/>
    <w:rsid w:val="0A7C3745"/>
    <w:rsid w:val="0A887557"/>
    <w:rsid w:val="0B044923"/>
    <w:rsid w:val="0B187D40"/>
    <w:rsid w:val="0CBD16F5"/>
    <w:rsid w:val="0D5279EB"/>
    <w:rsid w:val="0D5663F1"/>
    <w:rsid w:val="0D814CB6"/>
    <w:rsid w:val="0D883C4C"/>
    <w:rsid w:val="0D8D654B"/>
    <w:rsid w:val="0D8E0749"/>
    <w:rsid w:val="0E727929"/>
    <w:rsid w:val="0EA53794"/>
    <w:rsid w:val="0EE428AF"/>
    <w:rsid w:val="0F1A3753"/>
    <w:rsid w:val="0F1F345E"/>
    <w:rsid w:val="0F9954C0"/>
    <w:rsid w:val="0FC5746F"/>
    <w:rsid w:val="0FFC1B47"/>
    <w:rsid w:val="1005593B"/>
    <w:rsid w:val="102809EE"/>
    <w:rsid w:val="103D25B1"/>
    <w:rsid w:val="10997447"/>
    <w:rsid w:val="10EB7251"/>
    <w:rsid w:val="10F26BDC"/>
    <w:rsid w:val="116D386B"/>
    <w:rsid w:val="133C549C"/>
    <w:rsid w:val="136021D9"/>
    <w:rsid w:val="13F24693"/>
    <w:rsid w:val="14231F17"/>
    <w:rsid w:val="144968D3"/>
    <w:rsid w:val="145539EB"/>
    <w:rsid w:val="14A93475"/>
    <w:rsid w:val="14B66F07"/>
    <w:rsid w:val="15517106"/>
    <w:rsid w:val="15612C23"/>
    <w:rsid w:val="158540DD"/>
    <w:rsid w:val="15F3690F"/>
    <w:rsid w:val="167E42F4"/>
    <w:rsid w:val="1683077C"/>
    <w:rsid w:val="16E830BA"/>
    <w:rsid w:val="16F5338F"/>
    <w:rsid w:val="17581A59"/>
    <w:rsid w:val="182127A7"/>
    <w:rsid w:val="189E7B72"/>
    <w:rsid w:val="18F44CFE"/>
    <w:rsid w:val="190C5C28"/>
    <w:rsid w:val="19954887"/>
    <w:rsid w:val="19A44EA1"/>
    <w:rsid w:val="19E36B84"/>
    <w:rsid w:val="1A092647"/>
    <w:rsid w:val="1A2A6DB9"/>
    <w:rsid w:val="1AB4284A"/>
    <w:rsid w:val="1B1E08A6"/>
    <w:rsid w:val="1B8056AC"/>
    <w:rsid w:val="1BBC5511"/>
    <w:rsid w:val="1C1945A6"/>
    <w:rsid w:val="1D051E42"/>
    <w:rsid w:val="1D6332C3"/>
    <w:rsid w:val="1F173C0E"/>
    <w:rsid w:val="1F695F97"/>
    <w:rsid w:val="1F8B0898"/>
    <w:rsid w:val="1FFA95A9"/>
    <w:rsid w:val="20791657"/>
    <w:rsid w:val="209F6013"/>
    <w:rsid w:val="20E60986"/>
    <w:rsid w:val="21372D0F"/>
    <w:rsid w:val="219552A7"/>
    <w:rsid w:val="21E7182E"/>
    <w:rsid w:val="22906CA7"/>
    <w:rsid w:val="22B1477A"/>
    <w:rsid w:val="22E22D4A"/>
    <w:rsid w:val="238A37F2"/>
    <w:rsid w:val="24B66377"/>
    <w:rsid w:val="251364E2"/>
    <w:rsid w:val="25334819"/>
    <w:rsid w:val="258D2929"/>
    <w:rsid w:val="263356E2"/>
    <w:rsid w:val="26FA2AFF"/>
    <w:rsid w:val="273242DE"/>
    <w:rsid w:val="27547D16"/>
    <w:rsid w:val="275C189F"/>
    <w:rsid w:val="276414CA"/>
    <w:rsid w:val="28060C67"/>
    <w:rsid w:val="28287CEE"/>
    <w:rsid w:val="286D07E3"/>
    <w:rsid w:val="288459EB"/>
    <w:rsid w:val="289F6A33"/>
    <w:rsid w:val="290441D9"/>
    <w:rsid w:val="2A8433D1"/>
    <w:rsid w:val="2B28065B"/>
    <w:rsid w:val="2B365FF8"/>
    <w:rsid w:val="2B700A50"/>
    <w:rsid w:val="2B916D8B"/>
    <w:rsid w:val="2B9F159F"/>
    <w:rsid w:val="2BA45A27"/>
    <w:rsid w:val="2D045C82"/>
    <w:rsid w:val="2DC35A21"/>
    <w:rsid w:val="2E3B6964"/>
    <w:rsid w:val="2ECA65D4"/>
    <w:rsid w:val="2EDE5274"/>
    <w:rsid w:val="2F4E0DAB"/>
    <w:rsid w:val="2FC873F0"/>
    <w:rsid w:val="2FED3364"/>
    <w:rsid w:val="302C2998"/>
    <w:rsid w:val="30642AF1"/>
    <w:rsid w:val="31175C10"/>
    <w:rsid w:val="313E0256"/>
    <w:rsid w:val="31576CC8"/>
    <w:rsid w:val="31777136"/>
    <w:rsid w:val="31A04A78"/>
    <w:rsid w:val="31A27F7B"/>
    <w:rsid w:val="32936D2D"/>
    <w:rsid w:val="32AC6FDC"/>
    <w:rsid w:val="339E233F"/>
    <w:rsid w:val="34774220"/>
    <w:rsid w:val="35AD209F"/>
    <w:rsid w:val="35B81BCE"/>
    <w:rsid w:val="375955DE"/>
    <w:rsid w:val="37604F68"/>
    <w:rsid w:val="381E0AEB"/>
    <w:rsid w:val="383C5DD6"/>
    <w:rsid w:val="386E4E5E"/>
    <w:rsid w:val="38F73D85"/>
    <w:rsid w:val="39B905C0"/>
    <w:rsid w:val="3AF01941"/>
    <w:rsid w:val="3B5E18C6"/>
    <w:rsid w:val="3B77509E"/>
    <w:rsid w:val="3C566C8A"/>
    <w:rsid w:val="3C9B197D"/>
    <w:rsid w:val="3D6D6452"/>
    <w:rsid w:val="3D941B95"/>
    <w:rsid w:val="3DE06791"/>
    <w:rsid w:val="3F011473"/>
    <w:rsid w:val="3F052CF0"/>
    <w:rsid w:val="3F981365"/>
    <w:rsid w:val="3FEE7039"/>
    <w:rsid w:val="40173E32"/>
    <w:rsid w:val="40815A60"/>
    <w:rsid w:val="40BC5C45"/>
    <w:rsid w:val="419868AD"/>
    <w:rsid w:val="430125FC"/>
    <w:rsid w:val="43AE3A19"/>
    <w:rsid w:val="43BE6232"/>
    <w:rsid w:val="43DA7D60"/>
    <w:rsid w:val="445960B0"/>
    <w:rsid w:val="44D66CFF"/>
    <w:rsid w:val="44E55C94"/>
    <w:rsid w:val="450155C4"/>
    <w:rsid w:val="4597133B"/>
    <w:rsid w:val="45EB6847"/>
    <w:rsid w:val="465E7A7F"/>
    <w:rsid w:val="46C042A0"/>
    <w:rsid w:val="46FD4105"/>
    <w:rsid w:val="47207686"/>
    <w:rsid w:val="47262D4B"/>
    <w:rsid w:val="479358FE"/>
    <w:rsid w:val="47B70FB5"/>
    <w:rsid w:val="481B3258"/>
    <w:rsid w:val="483031FD"/>
    <w:rsid w:val="48372B88"/>
    <w:rsid w:val="484D587D"/>
    <w:rsid w:val="49375FAE"/>
    <w:rsid w:val="4956775D"/>
    <w:rsid w:val="495906E1"/>
    <w:rsid w:val="499E6C57"/>
    <w:rsid w:val="4A4B25F3"/>
    <w:rsid w:val="4ADB665F"/>
    <w:rsid w:val="4BC61AE0"/>
    <w:rsid w:val="4CE15AB0"/>
    <w:rsid w:val="4DB6430B"/>
    <w:rsid w:val="4DCE1994"/>
    <w:rsid w:val="4DEA153F"/>
    <w:rsid w:val="4E1338A3"/>
    <w:rsid w:val="4E137126"/>
    <w:rsid w:val="4F075432"/>
    <w:rsid w:val="4F194455"/>
    <w:rsid w:val="4F234D65"/>
    <w:rsid w:val="4F2449E5"/>
    <w:rsid w:val="4F2B7BF3"/>
    <w:rsid w:val="4FD214B6"/>
    <w:rsid w:val="4FF705C0"/>
    <w:rsid w:val="5012466D"/>
    <w:rsid w:val="507719CC"/>
    <w:rsid w:val="50AC0FE9"/>
    <w:rsid w:val="50B96100"/>
    <w:rsid w:val="50DB043F"/>
    <w:rsid w:val="511C03A3"/>
    <w:rsid w:val="522378D0"/>
    <w:rsid w:val="536F1D83"/>
    <w:rsid w:val="53DF5896"/>
    <w:rsid w:val="53E0692D"/>
    <w:rsid w:val="5524243C"/>
    <w:rsid w:val="55432CF1"/>
    <w:rsid w:val="557E569C"/>
    <w:rsid w:val="55E54A78"/>
    <w:rsid w:val="55EC1E85"/>
    <w:rsid w:val="57316C99"/>
    <w:rsid w:val="57BA4DA3"/>
    <w:rsid w:val="57BD2100"/>
    <w:rsid w:val="585C4521"/>
    <w:rsid w:val="58777E3F"/>
    <w:rsid w:val="58801E3E"/>
    <w:rsid w:val="58B06210"/>
    <w:rsid w:val="592B5B5A"/>
    <w:rsid w:val="594D5D0E"/>
    <w:rsid w:val="595953A4"/>
    <w:rsid w:val="598F587E"/>
    <w:rsid w:val="5ACD7484"/>
    <w:rsid w:val="5AD03C8C"/>
    <w:rsid w:val="5AF50ACF"/>
    <w:rsid w:val="5B140EFE"/>
    <w:rsid w:val="5B1A2E07"/>
    <w:rsid w:val="5B501C5C"/>
    <w:rsid w:val="5BE45D53"/>
    <w:rsid w:val="5C1D5290"/>
    <w:rsid w:val="5C753FBD"/>
    <w:rsid w:val="5CB47325"/>
    <w:rsid w:val="5CDF5278"/>
    <w:rsid w:val="5CEB19FD"/>
    <w:rsid w:val="5DC60776"/>
    <w:rsid w:val="5DF94139"/>
    <w:rsid w:val="5EB62380"/>
    <w:rsid w:val="5F971728"/>
    <w:rsid w:val="5FE13491"/>
    <w:rsid w:val="606C7440"/>
    <w:rsid w:val="60CD295D"/>
    <w:rsid w:val="60E94EDF"/>
    <w:rsid w:val="611C3D61"/>
    <w:rsid w:val="611D39E1"/>
    <w:rsid w:val="61E202A7"/>
    <w:rsid w:val="62022D5A"/>
    <w:rsid w:val="621870FC"/>
    <w:rsid w:val="62631AFA"/>
    <w:rsid w:val="629145DB"/>
    <w:rsid w:val="62E358CB"/>
    <w:rsid w:val="633330CC"/>
    <w:rsid w:val="633D145D"/>
    <w:rsid w:val="634E046D"/>
    <w:rsid w:val="63845454"/>
    <w:rsid w:val="639343EA"/>
    <w:rsid w:val="63C119A0"/>
    <w:rsid w:val="650F29DD"/>
    <w:rsid w:val="652D418B"/>
    <w:rsid w:val="65472B37"/>
    <w:rsid w:val="654D4A40"/>
    <w:rsid w:val="654E7F43"/>
    <w:rsid w:val="656D07F8"/>
    <w:rsid w:val="65B06CE3"/>
    <w:rsid w:val="66562CF4"/>
    <w:rsid w:val="665B137A"/>
    <w:rsid w:val="665D487D"/>
    <w:rsid w:val="665F7D80"/>
    <w:rsid w:val="67736C7F"/>
    <w:rsid w:val="677A5055"/>
    <w:rsid w:val="67DA506E"/>
    <w:rsid w:val="67E1286C"/>
    <w:rsid w:val="68AF1BCF"/>
    <w:rsid w:val="68B72C18"/>
    <w:rsid w:val="68D25E84"/>
    <w:rsid w:val="68ED16B3"/>
    <w:rsid w:val="69731AF1"/>
    <w:rsid w:val="697F6A24"/>
    <w:rsid w:val="698C24B6"/>
    <w:rsid w:val="6A7719A4"/>
    <w:rsid w:val="6AAB290E"/>
    <w:rsid w:val="6B3F5380"/>
    <w:rsid w:val="6BAB02B2"/>
    <w:rsid w:val="6BD77E7D"/>
    <w:rsid w:val="6C812426"/>
    <w:rsid w:val="6CA94952"/>
    <w:rsid w:val="6CAE465D"/>
    <w:rsid w:val="6E3B37C2"/>
    <w:rsid w:val="6E4F3D89"/>
    <w:rsid w:val="6E7A0843"/>
    <w:rsid w:val="6EA9571C"/>
    <w:rsid w:val="6F260569"/>
    <w:rsid w:val="6F7637EB"/>
    <w:rsid w:val="6FEF3E3A"/>
    <w:rsid w:val="70547956"/>
    <w:rsid w:val="70770DBC"/>
    <w:rsid w:val="70A01FD4"/>
    <w:rsid w:val="72422A05"/>
    <w:rsid w:val="72723FF6"/>
    <w:rsid w:val="72A35F21"/>
    <w:rsid w:val="72D30C6F"/>
    <w:rsid w:val="736C11ED"/>
    <w:rsid w:val="737D3B15"/>
    <w:rsid w:val="739048A5"/>
    <w:rsid w:val="739B2C36"/>
    <w:rsid w:val="73F2DAB9"/>
    <w:rsid w:val="743B05C1"/>
    <w:rsid w:val="74C35F1C"/>
    <w:rsid w:val="757131A5"/>
    <w:rsid w:val="75F52E16"/>
    <w:rsid w:val="76AC4B43"/>
    <w:rsid w:val="771C4DF6"/>
    <w:rsid w:val="779202B8"/>
    <w:rsid w:val="77A02E51"/>
    <w:rsid w:val="77DE0738"/>
    <w:rsid w:val="77F34E5A"/>
    <w:rsid w:val="78586D7C"/>
    <w:rsid w:val="78B57116"/>
    <w:rsid w:val="78BF32A9"/>
    <w:rsid w:val="7908111E"/>
    <w:rsid w:val="795B139B"/>
    <w:rsid w:val="795E792F"/>
    <w:rsid w:val="796727BD"/>
    <w:rsid w:val="7983686A"/>
    <w:rsid w:val="7A1F66E8"/>
    <w:rsid w:val="7A263B8E"/>
    <w:rsid w:val="7ABA0AE5"/>
    <w:rsid w:val="7AE21CA9"/>
    <w:rsid w:val="7B203254"/>
    <w:rsid w:val="7B4464CB"/>
    <w:rsid w:val="7BE505D2"/>
    <w:rsid w:val="7C1C072C"/>
    <w:rsid w:val="7C6424A8"/>
    <w:rsid w:val="7CB793C8"/>
    <w:rsid w:val="7CD36BD6"/>
    <w:rsid w:val="7D0970B0"/>
    <w:rsid w:val="7D3A787F"/>
    <w:rsid w:val="7EC16401"/>
    <w:rsid w:val="7EE5313E"/>
    <w:rsid w:val="7F15170F"/>
    <w:rsid w:val="7F17F6CC"/>
    <w:rsid w:val="7F34B9CF"/>
    <w:rsid w:val="7FD065BE"/>
    <w:rsid w:val="7FDFD3D0"/>
    <w:rsid w:val="7FF78690"/>
    <w:rsid w:val="946F85A0"/>
    <w:rsid w:val="EB7F93F7"/>
    <w:rsid w:val="FE75392D"/>
    <w:rsid w:val="FF7D0766"/>
    <w:rsid w:val="FFEFA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标准文件_二级无标题"/>
    <w:basedOn w:val="11"/>
    <w:qFormat/>
    <w:uiPriority w:val="0"/>
    <w:pPr>
      <w:spacing w:before="4" w:beforeLines="1" w:after="4" w:afterLines="1"/>
      <w:outlineLvl w:val="9"/>
    </w:pPr>
    <w:rPr>
      <w:rFonts w:ascii="宋体" w:hAnsi="宋体" w:eastAsia="宋体" w:cs="宋体"/>
    </w:rPr>
  </w:style>
  <w:style w:type="paragraph" w:customStyle="1" w:styleId="11">
    <w:name w:val="标准文件_二级条标题"/>
    <w:next w:val="12"/>
    <w:qFormat/>
    <w:uiPriority w:val="0"/>
    <w:pPr>
      <w:numPr>
        <w:ilvl w:val="2"/>
        <w:numId w:val="1"/>
      </w:numPr>
      <w:suppressAutoHyphens w:val="0"/>
      <w:spacing w:before="157" w:beforeLines="50" w:after="157" w:afterLines="50"/>
      <w:jc w:val="both"/>
      <w:outlineLvl w:val="2"/>
    </w:pPr>
    <w:rPr>
      <w:rFonts w:hint="eastAsia" w:ascii="黑体" w:hAnsi="黑体" w:eastAsia="黑体" w:cs="黑体"/>
      <w:sz w:val="21"/>
    </w:rPr>
  </w:style>
  <w:style w:type="paragraph" w:customStyle="1" w:styleId="12">
    <w:name w:val="标准文件_段"/>
    <w:qFormat/>
    <w:uiPriority w:val="0"/>
    <w:pPr>
      <w:spacing w:beforeLines="0" w:afterLines="0"/>
      <w:ind w:firstLine="960" w:firstLineChars="200"/>
      <w:jc w:val="both"/>
    </w:pPr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中山市文化广电旅游局</Company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2025-03-22T15:40:00Z</dcterms:created>
  <dc:creator>郭玉贞</dc:creator>
  <cp:lastModifiedBy>Administrator</cp:lastModifiedBy>
  <dcterms:modified xsi:type="dcterms:W3CDTF">2025-05-23T03:57:27Z</dcterms:modified>
  <dc:title>中山市“香山书房”建设管理及运营服务工作指引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B5402BBA6A052AE508922A68A3D0AEDB_43</vt:lpwstr>
  </property>
</Properties>
</file>