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C4BAC">
      <w:pPr>
        <w:spacing w:line="540" w:lineRule="exact"/>
        <w:jc w:val="center"/>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eastAsia="zh-CN"/>
        </w:rPr>
        <w:t>东凤镇天乙华庭小区外围部分区域智慧停车场合作建设运营项目</w:t>
      </w:r>
      <w:r>
        <w:rPr>
          <w:rFonts w:hint="eastAsia" w:ascii="仿宋" w:hAnsi="仿宋" w:eastAsia="仿宋" w:cs="仿宋"/>
          <w:b w:val="0"/>
          <w:bCs w:val="0"/>
          <w:sz w:val="36"/>
          <w:szCs w:val="36"/>
        </w:rPr>
        <w:t>招</w:t>
      </w:r>
      <w:r>
        <w:rPr>
          <w:rFonts w:hint="eastAsia" w:ascii="仿宋" w:hAnsi="仿宋" w:eastAsia="仿宋" w:cs="仿宋"/>
          <w:b w:val="0"/>
          <w:bCs w:val="0"/>
          <w:sz w:val="36"/>
          <w:szCs w:val="36"/>
          <w:lang w:eastAsia="zh-CN"/>
        </w:rPr>
        <w:t>租</w:t>
      </w:r>
      <w:r>
        <w:rPr>
          <w:rFonts w:hint="eastAsia" w:ascii="仿宋" w:hAnsi="仿宋" w:eastAsia="仿宋" w:cs="仿宋"/>
          <w:b w:val="0"/>
          <w:bCs w:val="0"/>
          <w:sz w:val="36"/>
          <w:szCs w:val="36"/>
        </w:rPr>
        <w:t>方案</w:t>
      </w:r>
    </w:p>
    <w:p w14:paraId="0A2CEF88">
      <w:pPr>
        <w:spacing w:line="600" w:lineRule="exact"/>
        <w:ind w:firstLine="560" w:firstLineChars="200"/>
        <w:rPr>
          <w:rFonts w:ascii="仿宋_GB2312" w:hAnsi="仿宋_GB2312" w:eastAsia="仿宋_GB2312" w:cs="仿宋_GB2312"/>
          <w:sz w:val="28"/>
          <w:szCs w:val="28"/>
        </w:rPr>
      </w:pPr>
    </w:p>
    <w:p w14:paraId="7483A65D">
      <w:pPr>
        <w:spacing w:line="24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东海社区受托对</w:t>
      </w:r>
      <w:r>
        <w:rPr>
          <w:rFonts w:hint="eastAsia" w:ascii="仿宋_GB2312" w:hAnsi="仿宋_GB2312" w:eastAsia="仿宋_GB2312" w:cs="仿宋_GB2312"/>
          <w:sz w:val="28"/>
          <w:szCs w:val="28"/>
          <w:lang w:val="en-US" w:eastAsia="zh-CN"/>
        </w:rPr>
        <w:t>天乙华庭小区（AB区）外围部分区域进行管理，</w:t>
      </w:r>
      <w:r>
        <w:rPr>
          <w:rFonts w:hint="eastAsia" w:ascii="仿宋_GB2312" w:hAnsi="仿宋_GB2312" w:eastAsia="仿宋_GB2312" w:cs="仿宋_GB2312"/>
          <w:sz w:val="28"/>
          <w:szCs w:val="28"/>
        </w:rPr>
        <w:t>现面</w:t>
      </w:r>
      <w:r>
        <w:rPr>
          <w:rFonts w:hint="eastAsia" w:ascii="仿宋_GB2312" w:hAnsi="仿宋_GB2312" w:eastAsia="仿宋_GB2312" w:cs="仿宋_GB2312"/>
          <w:sz w:val="28"/>
          <w:szCs w:val="28"/>
          <w:lang w:eastAsia="zh-CN"/>
        </w:rPr>
        <w:t>向</w:t>
      </w:r>
      <w:r>
        <w:rPr>
          <w:rFonts w:hint="eastAsia" w:ascii="仿宋_GB2312" w:hAnsi="仿宋_GB2312" w:eastAsia="仿宋_GB2312" w:cs="仿宋_GB2312"/>
          <w:sz w:val="28"/>
          <w:szCs w:val="28"/>
        </w:rPr>
        <w:t>社会进行公开</w:t>
      </w:r>
      <w:r>
        <w:rPr>
          <w:rFonts w:hint="eastAsia" w:ascii="仿宋_GB2312" w:hAnsi="仿宋_GB2312" w:eastAsia="仿宋_GB2312" w:cs="仿宋_GB2312"/>
          <w:sz w:val="28"/>
          <w:szCs w:val="28"/>
          <w:lang w:val="en-US" w:eastAsia="zh-CN"/>
        </w:rPr>
        <w:t>招商合作建设运营</w:t>
      </w:r>
      <w:r>
        <w:rPr>
          <w:rFonts w:hint="eastAsia" w:ascii="仿宋_GB2312" w:hAnsi="仿宋_GB2312" w:eastAsia="仿宋_GB2312" w:cs="仿宋_GB2312"/>
          <w:sz w:val="28"/>
          <w:szCs w:val="28"/>
        </w:rPr>
        <w:t>。</w:t>
      </w:r>
    </w:p>
    <w:p w14:paraId="6C1F9115">
      <w:pPr>
        <w:spacing w:line="240" w:lineRule="auto"/>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一、</w:t>
      </w:r>
      <w:r>
        <w:rPr>
          <w:rFonts w:hint="eastAsia" w:ascii="黑体" w:hAnsi="黑体" w:eastAsia="黑体" w:cs="黑体"/>
          <w:b/>
          <w:bCs/>
          <w:sz w:val="28"/>
          <w:szCs w:val="28"/>
          <w:lang w:eastAsia="zh-CN"/>
        </w:rPr>
        <w:t>项目</w:t>
      </w:r>
      <w:r>
        <w:rPr>
          <w:rFonts w:hint="eastAsia" w:ascii="黑体" w:hAnsi="黑体" w:eastAsia="黑体" w:cs="黑体"/>
          <w:b/>
          <w:bCs/>
          <w:sz w:val="28"/>
          <w:szCs w:val="28"/>
        </w:rPr>
        <w:t>基本情况</w:t>
      </w:r>
      <w:r>
        <w:rPr>
          <w:rFonts w:hint="eastAsia" w:ascii="黑体" w:hAnsi="黑体" w:eastAsia="黑体" w:cs="黑体"/>
          <w:b/>
          <w:bCs/>
          <w:sz w:val="28"/>
          <w:szCs w:val="28"/>
          <w:lang w:eastAsia="zh-CN"/>
        </w:rPr>
        <w:t>及合作建设要求</w:t>
      </w:r>
      <w:r>
        <w:rPr>
          <w:rFonts w:hint="eastAsia" w:ascii="黑体" w:hAnsi="黑体" w:eastAsia="黑体" w:cs="黑体"/>
          <w:b/>
          <w:bCs/>
          <w:sz w:val="28"/>
          <w:szCs w:val="28"/>
        </w:rPr>
        <w:t>：</w:t>
      </w:r>
    </w:p>
    <w:p w14:paraId="2BDC8F87">
      <w:pPr>
        <w:ind w:firstLine="562"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color w:val="auto"/>
          <w:sz w:val="28"/>
          <w:szCs w:val="28"/>
          <w:highlight w:val="none"/>
          <w:lang w:eastAsia="zh-CN"/>
        </w:rPr>
        <w:t>项目基本情况：</w:t>
      </w:r>
      <w:r>
        <w:rPr>
          <w:rFonts w:hint="eastAsia" w:ascii="仿宋_GB2312" w:hAnsi="仿宋_GB2312" w:eastAsia="仿宋_GB2312" w:cs="仿宋_GB2312"/>
          <w:color w:val="auto"/>
          <w:sz w:val="28"/>
          <w:szCs w:val="28"/>
          <w:highlight w:val="none"/>
          <w:lang w:eastAsia="zh-CN"/>
        </w:rPr>
        <w:t>位于中山市东凤镇同安大道西</w:t>
      </w:r>
      <w:r>
        <w:rPr>
          <w:rFonts w:hint="eastAsia" w:ascii="仿宋_GB2312" w:hAnsi="仿宋_GB2312" w:eastAsia="仿宋_GB2312" w:cs="仿宋_GB2312"/>
          <w:color w:val="auto"/>
          <w:sz w:val="28"/>
          <w:szCs w:val="28"/>
          <w:highlight w:val="none"/>
          <w:lang w:val="en-US" w:eastAsia="zh-CN"/>
        </w:rPr>
        <w:t>80、</w:t>
      </w:r>
      <w:r>
        <w:rPr>
          <w:rFonts w:hint="eastAsia" w:ascii="仿宋_GB2312" w:hAnsi="仿宋_GB2312" w:eastAsia="仿宋_GB2312" w:cs="仿宋_GB2312"/>
          <w:color w:val="auto"/>
          <w:sz w:val="28"/>
          <w:szCs w:val="28"/>
          <w:highlight w:val="none"/>
          <w:lang w:eastAsia="zh-CN"/>
        </w:rPr>
        <w:t>81号</w:t>
      </w:r>
      <w:r>
        <w:rPr>
          <w:rFonts w:hint="eastAsia" w:ascii="仿宋_GB2312" w:hAnsi="仿宋_GB2312" w:eastAsia="仿宋_GB2312" w:cs="仿宋_GB2312"/>
          <w:color w:val="auto"/>
          <w:sz w:val="28"/>
          <w:szCs w:val="28"/>
          <w:highlight w:val="none"/>
          <w:lang w:val="en-US" w:eastAsia="zh-CN"/>
        </w:rPr>
        <w:t>，A、B区（经百度地图测距，分别长约165米，宽约12米），共约96个停车位（以实际可用为准），详见下图。</w:t>
      </w:r>
    </w:p>
    <w:p w14:paraId="05D6FBA8">
      <w:pPr>
        <w:ind w:firstLine="420" w:firstLineChars="200"/>
        <w:rPr>
          <w:rFonts w:hint="default" w:ascii="仿宋_GB2312" w:hAnsi="仿宋_GB2312" w:eastAsia="仿宋_GB2312" w:cs="仿宋_GB2312"/>
          <w:color w:val="auto"/>
          <w:sz w:val="28"/>
          <w:szCs w:val="28"/>
          <w:highlight w:val="none"/>
          <w:lang w:val="en-US" w:eastAsia="zh-CN"/>
        </w:rPr>
      </w:pPr>
      <w:r>
        <w:drawing>
          <wp:inline distT="0" distB="0" distL="114300" distR="114300">
            <wp:extent cx="5612765" cy="4538980"/>
            <wp:effectExtent l="0" t="0" r="698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612765" cy="4538980"/>
                    </a:xfrm>
                    <a:prstGeom prst="rect">
                      <a:avLst/>
                    </a:prstGeom>
                    <a:noFill/>
                    <a:ln>
                      <a:noFill/>
                    </a:ln>
                  </pic:spPr>
                </pic:pic>
              </a:graphicData>
            </a:graphic>
          </wp:inline>
        </w:drawing>
      </w:r>
    </w:p>
    <w:p w14:paraId="451517D8">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合作建设要求：</w:t>
      </w:r>
    </w:p>
    <w:p w14:paraId="7D1F31CF">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建设要求</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成功招商后立即开始建设，合作方承担所有建设费用，由于该区域相对封闭，因此可配套建设四套道闸分别进行围蔽管理。同时，须画好停车位、</w:t>
      </w:r>
      <w:r>
        <w:rPr>
          <w:rFonts w:hint="eastAsia" w:ascii="仿宋" w:hAnsi="仿宋" w:eastAsia="仿宋" w:cs="仿宋"/>
          <w:color w:val="auto"/>
          <w:sz w:val="28"/>
          <w:szCs w:val="28"/>
          <w:highlight w:val="none"/>
          <w:lang w:val="en-US" w:eastAsia="zh-CN"/>
        </w:rPr>
        <w:t>接入收费系统、加建监控设备、加装收费公示牌、做好停车区域环境卫生保洁、场地设施维护，配备消防、安全生产器材等；同时，须做好涉停车位问题投诉</w:t>
      </w:r>
      <w:r>
        <w:rPr>
          <w:rFonts w:hint="eastAsia" w:ascii="仿宋_GB2312" w:hAnsi="仿宋_GB2312" w:eastAsia="仿宋_GB2312" w:cs="仿宋_GB2312"/>
          <w:color w:val="auto"/>
          <w:sz w:val="28"/>
          <w:szCs w:val="28"/>
          <w:highlight w:val="none"/>
        </w:rPr>
        <w:t>；</w:t>
      </w:r>
    </w:p>
    <w:p w14:paraId="00F3366C">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2、合作期限：6年；</w:t>
      </w:r>
    </w:p>
    <w:p w14:paraId="5D223E2C">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3、合作租金底价：120元/车位/月，每三年递增10%</w:t>
      </w:r>
    </w:p>
    <w:p w14:paraId="683A7481">
      <w:pPr>
        <w:ind w:firstLine="560" w:firstLineChars="200"/>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租金缴纳方式：</w:t>
      </w:r>
      <w:r>
        <w:rPr>
          <w:rFonts w:hint="eastAsia" w:ascii="仿宋_GB2312" w:hAnsi="仿宋_GB2312" w:eastAsia="仿宋_GB2312" w:cs="仿宋_GB2312"/>
          <w:b w:val="0"/>
          <w:bCs w:val="0"/>
          <w:color w:val="auto"/>
          <w:sz w:val="28"/>
          <w:szCs w:val="28"/>
          <w:highlight w:val="none"/>
        </w:rPr>
        <w:t>非税收入，系统自动生成非税收入一般缴款书，</w:t>
      </w:r>
      <w:r>
        <w:rPr>
          <w:rFonts w:hint="eastAsia" w:ascii="仿宋_GB2312" w:hAnsi="仿宋_GB2312" w:eastAsia="仿宋_GB2312" w:cs="仿宋_GB2312"/>
          <w:b w:val="0"/>
          <w:bCs w:val="0"/>
          <w:color w:val="auto"/>
          <w:sz w:val="28"/>
          <w:szCs w:val="28"/>
          <w:highlight w:val="none"/>
          <w:lang w:eastAsia="zh-CN"/>
        </w:rPr>
        <w:t>每半</w:t>
      </w:r>
      <w:r>
        <w:rPr>
          <w:rFonts w:hint="eastAsia" w:ascii="仿宋_GB2312" w:hAnsi="仿宋_GB2312" w:eastAsia="仿宋_GB2312" w:cs="仿宋_GB2312"/>
          <w:b w:val="0"/>
          <w:bCs w:val="0"/>
          <w:color w:val="auto"/>
          <w:sz w:val="28"/>
          <w:szCs w:val="28"/>
          <w:highlight w:val="none"/>
          <w:lang w:val="en-US" w:eastAsia="zh-CN"/>
        </w:rPr>
        <w:t>年</w:t>
      </w:r>
      <w:r>
        <w:rPr>
          <w:rFonts w:hint="eastAsia" w:ascii="仿宋_GB2312" w:hAnsi="仿宋_GB2312" w:eastAsia="仿宋_GB2312" w:cs="仿宋_GB2312"/>
          <w:b w:val="0"/>
          <w:bCs w:val="0"/>
          <w:color w:val="auto"/>
          <w:sz w:val="28"/>
          <w:szCs w:val="28"/>
          <w:highlight w:val="none"/>
        </w:rPr>
        <w:t>支付</w:t>
      </w:r>
      <w:r>
        <w:rPr>
          <w:rFonts w:hint="eastAsia" w:ascii="仿宋_GB2312" w:hAnsi="仿宋_GB2312" w:eastAsia="仿宋_GB2312" w:cs="仿宋_GB2312"/>
          <w:b w:val="0"/>
          <w:bCs w:val="0"/>
          <w:color w:val="auto"/>
          <w:sz w:val="28"/>
          <w:szCs w:val="28"/>
          <w:highlight w:val="none"/>
          <w:lang w:eastAsia="zh-CN"/>
        </w:rPr>
        <w:t>一次</w:t>
      </w:r>
      <w:r>
        <w:rPr>
          <w:rFonts w:hint="eastAsia" w:ascii="仿宋_GB2312" w:hAnsi="仿宋_GB2312" w:eastAsia="仿宋_GB2312" w:cs="仿宋_GB2312"/>
          <w:b w:val="0"/>
          <w:bCs w:val="0"/>
          <w:color w:val="auto"/>
          <w:sz w:val="28"/>
          <w:szCs w:val="28"/>
          <w:highlight w:val="none"/>
        </w:rPr>
        <w:t>租金</w:t>
      </w:r>
      <w:r>
        <w:rPr>
          <w:rFonts w:hint="eastAsia" w:ascii="仿宋_GB2312" w:hAnsi="仿宋_GB2312" w:eastAsia="仿宋_GB2312" w:cs="仿宋_GB2312"/>
          <w:b w:val="0"/>
          <w:bCs w:val="0"/>
          <w:color w:val="auto"/>
          <w:sz w:val="28"/>
          <w:szCs w:val="28"/>
          <w:highlight w:val="none"/>
          <w:lang w:eastAsia="zh-CN"/>
        </w:rPr>
        <w:t>；</w:t>
      </w:r>
    </w:p>
    <w:p w14:paraId="2E8D2A08">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计租时间：</w:t>
      </w:r>
      <w:r>
        <w:rPr>
          <w:rFonts w:hint="eastAsia" w:ascii="仿宋_GB2312" w:hAnsi="仿宋_GB2312" w:eastAsia="仿宋_GB2312" w:cs="仿宋_GB2312"/>
          <w:color w:val="auto"/>
          <w:sz w:val="28"/>
          <w:szCs w:val="28"/>
          <w:highlight w:val="none"/>
          <w:lang w:eastAsia="zh-CN"/>
        </w:rPr>
        <w:t>建设</w:t>
      </w:r>
      <w:r>
        <w:rPr>
          <w:rFonts w:hint="eastAsia" w:ascii="仿宋_GB2312" w:hAnsi="仿宋_GB2312" w:eastAsia="仿宋_GB2312" w:cs="仿宋_GB2312"/>
          <w:b w:val="0"/>
          <w:bCs w:val="0"/>
          <w:color w:val="auto"/>
          <w:sz w:val="28"/>
          <w:szCs w:val="28"/>
          <w:highlight w:val="none"/>
          <w:lang w:val="en-US" w:eastAsia="zh-CN"/>
        </w:rPr>
        <w:t>免租期1个月，试运营免租期1个月（只下闸，不对外收费）</w:t>
      </w:r>
      <w:r>
        <w:rPr>
          <w:rFonts w:hint="eastAsia" w:ascii="仿宋_GB2312" w:hAnsi="仿宋_GB2312" w:eastAsia="仿宋_GB2312" w:cs="仿宋_GB2312"/>
          <w:color w:val="auto"/>
          <w:sz w:val="28"/>
          <w:szCs w:val="28"/>
          <w:highlight w:val="none"/>
        </w:rPr>
        <w:t>。</w:t>
      </w:r>
    </w:p>
    <w:p w14:paraId="14926F62">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智慧停车场收费指导价（</w:t>
      </w:r>
      <w:r>
        <w:rPr>
          <w:rFonts w:hint="eastAsia" w:ascii="仿宋" w:hAnsi="仿宋" w:eastAsia="仿宋" w:cs="仿宋"/>
          <w:color w:val="auto"/>
          <w:sz w:val="28"/>
          <w:szCs w:val="28"/>
          <w:highlight w:val="none"/>
          <w:lang w:val="en-US" w:eastAsia="zh-CN"/>
        </w:rPr>
        <w:t>合同期内一般不作调整）</w:t>
      </w:r>
      <w:r>
        <w:rPr>
          <w:rFonts w:hint="eastAsia" w:ascii="仿宋_GB2312" w:hAnsi="仿宋_GB2312" w:eastAsia="仿宋_GB2312" w:cs="仿宋_GB2312"/>
          <w:color w:val="auto"/>
          <w:sz w:val="28"/>
          <w:szCs w:val="28"/>
          <w:highlight w:val="none"/>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696"/>
        <w:gridCol w:w="5324"/>
      </w:tblGrid>
      <w:tr w14:paraId="25CF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3" w:type="dxa"/>
            <w:gridSpan w:val="2"/>
          </w:tcPr>
          <w:p w14:paraId="46557848">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车辆类型</w:t>
            </w:r>
          </w:p>
        </w:tc>
        <w:tc>
          <w:tcPr>
            <w:tcW w:w="5324" w:type="dxa"/>
          </w:tcPr>
          <w:p w14:paraId="1C9E4CCB">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收费标准</w:t>
            </w:r>
          </w:p>
        </w:tc>
      </w:tr>
      <w:tr w14:paraId="4160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3343" w:type="dxa"/>
            <w:gridSpan w:val="2"/>
            <w:vAlign w:val="center"/>
          </w:tcPr>
          <w:p w14:paraId="5EADAF00">
            <w:pPr>
              <w:jc w:val="center"/>
              <w:rPr>
                <w:rFonts w:hint="eastAsia" w:ascii="仿宋" w:hAnsi="仿宋" w:eastAsia="仿宋" w:cs="仿宋"/>
                <w:b w:val="0"/>
                <w:bCs w:val="0"/>
                <w:sz w:val="24"/>
                <w:szCs w:val="24"/>
                <w:vertAlign w:val="baseline"/>
                <w:lang w:eastAsia="zh-CN"/>
              </w:rPr>
            </w:pPr>
            <w:r>
              <w:rPr>
                <w:rFonts w:hint="eastAsia" w:ascii="仿宋" w:hAnsi="仿宋" w:eastAsia="仿宋" w:cs="仿宋"/>
                <w:b/>
                <w:bCs/>
                <w:sz w:val="24"/>
                <w:szCs w:val="24"/>
                <w:vertAlign w:val="baseline"/>
                <w:lang w:eastAsia="zh-CN"/>
              </w:rPr>
              <w:t>临停车</w:t>
            </w:r>
          </w:p>
        </w:tc>
        <w:tc>
          <w:tcPr>
            <w:tcW w:w="5324" w:type="dxa"/>
            <w:vAlign w:val="center"/>
          </w:tcPr>
          <w:p w14:paraId="317FB071">
            <w:p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30分钟内免费，30分钟以上1小时以内收费4元，超过1小时按每1小时1元累加收费，连续停车24小时限额10元，超过24小时后循环计费。</w:t>
            </w:r>
          </w:p>
        </w:tc>
      </w:tr>
      <w:tr w14:paraId="0BB0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647" w:type="dxa"/>
            <w:vMerge w:val="restart"/>
            <w:vAlign w:val="center"/>
          </w:tcPr>
          <w:p w14:paraId="277C6083">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月租车</w:t>
            </w:r>
          </w:p>
          <w:p w14:paraId="50FF4F56">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（A、B区各限定25辆，共50辆）</w:t>
            </w:r>
          </w:p>
        </w:tc>
        <w:tc>
          <w:tcPr>
            <w:tcW w:w="1696" w:type="dxa"/>
            <w:vAlign w:val="center"/>
          </w:tcPr>
          <w:p w14:paraId="687491F7">
            <w:pPr>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小区业主（含商铺）</w:t>
            </w:r>
          </w:p>
        </w:tc>
        <w:tc>
          <w:tcPr>
            <w:tcW w:w="5324" w:type="dxa"/>
            <w:vAlign w:val="center"/>
          </w:tcPr>
          <w:p w14:paraId="3F5EDC87">
            <w:p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先到先得，月租150元/月/辆</w:t>
            </w:r>
          </w:p>
        </w:tc>
      </w:tr>
      <w:tr w14:paraId="3112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47" w:type="dxa"/>
            <w:vMerge w:val="continue"/>
            <w:vAlign w:val="center"/>
          </w:tcPr>
          <w:p w14:paraId="41C7E144">
            <w:pPr>
              <w:jc w:val="center"/>
              <w:rPr>
                <w:rFonts w:hint="eastAsia" w:ascii="仿宋" w:hAnsi="仿宋" w:eastAsia="仿宋" w:cs="仿宋"/>
                <w:b w:val="0"/>
                <w:bCs w:val="0"/>
                <w:sz w:val="24"/>
                <w:szCs w:val="24"/>
                <w:vertAlign w:val="baseline"/>
                <w:lang w:eastAsia="zh-CN"/>
              </w:rPr>
            </w:pPr>
          </w:p>
        </w:tc>
        <w:tc>
          <w:tcPr>
            <w:tcW w:w="1696" w:type="dxa"/>
            <w:vAlign w:val="center"/>
          </w:tcPr>
          <w:p w14:paraId="1528B4D7">
            <w:pPr>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非业主</w:t>
            </w:r>
          </w:p>
        </w:tc>
        <w:tc>
          <w:tcPr>
            <w:tcW w:w="5324" w:type="dxa"/>
            <w:vAlign w:val="center"/>
          </w:tcPr>
          <w:p w14:paraId="131FC5DB">
            <w:p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先到先得，</w:t>
            </w:r>
            <w:r>
              <w:rPr>
                <w:rFonts w:hint="eastAsia" w:ascii="仿宋" w:hAnsi="仿宋" w:eastAsia="仿宋" w:cs="仿宋"/>
                <w:b w:val="0"/>
                <w:bCs w:val="0"/>
                <w:color w:val="FF0000"/>
                <w:sz w:val="24"/>
                <w:szCs w:val="24"/>
                <w:vertAlign w:val="baseline"/>
                <w:lang w:val="en-US" w:eastAsia="zh-CN"/>
              </w:rPr>
              <w:t>月租200元/月/辆</w:t>
            </w:r>
          </w:p>
        </w:tc>
      </w:tr>
    </w:tbl>
    <w:p w14:paraId="4050A829">
      <w:pPr>
        <w:ind w:firstLine="560" w:firstLineChars="200"/>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7、商铺及顾客优惠方案：承租方每月向每卡商铺经营方免费发放100张2小时免费券（限发放当月使用，不能叠加），超过数量需向智慧停车场经营方购买。商铺经营方自行决定是否向到店消费客户发放停车优惠券。</w:t>
      </w:r>
    </w:p>
    <w:p w14:paraId="2B337A0C">
      <w:p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8、系统及数据管理要求：</w:t>
      </w:r>
    </w:p>
    <w:p w14:paraId="15CE71E4">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1.道闸收费系统须无条件配合接入镇统一管理平台；</w:t>
      </w:r>
    </w:p>
    <w:p w14:paraId="6CC9C9CE">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2.道闸收费系统、现场监控系统等须增加东海社区账号作为管理员。</w:t>
      </w:r>
    </w:p>
    <w:p w14:paraId="23D520C0">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二、规划用途：</w:t>
      </w:r>
      <w:r>
        <w:rPr>
          <w:rFonts w:hint="eastAsia" w:ascii="仿宋_GB2312" w:hAnsi="仿宋_GB2312" w:eastAsia="仿宋_GB2312" w:cs="仿宋_GB2312"/>
          <w:color w:val="auto"/>
          <w:sz w:val="28"/>
          <w:szCs w:val="28"/>
          <w:highlight w:val="none"/>
          <w:lang w:eastAsia="zh-CN"/>
        </w:rPr>
        <w:t>出租区域</w:t>
      </w:r>
      <w:r>
        <w:rPr>
          <w:rFonts w:hint="eastAsia" w:ascii="仿宋_GB2312" w:hAnsi="仿宋_GB2312" w:eastAsia="仿宋_GB2312" w:cs="仿宋_GB2312"/>
          <w:color w:val="auto"/>
          <w:sz w:val="28"/>
          <w:szCs w:val="28"/>
          <w:highlight w:val="none"/>
        </w:rPr>
        <w:t>只作</w:t>
      </w:r>
      <w:r>
        <w:rPr>
          <w:rFonts w:hint="eastAsia" w:ascii="仿宋_GB2312" w:hAnsi="仿宋_GB2312" w:eastAsia="仿宋_GB2312" w:cs="仿宋_GB2312"/>
          <w:b w:val="0"/>
          <w:bCs w:val="0"/>
          <w:color w:val="auto"/>
          <w:sz w:val="28"/>
          <w:szCs w:val="28"/>
          <w:highlight w:val="none"/>
          <w:lang w:val="en-US" w:eastAsia="zh-CN"/>
        </w:rPr>
        <w:t>停车</w:t>
      </w:r>
      <w:r>
        <w:rPr>
          <w:rFonts w:hint="eastAsia" w:ascii="仿宋_GB2312" w:hAnsi="仿宋_GB2312" w:eastAsia="仿宋_GB2312" w:cs="仿宋_GB2312"/>
          <w:color w:val="auto"/>
          <w:sz w:val="28"/>
          <w:szCs w:val="28"/>
          <w:highlight w:val="none"/>
          <w:lang w:eastAsia="zh-CN"/>
        </w:rPr>
        <w:t>使用</w:t>
      </w:r>
      <w:r>
        <w:rPr>
          <w:rFonts w:hint="eastAsia" w:ascii="仿宋_GB2312" w:hAnsi="仿宋_GB2312" w:eastAsia="仿宋_GB2312" w:cs="仿宋_GB2312"/>
          <w:color w:val="auto"/>
          <w:sz w:val="28"/>
          <w:szCs w:val="28"/>
          <w:highlight w:val="none"/>
        </w:rPr>
        <w:t>，不</w:t>
      </w:r>
      <w:r>
        <w:rPr>
          <w:rFonts w:hint="eastAsia" w:ascii="仿宋_GB2312" w:hAnsi="仿宋_GB2312" w:eastAsia="仿宋_GB2312" w:cs="仿宋_GB2312"/>
          <w:color w:val="auto"/>
          <w:sz w:val="28"/>
          <w:szCs w:val="28"/>
          <w:highlight w:val="none"/>
          <w:lang w:eastAsia="zh-CN"/>
        </w:rPr>
        <w:t>得作其他</w:t>
      </w:r>
      <w:r>
        <w:rPr>
          <w:rFonts w:hint="eastAsia" w:ascii="仿宋_GB2312" w:hAnsi="仿宋_GB2312" w:eastAsia="仿宋_GB2312" w:cs="仿宋_GB2312"/>
          <w:color w:val="auto"/>
          <w:sz w:val="28"/>
          <w:szCs w:val="28"/>
          <w:highlight w:val="none"/>
        </w:rPr>
        <w:t>用途；</w:t>
      </w:r>
    </w:p>
    <w:p w14:paraId="1798858A">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三、</w:t>
      </w:r>
      <w:r>
        <w:rPr>
          <w:rFonts w:hint="eastAsia" w:ascii="黑体" w:hAnsi="黑体" w:eastAsia="黑体" w:cs="黑体"/>
          <w:b/>
          <w:bCs/>
          <w:color w:val="auto"/>
          <w:sz w:val="28"/>
          <w:szCs w:val="28"/>
          <w:highlight w:val="none"/>
          <w:lang w:val="en-US" w:eastAsia="zh-CN"/>
        </w:rPr>
        <w:t>投标</w:t>
      </w:r>
      <w:r>
        <w:rPr>
          <w:rFonts w:hint="eastAsia" w:ascii="黑体" w:hAnsi="黑体" w:eastAsia="黑体" w:cs="黑体"/>
          <w:b/>
          <w:bCs/>
          <w:color w:val="auto"/>
          <w:sz w:val="28"/>
          <w:szCs w:val="28"/>
          <w:highlight w:val="none"/>
        </w:rPr>
        <w:t>保证金：</w:t>
      </w:r>
      <w:r>
        <w:rPr>
          <w:rFonts w:hint="eastAsia" w:ascii="仿宋_GB2312" w:hAnsi="仿宋_GB2312" w:eastAsia="仿宋_GB2312" w:cs="仿宋_GB2312"/>
          <w:b w:val="0"/>
          <w:bCs w:val="0"/>
          <w:color w:val="FF0000"/>
          <w:sz w:val="28"/>
          <w:szCs w:val="28"/>
          <w:highlight w:val="none"/>
          <w:lang w:val="en-US" w:eastAsia="zh-CN"/>
        </w:rPr>
        <w:t>50000</w:t>
      </w:r>
      <w:r>
        <w:rPr>
          <w:rFonts w:hint="eastAsia" w:ascii="仿宋_GB2312" w:hAnsi="仿宋_GB2312" w:eastAsia="仿宋_GB2312" w:cs="仿宋_GB2312"/>
          <w:b w:val="0"/>
          <w:bCs w:val="0"/>
          <w:color w:val="auto"/>
          <w:sz w:val="28"/>
          <w:szCs w:val="28"/>
          <w:highlight w:val="none"/>
        </w:rPr>
        <w:t>元人民币</w:t>
      </w:r>
      <w:r>
        <w:rPr>
          <w:rFonts w:hint="eastAsia" w:ascii="仿宋_GB2312" w:hAnsi="仿宋_GB2312" w:eastAsia="仿宋_GB2312" w:cs="仿宋_GB2312"/>
          <w:b w:val="0"/>
          <w:bCs w:val="0"/>
          <w:color w:val="auto"/>
          <w:sz w:val="28"/>
          <w:szCs w:val="28"/>
          <w:highlight w:val="none"/>
          <w:lang w:eastAsia="zh-CN"/>
        </w:rPr>
        <w:t>（大写：伍万元整）</w:t>
      </w:r>
      <w:r>
        <w:rPr>
          <w:rFonts w:hint="eastAsia" w:ascii="仿宋_GB2312" w:hAnsi="仿宋_GB2312" w:eastAsia="仿宋_GB2312" w:cs="仿宋_GB2312"/>
          <w:b w:val="0"/>
          <w:bCs w:val="0"/>
          <w:color w:val="auto"/>
          <w:sz w:val="28"/>
          <w:szCs w:val="28"/>
          <w:highlight w:val="none"/>
        </w:rPr>
        <w:t>；</w:t>
      </w:r>
    </w:p>
    <w:p w14:paraId="59E2DF42">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四、投标报名：</w:t>
      </w:r>
    </w:p>
    <w:p w14:paraId="700EA8F5">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1、参与竞投者须缴纳投标保证金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缴纳保证金账号必须与竞投者保持一致</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缴交时要备注具体参投项目</w:t>
      </w:r>
      <w:r>
        <w:rPr>
          <w:rFonts w:hint="eastAsia" w:ascii="仿宋_GB2312" w:hAnsi="仿宋_GB2312" w:eastAsia="仿宋_GB2312" w:cs="仿宋_GB2312"/>
          <w:b w:val="0"/>
          <w:bCs w:val="0"/>
          <w:color w:val="auto"/>
          <w:sz w:val="28"/>
          <w:szCs w:val="28"/>
          <w:highlight w:val="none"/>
        </w:rPr>
        <w:t>，竞投者</w:t>
      </w:r>
      <w:r>
        <w:rPr>
          <w:rFonts w:hint="eastAsia" w:ascii="仿宋_GB2312" w:hAnsi="仿宋_GB2312" w:eastAsia="仿宋_GB2312" w:cs="仿宋_GB2312"/>
          <w:color w:val="auto"/>
          <w:sz w:val="28"/>
          <w:szCs w:val="28"/>
          <w:highlight w:val="none"/>
        </w:rPr>
        <w:t>请于</w:t>
      </w:r>
      <w:r>
        <w:rPr>
          <w:rFonts w:hint="eastAsia" w:ascii="仿宋_GB2312" w:hAnsi="仿宋_GB2312" w:eastAsia="仿宋_GB2312" w:cs="仿宋_GB2312"/>
          <w:i w:val="0"/>
          <w:caps w:val="0"/>
          <w:color w:val="auto"/>
          <w:spacing w:val="0"/>
          <w:sz w:val="28"/>
          <w:szCs w:val="28"/>
          <w:highlight w:val="none"/>
        </w:rPr>
        <w:t>202</w:t>
      </w:r>
      <w:r>
        <w:rPr>
          <w:rFonts w:hint="eastAsia" w:ascii="仿宋_GB2312" w:hAnsi="仿宋_GB2312" w:eastAsia="仿宋_GB2312" w:cs="仿宋_GB2312"/>
          <w:i w:val="0"/>
          <w:caps w:val="0"/>
          <w:color w:val="auto"/>
          <w:spacing w:val="0"/>
          <w:sz w:val="28"/>
          <w:szCs w:val="28"/>
          <w:highlight w:val="none"/>
          <w:lang w:val="en-US" w:eastAsia="zh-CN"/>
        </w:rPr>
        <w:t>5</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4</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11</w:t>
      </w:r>
      <w:r>
        <w:rPr>
          <w:rFonts w:hint="eastAsia" w:ascii="仿宋_GB2312" w:hAnsi="仿宋_GB2312" w:eastAsia="仿宋_GB2312" w:cs="仿宋_GB2312"/>
          <w:color w:val="auto"/>
          <w:sz w:val="28"/>
          <w:szCs w:val="28"/>
          <w:highlight w:val="none"/>
        </w:rPr>
        <w:t>日16：00</w:t>
      </w:r>
      <w:r>
        <w:rPr>
          <w:rFonts w:hint="eastAsia" w:ascii="仿宋_GB2312" w:hAnsi="仿宋_GB2312" w:eastAsia="仿宋_GB2312" w:cs="仿宋_GB2312"/>
          <w:sz w:val="28"/>
          <w:szCs w:val="28"/>
          <w:highlight w:val="none"/>
        </w:rPr>
        <w:t>前自行到</w:t>
      </w:r>
      <w:r>
        <w:rPr>
          <w:rFonts w:hint="eastAsia" w:ascii="仿宋_GB2312" w:hAnsi="仿宋_GB2312" w:eastAsia="仿宋_GB2312" w:cs="仿宋_GB2312"/>
          <w:sz w:val="28"/>
          <w:szCs w:val="28"/>
          <w:highlight w:val="none"/>
          <w:lang w:eastAsia="zh-CN"/>
        </w:rPr>
        <w:t>建设银行东富路</w:t>
      </w:r>
      <w:r>
        <w:rPr>
          <w:rFonts w:hint="eastAsia" w:ascii="仿宋_GB2312" w:hAnsi="仿宋_GB2312" w:eastAsia="仿宋_GB2312" w:cs="仿宋_GB2312"/>
          <w:sz w:val="28"/>
          <w:szCs w:val="28"/>
          <w:highlight w:val="none"/>
        </w:rPr>
        <w:t>支行缴纳（银行名称：</w:t>
      </w:r>
      <w:r>
        <w:rPr>
          <w:rFonts w:hint="eastAsia" w:ascii="仿宋_GB2312" w:hAnsi="仿宋_GB2312" w:eastAsia="仿宋_GB2312" w:cs="仿宋_GB2312"/>
          <w:sz w:val="28"/>
          <w:szCs w:val="28"/>
          <w:highlight w:val="none"/>
          <w:lang w:eastAsia="zh-CN"/>
        </w:rPr>
        <w:t>中国建设银行中山东凤东富路支行</w:t>
      </w:r>
      <w:r>
        <w:rPr>
          <w:rFonts w:hint="eastAsia" w:ascii="仿宋_GB2312" w:hAnsi="仿宋_GB2312" w:eastAsia="仿宋_GB2312" w:cs="仿宋_GB2312"/>
          <w:sz w:val="28"/>
          <w:szCs w:val="28"/>
          <w:highlight w:val="none"/>
        </w:rPr>
        <w:t>，单位名称：广东省中山市东凤镇东海社区居</w:t>
      </w:r>
      <w:bookmarkStart w:id="0" w:name="_GoBack"/>
      <w:bookmarkEnd w:id="0"/>
      <w:r>
        <w:rPr>
          <w:rFonts w:hint="eastAsia" w:ascii="仿宋_GB2312" w:hAnsi="仿宋_GB2312" w:eastAsia="仿宋_GB2312" w:cs="仿宋_GB2312"/>
          <w:sz w:val="28"/>
          <w:szCs w:val="28"/>
          <w:highlight w:val="none"/>
        </w:rPr>
        <w:t>民委员会，账号：</w:t>
      </w:r>
      <w:r>
        <w:rPr>
          <w:rFonts w:hint="eastAsia" w:ascii="仿宋_GB2312" w:hAnsi="仿宋_GB2312" w:eastAsia="仿宋_GB2312" w:cs="仿宋_GB2312"/>
          <w:sz w:val="28"/>
          <w:szCs w:val="28"/>
          <w:highlight w:val="none"/>
          <w:lang w:val="en-US" w:eastAsia="zh-CN"/>
        </w:rPr>
        <w:t>44050178180100001067</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auto"/>
          <w:sz w:val="28"/>
          <w:szCs w:val="28"/>
          <w:highlight w:val="none"/>
        </w:rPr>
        <w:t>。未中标者</w:t>
      </w:r>
      <w:r>
        <w:rPr>
          <w:rFonts w:hint="eastAsia" w:ascii="仿宋_GB2312" w:hAnsi="仿宋_GB2312" w:eastAsia="仿宋_GB2312" w:cs="仿宋_GB2312"/>
          <w:color w:val="auto"/>
          <w:sz w:val="28"/>
          <w:szCs w:val="28"/>
          <w:highlight w:val="none"/>
          <w:lang w:eastAsia="zh-CN"/>
        </w:rPr>
        <w:t>凭</w:t>
      </w:r>
      <w:r>
        <w:rPr>
          <w:rFonts w:hint="eastAsia" w:ascii="仿宋_GB2312" w:hAnsi="仿宋_GB2312" w:eastAsia="仿宋_GB2312" w:cs="仿宋_GB2312"/>
          <w:color w:val="auto"/>
          <w:sz w:val="28"/>
          <w:szCs w:val="28"/>
          <w:highlight w:val="none"/>
          <w:lang w:val="en-US" w:eastAsia="zh-CN"/>
        </w:rPr>
        <w:t>保证金缴款单回执、收款收据办理退回手续，</w:t>
      </w:r>
      <w:r>
        <w:rPr>
          <w:rFonts w:hint="eastAsia" w:ascii="仿宋_GB2312" w:hAnsi="仿宋_GB2312" w:eastAsia="仿宋_GB2312" w:cs="仿宋_GB2312"/>
          <w:color w:val="auto"/>
          <w:sz w:val="28"/>
          <w:szCs w:val="28"/>
          <w:highlight w:val="none"/>
          <w:lang w:eastAsia="zh-CN"/>
        </w:rPr>
        <w:t>社区</w:t>
      </w:r>
      <w:r>
        <w:rPr>
          <w:rFonts w:hint="eastAsia" w:ascii="仿宋_GB2312" w:hAnsi="仿宋_GB2312" w:eastAsia="仿宋_GB2312" w:cs="仿宋_GB2312"/>
          <w:color w:val="auto"/>
          <w:sz w:val="28"/>
          <w:szCs w:val="28"/>
          <w:highlight w:val="none"/>
          <w:lang w:val="en-US" w:eastAsia="zh-CN"/>
        </w:rPr>
        <w:t>于20</w:t>
      </w:r>
      <w:r>
        <w:rPr>
          <w:rFonts w:hint="eastAsia" w:ascii="仿宋_GB2312" w:hAnsi="仿宋_GB2312" w:eastAsia="仿宋_GB2312" w:cs="仿宋_GB2312"/>
          <w:color w:val="auto"/>
          <w:sz w:val="28"/>
          <w:szCs w:val="28"/>
          <w:highlight w:val="none"/>
        </w:rPr>
        <w:t>个工作日内退还保证金本金</w:t>
      </w:r>
      <w:r>
        <w:rPr>
          <w:rFonts w:hint="eastAsia" w:ascii="仿宋_GB2312" w:hAnsi="仿宋_GB2312" w:eastAsia="仿宋_GB2312" w:cs="仿宋_GB2312"/>
          <w:color w:val="auto"/>
          <w:sz w:val="28"/>
          <w:szCs w:val="28"/>
          <w:highlight w:val="none"/>
          <w:lang w:eastAsia="zh-CN"/>
        </w:rPr>
        <w:t>。</w:t>
      </w:r>
      <w:r>
        <w:rPr>
          <w:rFonts w:hint="eastAsia" w:ascii="仿宋_GB2312" w:hAnsi="仿宋" w:eastAsia="仿宋_GB2312" w:cs="Arial"/>
          <w:color w:val="auto"/>
          <w:kern w:val="0"/>
          <w:sz w:val="28"/>
          <w:szCs w:val="28"/>
          <w:highlight w:val="none"/>
          <w:lang w:val="en-US" w:eastAsia="zh-CN"/>
        </w:rPr>
        <w:t>中标者投标保证金自动转为合同履约金。</w:t>
      </w:r>
    </w:p>
    <w:p w14:paraId="59170A12">
      <w:pPr>
        <w:spacing w:line="24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2、竞投者需具有独立法人资格</w:t>
      </w:r>
      <w:r>
        <w:rPr>
          <w:rFonts w:hint="eastAsia" w:ascii="仿宋_GB2312" w:hAnsi="仿宋_GB2312" w:eastAsia="仿宋_GB2312" w:cs="仿宋_GB2312"/>
          <w:color w:val="auto"/>
          <w:sz w:val="28"/>
          <w:szCs w:val="28"/>
          <w:highlight w:val="none"/>
          <w:lang w:val="en-US" w:eastAsia="zh-CN"/>
        </w:rPr>
        <w:t>企业；</w:t>
      </w:r>
      <w:r>
        <w:rPr>
          <w:rFonts w:hint="eastAsia" w:ascii="仿宋_GB2312" w:hAnsi="仿宋_GB2312" w:eastAsia="仿宋_GB2312" w:cs="仿宋_GB2312"/>
          <w:color w:val="auto"/>
          <w:sz w:val="28"/>
          <w:szCs w:val="28"/>
          <w:highlight w:val="none"/>
        </w:rPr>
        <w:t>具有良好的商业信誉和健全的财务会计制度；</w:t>
      </w:r>
      <w:r>
        <w:rPr>
          <w:rFonts w:hint="eastAsia" w:ascii="仿宋_GB2312" w:hAnsi="仿宋_GB2312" w:eastAsia="仿宋_GB2312" w:cs="仿宋_GB2312"/>
          <w:color w:val="FF0000"/>
          <w:sz w:val="28"/>
          <w:szCs w:val="28"/>
          <w:highlight w:val="none"/>
          <w:lang w:eastAsia="zh-CN"/>
        </w:rPr>
        <w:t>有物业管理或停车场运营管理服务资质。为方便现场管理，参加投标单位注册地东凤镇或在东凤镇依法缴纳税收和社会保障资金，或有上级备案资料可证明在东凤镇当地有办公地点、业务团队；</w:t>
      </w:r>
      <w:r>
        <w:rPr>
          <w:rFonts w:hint="eastAsia" w:ascii="仿宋_GB2312" w:hAnsi="仿宋_GB2312" w:eastAsia="仿宋_GB2312" w:cs="仿宋_GB2312"/>
          <w:color w:val="auto"/>
          <w:sz w:val="28"/>
          <w:szCs w:val="28"/>
          <w:highlight w:val="none"/>
          <w:lang w:eastAsia="zh-CN"/>
        </w:rPr>
        <w:t>参加本次招投标前三年内，在经营活动中没有重大违法记录；不接受联合竞投。在报</w:t>
      </w:r>
      <w:r>
        <w:rPr>
          <w:rFonts w:hint="eastAsia" w:ascii="仿宋_GB2312" w:hAnsi="仿宋_GB2312" w:eastAsia="仿宋_GB2312" w:cs="仿宋_GB2312"/>
          <w:color w:val="auto"/>
          <w:sz w:val="28"/>
          <w:szCs w:val="28"/>
          <w:highlight w:val="none"/>
        </w:rPr>
        <w:t>名截止前携带法人身份证</w:t>
      </w:r>
      <w:r>
        <w:rPr>
          <w:rFonts w:hint="eastAsia" w:ascii="仿宋_GB2312" w:hAnsi="仿宋_GB2312" w:eastAsia="仿宋_GB2312" w:cs="仿宋_GB2312"/>
          <w:color w:val="auto"/>
          <w:sz w:val="28"/>
          <w:szCs w:val="28"/>
          <w:highlight w:val="none"/>
          <w:lang w:eastAsia="zh-CN"/>
        </w:rPr>
        <w:t>（原件、复印件）</w:t>
      </w:r>
      <w:r>
        <w:rPr>
          <w:rFonts w:hint="eastAsia" w:ascii="仿宋_GB2312" w:hAnsi="仿宋_GB2312" w:eastAsia="仿宋_GB2312" w:cs="仿宋_GB2312"/>
          <w:color w:val="auto"/>
          <w:sz w:val="28"/>
          <w:szCs w:val="28"/>
          <w:highlight w:val="none"/>
        </w:rPr>
        <w:t>、营业执照</w:t>
      </w:r>
      <w:r>
        <w:rPr>
          <w:rFonts w:hint="eastAsia" w:ascii="仿宋_GB2312" w:hAnsi="仿宋_GB2312" w:eastAsia="仿宋_GB2312" w:cs="仿宋_GB2312"/>
          <w:color w:val="auto"/>
          <w:sz w:val="28"/>
          <w:szCs w:val="28"/>
          <w:highlight w:val="none"/>
          <w:lang w:eastAsia="zh-CN"/>
        </w:rPr>
        <w:t>（原件、复印件）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税收完税证明、备案资料、</w:t>
      </w:r>
      <w:r>
        <w:rPr>
          <w:rFonts w:hint="eastAsia" w:ascii="仿宋_GB2312" w:hAnsi="仿宋_GB2312" w:eastAsia="仿宋_GB2312" w:cs="仿宋_GB2312"/>
          <w:color w:val="auto"/>
          <w:sz w:val="28"/>
          <w:szCs w:val="28"/>
          <w:highlight w:val="none"/>
        </w:rPr>
        <w:t>保证金缴款单回执等资料到我</w:t>
      </w:r>
      <w:r>
        <w:rPr>
          <w:rFonts w:hint="eastAsia" w:ascii="仿宋_GB2312" w:hAnsi="仿宋_GB2312" w:eastAsia="仿宋_GB2312" w:cs="仿宋_GB2312"/>
          <w:color w:val="auto"/>
          <w:sz w:val="28"/>
          <w:szCs w:val="28"/>
          <w:highlight w:val="none"/>
          <w:lang w:eastAsia="zh-CN"/>
        </w:rPr>
        <w:t>社区</w:t>
      </w:r>
      <w:r>
        <w:rPr>
          <w:rFonts w:hint="eastAsia" w:ascii="仿宋_GB2312" w:hAnsi="仿宋_GB2312" w:eastAsia="仿宋_GB2312" w:cs="仿宋_GB2312"/>
          <w:color w:val="auto"/>
          <w:sz w:val="28"/>
          <w:szCs w:val="28"/>
          <w:highlight w:val="none"/>
        </w:rPr>
        <w:t>进行登记</w:t>
      </w:r>
      <w:r>
        <w:rPr>
          <w:rFonts w:hint="eastAsia" w:ascii="仿宋_GB2312" w:hAnsi="仿宋_GB2312" w:eastAsia="仿宋_GB2312" w:cs="仿宋_GB2312"/>
          <w:color w:val="auto"/>
          <w:sz w:val="28"/>
          <w:szCs w:val="28"/>
          <w:highlight w:val="none"/>
          <w:lang w:eastAsia="zh-CN"/>
        </w:rPr>
        <w:t>报名</w:t>
      </w:r>
      <w:r>
        <w:rPr>
          <w:rFonts w:hint="eastAsia" w:ascii="仿宋_GB2312" w:hAnsi="仿宋_GB2312" w:eastAsia="仿宋_GB2312" w:cs="仿宋_GB2312"/>
          <w:color w:val="auto"/>
          <w:sz w:val="28"/>
          <w:szCs w:val="28"/>
          <w:highlight w:val="none"/>
        </w:rPr>
        <w:t>，领取投标确认书参加投标。</w:t>
      </w:r>
      <w:r>
        <w:rPr>
          <w:rFonts w:hint="eastAsia" w:ascii="仿宋_GB2312" w:hAnsi="仿宋_GB2312" w:eastAsia="仿宋_GB2312" w:cs="仿宋_GB2312"/>
          <w:color w:val="auto"/>
          <w:sz w:val="28"/>
          <w:szCs w:val="28"/>
          <w:highlight w:val="none"/>
          <w:lang w:eastAsia="zh-CN"/>
        </w:rPr>
        <w:t>如代理人报名，则须提交委托代理书。</w:t>
      </w:r>
    </w:p>
    <w:p w14:paraId="0B702B1F">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 w:val="0"/>
          <w:bCs w:val="0"/>
          <w:color w:val="auto"/>
          <w:sz w:val="28"/>
          <w:szCs w:val="28"/>
          <w:highlight w:val="none"/>
        </w:rPr>
        <w:t>招标人不组织现场踏</w:t>
      </w:r>
      <w:r>
        <w:rPr>
          <w:rFonts w:hint="eastAsia" w:ascii="仿宋_GB2312" w:hAnsi="仿宋_GB2312" w:eastAsia="仿宋_GB2312" w:cs="仿宋_GB2312"/>
          <w:b w:val="0"/>
          <w:bCs w:val="0"/>
          <w:color w:val="auto"/>
          <w:sz w:val="28"/>
          <w:szCs w:val="28"/>
          <w:highlight w:val="none"/>
          <w:lang w:val="en-US" w:eastAsia="zh-CN"/>
        </w:rPr>
        <w:t>勘</w:t>
      </w:r>
      <w:r>
        <w:rPr>
          <w:rFonts w:hint="eastAsia" w:ascii="仿宋_GB2312" w:hAnsi="仿宋_GB2312" w:eastAsia="仿宋_GB2312" w:cs="仿宋_GB2312"/>
          <w:b w:val="0"/>
          <w:bCs w:val="0"/>
          <w:color w:val="auto"/>
          <w:sz w:val="28"/>
          <w:szCs w:val="28"/>
          <w:highlight w:val="none"/>
        </w:rPr>
        <w:t>，投标人须自行对租赁物进行踏</w:t>
      </w:r>
      <w:r>
        <w:rPr>
          <w:rFonts w:hint="eastAsia" w:ascii="仿宋_GB2312" w:hAnsi="仿宋_GB2312" w:eastAsia="仿宋_GB2312" w:cs="仿宋_GB2312"/>
          <w:b w:val="0"/>
          <w:bCs w:val="0"/>
          <w:color w:val="auto"/>
          <w:sz w:val="28"/>
          <w:szCs w:val="28"/>
          <w:highlight w:val="none"/>
          <w:lang w:val="en-US" w:eastAsia="zh-CN"/>
        </w:rPr>
        <w:t>勘</w:t>
      </w:r>
      <w:r>
        <w:rPr>
          <w:rFonts w:hint="eastAsia" w:ascii="仿宋_GB2312" w:hAnsi="仿宋_GB2312" w:eastAsia="仿宋_GB2312" w:cs="仿宋_GB2312"/>
          <w:b w:val="0"/>
          <w:bCs w:val="0"/>
          <w:color w:val="auto"/>
          <w:sz w:val="28"/>
          <w:szCs w:val="28"/>
          <w:highlight w:val="none"/>
        </w:rPr>
        <w:t>，了解租赁物现状情况</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以租赁标的现状交付使用</w:t>
      </w:r>
      <w:r>
        <w:rPr>
          <w:rFonts w:hint="eastAsia" w:ascii="仿宋_GB2312" w:hAnsi="仿宋_GB2312" w:eastAsia="仿宋_GB2312" w:cs="仿宋_GB2312"/>
          <w:b w:val="0"/>
          <w:bCs w:val="0"/>
          <w:color w:val="auto"/>
          <w:sz w:val="28"/>
          <w:szCs w:val="28"/>
          <w:highlight w:val="none"/>
        </w:rPr>
        <w:t>。</w:t>
      </w:r>
    </w:p>
    <w:p w14:paraId="33F9DD3C">
      <w:pPr>
        <w:spacing w:line="240" w:lineRule="auto"/>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b w:val="0"/>
          <w:bCs w:val="0"/>
          <w:color w:val="auto"/>
          <w:sz w:val="28"/>
          <w:szCs w:val="28"/>
          <w:highlight w:val="none"/>
        </w:rPr>
        <w:t>如项目用地在租赁期间涉及违法用地相关情况，承租方无条件服从处理，相关费用及责任由承租方承担，如承租方在整改期内未完成整改，我</w:t>
      </w:r>
      <w:r>
        <w:rPr>
          <w:rFonts w:hint="eastAsia" w:ascii="仿宋_GB2312" w:hAnsi="仿宋_GB2312" w:eastAsia="仿宋_GB2312" w:cs="仿宋_GB2312"/>
          <w:b w:val="0"/>
          <w:bCs w:val="0"/>
          <w:color w:val="auto"/>
          <w:sz w:val="28"/>
          <w:szCs w:val="28"/>
          <w:highlight w:val="none"/>
          <w:lang w:eastAsia="zh-CN"/>
        </w:rPr>
        <w:t>社区</w:t>
      </w:r>
      <w:r>
        <w:rPr>
          <w:rFonts w:hint="eastAsia" w:ascii="仿宋_GB2312" w:hAnsi="仿宋_GB2312" w:eastAsia="仿宋_GB2312" w:cs="仿宋_GB2312"/>
          <w:b w:val="0"/>
          <w:bCs w:val="0"/>
          <w:color w:val="auto"/>
          <w:sz w:val="28"/>
          <w:szCs w:val="28"/>
          <w:highlight w:val="none"/>
        </w:rPr>
        <w:t>有权使用承租方所缴纳的按金用于处理该地块的违法用地所产生的费用。</w:t>
      </w:r>
    </w:p>
    <w:p w14:paraId="0C68CAC5">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五、投标：</w:t>
      </w:r>
    </w:p>
    <w:p w14:paraId="1322F56F">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1、招投标方式和评标办法：采取现场明标出价方式竞投，出价最高且高于底价者为中标单位。</w:t>
      </w:r>
    </w:p>
    <w:p w14:paraId="305C3737">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2、第一次竞价可平价，之后每次竞价增加幅度不少于</w:t>
      </w:r>
      <w:r>
        <w:rPr>
          <w:rFonts w:hint="eastAsia" w:ascii="仿宋_GB2312" w:hAnsi="仿宋_GB2312" w:eastAsia="仿宋_GB2312" w:cs="仿宋_GB2312"/>
          <w:color w:val="auto"/>
          <w:sz w:val="28"/>
          <w:szCs w:val="28"/>
          <w:highlight w:val="none"/>
          <w:lang w:val="en-US" w:eastAsia="zh-CN"/>
        </w:rPr>
        <w:t>底价的10%</w:t>
      </w:r>
      <w:r>
        <w:rPr>
          <w:rFonts w:hint="eastAsia" w:ascii="仿宋_GB2312" w:hAnsi="仿宋_GB2312" w:eastAsia="仿宋_GB2312" w:cs="仿宋_GB2312"/>
          <w:color w:val="auto"/>
          <w:sz w:val="28"/>
          <w:szCs w:val="28"/>
          <w:highlight w:val="none"/>
        </w:rPr>
        <w:t>。</w:t>
      </w:r>
    </w:p>
    <w:p w14:paraId="4FD9301F">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3、如参与竞投者本人无法到场、则代理人需携带委托书和身份证复印件（需加盖公章）到场代理参与竞标。</w:t>
      </w:r>
    </w:p>
    <w:p w14:paraId="411C9643">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4、不限参加竞投单位数量，如只有一家单位</w:t>
      </w:r>
      <w:r>
        <w:rPr>
          <w:rFonts w:hint="eastAsia" w:ascii="仿宋_GB2312" w:hAnsi="仿宋_GB2312" w:eastAsia="仿宋_GB2312" w:cs="仿宋_GB2312"/>
          <w:color w:val="auto"/>
          <w:sz w:val="28"/>
          <w:szCs w:val="28"/>
          <w:highlight w:val="none"/>
          <w:lang w:eastAsia="zh-CN"/>
        </w:rPr>
        <w:t>报名</w:t>
      </w:r>
      <w:r>
        <w:rPr>
          <w:rFonts w:hint="eastAsia" w:ascii="仿宋_GB2312" w:hAnsi="仿宋_GB2312" w:eastAsia="仿宋_GB2312" w:cs="仿宋_GB2312"/>
          <w:color w:val="auto"/>
          <w:sz w:val="28"/>
          <w:szCs w:val="28"/>
          <w:highlight w:val="none"/>
        </w:rPr>
        <w:t>竞</w:t>
      </w:r>
      <w:r>
        <w:rPr>
          <w:rFonts w:hint="eastAsia" w:ascii="仿宋_GB2312" w:hAnsi="仿宋_GB2312" w:eastAsia="仿宋_GB2312" w:cs="仿宋_GB2312"/>
          <w:color w:val="auto"/>
          <w:sz w:val="28"/>
          <w:szCs w:val="28"/>
          <w:highlight w:val="none"/>
          <w:lang w:eastAsia="zh-CN"/>
        </w:rPr>
        <w:t>投</w:t>
      </w:r>
      <w:r>
        <w:rPr>
          <w:rFonts w:hint="eastAsia" w:ascii="仿宋_GB2312" w:hAnsi="仿宋_GB2312" w:eastAsia="仿宋_GB2312" w:cs="仿宋_GB2312"/>
          <w:color w:val="auto"/>
          <w:sz w:val="28"/>
          <w:szCs w:val="28"/>
          <w:highlight w:val="none"/>
        </w:rPr>
        <w:t>也正常开标。</w:t>
      </w:r>
    </w:p>
    <w:p w14:paraId="3A1E0D11">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六、招投标时间安排：</w:t>
      </w:r>
    </w:p>
    <w:p w14:paraId="5861FB36">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竞标报名截止：</w:t>
      </w:r>
      <w:r>
        <w:rPr>
          <w:rFonts w:hint="eastAsia" w:ascii="仿宋_GB2312" w:hAnsi="仿宋_GB2312" w:eastAsia="仿宋_GB2312" w:cs="仿宋_GB2312"/>
          <w:i w:val="0"/>
          <w:caps w:val="0"/>
          <w:color w:val="auto"/>
          <w:spacing w:val="0"/>
          <w:sz w:val="28"/>
          <w:szCs w:val="28"/>
          <w:highlight w:val="none"/>
          <w:lang w:val="en-US" w:eastAsia="zh-CN"/>
        </w:rPr>
        <w:t>2025</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4</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11</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00；</w:t>
      </w:r>
    </w:p>
    <w:p w14:paraId="3FB8584F">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公开竞标日期：</w:t>
      </w:r>
      <w:r>
        <w:rPr>
          <w:rFonts w:hint="eastAsia" w:ascii="仿宋_GB2312" w:hAnsi="仿宋_GB2312" w:eastAsia="仿宋_GB2312" w:cs="仿宋_GB2312"/>
          <w:i w:val="0"/>
          <w:caps w:val="0"/>
          <w:color w:val="auto"/>
          <w:spacing w:val="0"/>
          <w:sz w:val="28"/>
          <w:szCs w:val="28"/>
          <w:highlight w:val="none"/>
          <w:lang w:val="en-US" w:eastAsia="zh-CN"/>
        </w:rPr>
        <w:t>另行通知</w:t>
      </w:r>
      <w:r>
        <w:rPr>
          <w:rFonts w:hint="eastAsia" w:ascii="仿宋_GB2312" w:hAnsi="仿宋_GB2312" w:eastAsia="仿宋_GB2312" w:cs="仿宋_GB2312"/>
          <w:color w:val="auto"/>
          <w:sz w:val="28"/>
          <w:szCs w:val="28"/>
          <w:highlight w:val="none"/>
        </w:rPr>
        <w:t>；</w:t>
      </w:r>
    </w:p>
    <w:p w14:paraId="66378432">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公开竞标地址：东凤镇凤翔大道13号</w:t>
      </w:r>
      <w:r>
        <w:rPr>
          <w:rFonts w:hint="eastAsia" w:ascii="仿宋_GB2312" w:hAnsi="仿宋_GB2312" w:eastAsia="仿宋_GB2312" w:cs="仿宋_GB2312"/>
          <w:color w:val="auto"/>
          <w:sz w:val="28"/>
          <w:szCs w:val="28"/>
          <w:highlight w:val="none"/>
          <w:lang w:eastAsia="zh-CN"/>
        </w:rPr>
        <w:t>平安法治办</w:t>
      </w:r>
      <w:r>
        <w:rPr>
          <w:rFonts w:hint="eastAsia" w:ascii="仿宋_GB2312" w:hAnsi="仿宋_GB2312" w:eastAsia="仿宋_GB2312" w:cs="仿宋_GB2312"/>
          <w:color w:val="auto"/>
          <w:sz w:val="28"/>
          <w:szCs w:val="28"/>
          <w:highlight w:val="none"/>
        </w:rPr>
        <w:t>五楼开标室</w:t>
      </w:r>
      <w:r>
        <w:rPr>
          <w:rFonts w:hint="eastAsia" w:ascii="仿宋_GB2312" w:hAnsi="仿宋_GB2312" w:eastAsia="仿宋_GB2312" w:cs="仿宋_GB2312"/>
          <w:color w:val="auto"/>
          <w:sz w:val="28"/>
          <w:szCs w:val="28"/>
          <w:highlight w:val="none"/>
          <w:lang w:eastAsia="zh-CN"/>
        </w:rPr>
        <w:t>（开标时间、</w:t>
      </w:r>
      <w:r>
        <w:rPr>
          <w:rFonts w:hint="eastAsia" w:ascii="仿宋_GB2312" w:hAnsi="仿宋_GB2312" w:eastAsia="仿宋_GB2312" w:cs="仿宋_GB2312"/>
          <w:color w:val="auto"/>
          <w:sz w:val="28"/>
          <w:szCs w:val="28"/>
          <w:highlight w:val="none"/>
          <w:lang w:val="en-US" w:eastAsia="zh-CN"/>
        </w:rPr>
        <w:t>地点有变化将会电话通知）</w:t>
      </w:r>
      <w:r>
        <w:rPr>
          <w:rFonts w:hint="eastAsia" w:ascii="仿宋_GB2312" w:hAnsi="仿宋_GB2312" w:eastAsia="仿宋_GB2312" w:cs="仿宋_GB2312"/>
          <w:color w:val="auto"/>
          <w:sz w:val="28"/>
          <w:szCs w:val="28"/>
          <w:highlight w:val="none"/>
        </w:rPr>
        <w:t>；</w:t>
      </w:r>
    </w:p>
    <w:p w14:paraId="7225ECCE">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竞标者迟到10分钟以上作弃权处理；</w:t>
      </w:r>
    </w:p>
    <w:p w14:paraId="49146FE5">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七、其他：</w:t>
      </w:r>
    </w:p>
    <w:p w14:paraId="6862DD54">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1、中标单位在中标通知书发出之日起三十日内必须缴清合同履约保证金</w:t>
      </w:r>
      <w:r>
        <w:rPr>
          <w:rFonts w:hint="eastAsia" w:ascii="仿宋_GB2312" w:hAnsi="仿宋_GB2312" w:eastAsia="仿宋_GB2312" w:cs="仿宋_GB2312"/>
          <w:color w:val="auto"/>
          <w:sz w:val="28"/>
          <w:szCs w:val="28"/>
          <w:highlight w:val="none"/>
          <w:lang w:eastAsia="zh-CN"/>
        </w:rPr>
        <w:t>（投标保证金自动转为履约保证金）</w:t>
      </w:r>
      <w:r>
        <w:rPr>
          <w:rFonts w:hint="eastAsia" w:ascii="仿宋_GB2312" w:hAnsi="仿宋_GB2312" w:eastAsia="仿宋_GB2312" w:cs="仿宋_GB2312"/>
          <w:color w:val="auto"/>
          <w:sz w:val="28"/>
          <w:szCs w:val="28"/>
          <w:highlight w:val="none"/>
        </w:rPr>
        <w:t>和签订合同，逾期不签订合同，则视作弃标处理，并没收投标保证金。</w:t>
      </w:r>
    </w:p>
    <w:p w14:paraId="1D51F4F0">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中标单位需承担中标项目第三方资产评估费用</w:t>
      </w:r>
      <w:r>
        <w:rPr>
          <w:rFonts w:hint="eastAsia" w:ascii="仿宋_GB2312" w:hAnsi="仿宋_GB2312" w:eastAsia="仿宋_GB2312" w:cs="仿宋_GB2312"/>
          <w:color w:val="FF0000"/>
          <w:sz w:val="28"/>
          <w:szCs w:val="28"/>
          <w:highlight w:val="none"/>
          <w:lang w:val="en-US" w:eastAsia="zh-CN"/>
        </w:rPr>
        <w:t>900</w:t>
      </w:r>
      <w:r>
        <w:rPr>
          <w:rFonts w:hint="eastAsia" w:ascii="仿宋_GB2312" w:hAnsi="仿宋_GB2312" w:eastAsia="仿宋_GB2312" w:cs="仿宋_GB2312"/>
          <w:color w:val="auto"/>
          <w:sz w:val="28"/>
          <w:szCs w:val="28"/>
          <w:highlight w:val="none"/>
          <w:lang w:val="en-US" w:eastAsia="zh-CN"/>
        </w:rPr>
        <w:t>元，</w:t>
      </w:r>
      <w:r>
        <w:rPr>
          <w:rFonts w:hint="eastAsia" w:ascii="仿宋_GB2312" w:hAnsi="仿宋_GB2312" w:eastAsia="仿宋_GB2312" w:cs="仿宋_GB2312"/>
          <w:color w:val="auto"/>
          <w:sz w:val="28"/>
          <w:szCs w:val="28"/>
          <w:highlight w:val="none"/>
          <w:lang w:eastAsia="zh-CN"/>
        </w:rPr>
        <w:t>中标单位</w:t>
      </w:r>
      <w:r>
        <w:rPr>
          <w:rFonts w:hint="eastAsia" w:ascii="仿宋_GB2312" w:hAnsi="仿宋_GB2312" w:eastAsia="仿宋_GB2312" w:cs="仿宋_GB2312"/>
          <w:color w:val="auto"/>
          <w:sz w:val="28"/>
          <w:szCs w:val="28"/>
          <w:highlight w:val="none"/>
          <w:lang w:val="en-US" w:eastAsia="zh-CN"/>
        </w:rPr>
        <w:t>直接与评估公司结算该笔评估费用。</w:t>
      </w:r>
    </w:p>
    <w:p w14:paraId="3FFD3A70">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3、其他租赁条款于租赁合同中约定。</w:t>
      </w:r>
    </w:p>
    <w:p w14:paraId="62BA2EB4">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、此租赁方案最终解释权归我</w:t>
      </w:r>
      <w:r>
        <w:rPr>
          <w:rFonts w:hint="eastAsia" w:ascii="仿宋_GB2312" w:hAnsi="仿宋_GB2312" w:eastAsia="仿宋_GB2312" w:cs="仿宋_GB2312"/>
          <w:color w:val="auto"/>
          <w:sz w:val="28"/>
          <w:szCs w:val="28"/>
          <w:highlight w:val="none"/>
          <w:lang w:eastAsia="zh-CN"/>
        </w:rPr>
        <w:t>社区</w:t>
      </w:r>
      <w:r>
        <w:rPr>
          <w:rFonts w:hint="eastAsia" w:ascii="仿宋_GB2312" w:hAnsi="仿宋_GB2312" w:eastAsia="仿宋_GB2312" w:cs="仿宋_GB2312"/>
          <w:color w:val="auto"/>
          <w:sz w:val="28"/>
          <w:szCs w:val="28"/>
          <w:highlight w:val="none"/>
        </w:rPr>
        <w:t>。</w:t>
      </w:r>
    </w:p>
    <w:p w14:paraId="090606A7">
      <w:pPr>
        <w:spacing w:line="240" w:lineRule="auto"/>
        <w:ind w:firstLine="560" w:firstLineChars="200"/>
        <w:rPr>
          <w:rFonts w:hint="eastAsia" w:ascii="仿宋_GB2312" w:hAnsi="仿宋_GB2312" w:eastAsia="仿宋_GB2312" w:cs="仿宋_GB2312"/>
          <w:color w:val="auto"/>
          <w:sz w:val="28"/>
          <w:szCs w:val="28"/>
          <w:highlight w:val="none"/>
        </w:rPr>
      </w:pPr>
    </w:p>
    <w:p w14:paraId="4DA0D262">
      <w:pPr>
        <w:spacing w:line="240" w:lineRule="auto"/>
        <w:ind w:firstLine="560" w:firstLineChars="200"/>
        <w:jc w:val="righ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 xml:space="preserve">                      中山市东凤镇</w:t>
      </w:r>
      <w:r>
        <w:rPr>
          <w:rFonts w:hint="eastAsia" w:ascii="仿宋_GB2312" w:hAnsi="仿宋_GB2312" w:eastAsia="仿宋_GB2312" w:cs="仿宋_GB2312"/>
          <w:color w:val="auto"/>
          <w:sz w:val="28"/>
          <w:szCs w:val="28"/>
          <w:highlight w:val="none"/>
          <w:lang w:eastAsia="zh-CN"/>
        </w:rPr>
        <w:t>东海社区居民委员会</w:t>
      </w:r>
    </w:p>
    <w:p w14:paraId="275C709E">
      <w:pPr>
        <w:spacing w:line="240" w:lineRule="auto"/>
        <w:ind w:firstLine="560" w:firstLineChars="200"/>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i w:val="0"/>
          <w:caps w:val="0"/>
          <w:color w:val="auto"/>
          <w:spacing w:val="0"/>
          <w:sz w:val="28"/>
          <w:szCs w:val="28"/>
          <w:highlight w:val="none"/>
          <w:lang w:val="en-US" w:eastAsia="zh-CN"/>
        </w:rPr>
        <w:t>2025</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日</w:t>
      </w:r>
    </w:p>
    <w:p w14:paraId="4D8C2840">
      <w:pPr>
        <w:spacing w:line="240" w:lineRule="auto"/>
        <w:ind w:firstLine="0" w:firstLineChars="0"/>
        <w:rPr>
          <w:rFonts w:hint="eastAsia" w:ascii="仿宋_GB2312" w:hAnsi="仿宋_GB2312" w:eastAsia="仿宋_GB2312" w:cs="仿宋_GB2312"/>
          <w:bCs w:val="0"/>
          <w:color w:val="auto"/>
          <w:sz w:val="28"/>
          <w:szCs w:val="28"/>
          <w:highlight w:val="none"/>
          <w:lang w:eastAsia="zh-CN"/>
        </w:rPr>
      </w:pPr>
    </w:p>
    <w:p w14:paraId="188BDF58">
      <w:pPr>
        <w:spacing w:line="240" w:lineRule="auto"/>
        <w:ind w:firstLine="0" w:firstLineChars="0"/>
        <w:rPr>
          <w:rFonts w:hint="eastAsia" w:ascii="仿宋_GB2312" w:hAnsi="仿宋_GB2312" w:eastAsia="仿宋_GB2312" w:cs="仿宋_GB2312"/>
          <w:bCs w:val="0"/>
          <w:color w:val="auto"/>
          <w:sz w:val="28"/>
          <w:szCs w:val="28"/>
          <w:highlight w:val="none"/>
          <w:lang w:eastAsia="zh-CN"/>
        </w:rPr>
      </w:pPr>
    </w:p>
    <w:p w14:paraId="6676F1A6">
      <w:pPr>
        <w:spacing w:line="240" w:lineRule="auto"/>
        <w:ind w:firstLine="560" w:firstLineChars="200"/>
        <w:rPr>
          <w:color w:val="auto"/>
          <w:sz w:val="28"/>
          <w:szCs w:val="28"/>
          <w:highlight w:val="none"/>
        </w:rPr>
      </w:pPr>
      <w:r>
        <w:rPr>
          <w:rFonts w:hint="eastAsia" w:ascii="仿宋_GB2312" w:hAnsi="仿宋_GB2312" w:eastAsia="仿宋_GB2312" w:cs="仿宋_GB2312"/>
          <w:bCs w:val="0"/>
          <w:color w:val="auto"/>
          <w:sz w:val="28"/>
          <w:szCs w:val="28"/>
          <w:highlight w:val="none"/>
          <w:lang w:eastAsia="zh-CN"/>
        </w:rPr>
        <w:t>参加投标人员签名：</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758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5BC2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E5BC2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OGM3MzYzMDZkZmZkNmQzNWI2YWU4NThiOTRjOTEifQ=="/>
    <w:docVar w:name="KSO_WPS_MARK_KEY" w:val="df26aeba-b65d-4bda-9a54-32a49d426457"/>
  </w:docVars>
  <w:rsids>
    <w:rsidRoot w:val="2CA4386C"/>
    <w:rsid w:val="02B64B93"/>
    <w:rsid w:val="03AD42CA"/>
    <w:rsid w:val="040D4CBA"/>
    <w:rsid w:val="05D71325"/>
    <w:rsid w:val="07A8744A"/>
    <w:rsid w:val="087E0D9A"/>
    <w:rsid w:val="098807FA"/>
    <w:rsid w:val="09FA11E0"/>
    <w:rsid w:val="0B660046"/>
    <w:rsid w:val="0B71740F"/>
    <w:rsid w:val="11621375"/>
    <w:rsid w:val="1313164F"/>
    <w:rsid w:val="14A44A77"/>
    <w:rsid w:val="15365D91"/>
    <w:rsid w:val="15FA5779"/>
    <w:rsid w:val="17A1197A"/>
    <w:rsid w:val="18E74005"/>
    <w:rsid w:val="1BB75C39"/>
    <w:rsid w:val="1BD91B92"/>
    <w:rsid w:val="1E2C7FF6"/>
    <w:rsid w:val="1FA97D98"/>
    <w:rsid w:val="218A582A"/>
    <w:rsid w:val="21F03B95"/>
    <w:rsid w:val="2454465C"/>
    <w:rsid w:val="253B58D8"/>
    <w:rsid w:val="25BC6827"/>
    <w:rsid w:val="27222AE7"/>
    <w:rsid w:val="28B50BD7"/>
    <w:rsid w:val="29D108D4"/>
    <w:rsid w:val="2AC860B7"/>
    <w:rsid w:val="2ADB088C"/>
    <w:rsid w:val="2CA4386C"/>
    <w:rsid w:val="2D9B6278"/>
    <w:rsid w:val="2DBE7325"/>
    <w:rsid w:val="2DF9676E"/>
    <w:rsid w:val="2E882F5E"/>
    <w:rsid w:val="2F106917"/>
    <w:rsid w:val="2F76684C"/>
    <w:rsid w:val="314424C8"/>
    <w:rsid w:val="3283659F"/>
    <w:rsid w:val="35B5088A"/>
    <w:rsid w:val="36A2264C"/>
    <w:rsid w:val="36F746A7"/>
    <w:rsid w:val="38497762"/>
    <w:rsid w:val="384B0C09"/>
    <w:rsid w:val="390A3FD4"/>
    <w:rsid w:val="3D8454D5"/>
    <w:rsid w:val="3E5C54C3"/>
    <w:rsid w:val="3E8174A1"/>
    <w:rsid w:val="412F5689"/>
    <w:rsid w:val="42BF4549"/>
    <w:rsid w:val="42D70FD5"/>
    <w:rsid w:val="441F1F30"/>
    <w:rsid w:val="47470079"/>
    <w:rsid w:val="4E5B5471"/>
    <w:rsid w:val="4E7368C1"/>
    <w:rsid w:val="4F375809"/>
    <w:rsid w:val="508F720D"/>
    <w:rsid w:val="51156562"/>
    <w:rsid w:val="53277834"/>
    <w:rsid w:val="53524611"/>
    <w:rsid w:val="557E0ABE"/>
    <w:rsid w:val="56777975"/>
    <w:rsid w:val="5A1225D4"/>
    <w:rsid w:val="5A613B84"/>
    <w:rsid w:val="5D150161"/>
    <w:rsid w:val="5D1B67C7"/>
    <w:rsid w:val="5F455CC4"/>
    <w:rsid w:val="5FB149DD"/>
    <w:rsid w:val="61F47390"/>
    <w:rsid w:val="634E06D7"/>
    <w:rsid w:val="65953340"/>
    <w:rsid w:val="660802C2"/>
    <w:rsid w:val="66EA5D84"/>
    <w:rsid w:val="670C04C4"/>
    <w:rsid w:val="67746B3D"/>
    <w:rsid w:val="67A86A9A"/>
    <w:rsid w:val="682B3331"/>
    <w:rsid w:val="69E61E22"/>
    <w:rsid w:val="6CE453A5"/>
    <w:rsid w:val="6CFB21F6"/>
    <w:rsid w:val="6ED756FD"/>
    <w:rsid w:val="72196775"/>
    <w:rsid w:val="72A055C4"/>
    <w:rsid w:val="749F757D"/>
    <w:rsid w:val="77E048EF"/>
    <w:rsid w:val="77FB5A76"/>
    <w:rsid w:val="78420C7F"/>
    <w:rsid w:val="78867117"/>
    <w:rsid w:val="78C0549E"/>
    <w:rsid w:val="7C3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1602</Words>
  <Characters>1668</Characters>
  <Lines>0</Lines>
  <Paragraphs>0</Paragraphs>
  <TotalTime>6</TotalTime>
  <ScaleCrop>false</ScaleCrop>
  <LinksUpToDate>false</LinksUpToDate>
  <CharactersWithSpaces>1697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2023-11-15T03:21:00Z</dcterms:created>
  <dc:creator>翼~莨</dc:creator>
  <cp:lastModifiedBy>赵健成</cp:lastModifiedBy>
  <cp:lastPrinted>2024-10-24T03:10:00Z</cp:lastPrinted>
  <dcterms:modified xsi:type="dcterms:W3CDTF">2025-03-31T01:20:05Z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A2400D3D79C846479E3221CB4BE51C4D_13</vt:lpwstr>
  </property>
</Properties>
</file>