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C441D0">
      <w:pPr>
        <w:adjustRightInd w:val="0"/>
        <w:snapToGrid w:val="0"/>
        <w:spacing w:line="574" w:lineRule="exact"/>
        <w:jc w:val="center"/>
        <w:rPr>
          <w:rFonts w:hint="eastAsia" w:ascii="方正小标宋简体" w:hAnsi="方正小标宋简体" w:eastAsia="方正小标宋简体" w:cs="方正小标宋简体"/>
          <w:spacing w:val="-6"/>
          <w:sz w:val="44"/>
          <w:szCs w:val="44"/>
          <w:highlight w:val="none"/>
          <w:lang w:eastAsia="zh-CN"/>
        </w:rPr>
      </w:pPr>
      <w:bookmarkStart w:id="1" w:name="_GoBack"/>
      <w:bookmarkEnd w:id="1"/>
      <w:r>
        <w:rPr>
          <w:rFonts w:hint="eastAsia" w:ascii="方正小标宋简体" w:hAnsi="方正小标宋简体" w:eastAsia="方正小标宋简体" w:cs="方正小标宋简体"/>
          <w:spacing w:val="-6"/>
          <w:sz w:val="44"/>
          <w:szCs w:val="44"/>
          <w:highlight w:val="none"/>
          <w:lang w:eastAsia="zh-CN"/>
        </w:rPr>
        <w:t>火炬开发区中山市石化石油气有限公司</w:t>
      </w:r>
    </w:p>
    <w:p w14:paraId="43A25178">
      <w:pPr>
        <w:adjustRightInd w:val="0"/>
        <w:snapToGrid w:val="0"/>
        <w:spacing w:line="574" w:lineRule="exact"/>
        <w:jc w:val="center"/>
        <w:rPr>
          <w:rFonts w:hint="eastAsia" w:ascii="方正小标宋简体" w:hAnsi="方正小标宋简体" w:eastAsia="方正小标宋简体" w:cs="方正小标宋简体"/>
          <w:spacing w:val="-6"/>
          <w:sz w:val="44"/>
          <w:szCs w:val="44"/>
          <w:highlight w:val="none"/>
          <w:lang w:eastAsia="zh-CN"/>
        </w:rPr>
      </w:pPr>
      <w:r>
        <w:rPr>
          <w:rFonts w:hint="eastAsia" w:ascii="方正小标宋简体" w:hAnsi="方正小标宋简体" w:eastAsia="方正小标宋简体" w:cs="方正小标宋简体"/>
          <w:spacing w:val="-6"/>
          <w:sz w:val="44"/>
          <w:szCs w:val="44"/>
          <w:highlight w:val="none"/>
          <w:lang w:eastAsia="zh-CN"/>
        </w:rPr>
        <w:t>低效工业用地改造方案</w:t>
      </w:r>
    </w:p>
    <w:p w14:paraId="77951434">
      <w:pPr>
        <w:spacing w:line="574" w:lineRule="exact"/>
        <w:ind w:firstLine="924" w:firstLineChars="300"/>
        <w:rPr>
          <w:rFonts w:hint="eastAsia" w:ascii="华文细黑" w:hAnsi="华文细黑" w:eastAsia="华文细黑" w:cs="华文细黑"/>
          <w:spacing w:val="-6"/>
          <w:kern w:val="0"/>
          <w:sz w:val="32"/>
          <w:szCs w:val="32"/>
          <w:highlight w:val="none"/>
        </w:rPr>
      </w:pPr>
    </w:p>
    <w:p w14:paraId="7D1DCE8C">
      <w:pPr>
        <w:spacing w:line="574" w:lineRule="exact"/>
        <w:ind w:firstLine="640" w:firstLineChars="200"/>
        <w:rPr>
          <w:rFonts w:hint="eastAsia" w:ascii="华文细黑" w:hAnsi="华文细黑" w:eastAsia="华文细黑" w:cs="华文细黑"/>
          <w:spacing w:val="-6"/>
          <w:kern w:val="0"/>
          <w:sz w:val="32"/>
          <w:szCs w:val="32"/>
          <w:highlight w:val="none"/>
        </w:rPr>
      </w:pPr>
      <w:r>
        <w:rPr>
          <w:rFonts w:hint="eastAsia" w:ascii="仿宋_GB2312" w:hAnsi="仿宋_GB2312" w:eastAsia="仿宋_GB2312" w:cs="仿宋_GB2312"/>
          <w:color w:val="auto"/>
          <w:spacing w:val="0"/>
          <w:kern w:val="0"/>
          <w:sz w:val="32"/>
          <w:szCs w:val="32"/>
          <w:highlight w:val="none"/>
          <w:lang w:bidi="ar"/>
        </w:rPr>
        <w:t>根据</w:t>
      </w:r>
      <w:r>
        <w:rPr>
          <w:rFonts w:hint="eastAsia" w:ascii="仿宋_GB2312" w:hAnsi="仿宋_GB2312" w:eastAsia="仿宋_GB2312" w:cs="仿宋_GB2312"/>
          <w:color w:val="auto"/>
          <w:spacing w:val="0"/>
          <w:kern w:val="0"/>
          <w:sz w:val="32"/>
          <w:szCs w:val="32"/>
          <w:highlight w:val="none"/>
          <w:lang w:eastAsia="zh-CN" w:bidi="ar"/>
        </w:rPr>
        <w:t>现行</w:t>
      </w:r>
      <w:r>
        <w:rPr>
          <w:rFonts w:hint="eastAsia" w:ascii="仿宋_GB2312" w:hAnsi="仿宋_GB2312" w:eastAsia="仿宋_GB2312" w:cs="仿宋_GB2312"/>
          <w:color w:val="auto"/>
          <w:spacing w:val="0"/>
          <w:kern w:val="0"/>
          <w:sz w:val="32"/>
          <w:szCs w:val="32"/>
          <w:highlight w:val="none"/>
          <w:lang w:bidi="ar"/>
        </w:rPr>
        <w:t>控制性详细规划，火炬高技术产业开发区管委会拟对位于中山市火炬开发区光丰路50号的中山市石化石油气有限公司低效工业用地进行</w:t>
      </w:r>
      <w:r>
        <w:rPr>
          <w:rFonts w:hint="eastAsia" w:ascii="仿宋_GB2312" w:hAnsi="仿宋_GB2312" w:eastAsia="仿宋_GB2312" w:cs="仿宋_GB2312"/>
          <w:color w:val="auto"/>
          <w:spacing w:val="0"/>
          <w:kern w:val="0"/>
          <w:sz w:val="32"/>
          <w:szCs w:val="32"/>
          <w:highlight w:val="none"/>
          <w:lang w:eastAsia="zh-CN" w:bidi="ar"/>
        </w:rPr>
        <w:t>开发改造</w:t>
      </w:r>
      <w:r>
        <w:rPr>
          <w:rFonts w:hint="eastAsia" w:ascii="仿宋_GB2312" w:hAnsi="仿宋_GB2312" w:eastAsia="仿宋_GB2312" w:cs="仿宋_GB2312"/>
          <w:color w:val="auto"/>
          <w:spacing w:val="0"/>
          <w:kern w:val="0"/>
          <w:sz w:val="32"/>
          <w:szCs w:val="32"/>
          <w:highlight w:val="none"/>
          <w:lang w:bidi="ar"/>
        </w:rPr>
        <w:t>，由中山市石化石油气有限公司</w:t>
      </w:r>
      <w:r>
        <w:rPr>
          <w:rFonts w:hint="eastAsia" w:ascii="仿宋_GB2312" w:hAnsi="仿宋_GB2312" w:eastAsia="仿宋_GB2312" w:cs="仿宋_GB2312"/>
          <w:color w:val="auto"/>
          <w:spacing w:val="0"/>
          <w:kern w:val="0"/>
          <w:sz w:val="32"/>
          <w:szCs w:val="32"/>
          <w:highlight w:val="none"/>
          <w:lang w:eastAsia="zh-CN" w:bidi="ar"/>
        </w:rPr>
        <w:t>进行</w:t>
      </w:r>
      <w:r>
        <w:rPr>
          <w:rFonts w:hint="eastAsia" w:ascii="仿宋_GB2312" w:hAnsi="仿宋_GB2312" w:eastAsia="仿宋_GB2312" w:cs="仿宋_GB2312"/>
          <w:color w:val="auto"/>
          <w:spacing w:val="0"/>
          <w:kern w:val="0"/>
          <w:sz w:val="32"/>
          <w:szCs w:val="32"/>
          <w:highlight w:val="none"/>
          <w:lang w:val="en-US" w:eastAsia="zh-CN" w:bidi="ar"/>
        </w:rPr>
        <w:t>自主改造，</w:t>
      </w:r>
      <w:r>
        <w:rPr>
          <w:rFonts w:hint="eastAsia" w:ascii="仿宋_GB2312" w:hAnsi="仿宋_GB2312" w:eastAsia="仿宋_GB2312" w:cs="仿宋_GB2312"/>
          <w:color w:val="auto"/>
          <w:spacing w:val="0"/>
          <w:kern w:val="0"/>
          <w:sz w:val="32"/>
          <w:szCs w:val="32"/>
          <w:highlight w:val="none"/>
          <w:lang w:bidi="ar"/>
        </w:rPr>
        <w:t>采取全面改造的改造方式。</w:t>
      </w:r>
      <w:r>
        <w:rPr>
          <w:rFonts w:hint="eastAsia" w:ascii="仿宋_GB2312" w:hAnsi="仿宋_GB2312" w:eastAsia="仿宋_GB2312" w:cs="仿宋_GB2312"/>
          <w:color w:val="auto"/>
          <w:spacing w:val="0"/>
          <w:kern w:val="0"/>
          <w:sz w:val="32"/>
          <w:szCs w:val="32"/>
          <w:highlight w:val="none"/>
          <w:lang w:eastAsia="zh-CN" w:bidi="ar"/>
        </w:rPr>
        <w:t>改造</w:t>
      </w:r>
      <w:r>
        <w:rPr>
          <w:rFonts w:hint="eastAsia" w:ascii="仿宋_GB2312" w:hAnsi="仿宋_GB2312" w:eastAsia="仿宋_GB2312" w:cs="仿宋_GB2312"/>
          <w:color w:val="auto"/>
          <w:spacing w:val="0"/>
          <w:kern w:val="0"/>
          <w:sz w:val="32"/>
          <w:szCs w:val="32"/>
          <w:highlight w:val="none"/>
          <w:lang w:bidi="ar"/>
        </w:rPr>
        <w:t>方案如下：</w:t>
      </w:r>
    </w:p>
    <w:p w14:paraId="131F383D">
      <w:pPr>
        <w:adjustRightInd w:val="0"/>
        <w:snapToGrid w:val="0"/>
        <w:spacing w:line="574" w:lineRule="exact"/>
        <w:ind w:firstLine="616" w:firstLineChars="200"/>
        <w:rPr>
          <w:rFonts w:hint="eastAsia" w:ascii="黑体" w:hAnsi="黑体" w:eastAsia="黑体" w:cs="黑体"/>
          <w:b w:val="0"/>
          <w:bCs w:val="0"/>
          <w:spacing w:val="-6"/>
          <w:kern w:val="0"/>
          <w:sz w:val="32"/>
          <w:szCs w:val="32"/>
          <w:highlight w:val="none"/>
        </w:rPr>
      </w:pPr>
      <w:r>
        <w:rPr>
          <w:rFonts w:hint="eastAsia" w:ascii="黑体" w:hAnsi="黑体" w:eastAsia="黑体" w:cs="黑体"/>
          <w:b w:val="0"/>
          <w:bCs w:val="0"/>
          <w:spacing w:val="-6"/>
          <w:kern w:val="0"/>
          <w:sz w:val="32"/>
          <w:szCs w:val="32"/>
          <w:highlight w:val="none"/>
        </w:rPr>
        <w:t>一、改造地块基本情况</w:t>
      </w:r>
    </w:p>
    <w:p w14:paraId="5AAB2384">
      <w:pPr>
        <w:adjustRightInd w:val="0"/>
        <w:snapToGrid w:val="0"/>
        <w:spacing w:line="574" w:lineRule="exact"/>
        <w:ind w:firstLine="616" w:firstLineChars="200"/>
        <w:rPr>
          <w:rFonts w:hint="eastAsia" w:ascii="楷体" w:hAnsi="楷体" w:eastAsia="楷体" w:cs="楷体"/>
          <w:b w:val="0"/>
          <w:bCs w:val="0"/>
          <w:spacing w:val="-6"/>
          <w:sz w:val="32"/>
          <w:szCs w:val="32"/>
          <w:highlight w:val="none"/>
        </w:rPr>
      </w:pPr>
      <w:r>
        <w:rPr>
          <w:rFonts w:hint="eastAsia" w:ascii="楷体" w:hAnsi="楷体" w:eastAsia="楷体" w:cs="楷体"/>
          <w:b w:val="0"/>
          <w:bCs w:val="0"/>
          <w:spacing w:val="-6"/>
          <w:sz w:val="32"/>
          <w:szCs w:val="32"/>
          <w:highlight w:val="none"/>
        </w:rPr>
        <w:t>（一）总体情况</w:t>
      </w:r>
    </w:p>
    <w:p w14:paraId="09F3F15C">
      <w:pPr>
        <w:adjustRightInd w:val="0"/>
        <w:snapToGrid w:val="0"/>
        <w:spacing w:line="574" w:lineRule="exact"/>
        <w:ind w:firstLine="616" w:firstLineChars="200"/>
        <w:rPr>
          <w:rFonts w:hint="eastAsia" w:ascii="Times New Roman" w:hAnsi="Times New Roman" w:eastAsia="仿宋_GB2312" w:cs="Times New Roman"/>
          <w:spacing w:val="-6"/>
          <w:sz w:val="32"/>
          <w:szCs w:val="32"/>
          <w:highlight w:val="none"/>
        </w:rPr>
      </w:pPr>
      <w:r>
        <w:rPr>
          <w:rFonts w:hint="eastAsia" w:ascii="Times New Roman" w:hAnsi="Times New Roman" w:eastAsia="仿宋_GB2312" w:cs="Times New Roman"/>
          <w:spacing w:val="-6"/>
          <w:sz w:val="32"/>
          <w:szCs w:val="32"/>
          <w:highlight w:val="none"/>
        </w:rPr>
        <w:t>改造项目地块位于火炬开发区光丰路50号，北至喜威(中山)液化石油气有限公司</w:t>
      </w:r>
      <w:r>
        <w:rPr>
          <w:rFonts w:hint="eastAsia" w:ascii="Times New Roman" w:hAnsi="Times New Roman" w:eastAsia="仿宋_GB2312" w:cs="Times New Roman"/>
          <w:spacing w:val="-6"/>
          <w:sz w:val="32"/>
          <w:szCs w:val="32"/>
          <w:highlight w:val="none"/>
          <w:lang w:val="en-US" w:eastAsia="zh-CN"/>
        </w:rPr>
        <w:t>用地</w:t>
      </w:r>
      <w:r>
        <w:rPr>
          <w:rFonts w:hint="eastAsia" w:ascii="Times New Roman" w:hAnsi="Times New Roman" w:eastAsia="仿宋_GB2312" w:cs="Times New Roman"/>
          <w:spacing w:val="-6"/>
          <w:sz w:val="32"/>
          <w:szCs w:val="32"/>
          <w:highlight w:val="none"/>
        </w:rPr>
        <w:t>，南至</w:t>
      </w:r>
      <w:r>
        <w:rPr>
          <w:rFonts w:hint="eastAsia" w:ascii="Times New Roman" w:hAnsi="Times New Roman" w:eastAsia="仿宋_GB2312" w:cs="Times New Roman"/>
          <w:spacing w:val="-6"/>
          <w:sz w:val="32"/>
          <w:szCs w:val="32"/>
          <w:highlight w:val="none"/>
          <w:lang w:val="en-US" w:eastAsia="zh-CN"/>
        </w:rPr>
        <w:t>规划路</w:t>
      </w:r>
      <w:r>
        <w:rPr>
          <w:rFonts w:hint="eastAsia" w:ascii="Times New Roman" w:hAnsi="Times New Roman" w:eastAsia="仿宋_GB2312" w:cs="Times New Roman"/>
          <w:spacing w:val="-6"/>
          <w:sz w:val="32"/>
          <w:szCs w:val="32"/>
          <w:highlight w:val="none"/>
        </w:rPr>
        <w:t>，东至</w:t>
      </w:r>
      <w:r>
        <w:rPr>
          <w:rFonts w:hint="eastAsia" w:ascii="Times New Roman" w:hAnsi="Times New Roman" w:eastAsia="仿宋_GB2312" w:cs="Times New Roman"/>
          <w:spacing w:val="-6"/>
          <w:sz w:val="32"/>
          <w:szCs w:val="32"/>
          <w:highlight w:val="none"/>
          <w:lang w:val="en-US" w:eastAsia="zh-CN"/>
        </w:rPr>
        <w:t>空</w:t>
      </w:r>
      <w:r>
        <w:rPr>
          <w:rFonts w:hint="eastAsia" w:ascii="Times New Roman" w:hAnsi="Times New Roman" w:eastAsia="仿宋_GB2312" w:cs="Times New Roman"/>
          <w:spacing w:val="-6"/>
          <w:sz w:val="32"/>
          <w:szCs w:val="32"/>
          <w:highlight w:val="none"/>
        </w:rPr>
        <w:t>地，西至</w:t>
      </w:r>
      <w:r>
        <w:rPr>
          <w:rFonts w:hint="eastAsia" w:ascii="Times New Roman" w:hAnsi="Times New Roman" w:eastAsia="仿宋_GB2312" w:cs="Times New Roman"/>
          <w:spacing w:val="-6"/>
          <w:sz w:val="32"/>
          <w:szCs w:val="32"/>
          <w:highlight w:val="none"/>
          <w:lang w:val="en-US" w:eastAsia="zh-CN"/>
        </w:rPr>
        <w:t>光丰路</w:t>
      </w:r>
      <w:r>
        <w:rPr>
          <w:rFonts w:hint="eastAsia" w:ascii="Times New Roman" w:hAnsi="Times New Roman" w:eastAsia="仿宋_GB2312" w:cs="Times New Roman"/>
          <w:spacing w:val="-6"/>
          <w:sz w:val="32"/>
          <w:szCs w:val="32"/>
          <w:highlight w:val="none"/>
        </w:rPr>
        <w:t>，用地总面积</w:t>
      </w:r>
      <w:r>
        <w:rPr>
          <w:rFonts w:hint="eastAsia" w:ascii="Times New Roman" w:hAnsi="Times New Roman" w:eastAsia="仿宋_GB2312" w:cs="Times New Roman"/>
          <w:spacing w:val="-6"/>
          <w:sz w:val="32"/>
          <w:szCs w:val="32"/>
          <w:highlight w:val="none"/>
          <w:lang w:val="en-US" w:eastAsia="zh-CN"/>
        </w:rPr>
        <w:t>1</w:t>
      </w:r>
      <w:r>
        <w:rPr>
          <w:rFonts w:hint="eastAsia" w:ascii="Times New Roman" w:hAnsi="Times New Roman" w:eastAsia="仿宋_GB2312" w:cs="Times New Roman"/>
          <w:spacing w:val="-6"/>
          <w:sz w:val="32"/>
          <w:szCs w:val="32"/>
          <w:highlight w:val="none"/>
        </w:rPr>
        <w:t>.</w:t>
      </w:r>
      <w:r>
        <w:rPr>
          <w:rFonts w:hint="eastAsia" w:ascii="Times New Roman" w:hAnsi="Times New Roman" w:eastAsia="仿宋_GB2312" w:cs="Times New Roman"/>
          <w:spacing w:val="-6"/>
          <w:sz w:val="32"/>
          <w:szCs w:val="32"/>
          <w:highlight w:val="none"/>
          <w:lang w:val="en-US" w:eastAsia="zh-CN"/>
        </w:rPr>
        <w:t>9801</w:t>
      </w:r>
      <w:r>
        <w:rPr>
          <w:rFonts w:hint="eastAsia" w:ascii="Times New Roman" w:hAnsi="Times New Roman" w:eastAsia="仿宋_GB2312" w:cs="Times New Roman"/>
          <w:spacing w:val="-6"/>
          <w:sz w:val="32"/>
          <w:szCs w:val="32"/>
          <w:highlight w:val="none"/>
        </w:rPr>
        <w:t>公顷（</w:t>
      </w:r>
      <w:r>
        <w:rPr>
          <w:rFonts w:hint="eastAsia" w:ascii="Times New Roman" w:hAnsi="Times New Roman" w:eastAsia="仿宋_GB2312" w:cs="Times New Roman"/>
          <w:spacing w:val="-6"/>
          <w:sz w:val="32"/>
          <w:szCs w:val="32"/>
          <w:highlight w:val="none"/>
          <w:lang w:val="en-US" w:eastAsia="zh-CN"/>
        </w:rPr>
        <w:t>19800.70</w:t>
      </w:r>
      <w:r>
        <w:rPr>
          <w:rFonts w:hint="eastAsia" w:ascii="Times New Roman" w:hAnsi="Times New Roman" w:eastAsia="仿宋_GB2312" w:cs="Times New Roman"/>
          <w:spacing w:val="-6"/>
          <w:sz w:val="32"/>
          <w:szCs w:val="32"/>
          <w:highlight w:val="none"/>
        </w:rPr>
        <w:t>平方米，折合约</w:t>
      </w:r>
      <w:r>
        <w:rPr>
          <w:rFonts w:hint="eastAsia" w:ascii="Times New Roman" w:hAnsi="Times New Roman" w:eastAsia="仿宋_GB2312" w:cs="Times New Roman"/>
          <w:spacing w:val="-6"/>
          <w:sz w:val="32"/>
          <w:szCs w:val="32"/>
          <w:highlight w:val="none"/>
          <w:lang w:val="en-US" w:eastAsia="zh-CN"/>
        </w:rPr>
        <w:t>29.70</w:t>
      </w:r>
      <w:r>
        <w:rPr>
          <w:rFonts w:hint="eastAsia" w:ascii="Times New Roman" w:hAnsi="Times New Roman" w:eastAsia="仿宋_GB2312" w:cs="Times New Roman"/>
          <w:spacing w:val="-6"/>
          <w:sz w:val="32"/>
          <w:szCs w:val="32"/>
          <w:highlight w:val="none"/>
        </w:rPr>
        <w:t>亩）。</w:t>
      </w:r>
    </w:p>
    <w:p w14:paraId="60D99CCD">
      <w:pPr>
        <w:numPr>
          <w:ilvl w:val="-1"/>
          <w:numId w:val="0"/>
        </w:numPr>
        <w:adjustRightInd w:val="0"/>
        <w:snapToGrid w:val="0"/>
        <w:spacing w:line="574" w:lineRule="exact"/>
        <w:ind w:firstLine="616" w:firstLineChars="200"/>
        <w:rPr>
          <w:rFonts w:hint="eastAsia" w:ascii="黑体" w:hAnsi="黑体" w:eastAsia="黑体" w:cs="黑体"/>
          <w:color w:val="auto"/>
          <w:spacing w:val="0"/>
          <w:kern w:val="0"/>
          <w:sz w:val="32"/>
          <w:szCs w:val="32"/>
          <w:highlight w:val="none"/>
          <w:lang w:bidi="ar"/>
        </w:rPr>
      </w:pPr>
      <w:r>
        <w:rPr>
          <w:rFonts w:hint="eastAsia" w:ascii="楷体" w:hAnsi="楷体" w:eastAsia="楷体" w:cs="楷体"/>
          <w:b w:val="0"/>
          <w:bCs w:val="0"/>
          <w:spacing w:val="-6"/>
          <w:sz w:val="32"/>
          <w:szCs w:val="32"/>
          <w:highlight w:val="none"/>
        </w:rPr>
        <w:t>（二）标图入库情况</w:t>
      </w:r>
    </w:p>
    <w:p w14:paraId="0A5928E9">
      <w:pPr>
        <w:adjustRightInd w:val="0"/>
        <w:snapToGrid w:val="0"/>
        <w:spacing w:line="574" w:lineRule="exact"/>
        <w:ind w:firstLine="616" w:firstLineChars="200"/>
        <w:rPr>
          <w:rFonts w:hint="eastAsia" w:ascii="Times New Roman" w:hAnsi="Times New Roman" w:eastAsia="仿宋_GB2312" w:cs="Times New Roman"/>
          <w:spacing w:val="-6"/>
          <w:sz w:val="32"/>
          <w:szCs w:val="32"/>
          <w:highlight w:val="none"/>
        </w:rPr>
      </w:pPr>
      <w:r>
        <w:rPr>
          <w:rFonts w:hint="eastAsia" w:ascii="Times New Roman" w:hAnsi="Times New Roman" w:eastAsia="仿宋_GB2312" w:cs="Times New Roman"/>
          <w:spacing w:val="-6"/>
          <w:sz w:val="32"/>
          <w:szCs w:val="32"/>
          <w:highlight w:val="none"/>
        </w:rPr>
        <w:t>改造地块因现状地类部分为非建设用地且2009年上盖建筑物基底面积占比不足30%，不符合省标图入库要求</w:t>
      </w:r>
      <w:r>
        <w:rPr>
          <w:rFonts w:hint="eastAsia" w:ascii="Times New Roman" w:hAnsi="Times New Roman" w:eastAsia="仿宋_GB2312" w:cs="Times New Roman"/>
          <w:spacing w:val="-6"/>
          <w:sz w:val="32"/>
          <w:szCs w:val="32"/>
          <w:highlight w:val="none"/>
          <w:lang w:eastAsia="zh-CN"/>
        </w:rPr>
        <w:t>，不能纳入省标图入库范围</w:t>
      </w:r>
      <w:r>
        <w:rPr>
          <w:rFonts w:hint="eastAsia" w:ascii="Times New Roman" w:hAnsi="Times New Roman" w:eastAsia="仿宋_GB2312" w:cs="Times New Roman"/>
          <w:spacing w:val="-6"/>
          <w:sz w:val="32"/>
          <w:szCs w:val="32"/>
          <w:highlight w:val="none"/>
        </w:rPr>
        <w:t>。</w:t>
      </w:r>
    </w:p>
    <w:p w14:paraId="3302804C">
      <w:pPr>
        <w:numPr>
          <w:ilvl w:val="-1"/>
          <w:numId w:val="0"/>
        </w:numPr>
        <w:adjustRightInd w:val="0"/>
        <w:snapToGrid w:val="0"/>
        <w:spacing w:line="574" w:lineRule="exact"/>
        <w:ind w:firstLine="616" w:firstLineChars="200"/>
        <w:rPr>
          <w:rFonts w:hint="eastAsia" w:ascii="楷体" w:hAnsi="楷体" w:eastAsia="楷体" w:cs="楷体"/>
          <w:b w:val="0"/>
          <w:bCs w:val="0"/>
          <w:spacing w:val="-6"/>
          <w:sz w:val="32"/>
          <w:szCs w:val="32"/>
          <w:highlight w:val="none"/>
        </w:rPr>
      </w:pPr>
      <w:r>
        <w:rPr>
          <w:rFonts w:hint="eastAsia" w:ascii="楷体" w:hAnsi="楷体" w:eastAsia="楷体" w:cs="楷体"/>
          <w:b w:val="0"/>
          <w:bCs w:val="0"/>
          <w:spacing w:val="-6"/>
          <w:sz w:val="32"/>
          <w:szCs w:val="32"/>
          <w:highlight w:val="none"/>
        </w:rPr>
        <w:t>（三）权属情况</w:t>
      </w:r>
    </w:p>
    <w:p w14:paraId="20BEA005">
      <w:pPr>
        <w:adjustRightInd w:val="0"/>
        <w:snapToGrid w:val="0"/>
        <w:spacing w:line="574" w:lineRule="exact"/>
        <w:ind w:firstLine="616" w:firstLineChars="200"/>
        <w:rPr>
          <w:rFonts w:hint="eastAsia" w:ascii="Times New Roman" w:hAnsi="Times New Roman" w:eastAsia="仿宋_GB2312" w:cs="Times New Roman"/>
          <w:spacing w:val="-6"/>
          <w:sz w:val="32"/>
          <w:szCs w:val="32"/>
          <w:highlight w:val="none"/>
          <w:lang w:val="en-US" w:eastAsia="zh-CN"/>
        </w:rPr>
      </w:pPr>
      <w:r>
        <w:rPr>
          <w:rFonts w:hint="eastAsia" w:ascii="Times New Roman" w:hAnsi="Times New Roman" w:eastAsia="仿宋_GB2312" w:cs="Times New Roman"/>
          <w:spacing w:val="-6"/>
          <w:sz w:val="32"/>
          <w:szCs w:val="32"/>
          <w:highlight w:val="none"/>
          <w:lang w:val="en-US" w:eastAsia="zh-CN"/>
        </w:rPr>
        <w:t>改造项目属国有建设用地，土地用途为仓储用地，改造涉及的土地已经确权、登记，不动产权证号为</w:t>
      </w:r>
      <w:r>
        <w:rPr>
          <w:rFonts w:hint="eastAsia" w:ascii="Times New Roman" w:hAnsi="Times New Roman" w:eastAsia="仿宋_GB2312" w:cs="Times New Roman"/>
          <w:spacing w:val="-6"/>
          <w:sz w:val="32"/>
          <w:szCs w:val="32"/>
          <w:highlight w:val="none"/>
        </w:rPr>
        <w:t>粤（202</w:t>
      </w:r>
      <w:r>
        <w:rPr>
          <w:rFonts w:hint="eastAsia" w:ascii="Times New Roman" w:hAnsi="Times New Roman" w:eastAsia="仿宋_GB2312" w:cs="Times New Roman"/>
          <w:spacing w:val="-6"/>
          <w:sz w:val="32"/>
          <w:szCs w:val="32"/>
          <w:highlight w:val="none"/>
          <w:lang w:val="en-US" w:eastAsia="zh-CN"/>
        </w:rPr>
        <w:t>3</w:t>
      </w:r>
      <w:r>
        <w:rPr>
          <w:rFonts w:hint="eastAsia" w:ascii="Times New Roman" w:hAnsi="Times New Roman" w:eastAsia="仿宋_GB2312" w:cs="Times New Roman"/>
          <w:spacing w:val="-6"/>
          <w:sz w:val="32"/>
          <w:szCs w:val="32"/>
          <w:highlight w:val="none"/>
        </w:rPr>
        <w:t>）中山市不动产权第0</w:t>
      </w:r>
      <w:r>
        <w:rPr>
          <w:rFonts w:hint="eastAsia" w:ascii="Times New Roman" w:hAnsi="Times New Roman" w:eastAsia="仿宋_GB2312" w:cs="Times New Roman"/>
          <w:spacing w:val="-6"/>
          <w:sz w:val="32"/>
          <w:szCs w:val="32"/>
          <w:highlight w:val="none"/>
          <w:lang w:val="en-US" w:eastAsia="zh-CN"/>
        </w:rPr>
        <w:t>486107</w:t>
      </w:r>
      <w:r>
        <w:rPr>
          <w:rFonts w:hint="eastAsia" w:ascii="Times New Roman" w:hAnsi="Times New Roman" w:eastAsia="仿宋_GB2312" w:cs="Times New Roman"/>
          <w:spacing w:val="-6"/>
          <w:sz w:val="32"/>
          <w:szCs w:val="32"/>
          <w:highlight w:val="none"/>
        </w:rPr>
        <w:t>号</w:t>
      </w:r>
      <w:r>
        <w:rPr>
          <w:rFonts w:hint="eastAsia" w:ascii="Times New Roman" w:hAnsi="Times New Roman" w:eastAsia="仿宋_GB2312" w:cs="Times New Roman"/>
          <w:spacing w:val="-6"/>
          <w:sz w:val="32"/>
          <w:szCs w:val="32"/>
          <w:highlight w:val="none"/>
          <w:lang w:val="en-US" w:eastAsia="zh-CN"/>
        </w:rPr>
        <w:t>，为土地权利人</w:t>
      </w:r>
      <w:r>
        <w:rPr>
          <w:rFonts w:hint="eastAsia" w:ascii="Times New Roman" w:hAnsi="Times New Roman" w:eastAsia="仿宋_GB2312" w:cs="Times New Roman"/>
          <w:spacing w:val="-6"/>
          <w:sz w:val="32"/>
          <w:szCs w:val="32"/>
          <w:highlight w:val="none"/>
        </w:rPr>
        <w:t>中山市石化石油气有限公司</w:t>
      </w:r>
      <w:r>
        <w:rPr>
          <w:rFonts w:hint="eastAsia" w:ascii="Times New Roman" w:hAnsi="Times New Roman" w:eastAsia="仿宋_GB2312" w:cs="Times New Roman"/>
          <w:spacing w:val="-6"/>
          <w:sz w:val="32"/>
          <w:szCs w:val="32"/>
          <w:highlight w:val="none"/>
          <w:lang w:val="en-US" w:eastAsia="zh-CN"/>
        </w:rPr>
        <w:t>自2001年1月开始使用。</w:t>
      </w:r>
    </w:p>
    <w:p w14:paraId="69A47F33">
      <w:pPr>
        <w:numPr>
          <w:ilvl w:val="-1"/>
          <w:numId w:val="0"/>
        </w:numPr>
        <w:adjustRightInd w:val="0"/>
        <w:snapToGrid w:val="0"/>
        <w:spacing w:line="574" w:lineRule="exact"/>
        <w:ind w:firstLine="616" w:firstLineChars="200"/>
        <w:rPr>
          <w:rFonts w:hint="eastAsia" w:ascii="楷体" w:hAnsi="楷体" w:eastAsia="楷体" w:cs="楷体"/>
          <w:b w:val="0"/>
          <w:bCs w:val="0"/>
          <w:spacing w:val="-6"/>
          <w:sz w:val="32"/>
          <w:szCs w:val="32"/>
          <w:highlight w:val="none"/>
        </w:rPr>
      </w:pPr>
      <w:r>
        <w:rPr>
          <w:rFonts w:hint="eastAsia" w:ascii="楷体" w:hAnsi="楷体" w:eastAsia="楷体" w:cs="楷体"/>
          <w:b w:val="0"/>
          <w:bCs w:val="0"/>
          <w:spacing w:val="-6"/>
          <w:sz w:val="32"/>
          <w:szCs w:val="32"/>
          <w:highlight w:val="none"/>
        </w:rPr>
        <w:t>（四）土地利用现状情况</w:t>
      </w:r>
    </w:p>
    <w:p w14:paraId="2ECD6E9E">
      <w:pPr>
        <w:adjustRightInd w:val="0"/>
        <w:snapToGrid w:val="0"/>
        <w:spacing w:line="574" w:lineRule="exact"/>
        <w:ind w:firstLine="616" w:firstLineChars="200"/>
        <w:rPr>
          <w:rFonts w:hint="eastAsia" w:ascii="Times New Roman" w:hAnsi="Times New Roman" w:eastAsia="仿宋_GB2312" w:cs="Times New Roman"/>
          <w:spacing w:val="-6"/>
          <w:sz w:val="32"/>
          <w:szCs w:val="32"/>
          <w:highlight w:val="none"/>
          <w:lang w:val="en-US" w:eastAsia="zh-CN"/>
        </w:rPr>
      </w:pPr>
      <w:r>
        <w:rPr>
          <w:rFonts w:hint="eastAsia" w:ascii="Times New Roman" w:hAnsi="Times New Roman" w:eastAsia="仿宋_GB2312" w:cs="Times New Roman"/>
          <w:spacing w:val="-6"/>
          <w:sz w:val="32"/>
          <w:szCs w:val="32"/>
          <w:highlight w:val="none"/>
          <w:lang w:val="en-US" w:eastAsia="zh-CN"/>
        </w:rPr>
        <w:t>改造范围内现有5栋建筑物，为中山市石化石油气有限公司自2003年7月开始使用。已按规定办理规划报建等手续，现有建筑面积为1167.11平方米，现状容积率约为0.06，作仓储、石油气库及配套设施所用。该地块目前已拆除建筑面积0平方米，该地块改造前年产值为8000万元（折合约269.36万元/亩），年税收为40万元（折合约1.35万元/亩）。经火炬开发区管委会研究，认定地块属于低效工业用地。</w:t>
      </w:r>
    </w:p>
    <w:p w14:paraId="61FA3787">
      <w:pPr>
        <w:adjustRightInd w:val="0"/>
        <w:snapToGrid w:val="0"/>
        <w:spacing w:line="574" w:lineRule="exact"/>
        <w:ind w:firstLine="616" w:firstLineChars="200"/>
        <w:rPr>
          <w:rFonts w:hint="eastAsia" w:ascii="Times New Roman" w:hAnsi="Times New Roman" w:eastAsia="仿宋_GB2312" w:cs="Times New Roman"/>
          <w:spacing w:val="-6"/>
          <w:sz w:val="32"/>
          <w:szCs w:val="32"/>
          <w:highlight w:val="none"/>
          <w:lang w:val="en-US" w:eastAsia="zh-CN"/>
        </w:rPr>
      </w:pPr>
      <w:r>
        <w:rPr>
          <w:rFonts w:hint="eastAsia" w:ascii="Times New Roman" w:hAnsi="Times New Roman" w:eastAsia="仿宋_GB2312" w:cs="Times New Roman"/>
          <w:spacing w:val="-6"/>
          <w:sz w:val="32"/>
          <w:szCs w:val="32"/>
          <w:highlight w:val="none"/>
          <w:lang w:val="en-US" w:eastAsia="zh-CN"/>
        </w:rPr>
        <w:t>改造地块不涉及闲置，不涉及抵押、查封、历史文化资源要素和土壤污染潜在监管地块等情况。</w:t>
      </w:r>
    </w:p>
    <w:p w14:paraId="55A8D48A">
      <w:pPr>
        <w:numPr>
          <w:ilvl w:val="-1"/>
          <w:numId w:val="0"/>
        </w:numPr>
        <w:adjustRightInd w:val="0"/>
        <w:snapToGrid w:val="0"/>
        <w:spacing w:line="574" w:lineRule="exact"/>
        <w:ind w:firstLine="616" w:firstLineChars="200"/>
        <w:rPr>
          <w:rFonts w:hint="eastAsia" w:ascii="楷体" w:hAnsi="楷体" w:eastAsia="楷体" w:cs="楷体"/>
          <w:b w:val="0"/>
          <w:bCs w:val="0"/>
          <w:spacing w:val="-6"/>
          <w:sz w:val="32"/>
          <w:szCs w:val="32"/>
          <w:highlight w:val="none"/>
        </w:rPr>
      </w:pPr>
      <w:r>
        <w:rPr>
          <w:rFonts w:hint="eastAsia" w:ascii="楷体" w:hAnsi="楷体" w:eastAsia="楷体" w:cs="楷体"/>
          <w:b w:val="0"/>
          <w:bCs w:val="0"/>
          <w:spacing w:val="-6"/>
          <w:sz w:val="32"/>
          <w:szCs w:val="32"/>
          <w:highlight w:val="none"/>
        </w:rPr>
        <w:t>（五）规划情况</w:t>
      </w:r>
    </w:p>
    <w:p w14:paraId="1E383D72">
      <w:pPr>
        <w:adjustRightInd w:val="0"/>
        <w:snapToGrid w:val="0"/>
        <w:spacing w:line="574" w:lineRule="exact"/>
        <w:ind w:firstLine="616" w:firstLineChars="200"/>
        <w:rPr>
          <w:rFonts w:hint="eastAsia" w:ascii="Times New Roman" w:hAnsi="Times New Roman" w:eastAsia="仿宋_GB2312" w:cs="Times New Roman"/>
          <w:spacing w:val="-6"/>
          <w:sz w:val="32"/>
          <w:szCs w:val="32"/>
          <w:highlight w:val="none"/>
          <w:lang w:val="en-US" w:eastAsia="zh-CN"/>
        </w:rPr>
      </w:pPr>
      <w:r>
        <w:rPr>
          <w:rFonts w:hint="eastAsia" w:ascii="Times New Roman" w:hAnsi="Times New Roman" w:eastAsia="仿宋_GB2312" w:cs="Times New Roman"/>
          <w:spacing w:val="-6"/>
          <w:sz w:val="32"/>
          <w:szCs w:val="32"/>
          <w:highlight w:val="none"/>
          <w:lang w:val="en-US" w:eastAsia="zh-CN"/>
        </w:rPr>
        <w:t>改造地块均符合国土空间总体规划和控制性详细规划，已纳入《中山市城市更新（“三旧”改造）专项规划（2020-2035年）》。其中，在国土空间总体规划中，属城镇建设用地1.717公顷（17170.0平方米，折合约25.75亩）,区域基础设施用地（2630.7平方米，折合约3.95亩）；在</w:t>
      </w:r>
      <w:bookmarkStart w:id="0" w:name="OLE_LINK1"/>
      <w:r>
        <w:rPr>
          <w:rFonts w:hint="eastAsia" w:ascii="Times New Roman" w:hAnsi="Times New Roman" w:eastAsia="仿宋_GB2312" w:cs="Times New Roman"/>
          <w:spacing w:val="-6"/>
          <w:sz w:val="32"/>
          <w:szCs w:val="32"/>
          <w:highlight w:val="none"/>
          <w:lang w:val="en-US" w:eastAsia="zh-CN"/>
        </w:rPr>
        <w:t>《中山火炬开发区陵岗-宫花片区（1516单元）04街区C2-02地块控制性详细规划局部调整（2024）》（中开函〔2024〕901号）</w:t>
      </w:r>
      <w:bookmarkEnd w:id="0"/>
      <w:r>
        <w:rPr>
          <w:rFonts w:hint="eastAsia" w:ascii="Times New Roman" w:hAnsi="Times New Roman" w:eastAsia="仿宋_GB2312" w:cs="Times New Roman"/>
          <w:spacing w:val="-6"/>
          <w:sz w:val="32"/>
          <w:szCs w:val="32"/>
          <w:highlight w:val="none"/>
          <w:lang w:val="en-US" w:eastAsia="zh-CN"/>
        </w:rPr>
        <w:t>中，一类工业用地1.9773公顷（1977</w:t>
      </w:r>
      <w:r>
        <w:rPr>
          <w:rFonts w:hint="default" w:ascii="Times New Roman" w:hAnsi="Times New Roman" w:eastAsia="仿宋_GB2312" w:cs="Times New Roman"/>
          <w:spacing w:val="-6"/>
          <w:sz w:val="32"/>
          <w:szCs w:val="32"/>
          <w:highlight w:val="none"/>
          <w:lang w:val="en-US" w:eastAsia="zh-CN"/>
        </w:rPr>
        <w:t>2.7</w:t>
      </w:r>
      <w:r>
        <w:rPr>
          <w:rFonts w:hint="eastAsia" w:ascii="Times New Roman" w:hAnsi="Times New Roman" w:eastAsia="仿宋_GB2312" w:cs="Times New Roman"/>
          <w:spacing w:val="-6"/>
          <w:sz w:val="32"/>
          <w:szCs w:val="32"/>
          <w:highlight w:val="none"/>
          <w:lang w:val="en-US" w:eastAsia="zh-CN"/>
        </w:rPr>
        <w:t>平方米，折合约29.66亩），规划容积率1.0-3.5，建筑密度35%-60%，绿地率10%-15%，产业用房高度≤50米（特殊工艺除外），配套设施建筑高度≤100米；城镇道路用地0.0028公顷（28平方米，折合0.04亩）。</w:t>
      </w:r>
    </w:p>
    <w:p w14:paraId="0E640592">
      <w:pPr>
        <w:spacing w:line="574" w:lineRule="exact"/>
        <w:ind w:firstLine="616" w:firstLineChars="200"/>
        <w:rPr>
          <w:rFonts w:hint="eastAsia" w:ascii="华文细黑" w:hAnsi="华文细黑" w:eastAsia="华文细黑" w:cs="华文细黑"/>
          <w:spacing w:val="-6"/>
          <w:kern w:val="0"/>
          <w:sz w:val="32"/>
          <w:szCs w:val="32"/>
          <w:highlight w:val="none"/>
        </w:rPr>
      </w:pPr>
      <w:r>
        <w:rPr>
          <w:rFonts w:hint="eastAsia" w:ascii="Times New Roman" w:hAnsi="Times New Roman" w:eastAsia="仿宋_GB2312" w:cs="Times New Roman"/>
          <w:spacing w:val="-6"/>
          <w:sz w:val="32"/>
          <w:szCs w:val="32"/>
          <w:highlight w:val="none"/>
          <w:lang w:val="en-US" w:eastAsia="zh-CN"/>
        </w:rPr>
        <w:t>改造地块位于“三区三线”城镇开发边界内，不涉及永久基本农田、生态保护红线等管控要求。</w:t>
      </w:r>
    </w:p>
    <w:p w14:paraId="68A44B82">
      <w:pPr>
        <w:adjustRightInd w:val="0"/>
        <w:snapToGrid w:val="0"/>
        <w:spacing w:line="574" w:lineRule="exact"/>
        <w:ind w:firstLine="616" w:firstLineChars="200"/>
        <w:rPr>
          <w:rFonts w:hint="eastAsia" w:ascii="黑体" w:hAnsi="黑体" w:eastAsia="黑体" w:cs="黑体"/>
          <w:b w:val="0"/>
          <w:bCs w:val="0"/>
          <w:spacing w:val="-6"/>
          <w:kern w:val="0"/>
          <w:sz w:val="32"/>
          <w:szCs w:val="32"/>
          <w:highlight w:val="none"/>
        </w:rPr>
      </w:pPr>
      <w:r>
        <w:rPr>
          <w:rFonts w:hint="eastAsia" w:ascii="黑体" w:hAnsi="黑体" w:eastAsia="黑体" w:cs="黑体"/>
          <w:b w:val="0"/>
          <w:bCs w:val="0"/>
          <w:spacing w:val="-6"/>
          <w:kern w:val="0"/>
          <w:sz w:val="32"/>
          <w:szCs w:val="32"/>
          <w:highlight w:val="none"/>
          <w:lang w:val="en-US" w:eastAsia="zh-CN"/>
        </w:rPr>
        <w:t>二、</w:t>
      </w:r>
      <w:r>
        <w:rPr>
          <w:rFonts w:hint="eastAsia" w:ascii="黑体" w:hAnsi="黑体" w:eastAsia="黑体" w:cs="黑体"/>
          <w:b w:val="0"/>
          <w:bCs w:val="0"/>
          <w:spacing w:val="-6"/>
          <w:kern w:val="0"/>
          <w:sz w:val="32"/>
          <w:szCs w:val="32"/>
          <w:highlight w:val="none"/>
        </w:rPr>
        <w:t>改造意愿情况</w:t>
      </w:r>
    </w:p>
    <w:p w14:paraId="0CCD0F2F">
      <w:pPr>
        <w:spacing w:line="574" w:lineRule="exact"/>
        <w:ind w:firstLine="616" w:firstLineChars="200"/>
        <w:rPr>
          <w:rFonts w:hint="eastAsia" w:ascii="Times New Roman" w:hAnsi="Times New Roman" w:eastAsia="仿宋_GB2312" w:cs="Times New Roman"/>
          <w:spacing w:val="-6"/>
          <w:sz w:val="32"/>
          <w:szCs w:val="32"/>
          <w:highlight w:val="none"/>
          <w:lang w:val="en-US" w:eastAsia="zh-CN"/>
        </w:rPr>
      </w:pPr>
      <w:r>
        <w:rPr>
          <w:rFonts w:hint="eastAsia" w:ascii="Times New Roman" w:hAnsi="Times New Roman" w:eastAsia="仿宋_GB2312" w:cs="Times New Roman"/>
          <w:spacing w:val="-6"/>
          <w:sz w:val="32"/>
          <w:szCs w:val="32"/>
          <w:highlight w:val="none"/>
          <w:lang w:val="en-US" w:eastAsia="zh-CN"/>
        </w:rPr>
        <w:t>改造范围涉及中山市石化石油气有限公司一个权利主体，火炬开发区管委会已按照法律法规，就改造范围、土地现状、改造主体及拟改造情况等事项征询其改造意愿，改造主体同意将涉及土地、房屋纳入改造范围。</w:t>
      </w:r>
    </w:p>
    <w:p w14:paraId="1E8CD4C5">
      <w:pPr>
        <w:adjustRightInd w:val="0"/>
        <w:snapToGrid w:val="0"/>
        <w:spacing w:line="574" w:lineRule="exact"/>
        <w:ind w:firstLine="616" w:firstLineChars="200"/>
        <w:rPr>
          <w:rFonts w:hint="eastAsia" w:ascii="黑体" w:hAnsi="黑体" w:eastAsia="黑体" w:cs="黑体"/>
          <w:b w:val="0"/>
          <w:bCs w:val="0"/>
          <w:spacing w:val="-6"/>
          <w:kern w:val="0"/>
          <w:sz w:val="32"/>
          <w:szCs w:val="32"/>
          <w:highlight w:val="none"/>
          <w:lang w:val="en-US" w:eastAsia="zh-CN"/>
        </w:rPr>
      </w:pPr>
      <w:r>
        <w:rPr>
          <w:rFonts w:hint="eastAsia" w:ascii="黑体" w:hAnsi="黑体" w:eastAsia="黑体" w:cs="黑体"/>
          <w:b w:val="0"/>
          <w:bCs w:val="0"/>
          <w:spacing w:val="-6"/>
          <w:kern w:val="0"/>
          <w:sz w:val="32"/>
          <w:szCs w:val="32"/>
          <w:highlight w:val="none"/>
          <w:lang w:val="en-US" w:eastAsia="zh-CN"/>
        </w:rPr>
        <w:t>三、改造主体及拟改造情况</w:t>
      </w:r>
    </w:p>
    <w:p w14:paraId="355C24BD">
      <w:pPr>
        <w:spacing w:line="574" w:lineRule="exact"/>
        <w:ind w:firstLine="616" w:firstLineChars="200"/>
        <w:rPr>
          <w:rFonts w:hint="eastAsia" w:ascii="Times New Roman" w:hAnsi="Times New Roman" w:eastAsia="仿宋_GB2312" w:cs="Times New Roman"/>
          <w:spacing w:val="-6"/>
          <w:sz w:val="32"/>
          <w:szCs w:val="32"/>
          <w:highlight w:val="none"/>
          <w:lang w:val="en-US" w:eastAsia="zh-CN"/>
        </w:rPr>
      </w:pPr>
      <w:r>
        <w:rPr>
          <w:rFonts w:hint="eastAsia" w:ascii="Times New Roman" w:hAnsi="Times New Roman" w:eastAsia="仿宋_GB2312" w:cs="Times New Roman"/>
          <w:spacing w:val="-6"/>
          <w:sz w:val="32"/>
          <w:szCs w:val="32"/>
          <w:highlight w:val="none"/>
          <w:lang w:val="en-US" w:eastAsia="zh-CN"/>
        </w:rPr>
        <w:t>根据有关规划要求，改造项目严格按照国土空间总体规划、控制性详细规划管控要求实施建设。在控制性详细规划属道路等公益性用地部分，日后属地政府需按规划开发建设时，应无偿将用地交给属地政府使用。</w:t>
      </w:r>
    </w:p>
    <w:p w14:paraId="42159694">
      <w:pPr>
        <w:spacing w:line="574" w:lineRule="exact"/>
        <w:ind w:firstLine="616" w:firstLineChars="200"/>
        <w:rPr>
          <w:rFonts w:hint="eastAsia" w:ascii="Times New Roman" w:hAnsi="Times New Roman" w:eastAsia="仿宋_GB2312" w:cs="Times New Roman"/>
          <w:spacing w:val="-6"/>
          <w:sz w:val="32"/>
          <w:szCs w:val="32"/>
          <w:highlight w:val="none"/>
          <w:lang w:val="en-US" w:eastAsia="zh-CN"/>
        </w:rPr>
      </w:pPr>
      <w:r>
        <w:rPr>
          <w:rFonts w:hint="eastAsia" w:ascii="Times New Roman" w:hAnsi="Times New Roman" w:eastAsia="仿宋_GB2312" w:cs="Times New Roman"/>
          <w:spacing w:val="-6"/>
          <w:sz w:val="32"/>
          <w:szCs w:val="32"/>
          <w:highlight w:val="none"/>
          <w:lang w:val="en-US" w:eastAsia="zh-CN"/>
        </w:rPr>
        <w:t>改造项目拟采取土地权利人自主改造方式，由土地权利人中山市石化石油气有限公司作为改造主体，实施全面改造。改造后将用于总部经济、高端电子信息产业、新材料产业、生产性服务业等产业。在符合详细规划的基础上，容积率不小于3.0，总建筑面积不小于</w:t>
      </w:r>
      <w:r>
        <w:rPr>
          <w:rFonts w:hint="eastAsia" w:ascii="Times New Roman" w:hAnsi="Times New Roman" w:eastAsia="仿宋_GB2312"/>
          <w:spacing w:val="-6"/>
          <w:sz w:val="32"/>
          <w:szCs w:val="32"/>
          <w:highlight w:val="none"/>
          <w:lang w:val="en-US" w:eastAsia="zh-CN"/>
        </w:rPr>
        <w:t>68903</w:t>
      </w:r>
      <w:r>
        <w:rPr>
          <w:rFonts w:hint="eastAsia" w:ascii="Times New Roman" w:hAnsi="Times New Roman" w:eastAsia="仿宋_GB2312"/>
          <w:spacing w:val="-6"/>
          <w:sz w:val="32"/>
          <w:szCs w:val="32"/>
          <w:highlight w:val="none"/>
        </w:rPr>
        <w:t xml:space="preserve"> </w:t>
      </w:r>
      <w:r>
        <w:rPr>
          <w:rFonts w:hint="eastAsia" w:ascii="Times New Roman" w:hAnsi="Times New Roman" w:eastAsia="仿宋_GB2312" w:cs="Times New Roman"/>
          <w:spacing w:val="-6"/>
          <w:sz w:val="32"/>
          <w:szCs w:val="32"/>
          <w:highlight w:val="none"/>
          <w:lang w:val="en-US" w:eastAsia="zh-CN"/>
        </w:rPr>
        <w:t>平方米（含不计容建筑面积9500平方米，具体以实际规划报建为准），不保留原有建筑。项目自持比例不少于20%。</w:t>
      </w:r>
    </w:p>
    <w:p w14:paraId="309A9EB3">
      <w:pPr>
        <w:spacing w:line="574" w:lineRule="exact"/>
        <w:ind w:firstLine="616" w:firstLineChars="200"/>
        <w:rPr>
          <w:rFonts w:hint="eastAsia" w:ascii="Times New Roman" w:hAnsi="Times New Roman" w:eastAsia="仿宋_GB2312" w:cs="Times New Roman"/>
          <w:spacing w:val="-6"/>
          <w:sz w:val="32"/>
          <w:szCs w:val="32"/>
          <w:highlight w:val="none"/>
          <w:lang w:val="en-US" w:eastAsia="zh-CN"/>
        </w:rPr>
      </w:pPr>
      <w:r>
        <w:rPr>
          <w:rFonts w:hint="eastAsia" w:ascii="Times New Roman" w:hAnsi="Times New Roman" w:eastAsia="仿宋_GB2312" w:cs="Times New Roman"/>
          <w:spacing w:val="-6"/>
          <w:sz w:val="32"/>
          <w:szCs w:val="32"/>
          <w:highlight w:val="none"/>
          <w:lang w:val="en-US" w:eastAsia="zh-CN"/>
        </w:rPr>
        <w:t>项目相关情况符合国家《产业结构调整指导目录》《中山市“三线一单”生态环境分区管控方案》《中山市涉挥发性有机物项目环保</w:t>
      </w:r>
      <w:r>
        <w:rPr>
          <w:rFonts w:hint="eastAsia" w:ascii="仿宋_GB2312" w:hAnsi="仿宋_GB2312" w:eastAsia="仿宋_GB2312" w:cs="仿宋_GB2312"/>
          <w:color w:val="auto"/>
          <w:spacing w:val="-6"/>
          <w:kern w:val="2"/>
          <w:sz w:val="32"/>
          <w:szCs w:val="22"/>
          <w:highlight w:val="none"/>
          <w:lang w:val="en-US" w:eastAsia="zh-CN"/>
        </w:rPr>
        <w:t>准入</w:t>
      </w:r>
      <w:r>
        <w:rPr>
          <w:rFonts w:hint="eastAsia" w:ascii="Times New Roman" w:hAnsi="Times New Roman" w:eastAsia="仿宋_GB2312" w:cs="Times New Roman"/>
          <w:spacing w:val="-6"/>
          <w:sz w:val="32"/>
          <w:szCs w:val="32"/>
          <w:highlight w:val="none"/>
          <w:lang w:val="en-US" w:eastAsia="zh-CN"/>
        </w:rPr>
        <w:t>管理规定》等要求。改造后年产值将达到17821万元(折合600万元/亩），改造后年税收将达到892万元（折合30万元/亩）。</w:t>
      </w:r>
    </w:p>
    <w:p w14:paraId="3177B62A">
      <w:pPr>
        <w:adjustRightInd w:val="0"/>
        <w:snapToGrid w:val="0"/>
        <w:spacing w:line="574" w:lineRule="exact"/>
        <w:ind w:firstLine="616" w:firstLineChars="200"/>
        <w:rPr>
          <w:rFonts w:hint="eastAsia" w:ascii="黑体" w:hAnsi="黑体" w:eastAsia="黑体" w:cs="黑体"/>
          <w:b w:val="0"/>
          <w:bCs w:val="0"/>
          <w:spacing w:val="-6"/>
          <w:kern w:val="0"/>
          <w:sz w:val="32"/>
          <w:szCs w:val="32"/>
          <w:highlight w:val="none"/>
          <w:lang w:val="en-US" w:eastAsia="zh-CN"/>
        </w:rPr>
      </w:pPr>
      <w:r>
        <w:rPr>
          <w:rFonts w:hint="eastAsia" w:ascii="黑体" w:hAnsi="黑体" w:eastAsia="黑体" w:cs="黑体"/>
          <w:b w:val="0"/>
          <w:bCs w:val="0"/>
          <w:spacing w:val="-6"/>
          <w:kern w:val="0"/>
          <w:sz w:val="32"/>
          <w:szCs w:val="32"/>
          <w:highlight w:val="none"/>
          <w:lang w:val="en-US" w:eastAsia="zh-CN"/>
        </w:rPr>
        <w:t>四、需办理的用地手续</w:t>
      </w:r>
    </w:p>
    <w:p w14:paraId="329FF80A">
      <w:pPr>
        <w:spacing w:line="574" w:lineRule="exact"/>
        <w:ind w:firstLine="616" w:firstLineChars="200"/>
        <w:rPr>
          <w:rFonts w:hint="eastAsia" w:ascii="Times New Roman" w:hAnsi="Times New Roman" w:eastAsia="仿宋_GB2312" w:cs="Times New Roman"/>
          <w:spacing w:val="-6"/>
          <w:sz w:val="32"/>
          <w:szCs w:val="32"/>
          <w:highlight w:val="none"/>
          <w:lang w:val="en-US" w:eastAsia="zh-CN"/>
        </w:rPr>
      </w:pPr>
      <w:r>
        <w:rPr>
          <w:rFonts w:hint="eastAsia" w:ascii="Times New Roman" w:hAnsi="Times New Roman" w:eastAsia="仿宋_GB2312" w:cs="Times New Roman"/>
          <w:spacing w:val="-6"/>
          <w:sz w:val="32"/>
          <w:szCs w:val="32"/>
          <w:highlight w:val="none"/>
          <w:lang w:val="en-US" w:eastAsia="zh-CN"/>
        </w:rPr>
        <w:t>改造地块需办理国有划拨用地补办出让手续及按照控制性详细规划改变土地用途为工业后再实施改造。具体为中山市石化石油气有限公司的土地（粤（2023）中山市不动产权第0486107号），申请办理国有划拨用地补办出让手续，并申请由仓储用地改变土地用途为工业用地。上述用地手续需在改造方案批复后一年内完成。</w:t>
      </w:r>
    </w:p>
    <w:p w14:paraId="1BB6C89E">
      <w:pPr>
        <w:adjustRightInd w:val="0"/>
        <w:snapToGrid w:val="0"/>
        <w:spacing w:line="574" w:lineRule="exact"/>
        <w:ind w:firstLine="616" w:firstLineChars="200"/>
        <w:rPr>
          <w:rFonts w:hint="eastAsia" w:ascii="黑体" w:hAnsi="黑体" w:eastAsia="黑体" w:cs="黑体"/>
          <w:b w:val="0"/>
          <w:bCs w:val="0"/>
          <w:spacing w:val="-6"/>
          <w:kern w:val="0"/>
          <w:sz w:val="32"/>
          <w:szCs w:val="32"/>
          <w:highlight w:val="none"/>
          <w:lang w:val="en-US" w:eastAsia="zh-CN"/>
        </w:rPr>
      </w:pPr>
      <w:r>
        <w:rPr>
          <w:rFonts w:hint="eastAsia" w:ascii="黑体" w:hAnsi="黑体" w:eastAsia="黑体" w:cs="黑体"/>
          <w:b w:val="0"/>
          <w:bCs w:val="0"/>
          <w:spacing w:val="-6"/>
          <w:kern w:val="0"/>
          <w:sz w:val="32"/>
          <w:szCs w:val="32"/>
          <w:highlight w:val="none"/>
          <w:lang w:val="en-US" w:eastAsia="zh-CN"/>
        </w:rPr>
        <w:t>五、资金筹措</w:t>
      </w:r>
    </w:p>
    <w:p w14:paraId="5F49EA5D">
      <w:pPr>
        <w:spacing w:line="574" w:lineRule="exact"/>
        <w:ind w:firstLine="616" w:firstLineChars="200"/>
        <w:rPr>
          <w:rFonts w:hint="eastAsia" w:ascii="Times New Roman" w:hAnsi="Times New Roman" w:eastAsia="仿宋_GB2312" w:cs="Times New Roman"/>
          <w:spacing w:val="-6"/>
          <w:sz w:val="32"/>
          <w:szCs w:val="32"/>
          <w:highlight w:val="none"/>
          <w:lang w:val="en-US" w:eastAsia="zh-CN"/>
        </w:rPr>
      </w:pPr>
      <w:r>
        <w:rPr>
          <w:rFonts w:hint="eastAsia" w:ascii="Times New Roman" w:hAnsi="Times New Roman" w:eastAsia="仿宋_GB2312" w:cs="Times New Roman"/>
          <w:spacing w:val="-6"/>
          <w:sz w:val="32"/>
          <w:szCs w:val="32"/>
          <w:highlight w:val="none"/>
          <w:lang w:val="en-US" w:eastAsia="zh-CN"/>
        </w:rPr>
        <w:t>改造主体拟投入资金15000万元，其中自有资金5000万元，银行借贷10000万元，具体以资金筹措的实际情况为准。</w:t>
      </w:r>
    </w:p>
    <w:p w14:paraId="663DCCBC">
      <w:pPr>
        <w:adjustRightInd w:val="0"/>
        <w:snapToGrid w:val="0"/>
        <w:spacing w:line="574" w:lineRule="exact"/>
        <w:ind w:firstLine="616" w:firstLineChars="200"/>
        <w:rPr>
          <w:rFonts w:hint="eastAsia" w:ascii="黑体" w:hAnsi="黑体" w:eastAsia="黑体" w:cs="黑体"/>
          <w:b w:val="0"/>
          <w:bCs w:val="0"/>
          <w:spacing w:val="-6"/>
          <w:kern w:val="0"/>
          <w:sz w:val="32"/>
          <w:szCs w:val="32"/>
          <w:highlight w:val="none"/>
          <w:lang w:val="en-US" w:eastAsia="zh-CN"/>
        </w:rPr>
      </w:pPr>
      <w:r>
        <w:rPr>
          <w:rFonts w:hint="eastAsia" w:ascii="黑体" w:hAnsi="黑体" w:eastAsia="黑体" w:cs="黑体"/>
          <w:b w:val="0"/>
          <w:bCs w:val="0"/>
          <w:spacing w:val="-6"/>
          <w:kern w:val="0"/>
          <w:sz w:val="32"/>
          <w:szCs w:val="32"/>
          <w:highlight w:val="none"/>
          <w:lang w:val="en-US" w:eastAsia="zh-CN"/>
        </w:rPr>
        <w:t>六、开发时序</w:t>
      </w:r>
    </w:p>
    <w:p w14:paraId="28E9FEEF">
      <w:pPr>
        <w:spacing w:line="574" w:lineRule="exact"/>
        <w:ind w:firstLine="616" w:firstLineChars="200"/>
        <w:rPr>
          <w:rFonts w:hint="default" w:ascii="Times New Roman" w:hAnsi="Times New Roman" w:eastAsia="仿宋_GB2312" w:cs="Times New Roman"/>
          <w:spacing w:val="-6"/>
          <w:sz w:val="32"/>
          <w:szCs w:val="32"/>
          <w:highlight w:val="none"/>
          <w:lang w:val="en-US" w:eastAsia="zh-CN"/>
        </w:rPr>
      </w:pPr>
      <w:r>
        <w:rPr>
          <w:rFonts w:hint="eastAsia" w:ascii="Times New Roman" w:hAnsi="Times New Roman" w:eastAsia="仿宋_GB2312" w:cs="Times New Roman"/>
          <w:spacing w:val="-6"/>
          <w:sz w:val="32"/>
          <w:szCs w:val="32"/>
          <w:highlight w:val="none"/>
          <w:lang w:val="en-US" w:eastAsia="zh-CN"/>
        </w:rPr>
        <w:t>项目开发时间为自改变土地用途为工业用地并签订出让合同之日起 365日内开工，自开工之日起730日内竣工。具体开发时间以出让合同约定为准。</w:t>
      </w:r>
    </w:p>
    <w:p w14:paraId="3BA5E42D">
      <w:pPr>
        <w:adjustRightInd w:val="0"/>
        <w:snapToGrid w:val="0"/>
        <w:spacing w:line="574" w:lineRule="exact"/>
        <w:ind w:firstLine="616" w:firstLineChars="200"/>
        <w:rPr>
          <w:rFonts w:hint="eastAsia" w:ascii="黑体" w:hAnsi="黑体" w:eastAsia="黑体" w:cs="黑体"/>
          <w:b w:val="0"/>
          <w:bCs w:val="0"/>
          <w:spacing w:val="-6"/>
          <w:kern w:val="0"/>
          <w:sz w:val="32"/>
          <w:szCs w:val="32"/>
          <w:highlight w:val="none"/>
          <w:lang w:val="en-US" w:eastAsia="zh-CN"/>
        </w:rPr>
      </w:pPr>
      <w:r>
        <w:rPr>
          <w:rFonts w:hint="eastAsia" w:ascii="黑体" w:hAnsi="黑体" w:eastAsia="黑体" w:cs="黑体"/>
          <w:b w:val="0"/>
          <w:bCs w:val="0"/>
          <w:spacing w:val="-6"/>
          <w:kern w:val="0"/>
          <w:sz w:val="32"/>
          <w:szCs w:val="32"/>
          <w:highlight w:val="none"/>
          <w:lang w:val="en-US" w:eastAsia="zh-CN"/>
        </w:rPr>
        <w:t>七、实施监管</w:t>
      </w:r>
    </w:p>
    <w:p w14:paraId="580222B7">
      <w:pPr>
        <w:spacing w:line="574" w:lineRule="exact"/>
        <w:ind w:firstLine="616" w:firstLineChars="200"/>
        <w:rPr>
          <w:rFonts w:hint="eastAsia" w:ascii="Times New Roman" w:hAnsi="Times New Roman" w:eastAsia="仿宋_GB2312" w:cs="Times New Roman"/>
          <w:spacing w:val="-6"/>
          <w:sz w:val="32"/>
          <w:szCs w:val="32"/>
          <w:highlight w:val="none"/>
          <w:lang w:val="en-US" w:eastAsia="zh-CN"/>
        </w:rPr>
      </w:pPr>
      <w:r>
        <w:rPr>
          <w:rFonts w:hint="eastAsia" w:ascii="Times New Roman" w:hAnsi="Times New Roman" w:eastAsia="仿宋_GB2312" w:cs="Times New Roman"/>
          <w:spacing w:val="-6"/>
          <w:sz w:val="32"/>
          <w:szCs w:val="32"/>
          <w:highlight w:val="none"/>
          <w:lang w:val="en-US" w:eastAsia="zh-CN"/>
        </w:rPr>
        <w:t>以火炬开发区与改造主体签订的项目履约监管协议为准。</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0AFF" w:usb1="00007843" w:usb2="00000001" w:usb3="00000000" w:csb0="400001BF" w:csb1="DFF7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embedRegular r:id="rId1" w:fontKey="{B80F7C93-87ED-441B-952B-2AAC953F2735}"/>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00000000000000000"/>
    <w:charset w:val="86"/>
    <w:family w:val="auto"/>
    <w:pitch w:val="default"/>
    <w:sig w:usb0="A00002BF" w:usb1="184F6CFA" w:usb2="00000012" w:usb3="00000000" w:csb0="00040001" w:csb1="00000000"/>
    <w:embedRegular r:id="rId2" w:fontKey="{407973E7-20AD-4779-8A68-A0A52EC7B601}"/>
  </w:font>
  <w:font w:name="华文细黑">
    <w:altName w:val="微软雅黑"/>
    <w:panose1 w:val="02010600040101010101"/>
    <w:charset w:val="86"/>
    <w:family w:val="auto"/>
    <w:pitch w:val="default"/>
    <w:sig w:usb0="00000000" w:usb1="00000000" w:usb2="00000000" w:usb3="00000000" w:csb0="0004009F" w:csb1="DFD70000"/>
    <w:embedRegular r:id="rId3" w:fontKey="{326163E4-F3D7-428F-9E31-DBD866B8A09C}"/>
  </w:font>
  <w:font w:name="仿宋_GB2312">
    <w:panose1 w:val="02010609030101010101"/>
    <w:charset w:val="86"/>
    <w:family w:val="modern"/>
    <w:pitch w:val="default"/>
    <w:sig w:usb0="00000001" w:usb1="080E0000" w:usb2="00000000" w:usb3="00000000" w:csb0="00040000" w:csb1="00000000"/>
    <w:embedRegular r:id="rId4" w:fontKey="{84D42A00-F175-437D-A587-38F3B76D0029}"/>
  </w:font>
  <w:font w:name="楷体">
    <w:panose1 w:val="02010609060101010101"/>
    <w:charset w:val="86"/>
    <w:family w:val="auto"/>
    <w:pitch w:val="default"/>
    <w:sig w:usb0="800002BF" w:usb1="38CF7CFA" w:usb2="00000016" w:usb3="00000000" w:csb0="00040001" w:csb1="00000000"/>
    <w:embedRegular r:id="rId5" w:fontKey="{08AE81A7-FB39-4E02-A10A-02BFA2BA7D98}"/>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967EFC">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9E5410">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229E5410">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kzNDdmNWI2M2ZkZTkxMWQ5NGVlYTEzZGQzNTJmNzMifQ=="/>
  </w:docVars>
  <w:rsids>
    <w:rsidRoot w:val="009F3C62"/>
    <w:rsid w:val="00100C0F"/>
    <w:rsid w:val="00153F6B"/>
    <w:rsid w:val="001D7704"/>
    <w:rsid w:val="00207098"/>
    <w:rsid w:val="002A5B0B"/>
    <w:rsid w:val="005658DB"/>
    <w:rsid w:val="007D2114"/>
    <w:rsid w:val="008F538B"/>
    <w:rsid w:val="009F3C62"/>
    <w:rsid w:val="00A1103F"/>
    <w:rsid w:val="00AB6CF3"/>
    <w:rsid w:val="00B342C7"/>
    <w:rsid w:val="00CC4F83"/>
    <w:rsid w:val="00F43311"/>
    <w:rsid w:val="00F90735"/>
    <w:rsid w:val="01B361CC"/>
    <w:rsid w:val="01B80645"/>
    <w:rsid w:val="01CB47DB"/>
    <w:rsid w:val="02A45E37"/>
    <w:rsid w:val="02B56E27"/>
    <w:rsid w:val="02C9625F"/>
    <w:rsid w:val="030E0808"/>
    <w:rsid w:val="03B95D46"/>
    <w:rsid w:val="042A532E"/>
    <w:rsid w:val="04732D0E"/>
    <w:rsid w:val="04B44530"/>
    <w:rsid w:val="04B50431"/>
    <w:rsid w:val="04D42B5F"/>
    <w:rsid w:val="04DC5778"/>
    <w:rsid w:val="054B3BB1"/>
    <w:rsid w:val="0624184E"/>
    <w:rsid w:val="063C4668"/>
    <w:rsid w:val="06540AC8"/>
    <w:rsid w:val="067C069D"/>
    <w:rsid w:val="06AB501D"/>
    <w:rsid w:val="06AD3E4F"/>
    <w:rsid w:val="06EA3F7C"/>
    <w:rsid w:val="073D53EE"/>
    <w:rsid w:val="078A56A5"/>
    <w:rsid w:val="07A44C3A"/>
    <w:rsid w:val="07A83933"/>
    <w:rsid w:val="07BB3385"/>
    <w:rsid w:val="08123935"/>
    <w:rsid w:val="08502D7A"/>
    <w:rsid w:val="09235369"/>
    <w:rsid w:val="0A0779D0"/>
    <w:rsid w:val="0A232419"/>
    <w:rsid w:val="0A2C47BA"/>
    <w:rsid w:val="0A5652CE"/>
    <w:rsid w:val="0A6F3E76"/>
    <w:rsid w:val="0AD87D5F"/>
    <w:rsid w:val="0B3B393F"/>
    <w:rsid w:val="0BB96B3C"/>
    <w:rsid w:val="0C6C0B64"/>
    <w:rsid w:val="0C961313"/>
    <w:rsid w:val="0CF94CB8"/>
    <w:rsid w:val="0D0F0A4A"/>
    <w:rsid w:val="0D385FEF"/>
    <w:rsid w:val="0D6A4A4B"/>
    <w:rsid w:val="0D6F6DAC"/>
    <w:rsid w:val="0DB06593"/>
    <w:rsid w:val="0DC00DC3"/>
    <w:rsid w:val="0E2F0D1A"/>
    <w:rsid w:val="0E442473"/>
    <w:rsid w:val="0E880CEF"/>
    <w:rsid w:val="0E9F2044"/>
    <w:rsid w:val="0EEE3514"/>
    <w:rsid w:val="0FD949E5"/>
    <w:rsid w:val="10090575"/>
    <w:rsid w:val="1066035B"/>
    <w:rsid w:val="10D3326C"/>
    <w:rsid w:val="116E12A3"/>
    <w:rsid w:val="1196151C"/>
    <w:rsid w:val="11DE6B73"/>
    <w:rsid w:val="1205519F"/>
    <w:rsid w:val="120D1A31"/>
    <w:rsid w:val="12476619"/>
    <w:rsid w:val="12487239"/>
    <w:rsid w:val="12532DCB"/>
    <w:rsid w:val="12EA0C3B"/>
    <w:rsid w:val="1324011C"/>
    <w:rsid w:val="1389284F"/>
    <w:rsid w:val="13A653F2"/>
    <w:rsid w:val="13BA5D6B"/>
    <w:rsid w:val="13C96E5A"/>
    <w:rsid w:val="140A42B5"/>
    <w:rsid w:val="142F0C33"/>
    <w:rsid w:val="145C7162"/>
    <w:rsid w:val="14720D9C"/>
    <w:rsid w:val="14886115"/>
    <w:rsid w:val="14914A8C"/>
    <w:rsid w:val="149570C7"/>
    <w:rsid w:val="14A41CC1"/>
    <w:rsid w:val="14DF1632"/>
    <w:rsid w:val="154E3B5E"/>
    <w:rsid w:val="15681490"/>
    <w:rsid w:val="159D6001"/>
    <w:rsid w:val="15BD004D"/>
    <w:rsid w:val="15F87315"/>
    <w:rsid w:val="15FD48CE"/>
    <w:rsid w:val="166D01CB"/>
    <w:rsid w:val="16BC7588"/>
    <w:rsid w:val="16FD19F6"/>
    <w:rsid w:val="174F436F"/>
    <w:rsid w:val="175B1F3F"/>
    <w:rsid w:val="17866D13"/>
    <w:rsid w:val="182B0812"/>
    <w:rsid w:val="1851735A"/>
    <w:rsid w:val="18A74F98"/>
    <w:rsid w:val="18DB30DD"/>
    <w:rsid w:val="18E35669"/>
    <w:rsid w:val="19FD1721"/>
    <w:rsid w:val="1A1109D3"/>
    <w:rsid w:val="1A790E2B"/>
    <w:rsid w:val="1AB04418"/>
    <w:rsid w:val="1ACC6CA4"/>
    <w:rsid w:val="1B9937AE"/>
    <w:rsid w:val="1BAE1893"/>
    <w:rsid w:val="1C0074A0"/>
    <w:rsid w:val="1C151423"/>
    <w:rsid w:val="1C1C5327"/>
    <w:rsid w:val="1C314741"/>
    <w:rsid w:val="1C5862E6"/>
    <w:rsid w:val="1CA85730"/>
    <w:rsid w:val="1D644776"/>
    <w:rsid w:val="1D7E22BD"/>
    <w:rsid w:val="1DBD04DA"/>
    <w:rsid w:val="1DF85954"/>
    <w:rsid w:val="1E152075"/>
    <w:rsid w:val="1E2721E6"/>
    <w:rsid w:val="1F316E54"/>
    <w:rsid w:val="1FAD7985"/>
    <w:rsid w:val="1FAE535E"/>
    <w:rsid w:val="1FB442AF"/>
    <w:rsid w:val="1FF2321C"/>
    <w:rsid w:val="204E7DFC"/>
    <w:rsid w:val="20C26BB0"/>
    <w:rsid w:val="210A089E"/>
    <w:rsid w:val="210E4023"/>
    <w:rsid w:val="216A06E2"/>
    <w:rsid w:val="21A93CAA"/>
    <w:rsid w:val="21AD5376"/>
    <w:rsid w:val="21D13E07"/>
    <w:rsid w:val="21D90794"/>
    <w:rsid w:val="21DD3950"/>
    <w:rsid w:val="21E36755"/>
    <w:rsid w:val="21EB07A6"/>
    <w:rsid w:val="22312BAB"/>
    <w:rsid w:val="22A04AF7"/>
    <w:rsid w:val="22AB6FED"/>
    <w:rsid w:val="22D5323E"/>
    <w:rsid w:val="22E41037"/>
    <w:rsid w:val="22FF2D1F"/>
    <w:rsid w:val="232C60EB"/>
    <w:rsid w:val="23950A53"/>
    <w:rsid w:val="23A221AF"/>
    <w:rsid w:val="23BF0FAD"/>
    <w:rsid w:val="23CC7894"/>
    <w:rsid w:val="23E10025"/>
    <w:rsid w:val="23F64280"/>
    <w:rsid w:val="24DA7642"/>
    <w:rsid w:val="24DD5F9E"/>
    <w:rsid w:val="24FC3D72"/>
    <w:rsid w:val="252047D7"/>
    <w:rsid w:val="252807CD"/>
    <w:rsid w:val="255E69C7"/>
    <w:rsid w:val="25662AE5"/>
    <w:rsid w:val="258E05F4"/>
    <w:rsid w:val="2596578B"/>
    <w:rsid w:val="25973209"/>
    <w:rsid w:val="25AB17E9"/>
    <w:rsid w:val="25D20B93"/>
    <w:rsid w:val="25FB724C"/>
    <w:rsid w:val="25FB7ABF"/>
    <w:rsid w:val="26474157"/>
    <w:rsid w:val="265D5C22"/>
    <w:rsid w:val="26AA1410"/>
    <w:rsid w:val="26FD47D6"/>
    <w:rsid w:val="271B299E"/>
    <w:rsid w:val="273307C3"/>
    <w:rsid w:val="27B82A74"/>
    <w:rsid w:val="27DA4FB6"/>
    <w:rsid w:val="27F07EA4"/>
    <w:rsid w:val="280742E7"/>
    <w:rsid w:val="282B222E"/>
    <w:rsid w:val="28F8523B"/>
    <w:rsid w:val="291F75C7"/>
    <w:rsid w:val="29C1661C"/>
    <w:rsid w:val="2A0666AE"/>
    <w:rsid w:val="2A6022F8"/>
    <w:rsid w:val="2A961618"/>
    <w:rsid w:val="2AB90481"/>
    <w:rsid w:val="2AD94114"/>
    <w:rsid w:val="2AF96930"/>
    <w:rsid w:val="2B9A5A5C"/>
    <w:rsid w:val="2C666A00"/>
    <w:rsid w:val="2C6F5308"/>
    <w:rsid w:val="2C831CFB"/>
    <w:rsid w:val="2C9D121A"/>
    <w:rsid w:val="2CFC2EE7"/>
    <w:rsid w:val="2D6A3D37"/>
    <w:rsid w:val="2D74087F"/>
    <w:rsid w:val="2D9347F5"/>
    <w:rsid w:val="2DA328D9"/>
    <w:rsid w:val="2DFE6167"/>
    <w:rsid w:val="2E4E6207"/>
    <w:rsid w:val="2E9321E6"/>
    <w:rsid w:val="2E947C3C"/>
    <w:rsid w:val="2ECD3075"/>
    <w:rsid w:val="2EDE4F6F"/>
    <w:rsid w:val="2F1F509D"/>
    <w:rsid w:val="2F2C5CBC"/>
    <w:rsid w:val="2F2C6C85"/>
    <w:rsid w:val="2F954AA7"/>
    <w:rsid w:val="2FE546DD"/>
    <w:rsid w:val="30A86749"/>
    <w:rsid w:val="30E13FF7"/>
    <w:rsid w:val="310357C2"/>
    <w:rsid w:val="310C0D96"/>
    <w:rsid w:val="31940E9D"/>
    <w:rsid w:val="31F06BEE"/>
    <w:rsid w:val="320227D4"/>
    <w:rsid w:val="322D097A"/>
    <w:rsid w:val="32386551"/>
    <w:rsid w:val="32A8111E"/>
    <w:rsid w:val="33090A4C"/>
    <w:rsid w:val="330A6390"/>
    <w:rsid w:val="33374333"/>
    <w:rsid w:val="333C2960"/>
    <w:rsid w:val="337201F5"/>
    <w:rsid w:val="337335F5"/>
    <w:rsid w:val="338D69D1"/>
    <w:rsid w:val="342658E5"/>
    <w:rsid w:val="343C3D66"/>
    <w:rsid w:val="349F45DB"/>
    <w:rsid w:val="34B166F0"/>
    <w:rsid w:val="34FE3837"/>
    <w:rsid w:val="352914C3"/>
    <w:rsid w:val="353103B5"/>
    <w:rsid w:val="35524739"/>
    <w:rsid w:val="35864AD5"/>
    <w:rsid w:val="35C11F23"/>
    <w:rsid w:val="35F46976"/>
    <w:rsid w:val="361575D3"/>
    <w:rsid w:val="365B0989"/>
    <w:rsid w:val="36FF649E"/>
    <w:rsid w:val="371F4F7F"/>
    <w:rsid w:val="37614820"/>
    <w:rsid w:val="379D1E63"/>
    <w:rsid w:val="37EE6BCA"/>
    <w:rsid w:val="3800531B"/>
    <w:rsid w:val="38985E43"/>
    <w:rsid w:val="38A73F51"/>
    <w:rsid w:val="38D37613"/>
    <w:rsid w:val="39205228"/>
    <w:rsid w:val="396C34FF"/>
    <w:rsid w:val="3990319A"/>
    <w:rsid w:val="399860D0"/>
    <w:rsid w:val="39DC6E61"/>
    <w:rsid w:val="39ED148D"/>
    <w:rsid w:val="39F564CE"/>
    <w:rsid w:val="3A055696"/>
    <w:rsid w:val="3A344D51"/>
    <w:rsid w:val="3A6030ED"/>
    <w:rsid w:val="3ACE6892"/>
    <w:rsid w:val="3B4B3764"/>
    <w:rsid w:val="3BC177AB"/>
    <w:rsid w:val="3C2D2E8F"/>
    <w:rsid w:val="3C3F3B86"/>
    <w:rsid w:val="3C8A7F52"/>
    <w:rsid w:val="3CBA2A46"/>
    <w:rsid w:val="3D31115C"/>
    <w:rsid w:val="3D465B6F"/>
    <w:rsid w:val="3D8F570E"/>
    <w:rsid w:val="3DF5365F"/>
    <w:rsid w:val="3E3819CB"/>
    <w:rsid w:val="3EAB20E9"/>
    <w:rsid w:val="3EC71899"/>
    <w:rsid w:val="3ED80945"/>
    <w:rsid w:val="3EF47905"/>
    <w:rsid w:val="3F2F76CD"/>
    <w:rsid w:val="3F5B6AA7"/>
    <w:rsid w:val="3FC70276"/>
    <w:rsid w:val="3FC95959"/>
    <w:rsid w:val="3FDD1D5A"/>
    <w:rsid w:val="40244109"/>
    <w:rsid w:val="40365855"/>
    <w:rsid w:val="407C1221"/>
    <w:rsid w:val="40835840"/>
    <w:rsid w:val="40B36613"/>
    <w:rsid w:val="40EF0320"/>
    <w:rsid w:val="40F82219"/>
    <w:rsid w:val="41336743"/>
    <w:rsid w:val="414C4638"/>
    <w:rsid w:val="41505A97"/>
    <w:rsid w:val="41A236B8"/>
    <w:rsid w:val="42435F02"/>
    <w:rsid w:val="42AB51E8"/>
    <w:rsid w:val="42DB0806"/>
    <w:rsid w:val="432E353A"/>
    <w:rsid w:val="43383798"/>
    <w:rsid w:val="439A05A2"/>
    <w:rsid w:val="43CA332A"/>
    <w:rsid w:val="44184D69"/>
    <w:rsid w:val="446F5624"/>
    <w:rsid w:val="448E645A"/>
    <w:rsid w:val="44AA421F"/>
    <w:rsid w:val="450560EC"/>
    <w:rsid w:val="455A5197"/>
    <w:rsid w:val="458F3B1A"/>
    <w:rsid w:val="459819D4"/>
    <w:rsid w:val="45BB0894"/>
    <w:rsid w:val="45D24B39"/>
    <w:rsid w:val="461646BF"/>
    <w:rsid w:val="462F4D7A"/>
    <w:rsid w:val="4637780F"/>
    <w:rsid w:val="46825B96"/>
    <w:rsid w:val="468619FA"/>
    <w:rsid w:val="4689195C"/>
    <w:rsid w:val="46DA1906"/>
    <w:rsid w:val="46E877B6"/>
    <w:rsid w:val="47072ADF"/>
    <w:rsid w:val="47507FEA"/>
    <w:rsid w:val="47CD0723"/>
    <w:rsid w:val="4832372A"/>
    <w:rsid w:val="48E7151B"/>
    <w:rsid w:val="497A6C03"/>
    <w:rsid w:val="497E1951"/>
    <w:rsid w:val="49A012CA"/>
    <w:rsid w:val="4AB25BF3"/>
    <w:rsid w:val="4AC153D1"/>
    <w:rsid w:val="4ACE56E7"/>
    <w:rsid w:val="4B0572BF"/>
    <w:rsid w:val="4B0D2866"/>
    <w:rsid w:val="4B435352"/>
    <w:rsid w:val="4B4D76D2"/>
    <w:rsid w:val="4B86047F"/>
    <w:rsid w:val="4BC83D3C"/>
    <w:rsid w:val="4BE113DE"/>
    <w:rsid w:val="4BE70C9F"/>
    <w:rsid w:val="4CA61634"/>
    <w:rsid w:val="4CA961D2"/>
    <w:rsid w:val="4CB678D6"/>
    <w:rsid w:val="4CBA4B06"/>
    <w:rsid w:val="4CFD7AF5"/>
    <w:rsid w:val="4D123CF2"/>
    <w:rsid w:val="4D3075B3"/>
    <w:rsid w:val="4D3740CD"/>
    <w:rsid w:val="4D4A32FA"/>
    <w:rsid w:val="4E302E7A"/>
    <w:rsid w:val="4EF8064A"/>
    <w:rsid w:val="4F402876"/>
    <w:rsid w:val="4FB61A39"/>
    <w:rsid w:val="4FDE17AB"/>
    <w:rsid w:val="4FFD4BCF"/>
    <w:rsid w:val="501670D3"/>
    <w:rsid w:val="504A1910"/>
    <w:rsid w:val="507B1E29"/>
    <w:rsid w:val="50E3325F"/>
    <w:rsid w:val="5130111D"/>
    <w:rsid w:val="514070CB"/>
    <w:rsid w:val="517240FC"/>
    <w:rsid w:val="518A5153"/>
    <w:rsid w:val="51EA095B"/>
    <w:rsid w:val="52092FFE"/>
    <w:rsid w:val="52097EA3"/>
    <w:rsid w:val="524A1D0E"/>
    <w:rsid w:val="525521C2"/>
    <w:rsid w:val="52930A26"/>
    <w:rsid w:val="5313494E"/>
    <w:rsid w:val="53335E7F"/>
    <w:rsid w:val="536F612B"/>
    <w:rsid w:val="538A3B0C"/>
    <w:rsid w:val="53C25CB0"/>
    <w:rsid w:val="53F6332C"/>
    <w:rsid w:val="545D78A2"/>
    <w:rsid w:val="54C87412"/>
    <w:rsid w:val="55274F85"/>
    <w:rsid w:val="55A0016F"/>
    <w:rsid w:val="55D90275"/>
    <w:rsid w:val="56013162"/>
    <w:rsid w:val="560F078A"/>
    <w:rsid w:val="56A01BAA"/>
    <w:rsid w:val="56BF2541"/>
    <w:rsid w:val="56D3138F"/>
    <w:rsid w:val="56D91215"/>
    <w:rsid w:val="574B2965"/>
    <w:rsid w:val="574D2B6A"/>
    <w:rsid w:val="5753196B"/>
    <w:rsid w:val="576B2927"/>
    <w:rsid w:val="576E0053"/>
    <w:rsid w:val="57E06360"/>
    <w:rsid w:val="57F65D95"/>
    <w:rsid w:val="5804448E"/>
    <w:rsid w:val="580F4197"/>
    <w:rsid w:val="585C314A"/>
    <w:rsid w:val="585E5944"/>
    <w:rsid w:val="58B51802"/>
    <w:rsid w:val="59016884"/>
    <w:rsid w:val="59027A56"/>
    <w:rsid w:val="592F5142"/>
    <w:rsid w:val="59481AC4"/>
    <w:rsid w:val="595D05EE"/>
    <w:rsid w:val="59CF0A9D"/>
    <w:rsid w:val="59F65961"/>
    <w:rsid w:val="59FB654D"/>
    <w:rsid w:val="5A207B86"/>
    <w:rsid w:val="5A813DB9"/>
    <w:rsid w:val="5A913FA4"/>
    <w:rsid w:val="5A984EBE"/>
    <w:rsid w:val="5AA621C6"/>
    <w:rsid w:val="5ABD6205"/>
    <w:rsid w:val="5ADF16D3"/>
    <w:rsid w:val="5AED1D48"/>
    <w:rsid w:val="5AFE21F1"/>
    <w:rsid w:val="5B897E63"/>
    <w:rsid w:val="5B8F2ED9"/>
    <w:rsid w:val="5BEE3ADE"/>
    <w:rsid w:val="5C122925"/>
    <w:rsid w:val="5C207B33"/>
    <w:rsid w:val="5C7051B8"/>
    <w:rsid w:val="5CBB3D0E"/>
    <w:rsid w:val="5CC874D2"/>
    <w:rsid w:val="5D215216"/>
    <w:rsid w:val="5D317FA5"/>
    <w:rsid w:val="5D3D4880"/>
    <w:rsid w:val="5D510CFE"/>
    <w:rsid w:val="5D6A19ED"/>
    <w:rsid w:val="5DA110B8"/>
    <w:rsid w:val="5DB528D2"/>
    <w:rsid w:val="5DDB2D07"/>
    <w:rsid w:val="5DE32336"/>
    <w:rsid w:val="5E4151C7"/>
    <w:rsid w:val="5F065FAE"/>
    <w:rsid w:val="5F07419D"/>
    <w:rsid w:val="5F147196"/>
    <w:rsid w:val="5F1E7872"/>
    <w:rsid w:val="5F2C4CA8"/>
    <w:rsid w:val="5F2E751A"/>
    <w:rsid w:val="5F4851C3"/>
    <w:rsid w:val="5F8846D0"/>
    <w:rsid w:val="5FA46DEB"/>
    <w:rsid w:val="5FAF60BE"/>
    <w:rsid w:val="5FC27D10"/>
    <w:rsid w:val="61745166"/>
    <w:rsid w:val="6186628F"/>
    <w:rsid w:val="61B77340"/>
    <w:rsid w:val="61CD68D0"/>
    <w:rsid w:val="61E2279C"/>
    <w:rsid w:val="61EA04EF"/>
    <w:rsid w:val="622C6B72"/>
    <w:rsid w:val="622F6D22"/>
    <w:rsid w:val="62575637"/>
    <w:rsid w:val="626E180F"/>
    <w:rsid w:val="626F5D49"/>
    <w:rsid w:val="62831F0E"/>
    <w:rsid w:val="6373184D"/>
    <w:rsid w:val="639F1128"/>
    <w:rsid w:val="63A61E7A"/>
    <w:rsid w:val="63A81683"/>
    <w:rsid w:val="6416110D"/>
    <w:rsid w:val="642D02D6"/>
    <w:rsid w:val="64D769E5"/>
    <w:rsid w:val="65020182"/>
    <w:rsid w:val="656F318E"/>
    <w:rsid w:val="65C46B4F"/>
    <w:rsid w:val="65E44649"/>
    <w:rsid w:val="66250B7A"/>
    <w:rsid w:val="662D7DCA"/>
    <w:rsid w:val="663943CF"/>
    <w:rsid w:val="663D5411"/>
    <w:rsid w:val="66550C11"/>
    <w:rsid w:val="66AB0A37"/>
    <w:rsid w:val="670E7191"/>
    <w:rsid w:val="674E07D4"/>
    <w:rsid w:val="677302AB"/>
    <w:rsid w:val="67B84CED"/>
    <w:rsid w:val="68184E08"/>
    <w:rsid w:val="685B5B55"/>
    <w:rsid w:val="68A40908"/>
    <w:rsid w:val="68DA0368"/>
    <w:rsid w:val="6902556E"/>
    <w:rsid w:val="69280EC0"/>
    <w:rsid w:val="69D550CD"/>
    <w:rsid w:val="69D92947"/>
    <w:rsid w:val="69E662C9"/>
    <w:rsid w:val="69E940B6"/>
    <w:rsid w:val="6A016D0B"/>
    <w:rsid w:val="6A5D3A73"/>
    <w:rsid w:val="6B167892"/>
    <w:rsid w:val="6B400C03"/>
    <w:rsid w:val="6B8E28EF"/>
    <w:rsid w:val="6BE20878"/>
    <w:rsid w:val="6BE20961"/>
    <w:rsid w:val="6BE23F94"/>
    <w:rsid w:val="6C1347D7"/>
    <w:rsid w:val="6C35176E"/>
    <w:rsid w:val="6C485BAC"/>
    <w:rsid w:val="6CF70649"/>
    <w:rsid w:val="6D1D4B3B"/>
    <w:rsid w:val="6D2B19E5"/>
    <w:rsid w:val="6D3853F6"/>
    <w:rsid w:val="6D591543"/>
    <w:rsid w:val="6DA54C16"/>
    <w:rsid w:val="6F135A71"/>
    <w:rsid w:val="6F3A4A15"/>
    <w:rsid w:val="6FE95093"/>
    <w:rsid w:val="70165014"/>
    <w:rsid w:val="70207B6E"/>
    <w:rsid w:val="70326850"/>
    <w:rsid w:val="70775261"/>
    <w:rsid w:val="70A27F31"/>
    <w:rsid w:val="70DA2C14"/>
    <w:rsid w:val="70FF5871"/>
    <w:rsid w:val="7113031F"/>
    <w:rsid w:val="713C1FAA"/>
    <w:rsid w:val="71677BC0"/>
    <w:rsid w:val="71964031"/>
    <w:rsid w:val="71A7479C"/>
    <w:rsid w:val="71C706DF"/>
    <w:rsid w:val="71D376AB"/>
    <w:rsid w:val="72437975"/>
    <w:rsid w:val="726F590E"/>
    <w:rsid w:val="72CC1E83"/>
    <w:rsid w:val="7303749F"/>
    <w:rsid w:val="73224CA8"/>
    <w:rsid w:val="7358254D"/>
    <w:rsid w:val="73924A98"/>
    <w:rsid w:val="73973924"/>
    <w:rsid w:val="7399198E"/>
    <w:rsid w:val="73A52CCB"/>
    <w:rsid w:val="73B23371"/>
    <w:rsid w:val="73B813CB"/>
    <w:rsid w:val="73D02A4A"/>
    <w:rsid w:val="73D677DD"/>
    <w:rsid w:val="73D70B56"/>
    <w:rsid w:val="73E97B4F"/>
    <w:rsid w:val="741B5617"/>
    <w:rsid w:val="742D3C1A"/>
    <w:rsid w:val="743D707D"/>
    <w:rsid w:val="74AA048A"/>
    <w:rsid w:val="74AE4F60"/>
    <w:rsid w:val="74C53312"/>
    <w:rsid w:val="74CF346D"/>
    <w:rsid w:val="7548147C"/>
    <w:rsid w:val="7549232D"/>
    <w:rsid w:val="755170BF"/>
    <w:rsid w:val="75665184"/>
    <w:rsid w:val="756B3685"/>
    <w:rsid w:val="75A02C3D"/>
    <w:rsid w:val="75BC62EF"/>
    <w:rsid w:val="75C31BDD"/>
    <w:rsid w:val="75EC3788"/>
    <w:rsid w:val="76042E95"/>
    <w:rsid w:val="76112054"/>
    <w:rsid w:val="76A80077"/>
    <w:rsid w:val="76CB4D43"/>
    <w:rsid w:val="771B7375"/>
    <w:rsid w:val="77211CB2"/>
    <w:rsid w:val="775E73C1"/>
    <w:rsid w:val="776740B3"/>
    <w:rsid w:val="778F480C"/>
    <w:rsid w:val="77D4405B"/>
    <w:rsid w:val="77DD37A2"/>
    <w:rsid w:val="78407669"/>
    <w:rsid w:val="78970D25"/>
    <w:rsid w:val="78E5641A"/>
    <w:rsid w:val="78EB4316"/>
    <w:rsid w:val="78F40384"/>
    <w:rsid w:val="78F43DFD"/>
    <w:rsid w:val="78F700D0"/>
    <w:rsid w:val="79463AC7"/>
    <w:rsid w:val="7A0636BB"/>
    <w:rsid w:val="7A225B16"/>
    <w:rsid w:val="7A3957D1"/>
    <w:rsid w:val="7A651C7D"/>
    <w:rsid w:val="7AE60548"/>
    <w:rsid w:val="7B861030"/>
    <w:rsid w:val="7B92225E"/>
    <w:rsid w:val="7B931C78"/>
    <w:rsid w:val="7C426301"/>
    <w:rsid w:val="7C4C347A"/>
    <w:rsid w:val="7C553324"/>
    <w:rsid w:val="7D4F3C8E"/>
    <w:rsid w:val="7D586A7B"/>
    <w:rsid w:val="7DE760B3"/>
    <w:rsid w:val="7E370610"/>
    <w:rsid w:val="7E5A7DA1"/>
    <w:rsid w:val="7E6174E6"/>
    <w:rsid w:val="7E706F04"/>
    <w:rsid w:val="7EE477B9"/>
    <w:rsid w:val="7F620525"/>
    <w:rsid w:val="7FC218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bCs/>
      <w:kern w:val="44"/>
      <w:sz w:val="44"/>
      <w:szCs w:val="44"/>
    </w:rPr>
  </w:style>
  <w:style w:type="paragraph" w:styleId="3">
    <w:name w:val="heading 2"/>
    <w:basedOn w:val="1"/>
    <w:next w:val="1"/>
    <w:qFormat/>
    <w:uiPriority w:val="0"/>
    <w:pPr>
      <w:spacing w:before="100" w:beforeAutospacing="1"/>
      <w:ind w:left="139"/>
      <w:jc w:val="left"/>
      <w:outlineLvl w:val="1"/>
    </w:pPr>
    <w:rPr>
      <w:rFonts w:ascii="宋体" w:hAnsi="宋体" w:eastAsia="宋体" w:cs="Times New Roman"/>
      <w:kern w:val="0"/>
      <w:sz w:val="32"/>
      <w:szCs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toa heading"/>
    <w:basedOn w:val="1"/>
    <w:next w:val="1"/>
    <w:unhideWhenUsed/>
    <w:qFormat/>
    <w:uiPriority w:val="99"/>
    <w:pPr>
      <w:widowControl/>
      <w:spacing w:before="120" w:after="100" w:afterAutospacing="1"/>
    </w:pPr>
    <w:rPr>
      <w:rFonts w:ascii="Arial" w:hAnsi="Arial" w:cs="Arial"/>
      <w:sz w:val="24"/>
      <w:lang w:bidi="gu-IN"/>
    </w:rPr>
  </w:style>
  <w:style w:type="paragraph" w:styleId="5">
    <w:name w:val="annotation text"/>
    <w:basedOn w:val="1"/>
    <w:link w:val="15"/>
    <w:qFormat/>
    <w:uiPriority w:val="0"/>
    <w:pPr>
      <w:jc w:val="left"/>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footnote text"/>
    <w:basedOn w:val="1"/>
    <w:qFormat/>
    <w:uiPriority w:val="0"/>
    <w:pPr>
      <w:snapToGrid w:val="0"/>
      <w:jc w:val="left"/>
    </w:pPr>
    <w:rPr>
      <w:sz w:val="18"/>
      <w:szCs w:val="18"/>
    </w:rPr>
  </w:style>
  <w:style w:type="paragraph" w:styleId="9">
    <w:name w:val="annotation subject"/>
    <w:basedOn w:val="5"/>
    <w:next w:val="5"/>
    <w:link w:val="16"/>
    <w:qFormat/>
    <w:uiPriority w:val="0"/>
    <w:rPr>
      <w:b/>
      <w:bCs/>
    </w:rPr>
  </w:style>
  <w:style w:type="character" w:styleId="12">
    <w:name w:val="Strong"/>
    <w:basedOn w:val="11"/>
    <w:qFormat/>
    <w:uiPriority w:val="0"/>
    <w:rPr>
      <w:b/>
    </w:rPr>
  </w:style>
  <w:style w:type="character" w:styleId="13">
    <w:name w:val="annotation reference"/>
    <w:basedOn w:val="11"/>
    <w:qFormat/>
    <w:uiPriority w:val="0"/>
    <w:rPr>
      <w:sz w:val="21"/>
      <w:szCs w:val="21"/>
    </w:rPr>
  </w:style>
  <w:style w:type="character" w:styleId="14">
    <w:name w:val="footnote reference"/>
    <w:qFormat/>
    <w:uiPriority w:val="0"/>
    <w:rPr>
      <w:vertAlign w:val="superscript"/>
    </w:rPr>
  </w:style>
  <w:style w:type="character" w:customStyle="1" w:styleId="15">
    <w:name w:val="批注文字 字符"/>
    <w:basedOn w:val="11"/>
    <w:link w:val="5"/>
    <w:qFormat/>
    <w:uiPriority w:val="0"/>
    <w:rPr>
      <w:rFonts w:ascii="Calibri" w:hAnsi="Calibri"/>
      <w:kern w:val="2"/>
      <w:sz w:val="21"/>
      <w:szCs w:val="24"/>
    </w:rPr>
  </w:style>
  <w:style w:type="character" w:customStyle="1" w:styleId="16">
    <w:name w:val="批注主题 字符"/>
    <w:basedOn w:val="15"/>
    <w:link w:val="9"/>
    <w:qFormat/>
    <w:uiPriority w:val="0"/>
    <w:rPr>
      <w:rFonts w:ascii="Calibri" w:hAnsi="Calibri"/>
      <w:b/>
      <w:bCs/>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2113</Words>
  <Characters>2331</Characters>
  <Lines>13</Lines>
  <Paragraphs>3</Paragraphs>
  <TotalTime>63</TotalTime>
  <ScaleCrop>false</ScaleCrop>
  <LinksUpToDate>false</LinksUpToDate>
  <CharactersWithSpaces>2338</CharactersWithSpaces>
  <Application>WPS Office_12.8.2.18606_F1E327BC-269C-435d-A152-05C5408002CA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2022-10-09T03:17:00Z</dcterms:created>
  <dc:creator>Administrator</dc:creator>
  <cp:lastModifiedBy>李杰峰</cp:lastModifiedBy>
  <cp:lastPrinted>2025-01-02T01:50:00Z</cp:lastPrinted>
  <dcterms:modified xsi:type="dcterms:W3CDTF">2025-01-13T08:00:25Z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2052-12.8.2.18606</vt:lpwstr>
  </property>
  <property fmtid="{D5CDD505-2E9C-101B-9397-08002B2CF9AE}" pid="3" name="ICV">
    <vt:lpwstr>ED80FC1688A8472C811685340E65461E_13</vt:lpwstr>
  </property>
</Properties>
</file>