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关于变更粤（2024）中山市不动产权第060930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、粤（2024）中山市不动产权第060930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号</w:t>
      </w:r>
      <w:r>
        <w:rPr>
          <w:rFonts w:hint="eastAsia" w:ascii="仿宋" w:hAnsi="仿宋" w:eastAsia="仿宋" w:cs="仿宋"/>
          <w:sz w:val="30"/>
          <w:szCs w:val="30"/>
        </w:rPr>
        <w:t>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218305"/>
            <wp:effectExtent l="0" t="0" r="3810" b="10795"/>
            <wp:docPr id="1" name="图片 1" descr="陈锦全、冯雪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陈锦全、冯雪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地块用地图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该宗地位于中山市南朗街道马安社区马安山一巷4号，不动产权证号为粤（2024）中山市不动产权第060930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、粤（2024）中山市不动产权第060930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号</w:t>
      </w:r>
      <w:r>
        <w:rPr>
          <w:rFonts w:hint="eastAsia" w:ascii="仿宋" w:hAnsi="仿宋" w:eastAsia="仿宋" w:cs="仿宋"/>
          <w:sz w:val="30"/>
          <w:szCs w:val="30"/>
        </w:rPr>
        <w:t>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93.85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陈锦全、冯雪英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该用地位于《中山翠亨新区起步区控制性详细规划（2019）》，规划功能为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三类居住用</w:t>
      </w:r>
      <w:r>
        <w:rPr>
          <w:rFonts w:hint="eastAsia" w:ascii="仿宋" w:hAnsi="仿宋" w:eastAsia="仿宋" w:cs="仿宋"/>
          <w:sz w:val="30"/>
          <w:szCs w:val="30"/>
        </w:rPr>
        <w:t>地，符合规划用地性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1166D34"/>
    <w:rsid w:val="0ACF7E55"/>
    <w:rsid w:val="11AA2163"/>
    <w:rsid w:val="180533FE"/>
    <w:rsid w:val="1ABC2BC8"/>
    <w:rsid w:val="1C923177"/>
    <w:rsid w:val="53C600F3"/>
    <w:rsid w:val="54C46E08"/>
    <w:rsid w:val="6A02619E"/>
    <w:rsid w:val="78AC3EA9"/>
    <w:rsid w:val="7A9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2024-11-29T01:53:41Z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