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4"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中山市三乡镇鸦岗经济联合社（一期）“工改工”宗地项目“三旧”改造方案</w:t>
      </w:r>
    </w:p>
    <w:p>
      <w:pPr>
        <w:adjustRightInd w:val="0"/>
        <w:snapToGrid w:val="0"/>
        <w:spacing w:line="574" w:lineRule="exact"/>
        <w:jc w:val="left"/>
        <w:rPr>
          <w:rFonts w:hint="eastAsia" w:ascii="仿宋_GB2312" w:hAnsi="仿宋_GB2312" w:eastAsia="仿宋_GB2312" w:cs="仿宋_GB2312"/>
          <w:sz w:val="32"/>
          <w:szCs w:val="32"/>
          <w:lang w:val="en-US" w:eastAsia="zh-CN"/>
        </w:rPr>
      </w:pPr>
    </w:p>
    <w:p>
      <w:pPr>
        <w:adjustRightInd w:val="0"/>
        <w:snapToGrid w:val="0"/>
        <w:spacing w:line="574"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山市城市更新（“三旧”改造）专项规划和现行控制性详细规划，中山市三乡镇人民政府拟对位于鸦岗村鸦岗大街“三洲”工业区的中山市三乡镇鸦岗经济联合社（下称“鸦岗经联社”）的旧厂房用地进行改造，由鸦岗经联社自主改造，采取全面改造的改造方式。改造方案如下：</w:t>
      </w:r>
    </w:p>
    <w:p>
      <w:pPr>
        <w:adjustRightInd w:val="0"/>
        <w:snapToGrid w:val="0"/>
        <w:spacing w:line="574"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一、改造地块基本情况</w:t>
      </w:r>
    </w:p>
    <w:p>
      <w:pPr>
        <w:adjustRightInd w:val="0"/>
        <w:snapToGrid w:val="0"/>
        <w:spacing w:line="574"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(一）总体情况</w:t>
      </w:r>
    </w:p>
    <w:p>
      <w:pPr>
        <w:adjustRightInd w:val="0"/>
        <w:snapToGrid w:val="0"/>
        <w:spacing w:line="574"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改造地块位于中山市三乡镇鸦岗大街三洲工业区，北至现状道路，南至亿宝利印花有限公司，东至农用地，西至鸦岗大街，用地面积1.3884公顷（13884.18平方米，折合约20.83亩）。</w:t>
      </w:r>
    </w:p>
    <w:p>
      <w:pPr>
        <w:adjustRightInd w:val="0"/>
        <w:snapToGrid w:val="0"/>
        <w:spacing w:line="574"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（二）标图入库情况</w:t>
      </w:r>
    </w:p>
    <w:p>
      <w:pPr>
        <w:adjustRightInd w:val="0"/>
        <w:snapToGrid w:val="0"/>
        <w:spacing w:line="574"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改造地块于2009年纳入“三旧”标图入库，于2015年6月调整图斑，图斑编号为44200031133，纳入图斑面积为1.3884公顷（13884.18平方米，折合约20.83亩），均纳入本次改造范围。</w:t>
      </w:r>
    </w:p>
    <w:p>
      <w:pPr>
        <w:adjustRightInd w:val="0"/>
        <w:snapToGrid w:val="0"/>
        <w:spacing w:line="574" w:lineRule="exact"/>
        <w:ind w:firstLine="640" w:firstLineChars="200"/>
        <w:jc w:val="left"/>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（三）权属情况 </w:t>
      </w:r>
    </w:p>
    <w:p>
      <w:pPr>
        <w:adjustRightInd w:val="0"/>
        <w:snapToGrid w:val="0"/>
        <w:spacing w:line="574"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改造地块涉及鸦岗经联社1宗集体土地，已确权、未办理建设用地使用权证，所有权证号为粤(2016)中山市不动产权第0125054号。</w:t>
      </w:r>
    </w:p>
    <w:p>
      <w:pPr>
        <w:adjustRightInd w:val="0"/>
        <w:snapToGrid w:val="0"/>
        <w:spacing w:line="574"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（四）土地现状情况</w:t>
      </w:r>
    </w:p>
    <w:p>
      <w:pPr>
        <w:adjustRightInd w:val="0"/>
        <w:snapToGrid w:val="0"/>
        <w:spacing w:line="574" w:lineRule="exact"/>
        <w:ind w:firstLine="616" w:firstLineChars="2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6"/>
          <w:kern w:val="0"/>
          <w:sz w:val="32"/>
          <w:szCs w:val="32"/>
        </w:rPr>
        <w:t>改造地块在“二调”及最新土地利用现状</w:t>
      </w:r>
      <w:r>
        <w:rPr>
          <w:rFonts w:hint="eastAsia" w:ascii="仿宋_GB2312" w:hAnsi="仿宋_GB2312" w:eastAsia="仿宋_GB2312" w:cs="仿宋_GB2312"/>
          <w:spacing w:val="-6"/>
          <w:kern w:val="0"/>
          <w:sz w:val="32"/>
          <w:szCs w:val="32"/>
          <w:lang w:val="en-US" w:eastAsia="zh-CN"/>
        </w:rPr>
        <w:t>中</w:t>
      </w:r>
      <w:r>
        <w:rPr>
          <w:rFonts w:hint="eastAsia" w:ascii="仿宋_GB2312" w:hAnsi="仿宋_GB2312" w:eastAsia="仿宋_GB2312" w:cs="仿宋_GB2312"/>
          <w:spacing w:val="-6"/>
          <w:kern w:val="0"/>
          <w:sz w:val="32"/>
          <w:szCs w:val="32"/>
        </w:rPr>
        <w:t>均为建设用地。</w:t>
      </w:r>
      <w:r>
        <w:rPr>
          <w:rFonts w:hint="eastAsia" w:ascii="仿宋_GB2312" w:hAnsi="仿宋_GB2312" w:eastAsia="仿宋_GB2312" w:cs="仿宋_GB2312"/>
          <w:spacing w:val="-6"/>
          <w:sz w:val="32"/>
          <w:szCs w:val="32"/>
          <w:lang w:val="en-US" w:eastAsia="zh-CN"/>
        </w:rPr>
        <w:t>不涉及</w:t>
      </w:r>
      <w:r>
        <w:rPr>
          <w:rFonts w:hint="eastAsia" w:ascii="仿宋_GB2312" w:hAnsi="仿宋_GB2312" w:eastAsia="仿宋_GB2312" w:cs="仿宋_GB2312"/>
          <w:spacing w:val="0"/>
          <w:kern w:val="2"/>
          <w:sz w:val="32"/>
          <w:szCs w:val="32"/>
        </w:rPr>
        <w:t>纳入改造范围整体利用的边角地、夹心地、插花地（下称“三地”）、其他用地、征地留用地、与原“三旧”用地置换的“三旧”用地或其他存量建设用地</w:t>
      </w:r>
      <w:r>
        <w:rPr>
          <w:rFonts w:hint="eastAsia" w:ascii="仿宋_GB2312" w:hAnsi="仿宋_GB2312" w:eastAsia="仿宋_GB2312" w:cs="仿宋_GB2312"/>
          <w:spacing w:val="0"/>
          <w:kern w:val="2"/>
          <w:sz w:val="32"/>
          <w:szCs w:val="32"/>
          <w:lang w:eastAsia="zh-CN"/>
        </w:rPr>
        <w:t>。</w:t>
      </w:r>
    </w:p>
    <w:p>
      <w:pPr>
        <w:adjustRightInd w:val="0"/>
        <w:snapToGrid w:val="0"/>
        <w:spacing w:line="574"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改造范围内现有8栋建筑物，为鸦岗经联社自2003年开始陆续建设使用，均未办理规划报建等手续。现有建筑面积约</w:t>
      </w:r>
      <w:r>
        <w:rPr>
          <w:rFonts w:hint="eastAsia" w:ascii="仿宋_GB2312" w:hAnsi="仿宋_GB2312" w:eastAsia="仿宋_GB2312" w:cs="仿宋_GB2312"/>
          <w:sz w:val="32"/>
          <w:szCs w:val="32"/>
          <w:highlight w:val="none"/>
          <w:lang w:val="en-US" w:eastAsia="zh-CN"/>
        </w:rPr>
        <w:t>13885.13平方米，</w:t>
      </w:r>
      <w:r>
        <w:rPr>
          <w:rFonts w:hint="eastAsia" w:ascii="仿宋_GB2312" w:hAnsi="仿宋_GB2312" w:eastAsia="仿宋_GB2312" w:cs="仿宋_GB2312"/>
          <w:sz w:val="32"/>
          <w:szCs w:val="32"/>
          <w:lang w:val="en-US" w:eastAsia="zh-CN"/>
        </w:rPr>
        <w:t>现状容积率1.0，作工业厂房所用。该地块目前已拆除建筑面积0平方米，改造前年产值为1667万元（折合约80万/亩），年税收为42万元（折合约2万/亩）。</w:t>
      </w:r>
    </w:p>
    <w:p>
      <w:pPr>
        <w:adjustRightInd w:val="0"/>
        <w:snapToGrid w:val="0"/>
        <w:spacing w:line="574"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改造地块涉及违法用地</w:t>
      </w:r>
      <w:r>
        <w:rPr>
          <w:rFonts w:hint="eastAsia" w:ascii="仿宋_GB2312" w:hAnsi="仿宋_GB2312" w:eastAsia="仿宋_GB2312" w:cs="仿宋_GB2312"/>
          <w:sz w:val="32"/>
          <w:szCs w:val="32"/>
          <w:lang w:val="en-US" w:eastAsia="zh-CN"/>
        </w:rPr>
        <w:t>1.3884公顷（13884.18平方米，折合约20.83亩），该宗地于2004年3月至2023年11月期间发生用地违法行为，中山市三乡镇人民政府已作出《总行政处罚决定书》（</w:t>
      </w:r>
      <w:r>
        <w:rPr>
          <w:rFonts w:hint="eastAsia" w:ascii="仿宋_GB2312" w:hAnsi="仿宋_GB2312" w:eastAsia="仿宋_GB2312" w:cs="仿宋_GB2312"/>
          <w:sz w:val="32"/>
          <w:szCs w:val="32"/>
        </w:rPr>
        <w:t>粤中三乡综执执罚字〔2023〕258号</w:t>
      </w:r>
      <w:r>
        <w:rPr>
          <w:rFonts w:hint="eastAsia" w:ascii="宋体" w:hAnsi="宋体" w:eastAsia="宋体" w:cs="宋体"/>
          <w:sz w:val="24"/>
          <w:szCs w:val="24"/>
          <w:lang w:eastAsia="zh-CN"/>
        </w:rPr>
        <w:t>），</w:t>
      </w:r>
      <w:r>
        <w:rPr>
          <w:rFonts w:hint="eastAsia" w:ascii="仿宋_GB2312" w:hAnsi="仿宋_GB2312" w:eastAsia="仿宋_GB2312" w:cs="仿宋_GB2312"/>
          <w:sz w:val="32"/>
          <w:szCs w:val="32"/>
          <w:lang w:val="en-US" w:eastAsia="zh-CN"/>
        </w:rPr>
        <w:t>对违法用地处以</w:t>
      </w:r>
      <w:r>
        <w:rPr>
          <w:rFonts w:hint="eastAsia" w:ascii="仿宋_GB2312" w:hAnsi="仿宋_GB2312" w:eastAsia="仿宋_GB2312" w:cs="仿宋_GB2312"/>
          <w:sz w:val="32"/>
          <w:szCs w:val="32"/>
        </w:rPr>
        <w:t>144932</w:t>
      </w:r>
      <w:r>
        <w:rPr>
          <w:rFonts w:hint="eastAsia" w:ascii="仿宋_GB2312" w:hAnsi="仿宋_GB2312" w:eastAsia="仿宋_GB2312" w:cs="仿宋_GB2312"/>
          <w:sz w:val="32"/>
          <w:szCs w:val="32"/>
          <w:lang w:val="en-US" w:eastAsia="zh-CN"/>
        </w:rPr>
        <w:t>元罚款（处罚面积14493.2平方米，折合约21.7398亩，包含本次改造地块），</w:t>
      </w:r>
      <w:r>
        <w:rPr>
          <w:rFonts w:hint="eastAsia" w:ascii="仿宋_GB2312" w:hAnsi="仿宋_GB2312" w:eastAsia="仿宋_GB2312" w:cs="仿宋_GB2312"/>
          <w:kern w:val="0"/>
          <w:sz w:val="32"/>
          <w:szCs w:val="32"/>
          <w:lang w:val="en-US" w:eastAsia="zh-CN"/>
        </w:rPr>
        <w:t>鸦岗经联社已落实处罚。</w:t>
      </w:r>
    </w:p>
    <w:p>
      <w:pPr>
        <w:adjustRightInd w:val="0"/>
        <w:snapToGrid w:val="0"/>
        <w:spacing w:line="574" w:lineRule="exact"/>
        <w:ind w:firstLine="616"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pacing w:val="-6"/>
          <w:kern w:val="0"/>
          <w:sz w:val="32"/>
          <w:szCs w:val="32"/>
        </w:rPr>
        <w:t>改造地块</w:t>
      </w:r>
      <w:r>
        <w:rPr>
          <w:rFonts w:ascii="仿宋_GB2312" w:hAnsi="仿宋_GB2312" w:eastAsia="仿宋_GB2312" w:cs="仿宋_GB2312"/>
          <w:spacing w:val="-6"/>
          <w:kern w:val="0"/>
          <w:sz w:val="32"/>
          <w:szCs w:val="32"/>
        </w:rPr>
        <w:t>不涉及</w:t>
      </w:r>
      <w:r>
        <w:rPr>
          <w:rFonts w:hint="eastAsia" w:ascii="仿宋_GB2312" w:hAnsi="仿宋_GB2312" w:eastAsia="仿宋_GB2312" w:cs="仿宋_GB2312"/>
          <w:spacing w:val="-6"/>
          <w:kern w:val="0"/>
          <w:sz w:val="32"/>
          <w:szCs w:val="32"/>
          <w:lang w:val="en-US" w:eastAsia="zh-CN"/>
        </w:rPr>
        <w:t>闲置用地，不涉及</w:t>
      </w:r>
      <w:r>
        <w:rPr>
          <w:rFonts w:ascii="仿宋_GB2312" w:hAnsi="仿宋_GB2312" w:eastAsia="仿宋_GB2312" w:cs="仿宋_GB2312"/>
          <w:spacing w:val="-6"/>
          <w:kern w:val="0"/>
          <w:sz w:val="32"/>
          <w:szCs w:val="32"/>
        </w:rPr>
        <w:t>抵押、</w:t>
      </w:r>
      <w:r>
        <w:rPr>
          <w:rFonts w:hint="eastAsia" w:ascii="仿宋_GB2312" w:hAnsi="仿宋_GB2312" w:eastAsia="仿宋_GB2312" w:cs="仿宋_GB2312"/>
          <w:spacing w:val="-6"/>
          <w:kern w:val="0"/>
          <w:sz w:val="32"/>
          <w:szCs w:val="32"/>
        </w:rPr>
        <w:t>闲置</w:t>
      </w:r>
      <w:r>
        <w:rPr>
          <w:rFonts w:hint="eastAsia" w:ascii="仿宋_GB2312" w:hAnsi="仿宋_GB2312" w:eastAsia="仿宋_GB2312" w:cs="仿宋_GB2312"/>
          <w:spacing w:val="-6"/>
          <w:kern w:val="0"/>
          <w:sz w:val="32"/>
          <w:szCs w:val="32"/>
          <w:highlight w:val="none"/>
          <w:lang w:eastAsia="zh-CN"/>
        </w:rPr>
        <w:t>、</w:t>
      </w:r>
      <w:r>
        <w:rPr>
          <w:rFonts w:ascii="仿宋_GB2312" w:hAnsi="仿宋_GB2312" w:eastAsia="仿宋_GB2312" w:cs="仿宋_GB2312"/>
          <w:spacing w:val="-6"/>
          <w:kern w:val="0"/>
          <w:sz w:val="32"/>
          <w:szCs w:val="32"/>
        </w:rPr>
        <w:t>历史文化资源要素、土壤环境潜在监管地块等情况。</w:t>
      </w:r>
    </w:p>
    <w:p>
      <w:pPr>
        <w:adjustRightInd w:val="0"/>
        <w:snapToGrid w:val="0"/>
        <w:spacing w:line="574"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（五）规划情况</w:t>
      </w:r>
    </w:p>
    <w:p>
      <w:pPr>
        <w:adjustRightInd w:val="0"/>
        <w:snapToGrid w:val="0"/>
        <w:spacing w:line="574"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改造项目符合国土空间总体规划、控制性详细规划，</w:t>
      </w:r>
      <w:r>
        <w:rPr>
          <w:rFonts w:hint="eastAsia" w:ascii="仿宋_GB2312" w:hAnsi="仿宋_GB2312" w:eastAsia="仿宋_GB2312" w:cs="仿宋_GB2312"/>
          <w:color w:val="auto"/>
          <w:spacing w:val="-6"/>
          <w:kern w:val="0"/>
          <w:sz w:val="32"/>
          <w:szCs w:val="32"/>
          <w:highlight w:val="none"/>
          <w:u w:val="none"/>
          <w:lang w:eastAsia="zh-CN"/>
        </w:rPr>
        <w:t>已</w:t>
      </w:r>
      <w:r>
        <w:rPr>
          <w:rFonts w:hint="eastAsia" w:ascii="仿宋_GB2312" w:hAnsi="仿宋_GB2312" w:eastAsia="仿宋_GB2312" w:cs="仿宋_GB2312"/>
          <w:color w:val="auto"/>
          <w:spacing w:val="-6"/>
          <w:kern w:val="0"/>
          <w:sz w:val="32"/>
          <w:szCs w:val="32"/>
          <w:highlight w:val="none"/>
          <w:u w:val="none"/>
        </w:rPr>
        <w:t>纳入</w:t>
      </w:r>
      <w:r>
        <w:rPr>
          <w:rFonts w:hint="eastAsia" w:ascii="仿宋_GB2312" w:hAnsi="仿宋_GB2312" w:eastAsia="仿宋_GB2312" w:cs="仿宋_GB2312"/>
          <w:color w:val="auto"/>
          <w:spacing w:val="-6"/>
          <w:kern w:val="0"/>
          <w:sz w:val="32"/>
          <w:szCs w:val="32"/>
          <w:highlight w:val="none"/>
          <w:u w:val="none"/>
          <w:lang w:eastAsia="zh-CN"/>
        </w:rPr>
        <w:t>《中山市</w:t>
      </w:r>
      <w:r>
        <w:rPr>
          <w:rFonts w:hint="eastAsia" w:ascii="仿宋_GB2312" w:hAnsi="仿宋_GB2312" w:eastAsia="仿宋_GB2312" w:cs="仿宋_GB2312"/>
          <w:color w:val="auto"/>
          <w:spacing w:val="-6"/>
          <w:kern w:val="0"/>
          <w:sz w:val="32"/>
          <w:szCs w:val="32"/>
          <w:highlight w:val="none"/>
          <w:u w:val="none"/>
        </w:rPr>
        <w:t>城市更新</w:t>
      </w:r>
      <w:r>
        <w:rPr>
          <w:rFonts w:hint="eastAsia" w:ascii="仿宋_GB2312" w:hAnsi="仿宋_GB2312" w:eastAsia="仿宋_GB2312" w:cs="仿宋_GB2312"/>
          <w:color w:val="auto"/>
          <w:spacing w:val="-6"/>
          <w:kern w:val="0"/>
          <w:sz w:val="32"/>
          <w:szCs w:val="32"/>
          <w:highlight w:val="none"/>
          <w:u w:val="none"/>
          <w:lang w:eastAsia="zh-CN"/>
        </w:rPr>
        <w:t>（“三旧”改造）</w:t>
      </w:r>
      <w:r>
        <w:rPr>
          <w:rFonts w:hint="eastAsia" w:ascii="仿宋_GB2312" w:hAnsi="仿宋_GB2312" w:eastAsia="仿宋_GB2312" w:cs="仿宋_GB2312"/>
          <w:color w:val="auto"/>
          <w:spacing w:val="-6"/>
          <w:kern w:val="0"/>
          <w:sz w:val="32"/>
          <w:szCs w:val="32"/>
          <w:highlight w:val="none"/>
          <w:u w:val="none"/>
        </w:rPr>
        <w:t>专项规划（2020-2035）</w:t>
      </w:r>
      <w:bookmarkStart w:id="0" w:name="_GoBack"/>
      <w:bookmarkEnd w:id="0"/>
      <w:r>
        <w:rPr>
          <w:rFonts w:hint="eastAsia" w:ascii="仿宋_GB2312" w:hAnsi="仿宋_GB2312" w:eastAsia="仿宋_GB2312" w:cs="仿宋_GB2312"/>
          <w:color w:val="auto"/>
          <w:spacing w:val="-6"/>
          <w:kern w:val="0"/>
          <w:sz w:val="32"/>
          <w:szCs w:val="32"/>
          <w:highlight w:val="none"/>
          <w:u w:val="none"/>
          <w:lang w:eastAsia="zh-CN"/>
        </w:rPr>
        <w:t>》（中府函〔2022〕414号）</w:t>
      </w:r>
      <w:r>
        <w:rPr>
          <w:rFonts w:hint="eastAsia" w:ascii="仿宋_GB2312" w:hAnsi="仿宋_GB2312" w:eastAsia="仿宋_GB2312" w:cs="仿宋_GB2312"/>
          <w:kern w:val="0"/>
          <w:sz w:val="32"/>
          <w:szCs w:val="32"/>
          <w:lang w:val="en-US" w:eastAsia="zh-CN"/>
        </w:rPr>
        <w:t>。其中，在国土空间总体规划中，属城乡建设用地</w:t>
      </w:r>
      <w:r>
        <w:rPr>
          <w:rFonts w:hint="eastAsia" w:ascii="仿宋_GB2312" w:hAnsi="仿宋_GB2312" w:eastAsia="仿宋_GB2312" w:cs="仿宋_GB2312"/>
          <w:sz w:val="32"/>
          <w:szCs w:val="32"/>
          <w:lang w:val="en-US" w:eastAsia="zh-CN"/>
        </w:rPr>
        <w:t>1.3884公顷（13884.18平方米，折合约20.83亩）；在《三乡镇金涌南片区控制性详细规划（2016）》（中府函〔2016〕800号）中，一类工业用地面积1.3884公顷（13884.18平方米，折合约20.83亩），</w:t>
      </w:r>
      <w:r>
        <w:rPr>
          <w:rFonts w:hint="eastAsia" w:ascii="仿宋_GB2312" w:hAnsi="仿宋_GB2312" w:eastAsia="仿宋_GB2312" w:cs="仿宋_GB2312"/>
          <w:kern w:val="0"/>
          <w:sz w:val="32"/>
          <w:szCs w:val="32"/>
        </w:rPr>
        <w:t>容积率为1.0-3.5，</w:t>
      </w:r>
      <w:r>
        <w:rPr>
          <w:rFonts w:hint="eastAsia" w:ascii="仿宋_GB2312" w:hAnsi="仿宋_GB2312" w:eastAsia="仿宋_GB2312" w:cs="仿宋_GB2312"/>
          <w:kern w:val="0"/>
          <w:sz w:val="32"/>
          <w:szCs w:val="32"/>
          <w:lang w:val="en-US" w:eastAsia="zh-CN"/>
        </w:rPr>
        <w:t>当</w:t>
      </w:r>
      <w:r>
        <w:rPr>
          <w:rFonts w:hint="eastAsia" w:ascii="仿宋_GB2312" w:hAnsi="仿宋_GB2312" w:eastAsia="仿宋_GB2312" w:cs="仿宋_GB2312"/>
          <w:kern w:val="0"/>
          <w:sz w:val="32"/>
          <w:szCs w:val="32"/>
        </w:rPr>
        <w:t>建筑密度为35-</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时</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highlight w:val="none"/>
          <w:lang w:val="en-US" w:eastAsia="zh-CN"/>
        </w:rPr>
        <w:t>建筑小于9层且高度小于50米；</w:t>
      </w:r>
      <w:r>
        <w:rPr>
          <w:rFonts w:hint="eastAsia" w:ascii="仿宋_GB2312" w:hAnsi="仿宋_GB2312" w:eastAsia="仿宋_GB2312" w:cs="仿宋_GB2312"/>
          <w:kern w:val="0"/>
          <w:sz w:val="32"/>
          <w:szCs w:val="32"/>
          <w:lang w:val="en-US" w:eastAsia="zh-CN"/>
        </w:rPr>
        <w:t>当建筑密度为35-60％时，</w:t>
      </w:r>
      <w:r>
        <w:rPr>
          <w:rFonts w:hint="eastAsia" w:ascii="仿宋_GB2312" w:hAnsi="仿宋_GB2312" w:eastAsia="仿宋_GB2312" w:cs="仿宋_GB2312"/>
          <w:kern w:val="0"/>
          <w:sz w:val="32"/>
          <w:szCs w:val="32"/>
          <w:highlight w:val="none"/>
          <w:lang w:val="en-US" w:eastAsia="zh-CN"/>
        </w:rPr>
        <w:t>建筑小于3层且高度小于24米</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绿地率为10-15%</w:t>
      </w:r>
      <w:r>
        <w:rPr>
          <w:rFonts w:hint="eastAsia" w:ascii="仿宋_GB2312" w:hAnsi="仿宋_GB2312" w:eastAsia="仿宋_GB2312" w:cs="仿宋_GB2312"/>
          <w:kern w:val="0"/>
          <w:sz w:val="32"/>
          <w:szCs w:val="32"/>
          <w:lang w:eastAsia="zh-CN"/>
        </w:rPr>
        <w:t>。</w:t>
      </w:r>
    </w:p>
    <w:p>
      <w:pPr>
        <w:adjustRightInd w:val="0"/>
        <w:snapToGrid w:val="0"/>
        <w:spacing w:line="574" w:lineRule="exact"/>
        <w:ind w:firstLine="640" w:firstLineChars="200"/>
        <w:jc w:val="left"/>
        <w:rPr>
          <w:rFonts w:hint="eastAsia"/>
          <w:lang w:val="en-US" w:eastAsia="zh-CN"/>
        </w:rPr>
      </w:pPr>
      <w:r>
        <w:rPr>
          <w:rFonts w:hint="eastAsia" w:ascii="仿宋_GB2312" w:hAnsi="仿宋_GB2312" w:eastAsia="仿宋_GB2312" w:cs="仿宋_GB2312"/>
          <w:kern w:val="0"/>
          <w:sz w:val="32"/>
          <w:szCs w:val="32"/>
        </w:rPr>
        <w:t>改造</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位于城镇开发边界范围内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不涉及永久基本农田、生态保护红线等管控要求</w:t>
      </w:r>
      <w:r>
        <w:rPr>
          <w:rFonts w:hint="eastAsia" w:ascii="仿宋_GB2312" w:hAnsi="仿宋_GB2312" w:eastAsia="仿宋_GB2312" w:cs="仿宋_GB2312"/>
          <w:kern w:val="0"/>
          <w:sz w:val="32"/>
          <w:szCs w:val="32"/>
          <w:lang w:eastAsia="zh-CN"/>
        </w:rPr>
        <w:t>。</w:t>
      </w:r>
    </w:p>
    <w:p>
      <w:pPr>
        <w:adjustRightInd w:val="0"/>
        <w:snapToGrid w:val="0"/>
        <w:spacing w:line="574" w:lineRule="exact"/>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二、改造意愿及补偿安置情况</w:t>
      </w:r>
    </w:p>
    <w:p>
      <w:pPr>
        <w:adjustRightInd w:val="0"/>
        <w:snapToGrid w:val="0"/>
        <w:spacing w:line="574" w:lineRule="exact"/>
        <w:ind w:firstLine="640" w:firstLineChars="200"/>
        <w:rPr>
          <w:rFonts w:hint="eastAsia" w:ascii="仿宋_GB2312" w:hAnsi="仿宋_GB2312" w:eastAsia="仿宋_GB2312" w:cs="仿宋_GB2312"/>
          <w:kern w:val="0"/>
          <w:sz w:val="32"/>
          <w:szCs w:val="32"/>
          <w:highlight w:val="yellow"/>
        </w:rPr>
      </w:pPr>
      <w:r>
        <w:rPr>
          <w:rFonts w:hint="eastAsia" w:ascii="仿宋_GB2312" w:hAnsi="仿宋_GB2312" w:eastAsia="仿宋_GB2312" w:cs="仿宋_GB2312"/>
          <w:sz w:val="32"/>
          <w:szCs w:val="32"/>
          <w:lang w:val="en-US" w:eastAsia="zh-CN"/>
        </w:rPr>
        <w:t>改造范围涉及鸦岗经联社1个权利主体，</w:t>
      </w:r>
      <w:r>
        <w:rPr>
          <w:rFonts w:hint="eastAsia" w:ascii="仿宋_GB2312" w:hAnsi="仿宋_GB2312" w:eastAsia="仿宋_GB2312" w:cs="仿宋_GB2312"/>
          <w:kern w:val="0"/>
          <w:sz w:val="32"/>
          <w:szCs w:val="32"/>
        </w:rPr>
        <w:t>三乡镇人民政府已按照法律法规，就改造范围、土地现状、改造主体及拟改造情况、补偿安置方式及标准等事项征询</w:t>
      </w:r>
      <w:r>
        <w:rPr>
          <w:rFonts w:hint="eastAsia" w:ascii="仿宋_GB2312" w:hAnsi="仿宋_GB2312" w:eastAsia="仿宋_GB2312" w:cs="仿宋_GB2312"/>
          <w:sz w:val="32"/>
          <w:szCs w:val="32"/>
          <w:lang w:val="en-US" w:eastAsia="zh-CN"/>
        </w:rPr>
        <w:t>鸦岗经联社</w:t>
      </w:r>
      <w:r>
        <w:rPr>
          <w:rFonts w:hint="eastAsia" w:ascii="仿宋_GB2312" w:hAnsi="仿宋_GB2312" w:eastAsia="仿宋_GB2312" w:cs="仿宋_GB2312"/>
          <w:kern w:val="0"/>
          <w:sz w:val="32"/>
          <w:szCs w:val="32"/>
        </w:rPr>
        <w:t>改造意愿，</w:t>
      </w:r>
      <w:r>
        <w:rPr>
          <w:rFonts w:hint="eastAsia" w:ascii="仿宋_GB2312" w:hAnsi="仿宋_GB2312" w:eastAsia="仿宋_GB2312" w:cs="仿宋_GB2312"/>
          <w:sz w:val="32"/>
          <w:szCs w:val="32"/>
          <w:lang w:val="en-US" w:eastAsia="zh-CN"/>
        </w:rPr>
        <w:t>经三分之二以上村民代表表决，同意将涉及土地、建筑纳入改造范围。</w:t>
      </w:r>
    </w:p>
    <w:p>
      <w:pPr>
        <w:adjustRightInd w:val="0"/>
        <w:snapToGrid w:val="0"/>
        <w:spacing w:line="574" w:lineRule="exact"/>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三、改造主体、需办理用地手续及拟改造情况</w:t>
      </w:r>
    </w:p>
    <w:p>
      <w:pPr>
        <w:adjustRightInd w:val="0"/>
        <w:snapToGrid w:val="0"/>
        <w:spacing w:line="574"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根据有关规划要求，改造项目严格按国土空间总体规划、控制性详细规划管控要求建设。</w:t>
      </w:r>
    </w:p>
    <w:p>
      <w:pPr>
        <w:adjustRightInd w:val="0"/>
        <w:snapToGrid w:val="0"/>
        <w:spacing w:line="574"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（一）改造主体及拟改造情况</w:t>
      </w:r>
    </w:p>
    <w:p>
      <w:pPr>
        <w:adjustRightInd w:val="0"/>
        <w:snapToGrid w:val="0"/>
        <w:spacing w:line="574"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该项目属于“工改工”宗地项目，拟采取权利人自主改造方式，由鸦岗经联社作为改造主体，实施全面改造。改造后将用于工业生产，发展玻璃制品制造加工、 橡胶和塑料制品制造和五金行业等产业。在符合控制性详细规划的基础上，容积率不小于2.0，总建筑面积不小于27768.36平方米</w:t>
      </w:r>
      <w:r>
        <w:rPr>
          <w:rFonts w:hint="eastAsia" w:ascii="仿宋_GB2312" w:hAnsi="仿宋_GB2312" w:eastAsia="仿宋_GB2312" w:cs="仿宋_GB2312"/>
          <w:spacing w:val="0"/>
          <w:kern w:val="2"/>
          <w:sz w:val="32"/>
          <w:szCs w:val="32"/>
          <w:lang w:val="en-US" w:eastAsia="zh-CN"/>
        </w:rPr>
        <w:t>（不含不计容建筑面积）</w:t>
      </w:r>
      <w:r>
        <w:rPr>
          <w:rFonts w:hint="eastAsia" w:ascii="仿宋_GB2312" w:hAnsi="仿宋_GB2312" w:eastAsia="仿宋_GB2312" w:cs="仿宋_GB2312"/>
          <w:sz w:val="32"/>
          <w:szCs w:val="32"/>
          <w:lang w:val="en-US" w:eastAsia="zh-CN"/>
        </w:rPr>
        <w:t>，其中新建建筑面积不小于27768.36平方米(最终容积率及拟建面积以规划许可证批复为准。最终规划方案总平面图及单体图以规划许可证及施工许可证批复为准)，不保留原有建筑。</w:t>
      </w:r>
    </w:p>
    <w:p>
      <w:pPr>
        <w:adjustRightInd w:val="0"/>
        <w:snapToGrid w:val="0"/>
        <w:spacing w:line="574" w:lineRule="exact"/>
        <w:ind w:firstLine="616" w:firstLineChars="200"/>
        <w:jc w:val="left"/>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pacing w:val="-6"/>
          <w:kern w:val="0"/>
          <w:sz w:val="32"/>
          <w:szCs w:val="32"/>
        </w:rPr>
        <w:t>项目符合国家《产业结构调整指导目录》</w:t>
      </w:r>
      <w:r>
        <w:rPr>
          <w:rFonts w:hint="eastAsia" w:ascii="仿宋_GB2312" w:hAnsi="仿宋_GB2312" w:eastAsia="仿宋_GB2312" w:cs="仿宋_GB2312"/>
          <w:spacing w:val="-6"/>
          <w:sz w:val="32"/>
        </w:rPr>
        <w:t>《</w:t>
      </w:r>
      <w:r>
        <w:rPr>
          <w:rFonts w:hint="eastAsia" w:ascii="仿宋_GB2312" w:hAnsi="仿宋_GB2312" w:eastAsia="仿宋_GB2312" w:cs="仿宋_GB2312"/>
          <w:spacing w:val="-6"/>
          <w:sz w:val="32"/>
          <w:szCs w:val="32"/>
        </w:rPr>
        <w:t>中山市“三线一单”生态环境分区管控方案</w:t>
      </w:r>
      <w:r>
        <w:rPr>
          <w:rFonts w:hint="eastAsia" w:ascii="仿宋_GB2312" w:hAnsi="仿宋_GB2312" w:eastAsia="仿宋_GB2312" w:cs="仿宋_GB2312"/>
          <w:spacing w:val="-6"/>
          <w:sz w:val="32"/>
        </w:rPr>
        <w:t>》</w:t>
      </w:r>
      <w:r>
        <w:rPr>
          <w:rFonts w:hint="eastAsia" w:ascii="仿宋_GB2312" w:hAnsi="仿宋_GB2312" w:eastAsia="仿宋_GB2312" w:cs="仿宋_GB2312"/>
          <w:spacing w:val="-6"/>
          <w:kern w:val="0"/>
          <w:sz w:val="32"/>
          <w:szCs w:val="32"/>
        </w:rPr>
        <w:t>《中山市涉挥发性有机物项目环保准入管理规定》。</w:t>
      </w:r>
      <w:r>
        <w:rPr>
          <w:rFonts w:hint="eastAsia" w:ascii="仿宋_GB2312" w:hAnsi="仿宋_GB2312" w:eastAsia="仿宋_GB2312" w:cs="仿宋_GB2312"/>
          <w:spacing w:val="-6"/>
          <w:kern w:val="0"/>
          <w:sz w:val="32"/>
          <w:szCs w:val="32"/>
          <w:highlight w:val="none"/>
        </w:rPr>
        <w:t>改造后</w:t>
      </w:r>
      <w:r>
        <w:rPr>
          <w:rFonts w:hint="eastAsia" w:ascii="仿宋_GB2312" w:hAnsi="仿宋_GB2312" w:eastAsia="仿宋_GB2312" w:cs="仿宋_GB2312"/>
          <w:spacing w:val="-6"/>
          <w:kern w:val="0"/>
          <w:sz w:val="32"/>
          <w:szCs w:val="32"/>
          <w:highlight w:val="none"/>
          <w:lang w:val="en-US" w:eastAsia="zh-CN"/>
        </w:rPr>
        <w:t>投资强度</w:t>
      </w:r>
      <w:r>
        <w:rPr>
          <w:rFonts w:hint="eastAsia" w:ascii="仿宋_GB2312" w:hAnsi="仿宋_GB2312" w:eastAsia="仿宋_GB2312" w:cs="仿宋_GB2312"/>
          <w:spacing w:val="-6"/>
          <w:kern w:val="0"/>
          <w:sz w:val="32"/>
          <w:szCs w:val="32"/>
          <w:highlight w:val="none"/>
        </w:rPr>
        <w:t>将达到</w:t>
      </w:r>
      <w:r>
        <w:rPr>
          <w:rFonts w:hint="eastAsia" w:ascii="仿宋_GB2312" w:hAnsi="仿宋_GB2312" w:eastAsia="仿宋_GB2312" w:cs="仿宋_GB2312"/>
          <w:spacing w:val="-6"/>
          <w:kern w:val="0"/>
          <w:sz w:val="32"/>
          <w:szCs w:val="32"/>
          <w:highlight w:val="none"/>
          <w:lang w:val="en-US" w:eastAsia="zh-CN"/>
        </w:rPr>
        <w:t>5833</w:t>
      </w:r>
      <w:r>
        <w:rPr>
          <w:rFonts w:hint="eastAsia" w:ascii="仿宋_GB2312" w:hAnsi="仿宋_GB2312" w:eastAsia="仿宋_GB2312" w:cs="仿宋_GB2312"/>
          <w:spacing w:val="-6"/>
          <w:kern w:val="0"/>
          <w:sz w:val="32"/>
          <w:szCs w:val="32"/>
          <w:highlight w:val="none"/>
        </w:rPr>
        <w:t>万元</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折合约280万元/亩），</w:t>
      </w:r>
      <w:r>
        <w:rPr>
          <w:rFonts w:hint="eastAsia" w:ascii="仿宋_GB2312" w:hAnsi="仿宋_GB2312" w:eastAsia="仿宋_GB2312" w:cs="仿宋_GB2312"/>
          <w:spacing w:val="-6"/>
          <w:kern w:val="0"/>
          <w:sz w:val="32"/>
          <w:szCs w:val="32"/>
          <w:highlight w:val="none"/>
        </w:rPr>
        <w:t>年产值将达到</w:t>
      </w:r>
      <w:r>
        <w:rPr>
          <w:rFonts w:hint="eastAsia" w:ascii="仿宋_GB2312" w:hAnsi="仿宋_GB2312" w:eastAsia="仿宋_GB2312" w:cs="仿宋_GB2312"/>
          <w:spacing w:val="-6"/>
          <w:kern w:val="0"/>
          <w:sz w:val="32"/>
          <w:szCs w:val="32"/>
          <w:highlight w:val="none"/>
          <w:lang w:val="en-US" w:eastAsia="zh-CN"/>
        </w:rPr>
        <w:t>8748.6</w:t>
      </w:r>
      <w:r>
        <w:rPr>
          <w:rFonts w:hint="eastAsia" w:ascii="仿宋_GB2312" w:hAnsi="仿宋_GB2312" w:eastAsia="仿宋_GB2312" w:cs="仿宋_GB2312"/>
          <w:spacing w:val="-6"/>
          <w:kern w:val="0"/>
          <w:sz w:val="32"/>
          <w:szCs w:val="32"/>
          <w:highlight w:val="none"/>
        </w:rPr>
        <w:t>万元</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折合约420万元/亩）</w:t>
      </w:r>
      <w:r>
        <w:rPr>
          <w:rFonts w:hint="eastAsia" w:ascii="仿宋_GB2312" w:hAnsi="仿宋_GB2312" w:eastAsia="仿宋_GB2312" w:cs="仿宋_GB2312"/>
          <w:spacing w:val="-6"/>
          <w:kern w:val="0"/>
          <w:sz w:val="32"/>
          <w:szCs w:val="32"/>
          <w:highlight w:val="none"/>
        </w:rPr>
        <w:t>，年税收将达到</w:t>
      </w:r>
      <w:r>
        <w:rPr>
          <w:rFonts w:hint="eastAsia" w:ascii="仿宋_GB2312" w:hAnsi="仿宋_GB2312" w:eastAsia="仿宋_GB2312" w:cs="仿宋_GB2312"/>
          <w:spacing w:val="-6"/>
          <w:kern w:val="0"/>
          <w:sz w:val="32"/>
          <w:szCs w:val="32"/>
          <w:highlight w:val="none"/>
          <w:lang w:val="en-US" w:eastAsia="zh-CN"/>
        </w:rPr>
        <w:t>312.45</w:t>
      </w:r>
      <w:r>
        <w:rPr>
          <w:rFonts w:hint="eastAsia" w:ascii="仿宋_GB2312" w:hAnsi="仿宋_GB2312" w:eastAsia="仿宋_GB2312" w:cs="仿宋_GB2312"/>
          <w:spacing w:val="-6"/>
          <w:kern w:val="0"/>
          <w:sz w:val="32"/>
          <w:szCs w:val="32"/>
          <w:highlight w:val="none"/>
        </w:rPr>
        <w:t>万元</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折合约15万元/亩）</w:t>
      </w:r>
      <w:r>
        <w:rPr>
          <w:rFonts w:hint="eastAsia" w:ascii="仿宋_GB2312" w:hAnsi="仿宋_GB2312" w:eastAsia="仿宋_GB2312" w:cs="仿宋_GB2312"/>
          <w:spacing w:val="-6"/>
          <w:kern w:val="0"/>
          <w:sz w:val="32"/>
          <w:szCs w:val="32"/>
          <w:highlight w:val="none"/>
        </w:rPr>
        <w:t>。</w:t>
      </w:r>
    </w:p>
    <w:p>
      <w:pPr>
        <w:adjustRightInd w:val="0"/>
        <w:snapToGrid w:val="0"/>
        <w:spacing w:line="574"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（二）需办理的用地手续</w:t>
      </w:r>
    </w:p>
    <w:p>
      <w:pPr>
        <w:adjustRightInd w:val="0"/>
        <w:snapToGrid w:val="0"/>
        <w:spacing w:line="574" w:lineRule="exact"/>
        <w:ind w:firstLine="640" w:firstLineChars="200"/>
        <w:jc w:val="left"/>
        <w:rPr>
          <w:rFonts w:hint="eastAsia" w:ascii="Times New Roman" w:hAnsi="Times New Roman" w:eastAsia="仿宋_GB2312"/>
          <w:spacing w:val="-6"/>
          <w:sz w:val="32"/>
          <w:szCs w:val="32"/>
          <w:highlight w:val="none"/>
        </w:rPr>
      </w:pPr>
      <w:r>
        <w:rPr>
          <w:rFonts w:hint="eastAsia" w:ascii="仿宋_GB2312" w:hAnsi="仿宋_GB2312" w:eastAsia="仿宋_GB2312" w:cs="仿宋_GB2312"/>
          <w:sz w:val="32"/>
          <w:szCs w:val="32"/>
          <w:lang w:val="en-US" w:eastAsia="zh-CN"/>
        </w:rPr>
        <w:t>1.集体转用手续。项目用地1.3884公顷（13884.18平方米，折合约20.83亩）需办理集体土地完善转用手续。</w:t>
      </w:r>
      <w:r>
        <w:rPr>
          <w:rFonts w:hint="eastAsia" w:ascii="Times New Roman" w:hAnsi="Times New Roman" w:eastAsia="仿宋_GB2312"/>
          <w:spacing w:val="-6"/>
          <w:sz w:val="32"/>
          <w:szCs w:val="32"/>
          <w:highlight w:val="none"/>
        </w:rPr>
        <w:t>办理集体土地完善转用手续时，不涉及需安排建设用地规模及用地指标（农转用、耕地、水田、林地）。</w:t>
      </w:r>
    </w:p>
    <w:p>
      <w:pPr>
        <w:adjustRightInd w:val="0"/>
        <w:snapToGrid w:val="0"/>
        <w:spacing w:line="574" w:lineRule="exact"/>
        <w:ind w:firstLine="640" w:firstLineChars="200"/>
        <w:jc w:val="left"/>
        <w:rPr>
          <w:rFonts w:hint="eastAsia" w:ascii="Times New Roman" w:hAnsi="Times New Roman" w:eastAsia="仿宋_GB2312" w:cstheme="minorBidi"/>
          <w:b w:val="0"/>
          <w:bCs w:val="0"/>
          <w:i w:val="0"/>
          <w:iCs w:val="0"/>
          <w:spacing w:val="-6"/>
          <w:sz w:val="32"/>
          <w:szCs w:val="32"/>
          <w:highlight w:val="no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color w:val="auto"/>
          <w:spacing w:val="0"/>
          <w:sz w:val="32"/>
          <w:szCs w:val="32"/>
          <w:u w:val="none"/>
          <w:lang w:val="en-US" w:eastAsia="zh-CN" w:bidi="ar-SA"/>
        </w:rPr>
        <w:t>集体建设用地证自用审批</w:t>
      </w:r>
      <w:r>
        <w:rPr>
          <w:rFonts w:hint="eastAsia" w:ascii="仿宋_GB2312" w:hAnsi="仿宋_GB2312" w:eastAsia="仿宋_GB2312" w:cs="仿宋_GB2312"/>
          <w:b w:val="0"/>
          <w:bCs w:val="0"/>
          <w:i w:val="0"/>
          <w:iCs w:val="0"/>
          <w:color w:val="auto"/>
          <w:spacing w:val="0"/>
          <w:sz w:val="32"/>
          <w:szCs w:val="32"/>
          <w:u w:val="none"/>
          <w:lang w:val="en-US" w:eastAsia="zh-CN"/>
        </w:rPr>
        <w:t>。</w:t>
      </w:r>
      <w:r>
        <w:rPr>
          <w:rFonts w:hint="eastAsia" w:ascii="仿宋_GB2312" w:hAnsi="仿宋_GB2312" w:eastAsia="仿宋_GB2312" w:cs="仿宋_GB2312"/>
          <w:b w:val="0"/>
          <w:bCs w:val="0"/>
          <w:i w:val="0"/>
          <w:iCs w:val="0"/>
          <w:spacing w:val="0"/>
          <w:sz w:val="32"/>
          <w:szCs w:val="32"/>
          <w:lang w:val="en-US" w:eastAsia="zh-CN"/>
        </w:rPr>
        <w:t>上述1.3884公顷（13884.1平方米，折合约20.83亩）完善转用手续后，办证集体工业证到鸦岗经联社名下。</w:t>
      </w:r>
    </w:p>
    <w:p>
      <w:pPr>
        <w:adjustRightInd w:val="0"/>
        <w:snapToGrid w:val="0"/>
        <w:spacing w:line="574" w:lineRule="exact"/>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四、资金筹措</w:t>
      </w:r>
    </w:p>
    <w:p>
      <w:pPr>
        <w:adjustRightInd w:val="0"/>
        <w:snapToGrid w:val="0"/>
        <w:spacing w:line="574" w:lineRule="exact"/>
        <w:ind w:firstLine="640" w:firstLineChars="200"/>
        <w:jc w:val="left"/>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改造项目由改造主体拟投入资金</w:t>
      </w:r>
      <w:r>
        <w:rPr>
          <w:rFonts w:hint="eastAsia" w:ascii="仿宋_GB2312" w:hAnsi="仿宋_GB2312" w:eastAsia="仿宋_GB2312" w:cs="仿宋_GB2312"/>
          <w:spacing w:val="-6"/>
          <w:kern w:val="0"/>
          <w:sz w:val="32"/>
          <w:szCs w:val="32"/>
          <w:highlight w:val="none"/>
          <w:lang w:val="en-US" w:eastAsia="zh-CN"/>
        </w:rPr>
        <w:t>5833</w:t>
      </w:r>
      <w:r>
        <w:rPr>
          <w:rFonts w:hint="eastAsia" w:ascii="仿宋_GB2312" w:hAnsi="仿宋_GB2312" w:eastAsia="仿宋_GB2312" w:cs="仿宋_GB2312"/>
          <w:spacing w:val="0"/>
          <w:kern w:val="2"/>
          <w:sz w:val="32"/>
          <w:szCs w:val="32"/>
          <w:lang w:val="en-US" w:eastAsia="zh-CN"/>
        </w:rPr>
        <w:t>万元，其中自有资金2400万元，</w:t>
      </w:r>
      <w:r>
        <w:rPr>
          <w:rFonts w:hint="eastAsia" w:ascii="仿宋_GB2312" w:hAnsi="仿宋_GB2312" w:eastAsia="仿宋_GB2312" w:cs="仿宋_GB2312"/>
          <w:spacing w:val="0"/>
          <w:kern w:val="2"/>
          <w:sz w:val="32"/>
          <w:szCs w:val="32"/>
          <w:highlight w:val="none"/>
          <w:lang w:val="en-US" w:eastAsia="zh-CN"/>
        </w:rPr>
        <w:t>银行贷款3432.4万元，</w:t>
      </w:r>
      <w:r>
        <w:rPr>
          <w:rFonts w:hint="eastAsia" w:ascii="仿宋_GB2312" w:hAnsi="仿宋_GB2312" w:eastAsia="仿宋_GB2312" w:cs="仿宋_GB2312"/>
          <w:spacing w:val="0"/>
          <w:kern w:val="2"/>
          <w:sz w:val="32"/>
          <w:szCs w:val="32"/>
          <w:lang w:val="en-US" w:eastAsia="zh-CN"/>
        </w:rPr>
        <w:t>以上述数据以最终实际发生为准。</w:t>
      </w:r>
    </w:p>
    <w:p>
      <w:pPr>
        <w:adjustRightInd w:val="0"/>
        <w:snapToGrid w:val="0"/>
        <w:spacing w:line="574"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五、开发时序</w:t>
      </w:r>
    </w:p>
    <w:p>
      <w:pPr>
        <w:adjustRightInd w:val="0"/>
        <w:snapToGrid w:val="0"/>
        <w:spacing w:line="574" w:lineRule="exact"/>
        <w:ind w:firstLine="640" w:firstLineChars="200"/>
        <w:jc w:val="left"/>
        <w:rPr>
          <w:rFonts w:hint="eastAsia" w:ascii="仿宋_GB2312" w:hAnsi="仿宋_GB2312" w:eastAsia="仿宋_GB2312" w:cs="仿宋_GB2312"/>
          <w:spacing w:val="0"/>
          <w:kern w:val="2"/>
          <w:sz w:val="32"/>
          <w:szCs w:val="32"/>
          <w:highlight w:val="none"/>
          <w:lang w:val="en-US" w:eastAsia="zh-CN"/>
        </w:rPr>
      </w:pPr>
      <w:r>
        <w:rPr>
          <w:rFonts w:hint="eastAsia" w:ascii="仿宋_GB2312" w:hAnsi="仿宋_GB2312" w:eastAsia="仿宋_GB2312" w:cs="仿宋_GB2312"/>
          <w:spacing w:val="0"/>
          <w:kern w:val="2"/>
          <w:sz w:val="32"/>
          <w:szCs w:val="32"/>
          <w:lang w:val="en-US" w:eastAsia="zh-CN"/>
        </w:rPr>
        <w:t>项目按一期开发，</w:t>
      </w:r>
      <w:r>
        <w:rPr>
          <w:rFonts w:hint="eastAsia" w:ascii="仿宋_GB2312" w:hAnsi="仿宋_GB2312" w:eastAsia="仿宋_GB2312" w:cs="仿宋_GB2312"/>
          <w:spacing w:val="0"/>
          <w:kern w:val="2"/>
          <w:sz w:val="32"/>
          <w:szCs w:val="32"/>
          <w:highlight w:val="none"/>
          <w:lang w:val="en-US" w:eastAsia="zh-CN"/>
        </w:rPr>
        <w:t>动工开发日期时间为自取得不动产权证起365日（一年）内动工，自动工之日起365日（一年）内竣工。</w:t>
      </w:r>
    </w:p>
    <w:p>
      <w:pPr>
        <w:adjustRightInd w:val="0"/>
        <w:snapToGrid w:val="0"/>
        <w:spacing w:line="574"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六、实施监管</w:t>
      </w:r>
    </w:p>
    <w:p>
      <w:pPr>
        <w:adjustRightInd w:val="0"/>
        <w:snapToGrid w:val="0"/>
        <w:spacing w:line="574" w:lineRule="exact"/>
        <w:ind w:firstLine="640" w:firstLineChars="200"/>
        <w:rPr>
          <w:rFonts w:hint="default"/>
          <w:lang w:val="en-US" w:eastAsia="zh-CN"/>
        </w:rPr>
      </w:pPr>
      <w:r>
        <w:rPr>
          <w:rFonts w:hint="eastAsia" w:ascii="仿宋_GB2312" w:hAnsi="仿宋_GB2312" w:eastAsia="仿宋_GB2312" w:cs="仿宋_GB2312"/>
          <w:snapToGrid w:val="0"/>
          <w:kern w:val="0"/>
          <w:sz w:val="32"/>
          <w:szCs w:val="32"/>
          <w:highlight w:val="none"/>
          <w:shd w:val="clear" w:color="auto" w:fill="auto"/>
          <w:lang w:eastAsia="zh-CN"/>
        </w:rPr>
        <w:t>以</w:t>
      </w:r>
      <w:r>
        <w:rPr>
          <w:rFonts w:hint="eastAsia" w:ascii="仿宋_GB2312" w:hAnsi="仿宋_GB2312" w:eastAsia="仿宋_GB2312" w:cs="仿宋_GB2312"/>
          <w:snapToGrid w:val="0"/>
          <w:kern w:val="0"/>
          <w:sz w:val="32"/>
          <w:szCs w:val="32"/>
          <w:highlight w:val="none"/>
          <w:shd w:val="clear" w:color="auto" w:fill="auto"/>
        </w:rPr>
        <w:t>三乡镇人民政府</w:t>
      </w:r>
      <w:r>
        <w:rPr>
          <w:rFonts w:hint="eastAsia" w:ascii="Times New Roman" w:hAnsi="Times New Roman" w:eastAsia="仿宋_GB2312"/>
          <w:spacing w:val="-6"/>
          <w:sz w:val="32"/>
          <w:szCs w:val="32"/>
        </w:rPr>
        <w:t>与改造主体签订的监管协议为准。</w:t>
      </w:r>
    </w:p>
    <w:sectPr>
      <w:footerReference r:id="rId3"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简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YjhkOTg3NjQ0OTE3YjRiNDYxYTFjZDQ5OGU0NzQifQ=="/>
  </w:docVars>
  <w:rsids>
    <w:rsidRoot w:val="00172A27"/>
    <w:rsid w:val="006812B8"/>
    <w:rsid w:val="00C16361"/>
    <w:rsid w:val="041C67F4"/>
    <w:rsid w:val="056548FD"/>
    <w:rsid w:val="057354FE"/>
    <w:rsid w:val="08F7246F"/>
    <w:rsid w:val="0A48272E"/>
    <w:rsid w:val="0B6D501C"/>
    <w:rsid w:val="0D037898"/>
    <w:rsid w:val="0D115BCE"/>
    <w:rsid w:val="0FE36F22"/>
    <w:rsid w:val="133B406A"/>
    <w:rsid w:val="13DA1543"/>
    <w:rsid w:val="15BB01A2"/>
    <w:rsid w:val="174C5C47"/>
    <w:rsid w:val="17AF2ABE"/>
    <w:rsid w:val="1AB517A0"/>
    <w:rsid w:val="1D7B39D6"/>
    <w:rsid w:val="1DC83AB0"/>
    <w:rsid w:val="1E15353F"/>
    <w:rsid w:val="20D847EC"/>
    <w:rsid w:val="239272B0"/>
    <w:rsid w:val="23EB4131"/>
    <w:rsid w:val="27254E36"/>
    <w:rsid w:val="27A50B7C"/>
    <w:rsid w:val="2AD875D8"/>
    <w:rsid w:val="2BA121B6"/>
    <w:rsid w:val="2C8C0643"/>
    <w:rsid w:val="323718B3"/>
    <w:rsid w:val="340672AC"/>
    <w:rsid w:val="365D024B"/>
    <w:rsid w:val="39506A71"/>
    <w:rsid w:val="3A1160D4"/>
    <w:rsid w:val="3C8F13A7"/>
    <w:rsid w:val="3D9C1D84"/>
    <w:rsid w:val="4051004A"/>
    <w:rsid w:val="42945FFA"/>
    <w:rsid w:val="42B25F5C"/>
    <w:rsid w:val="43A45688"/>
    <w:rsid w:val="447E6E31"/>
    <w:rsid w:val="4498561D"/>
    <w:rsid w:val="45C2149A"/>
    <w:rsid w:val="47AF3235"/>
    <w:rsid w:val="47D244EB"/>
    <w:rsid w:val="4EBE7E46"/>
    <w:rsid w:val="50D7306C"/>
    <w:rsid w:val="51601922"/>
    <w:rsid w:val="51755E9C"/>
    <w:rsid w:val="51A30802"/>
    <w:rsid w:val="54AC6AC2"/>
    <w:rsid w:val="56D64358"/>
    <w:rsid w:val="5726748C"/>
    <w:rsid w:val="574E39CD"/>
    <w:rsid w:val="576C2495"/>
    <w:rsid w:val="57983505"/>
    <w:rsid w:val="59BE2B4A"/>
    <w:rsid w:val="5AAF091C"/>
    <w:rsid w:val="5AE70331"/>
    <w:rsid w:val="5BFA335F"/>
    <w:rsid w:val="5C9C0479"/>
    <w:rsid w:val="5DC20050"/>
    <w:rsid w:val="5EAC1134"/>
    <w:rsid w:val="5F5778F8"/>
    <w:rsid w:val="5F8E4421"/>
    <w:rsid w:val="603E797B"/>
    <w:rsid w:val="6124022E"/>
    <w:rsid w:val="612E74E2"/>
    <w:rsid w:val="647E6110"/>
    <w:rsid w:val="65FF19F5"/>
    <w:rsid w:val="66367C06"/>
    <w:rsid w:val="666B003F"/>
    <w:rsid w:val="674E33EC"/>
    <w:rsid w:val="677E1681"/>
    <w:rsid w:val="68E10D8C"/>
    <w:rsid w:val="6A41230D"/>
    <w:rsid w:val="6AC11B38"/>
    <w:rsid w:val="6EC205C7"/>
    <w:rsid w:val="6ECC1C52"/>
    <w:rsid w:val="70786E99"/>
    <w:rsid w:val="71E77EED"/>
    <w:rsid w:val="73667463"/>
    <w:rsid w:val="74381F51"/>
    <w:rsid w:val="76303EF4"/>
    <w:rsid w:val="78E36D1B"/>
    <w:rsid w:val="790B4846"/>
    <w:rsid w:val="7A5B2137"/>
    <w:rsid w:val="7BC74258"/>
    <w:rsid w:val="7BE7468B"/>
    <w:rsid w:val="7C4E15F0"/>
    <w:rsid w:val="7ED736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4"/>
    <w:basedOn w:val="1"/>
    <w:next w:val="1"/>
    <w:unhideWhenUsed/>
    <w:qFormat/>
    <w:uiPriority w:val="9"/>
    <w:pPr>
      <w:keepNext/>
      <w:keepLines/>
      <w:spacing w:before="200"/>
      <w:outlineLvl w:val="3"/>
    </w:pPr>
    <w:rPr>
      <w:rFonts w:ascii="Cambria" w:hAnsi="Cambria" w:eastAsia="宋体" w:cs="Times New Roman"/>
      <w:b/>
      <w:bCs/>
      <w:i/>
      <w:iCs/>
      <w:color w:val="4F81BD"/>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spacing w:before="36"/>
      <w:ind w:left="106"/>
    </w:pPr>
    <w:rPr>
      <w:rFonts w:ascii="仿宋_GB2312" w:hAnsi="仿宋_GB2312" w:eastAsia="仿宋_GB2312"/>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2022-04-28T00:44:00Z</dcterms:created>
  <dc:creator>ZSuser</dc:creator>
  <cp:lastModifiedBy>tolanDi</cp:lastModifiedBy>
  <dcterms:modified xsi:type="dcterms:W3CDTF">2024-11-26T01:24:39Z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C3A59F31CBA047899DB82C22BFEFC0AF</vt:lpwstr>
  </property>
</Properties>
</file>