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LineNumbers w:val="0"/>
        <w:tabs>
          <w:tab w:val="center" w:leader="middleDot" w:pos="8640"/>
        </w:tabs>
        <w:spacing w:line="440" w:lineRule="exact"/>
        <w:rPr>
          <w:rFonts w:hint="eastAsia" w:cs="仿宋_GB2312"/>
          <w:sz w:val="29"/>
          <w:szCs w:val="29"/>
        </w:rPr>
      </w:pPr>
      <w:r>
        <w:rPr>
          <w:rFonts w:hint="eastAsia" w:ascii="黑体" w:hAnsi="黑体" w:eastAsia="黑体" w:cs="仿宋_GB2312"/>
          <w:sz w:val="29"/>
          <w:szCs w:val="29"/>
        </w:rPr>
        <w:t>附件</w:t>
      </w:r>
      <w:r>
        <w:rPr>
          <w:rFonts w:hint="eastAsia" w:cs="仿宋_GB2312"/>
          <w:sz w:val="29"/>
          <w:szCs w:val="29"/>
        </w:rPr>
        <w:t>2</w:t>
      </w:r>
    </w:p>
    <w:p>
      <w:pPr>
        <w:suppressLineNumbers w:val="0"/>
        <w:tabs>
          <w:tab w:val="center" w:leader="middleDot" w:pos="8640"/>
        </w:tabs>
        <w:spacing w:after="120" w:afterLines="50" w:line="680" w:lineRule="exact"/>
        <w:jc w:val="center"/>
        <w:outlineLvl w:val="2"/>
        <w:rPr>
          <w:rFonts w:eastAsia="方正小标宋简体" w:cs="仿宋_GB2312"/>
          <w:spacing w:val="-12"/>
          <w:sz w:val="44"/>
          <w:szCs w:val="44"/>
        </w:rPr>
      </w:pPr>
      <w:bookmarkStart w:id="0" w:name="_GoBack"/>
      <w:r>
        <w:rPr>
          <w:rFonts w:hint="eastAsia" w:eastAsia="方正小标宋简体" w:cs="仿宋_GB2312"/>
          <w:spacing w:val="-12"/>
          <w:sz w:val="44"/>
          <w:szCs w:val="44"/>
        </w:rPr>
        <w:t>中山市技工院校办学水平评估主要框架</w:t>
      </w:r>
      <w:bookmarkEnd w:id="0"/>
    </w:p>
    <w:p>
      <w:pPr>
        <w:suppressLineNumbers w:val="0"/>
        <w:tabs>
          <w:tab w:val="center" w:leader="middleDot" w:pos="8640"/>
        </w:tabs>
        <w:spacing w:after="120" w:afterLines="50" w:line="510" w:lineRule="exact"/>
        <w:jc w:val="center"/>
        <w:rPr>
          <w:rFonts w:eastAsia="楷体_GB2312"/>
          <w:sz w:val="29"/>
          <w:szCs w:val="29"/>
        </w:rPr>
      </w:pPr>
      <w:r>
        <w:rPr>
          <w:rFonts w:eastAsia="楷体_GB2312"/>
          <w:sz w:val="29"/>
          <w:szCs w:val="29"/>
        </w:rPr>
        <w:t>（总分110分，基础分100分，加分项10分）</w:t>
      </w:r>
    </w:p>
    <w:tbl>
      <w:tblPr>
        <w:tblStyle w:val="3"/>
        <w:tblW w:w="136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4"/>
        <w:gridCol w:w="1980"/>
        <w:gridCol w:w="9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blHeader/>
          <w:jc w:val="center"/>
        </w:trPr>
        <w:tc>
          <w:tcPr>
            <w:tcW w:w="1794" w:type="dxa"/>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一级指标</w:t>
            </w:r>
          </w:p>
        </w:tc>
        <w:tc>
          <w:tcPr>
            <w:tcW w:w="1980" w:type="dxa"/>
            <w:noWrap w:val="0"/>
            <w:vAlign w:val="center"/>
          </w:tcPr>
          <w:p>
            <w:pPr>
              <w:widowControl/>
              <w:spacing w:line="240" w:lineRule="auto"/>
              <w:jc w:val="center"/>
              <w:textAlignment w:val="center"/>
              <w:rPr>
                <w:rFonts w:eastAsia="黑体" w:cs="黑体"/>
                <w:color w:val="000000"/>
                <w:sz w:val="24"/>
              </w:rPr>
            </w:pPr>
            <w:r>
              <w:rPr>
                <w:rFonts w:hint="eastAsia" w:eastAsia="黑体" w:cs="黑体"/>
                <w:color w:val="000000"/>
                <w:kern w:val="0"/>
                <w:sz w:val="24"/>
                <w:lang w:bidi="ar"/>
              </w:rPr>
              <w:t>二级指标</w:t>
            </w:r>
          </w:p>
        </w:tc>
        <w:tc>
          <w:tcPr>
            <w:tcW w:w="9875" w:type="dxa"/>
            <w:noWrap w:val="0"/>
            <w:vAlign w:val="center"/>
          </w:tcPr>
          <w:p>
            <w:pPr>
              <w:widowControl/>
              <w:spacing w:line="240" w:lineRule="auto"/>
              <w:jc w:val="center"/>
              <w:textAlignment w:val="center"/>
              <w:rPr>
                <w:rFonts w:eastAsia="黑体" w:cs="黑体"/>
                <w:color w:val="000000"/>
                <w:sz w:val="24"/>
              </w:rPr>
            </w:pPr>
            <w:r>
              <w:rPr>
                <w:rFonts w:hint="eastAsia" w:eastAsia="黑体" w:cs="黑体"/>
                <w:color w:val="000000"/>
                <w:kern w:val="0"/>
                <w:sz w:val="24"/>
                <w:lang w:bidi="ar"/>
              </w:rPr>
              <w:t>主要评估内容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一、党的建设</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11</w:t>
            </w:r>
            <w:r>
              <w:rPr>
                <w:rFonts w:hint="eastAsia" w:eastAsia="黑体"/>
                <w:color w:val="000000"/>
                <w:kern w:val="0"/>
                <w:sz w:val="24"/>
                <w:lang w:bidi="ar"/>
              </w:rPr>
              <w:t>分）</w:t>
            </w: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（一）党的领导</w:t>
            </w:r>
          </w:p>
        </w:tc>
        <w:tc>
          <w:tcPr>
            <w:tcW w:w="9875" w:type="dxa"/>
            <w:noWrap w:val="0"/>
            <w:vAlign w:val="center"/>
          </w:tcPr>
          <w:p>
            <w:pPr>
              <w:widowControl/>
              <w:spacing w:before="120" w:beforeLines="50" w:after="120" w:afterLines="50" w:line="240" w:lineRule="auto"/>
              <w:ind w:firstLine="456" w:firstLineChars="200"/>
              <w:jc w:val="left"/>
              <w:textAlignment w:val="center"/>
              <w:rPr>
                <w:rFonts w:cs="仿宋_GB2312"/>
                <w:color w:val="000000"/>
                <w:sz w:val="24"/>
              </w:rPr>
            </w:pPr>
            <w:r>
              <w:rPr>
                <w:rFonts w:hint="eastAsia" w:cs="仿宋_GB2312"/>
                <w:color w:val="000000"/>
                <w:kern w:val="0"/>
                <w:sz w:val="24"/>
                <w:lang w:bidi="ar"/>
              </w:rPr>
              <w:t>认真贯彻落实党和国家技工教育方针、政策，全面加强党的领导，组织机构健全。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（二）制度建设</w:t>
            </w:r>
          </w:p>
        </w:tc>
        <w:tc>
          <w:tcPr>
            <w:tcW w:w="9875" w:type="dxa"/>
            <w:noWrap w:val="0"/>
            <w:vAlign w:val="center"/>
          </w:tcPr>
          <w:p>
            <w:pPr>
              <w:widowControl/>
              <w:spacing w:before="120" w:beforeLines="50" w:after="120" w:afterLines="50" w:line="300" w:lineRule="exact"/>
              <w:ind w:firstLine="456" w:firstLineChars="200"/>
              <w:textAlignment w:val="center"/>
              <w:rPr>
                <w:rFonts w:cs="仿宋_GB2312"/>
                <w:color w:val="000000"/>
                <w:sz w:val="24"/>
              </w:rPr>
            </w:pPr>
            <w:r>
              <w:rPr>
                <w:rFonts w:hint="eastAsia" w:cs="仿宋_GB2312"/>
                <w:color w:val="000000"/>
                <w:kern w:val="0"/>
                <w:sz w:val="24"/>
                <w:lang w:bidi="ar"/>
              </w:rPr>
              <w:t>学校在有关制度中对党组织政治核心作用和加强党组织建设的落实情况。如党建工作纳入章程情况、党建年度工作计划、“第一议题”、“三会一课”、主题党日、谈心谈话和民主评议党员等制度建设情况，以及“三重一大”事项决策制度、党建机构、党建责任一岗双责、党组织关系管理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（三）意识形态</w:t>
            </w:r>
          </w:p>
        </w:tc>
        <w:tc>
          <w:tcPr>
            <w:tcW w:w="9875" w:type="dxa"/>
            <w:noWrap w:val="0"/>
            <w:vAlign w:val="center"/>
          </w:tcPr>
          <w:p>
            <w:pPr>
              <w:widowControl/>
              <w:spacing w:before="120" w:beforeLines="50" w:after="120" w:afterLines="50" w:line="300" w:lineRule="exact"/>
              <w:ind w:firstLine="456" w:firstLineChars="200"/>
              <w:textAlignment w:val="center"/>
              <w:rPr>
                <w:rFonts w:cs="仿宋_GB2312"/>
                <w:color w:val="000000"/>
                <w:sz w:val="24"/>
              </w:rPr>
            </w:pPr>
            <w:r>
              <w:rPr>
                <w:rFonts w:hint="eastAsia" w:cs="仿宋_GB2312"/>
                <w:color w:val="000000"/>
                <w:kern w:val="0"/>
                <w:sz w:val="24"/>
                <w:lang w:bidi="ar"/>
              </w:rPr>
              <w:t>学校党组织在思想文化和意识形态阵地活动开展情况，如师德师风评估、开学第一课活动、国家安全教育、教育教学重要事项的政治把关等情况。抓好学校教室、寝室和网络等思想文化阵地建设与管理。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二、学校管理</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31</w:t>
            </w:r>
            <w:r>
              <w:rPr>
                <w:rFonts w:hint="eastAsia" w:eastAsia="黑体"/>
                <w:color w:val="000000"/>
                <w:kern w:val="0"/>
                <w:sz w:val="24"/>
                <w:lang w:bidi="ar"/>
              </w:rPr>
              <w:t>分）</w:t>
            </w: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（一）办学方向</w:t>
            </w:r>
          </w:p>
        </w:tc>
        <w:tc>
          <w:tcPr>
            <w:tcW w:w="9875" w:type="dxa"/>
            <w:noWrap w:val="0"/>
            <w:vAlign w:val="center"/>
          </w:tcPr>
          <w:p>
            <w:pPr>
              <w:widowControl/>
              <w:spacing w:before="120" w:beforeLines="50" w:after="120" w:afterLines="50" w:line="300" w:lineRule="exact"/>
              <w:ind w:firstLine="456" w:firstLineChars="200"/>
              <w:textAlignment w:val="center"/>
              <w:rPr>
                <w:rFonts w:cs="仿宋_GB2312"/>
                <w:color w:val="000000"/>
                <w:sz w:val="24"/>
              </w:rPr>
            </w:pPr>
            <w:r>
              <w:rPr>
                <w:rFonts w:hint="eastAsia" w:cs="仿宋_GB2312"/>
                <w:color w:val="000000"/>
                <w:kern w:val="0"/>
                <w:sz w:val="24"/>
                <w:lang w:bidi="ar"/>
              </w:rPr>
              <w:t>制定和有效实施技工教育发展规划，实行学制教育与职业培训并举、学校教育与企业培养相结合的办学模式，办学定位准确，发展思路清晰。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（二）领导班子</w:t>
            </w:r>
          </w:p>
        </w:tc>
        <w:tc>
          <w:tcPr>
            <w:tcW w:w="9875" w:type="dxa"/>
            <w:noWrap w:val="0"/>
            <w:vAlign w:val="center"/>
          </w:tcPr>
          <w:p>
            <w:pPr>
              <w:widowControl/>
              <w:spacing w:before="120" w:beforeLines="50" w:after="120" w:afterLines="50" w:line="240" w:lineRule="auto"/>
              <w:ind w:firstLine="440" w:firstLineChars="200"/>
              <w:textAlignment w:val="center"/>
              <w:rPr>
                <w:rFonts w:cs="仿宋_GB2312"/>
                <w:color w:val="000000"/>
                <w:spacing w:val="-10"/>
                <w:sz w:val="24"/>
              </w:rPr>
            </w:pPr>
            <w:r>
              <w:rPr>
                <w:rFonts w:hint="eastAsia" w:cs="仿宋_GB2312"/>
                <w:color w:val="000000"/>
                <w:spacing w:val="-10"/>
                <w:kern w:val="0"/>
                <w:sz w:val="24"/>
                <w:lang w:bidi="ar"/>
              </w:rPr>
              <w:t>校领导班子成员配备、结构、分工情况以及校长和副校长的学历、职业资格、工作经历情况等。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（三）机构设置</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学校教育教学、行政后勤服务、招生就业、培训教育、安全保卫等管理机构设置情况，以及各部门职责和教职工岗位职责是否清晰，规章制度是否健全等。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（四）行政管理</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学校内部管理、督办机制建立情况，各部门工作对接是否顺畅，工作任务分工是否合理、能否及时传达到位，能否按时有效完成上级部门工作任务。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spacing w:line="240" w:lineRule="auto"/>
              <w:jc w:val="center"/>
              <w:rPr>
                <w:rFonts w:eastAsia="黑体"/>
                <w:color w:val="000000"/>
                <w:sz w:val="24"/>
              </w:rPr>
            </w:pPr>
            <w:r>
              <w:rPr>
                <w:rFonts w:hint="eastAsia" w:eastAsia="黑体"/>
                <w:color w:val="000000"/>
                <w:kern w:val="0"/>
                <w:sz w:val="24"/>
                <w:lang w:bidi="ar"/>
              </w:rPr>
              <w:t>二、学校管理</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31</w:t>
            </w:r>
            <w:r>
              <w:rPr>
                <w:rFonts w:hint="eastAsia" w:eastAsia="黑体"/>
                <w:color w:val="000000"/>
                <w:kern w:val="0"/>
                <w:sz w:val="24"/>
                <w:lang w:bidi="ar"/>
              </w:rPr>
              <w:t>分）</w:t>
            </w:r>
          </w:p>
        </w:tc>
        <w:tc>
          <w:tcPr>
            <w:tcW w:w="1980" w:type="dxa"/>
            <w:noWrap w:val="0"/>
            <w:vAlign w:val="center"/>
          </w:tcPr>
          <w:p>
            <w:pPr>
              <w:widowControl/>
              <w:spacing w:before="48" w:beforeLines="20" w:after="48" w:afterLines="20" w:line="240" w:lineRule="auto"/>
              <w:jc w:val="center"/>
              <w:textAlignment w:val="center"/>
              <w:rPr>
                <w:color w:val="000000"/>
                <w:sz w:val="24"/>
              </w:rPr>
            </w:pPr>
            <w:r>
              <w:rPr>
                <w:rFonts w:hint="eastAsia"/>
                <w:color w:val="000000"/>
                <w:kern w:val="0"/>
                <w:sz w:val="24"/>
                <w:lang w:bidi="ar"/>
              </w:rPr>
              <w:t>（五）招生管理</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学校招生简章符合要求并向市人社部门备案，信息真实准确；严格遵守招生纪律；招生计划按要求落实，招生计划制定科学；实际招生情况与招生计划相契合，收费项目和标准按要求公示等方面内容。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（六）学籍管理</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建立学生学籍管理制度，严格执行国家和省、市人社部门关于学生学籍的管理规定。学校学籍系统的信息管理严格，包括注册信息完整性和准确性。对于休学、退学、转学、复学的学生，学籍异动更新及时，准确反映学生在籍情况等方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（七）资助管理</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学校有关学生资助的申请、认定、公示、发放、建档等管理情况，资助发放精准性、及时性。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widowControl/>
              <w:spacing w:line="240" w:lineRule="auto"/>
              <w:jc w:val="center"/>
              <w:textAlignment w:val="center"/>
              <w:rPr>
                <w:rFonts w:eastAsia="黑体"/>
                <w:color w:val="000000"/>
                <w:sz w:val="24"/>
              </w:rPr>
            </w:pPr>
          </w:p>
        </w:tc>
        <w:tc>
          <w:tcPr>
            <w:tcW w:w="1980" w:type="dxa"/>
            <w:vMerge w:val="restart"/>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（八）财务管理</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学校财务、会计制度和资产管理制度建设情况，学校资金管理、资产管理、会计核算规范情况，财务信息审计与披露情况等。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vMerge w:val="continue"/>
            <w:noWrap w:val="0"/>
            <w:vAlign w:val="center"/>
          </w:tcPr>
          <w:p>
            <w:pPr>
              <w:spacing w:before="120" w:beforeLines="50" w:after="120" w:afterLines="50" w:line="240" w:lineRule="auto"/>
              <w:jc w:val="center"/>
              <w:rPr>
                <w:color w:val="000000"/>
                <w:sz w:val="24"/>
              </w:rPr>
            </w:pP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学校资产使用和财务管理是否接受市人社部门和其他有关部门的监督管理。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（九）合作办学</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没有未经省、市人社部门批准，自行开展联合办学、设立校外教学点的行为。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vMerge w:val="restart"/>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（十）安全管理</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制定并落实校舍、消防、校车、食品、实验用危化品、实训实习等各项安全责任制度等情况。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vMerge w:val="continue"/>
            <w:noWrap w:val="0"/>
            <w:vAlign w:val="center"/>
          </w:tcPr>
          <w:p>
            <w:pPr>
              <w:spacing w:before="120" w:beforeLines="50" w:after="120" w:afterLines="50" w:line="240" w:lineRule="auto"/>
              <w:jc w:val="center"/>
              <w:rPr>
                <w:color w:val="000000"/>
                <w:sz w:val="24"/>
              </w:rPr>
            </w:pP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每学期开展风险隐患排查，建立问题清单，明确整改举措及整改时限并抓好落实等情况。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vMerge w:val="continue"/>
            <w:noWrap w:val="0"/>
            <w:vAlign w:val="center"/>
          </w:tcPr>
          <w:p>
            <w:pPr>
              <w:spacing w:before="120" w:beforeLines="50" w:after="120" w:afterLines="50" w:line="240" w:lineRule="auto"/>
              <w:jc w:val="center"/>
              <w:rPr>
                <w:color w:val="000000"/>
                <w:sz w:val="24"/>
              </w:rPr>
            </w:pP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制定应对各种突发事件的预案，安全管理台账有关记录完整、归档清晰等。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restart"/>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三、教学质量</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28</w:t>
            </w:r>
            <w:r>
              <w:rPr>
                <w:rFonts w:hint="eastAsia" w:eastAsia="黑体"/>
                <w:color w:val="000000"/>
                <w:kern w:val="0"/>
                <w:sz w:val="24"/>
                <w:lang w:bidi="ar"/>
              </w:rPr>
              <w:t>分）</w:t>
            </w: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（一）德育工作</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学校思想政治工作、德育工作的计划和机构建设情况，以及思政师资配备情况。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（二）专业建设</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学校专业建设指导委员会建设、专业建设调查研究、专业教学计划及时更新、专业设置管理、专业退出机制等情况。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（三）教材使用</w:t>
            </w:r>
          </w:p>
        </w:tc>
        <w:tc>
          <w:tcPr>
            <w:tcW w:w="9875" w:type="dxa"/>
            <w:noWrap w:val="0"/>
            <w:vAlign w:val="center"/>
          </w:tcPr>
          <w:p>
            <w:pPr>
              <w:widowControl/>
              <w:spacing w:before="96" w:beforeLines="40" w:after="96" w:afterLines="40" w:line="240" w:lineRule="auto"/>
              <w:ind w:firstLine="456" w:firstLineChars="200"/>
              <w:textAlignment w:val="center"/>
              <w:rPr>
                <w:rFonts w:cs="仿宋_GB2312"/>
                <w:color w:val="000000"/>
                <w:sz w:val="24"/>
              </w:rPr>
            </w:pPr>
            <w:r>
              <w:rPr>
                <w:rFonts w:hint="eastAsia" w:cs="仿宋_GB2312"/>
                <w:color w:val="000000"/>
                <w:kern w:val="0"/>
                <w:sz w:val="24"/>
                <w:lang w:bidi="ar"/>
              </w:rPr>
              <w:t>学校教材审核委员会建设及工作情况。按人社部《技工院校教材管理工作实施细则》（人社厅发〔</w:t>
            </w:r>
            <w:r>
              <w:rPr>
                <w:rFonts w:cs="仿宋_GB2312"/>
                <w:color w:val="000000"/>
                <w:kern w:val="0"/>
                <w:sz w:val="24"/>
                <w:lang w:bidi="ar"/>
              </w:rPr>
              <w:t>2021</w:t>
            </w:r>
            <w:r>
              <w:rPr>
                <w:rFonts w:hint="eastAsia" w:cs="仿宋_GB2312"/>
                <w:color w:val="000000"/>
                <w:kern w:val="0"/>
                <w:sz w:val="24"/>
                <w:lang w:bidi="ar"/>
              </w:rPr>
              <w:t>〕</w:t>
            </w:r>
            <w:r>
              <w:rPr>
                <w:rFonts w:cs="仿宋_GB2312"/>
                <w:color w:val="000000"/>
                <w:kern w:val="0"/>
                <w:sz w:val="24"/>
                <w:lang w:bidi="ar"/>
              </w:rPr>
              <w:t>12</w:t>
            </w:r>
            <w:r>
              <w:rPr>
                <w:rFonts w:hint="eastAsia" w:cs="仿宋_GB2312"/>
                <w:color w:val="000000"/>
                <w:kern w:val="0"/>
                <w:sz w:val="24"/>
                <w:lang w:bidi="ar"/>
              </w:rPr>
              <w:t>号）要求规范使用教材。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restart"/>
            <w:noWrap w:val="0"/>
            <w:vAlign w:val="center"/>
          </w:tcPr>
          <w:p>
            <w:pPr>
              <w:spacing w:line="240" w:lineRule="auto"/>
              <w:jc w:val="center"/>
              <w:rPr>
                <w:rFonts w:eastAsia="黑体"/>
                <w:color w:val="000000"/>
                <w:sz w:val="24"/>
              </w:rPr>
            </w:pPr>
            <w:r>
              <w:rPr>
                <w:rFonts w:hint="eastAsia" w:eastAsia="黑体"/>
                <w:color w:val="000000"/>
                <w:kern w:val="0"/>
                <w:sz w:val="24"/>
                <w:lang w:bidi="ar"/>
              </w:rPr>
              <w:t>三、教学质量</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28</w:t>
            </w:r>
            <w:r>
              <w:rPr>
                <w:rFonts w:hint="eastAsia" w:eastAsia="黑体"/>
                <w:color w:val="000000"/>
                <w:kern w:val="0"/>
                <w:sz w:val="24"/>
                <w:lang w:bidi="ar"/>
              </w:rPr>
              <w:t>分）</w:t>
            </w: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（四）课程教学</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课程教学情况，比如落实专业教学计划、工学一体化课程建设、教学与实训课时分配情况。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（五）校企合作</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学校校企合作制度和机构建设以及管理情况，包括人才培养服务重点产业企业、专业实质性合作企业建设情况等。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（六）学生实习</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严格落实学生实习管理制度，建立完善工作机制和相应工作措施。签署学校、实习单位、学生三方协议，明确各方的责任、权利和义务，协议约定的实习期限、岗位、安全、报酬等内容符合规定要求。学校对实习工作和实习过程进行监管、台账齐全。全面落实学生到企业岗位实习责任保险制度，学校按规定维护实习学生的报酬权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（七）技能竞赛</w:t>
            </w:r>
          </w:p>
        </w:tc>
        <w:tc>
          <w:tcPr>
            <w:tcW w:w="9875" w:type="dxa"/>
            <w:noWrap w:val="0"/>
            <w:vAlign w:val="center"/>
          </w:tcPr>
          <w:p>
            <w:pPr>
              <w:widowControl/>
              <w:spacing w:before="72" w:beforeLines="30" w:after="72" w:afterLines="30" w:line="240" w:lineRule="auto"/>
              <w:ind w:firstLine="440" w:firstLineChars="200"/>
              <w:textAlignment w:val="center"/>
              <w:rPr>
                <w:rFonts w:cs="仿宋_GB2312"/>
                <w:color w:val="000000"/>
                <w:spacing w:val="-10"/>
                <w:sz w:val="24"/>
              </w:rPr>
            </w:pPr>
            <w:r>
              <w:rPr>
                <w:rFonts w:hint="eastAsia" w:cs="仿宋_GB2312"/>
                <w:color w:val="000000"/>
                <w:spacing w:val="-10"/>
                <w:kern w:val="0"/>
                <w:sz w:val="24"/>
                <w:lang w:bidi="ar"/>
              </w:rPr>
              <w:t>学校参加或组织各级各类技能竞赛活动情况以及技能竞赛集训基地与专家教练团队建设情况等。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（八）教学研究</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学校教学研究机构设置、教研活动开展是否符合相关要求、教研活动获得奖励情况等。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四、办学保障</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20</w:t>
            </w:r>
            <w:r>
              <w:rPr>
                <w:rFonts w:hint="eastAsia" w:eastAsia="黑体"/>
                <w:color w:val="000000"/>
                <w:kern w:val="0"/>
                <w:sz w:val="24"/>
                <w:lang w:bidi="ar"/>
              </w:rPr>
              <w:t>分）</w:t>
            </w: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（一）办学投入</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学校是否具有与培养规模相适应的日常运行、基本建设、设备购置、师资培训等稳定可靠的办学经费保障，办学经费（含生均经费等）标准是否达到要求。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（二）校园建设</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校园占地面积、校舍建筑总面积、生均校舍建筑面积、理论教学场所建筑面积、学生宿舍的居室人均使用面积、体育教学和学生锻炼的体育设备设施等指标的建设情况。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（三）实训条件</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校内实训场所和设备设施、工位数、实习实验场所建筑面积、实习实验设备总值等指标的建设情况。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（四）教师队伍</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学校是否建立教师评价相关机制，教师资质、师生比、教师结构、师德建设与管理、法治副校长配备、专职思政课教师配备、专职心理教师配备等方面的情况。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（五）智慧校园</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学校多媒体、网络教育教学和信息化管理要求的软硬件设施情况，包括一键报警、电子哨兵、校园视频监控、校园网站等。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（六）校园文化</w:t>
            </w:r>
          </w:p>
        </w:tc>
        <w:tc>
          <w:tcPr>
            <w:tcW w:w="9875" w:type="dxa"/>
            <w:noWrap w:val="0"/>
            <w:vAlign w:val="center"/>
          </w:tcPr>
          <w:p>
            <w:pPr>
              <w:widowControl/>
              <w:spacing w:before="72" w:beforeLines="30" w:after="72" w:afterLines="30" w:line="240" w:lineRule="auto"/>
              <w:ind w:firstLine="456" w:firstLineChars="200"/>
              <w:textAlignment w:val="center"/>
              <w:rPr>
                <w:rFonts w:cs="仿宋_GB2312"/>
                <w:color w:val="000000"/>
                <w:sz w:val="24"/>
              </w:rPr>
            </w:pPr>
            <w:r>
              <w:rPr>
                <w:rFonts w:hint="eastAsia" w:cs="仿宋_GB2312"/>
                <w:color w:val="000000"/>
                <w:kern w:val="0"/>
                <w:sz w:val="24"/>
                <w:lang w:bidi="ar"/>
              </w:rPr>
              <w:t>校园文化与内涵建设、职业道德、公民行为规范、法制教育以及学生职业生涯规划、就业创业指导和心理健康教育等情况。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五、办学效果</w:t>
            </w:r>
            <w:r>
              <w:rPr>
                <w:rFonts w:eastAsia="黑体"/>
                <w:color w:val="000000"/>
                <w:kern w:val="0"/>
                <w:sz w:val="24"/>
                <w:lang w:bidi="ar"/>
              </w:rPr>
              <w:br w:type="textWrapping"/>
            </w:r>
            <w:r>
              <w:rPr>
                <w:rFonts w:hint="eastAsia" w:eastAsia="黑体"/>
                <w:color w:val="000000"/>
                <w:kern w:val="0"/>
                <w:sz w:val="24"/>
                <w:lang w:bidi="ar"/>
              </w:rPr>
              <w:t>（</w:t>
            </w:r>
            <w:r>
              <w:rPr>
                <w:rFonts w:eastAsia="黑体"/>
                <w:color w:val="000000"/>
                <w:kern w:val="0"/>
                <w:sz w:val="24"/>
                <w:lang w:bidi="ar"/>
              </w:rPr>
              <w:t>10</w:t>
            </w:r>
            <w:r>
              <w:rPr>
                <w:rFonts w:hint="eastAsia" w:eastAsia="黑体"/>
                <w:color w:val="000000"/>
                <w:kern w:val="0"/>
                <w:sz w:val="24"/>
                <w:lang w:bidi="ar"/>
              </w:rPr>
              <w:t>分）</w:t>
            </w: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（一）培养规模</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全日制在校生数量与结构、年职业培训规模等指标情况。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（二）教学科研</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教学科研论文发表、精品课程或者教学资源库建设、教学教材开发、发明创造等方面情况。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（三）人才评价</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职业技能等级认定第三方评价机构建设、职业技能等级认定人数、毕业生考取职业资格或技能等级证书比例等情况。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（四）毕业就业</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学校当年毕业生的毕业率、就业率、用人单位满意度、学生及家长对学校的满意度、服务区域经济发展等情况、杰出校友宣传展示情况等。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widowControl/>
              <w:spacing w:line="240" w:lineRule="auto"/>
              <w:jc w:val="center"/>
              <w:textAlignment w:val="center"/>
              <w:rPr>
                <w:rFonts w:eastAsia="黑体"/>
                <w:color w:val="000000"/>
                <w:sz w:val="24"/>
              </w:rPr>
            </w:pPr>
            <w:r>
              <w:rPr>
                <w:rFonts w:hint="eastAsia" w:eastAsia="黑体"/>
                <w:color w:val="000000"/>
                <w:kern w:val="0"/>
                <w:sz w:val="24"/>
                <w:lang w:bidi="ar"/>
              </w:rPr>
              <w:t>六、加分项</w:t>
            </w:r>
            <w:r>
              <w:rPr>
                <w:rFonts w:eastAsia="黑体"/>
                <w:color w:val="000000"/>
                <w:kern w:val="0"/>
                <w:sz w:val="24"/>
                <w:lang w:bidi="ar"/>
              </w:rPr>
              <w:br w:type="textWrapping"/>
            </w:r>
            <w:r>
              <w:rPr>
                <w:rFonts w:hint="eastAsia" w:eastAsia="黑体"/>
                <w:color w:val="000000"/>
                <w:kern w:val="0"/>
                <w:sz w:val="24"/>
                <w:lang w:bidi="ar"/>
              </w:rPr>
              <w:t>（具体评分详见评分细则，加分项计入总分，</w:t>
            </w:r>
            <w:r>
              <w:rPr>
                <w:rFonts w:eastAsia="黑体"/>
                <w:color w:val="000000"/>
                <w:kern w:val="0"/>
                <w:sz w:val="24"/>
                <w:lang w:bidi="ar"/>
              </w:rPr>
              <w:t>10</w:t>
            </w:r>
            <w:r>
              <w:rPr>
                <w:rFonts w:hint="eastAsia" w:eastAsia="黑体"/>
                <w:color w:val="000000"/>
                <w:kern w:val="0"/>
                <w:sz w:val="24"/>
                <w:lang w:bidi="ar"/>
              </w:rPr>
              <w:t>分封顶）</w:t>
            </w: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（一）竞赛成绩</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主要包括学校当年世界竞赛、国家级竞赛、省级竞赛的获奖情况、举办或承办情况、集训基地情况、研究中心建设情况。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s="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（二）重点任务</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主要包括学校当年重点产业、新职业、新工种技能人才评价技术资源开发情况，承担省、市、区安排的对口帮扶、服务当地发展以及其他任务情况，参与集团化办学情况，被省、市、区批示肯定及各级媒体肯定报道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s="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（三）表彰奖励</w:t>
            </w:r>
          </w:p>
        </w:tc>
        <w:tc>
          <w:tcPr>
            <w:tcW w:w="9875" w:type="dxa"/>
            <w:noWrap w:val="0"/>
            <w:vAlign w:val="center"/>
          </w:tcPr>
          <w:p>
            <w:pPr>
              <w:widowControl/>
              <w:spacing w:before="120" w:beforeLines="50" w:after="120" w:afterLines="50" w:line="240" w:lineRule="auto"/>
              <w:ind w:firstLine="456" w:firstLineChars="200"/>
              <w:textAlignment w:val="center"/>
              <w:rPr>
                <w:rFonts w:cs="仿宋_GB2312"/>
                <w:color w:val="000000"/>
                <w:sz w:val="24"/>
              </w:rPr>
            </w:pPr>
            <w:r>
              <w:rPr>
                <w:rFonts w:hint="eastAsia" w:cs="仿宋_GB2312"/>
                <w:color w:val="000000"/>
                <w:kern w:val="0"/>
                <w:sz w:val="24"/>
                <w:lang w:bidi="ar"/>
              </w:rPr>
              <w:t>主要包括当年获得国家级、省级和市级的综合性表彰情况以及其他表彰奖励情况。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restart"/>
            <w:noWrap w:val="0"/>
            <w:vAlign w:val="center"/>
          </w:tcPr>
          <w:p>
            <w:pPr>
              <w:widowControl/>
              <w:spacing w:line="240" w:lineRule="auto"/>
              <w:jc w:val="center"/>
              <w:textAlignment w:val="center"/>
              <w:rPr>
                <w:rFonts w:eastAsia="黑体" w:cs="黑体"/>
                <w:color w:val="000000"/>
                <w:sz w:val="24"/>
              </w:rPr>
            </w:pPr>
            <w:r>
              <w:rPr>
                <w:rFonts w:hint="eastAsia" w:eastAsia="黑体" w:cs="黑体"/>
                <w:color w:val="000000"/>
                <w:kern w:val="0"/>
                <w:sz w:val="24"/>
                <w:lang w:bidi="ar"/>
              </w:rPr>
              <w:t>七、减分项</w:t>
            </w:r>
            <w:r>
              <w:rPr>
                <w:rFonts w:eastAsia="黑体" w:cs="黑体"/>
                <w:color w:val="000000"/>
                <w:kern w:val="0"/>
                <w:sz w:val="24"/>
                <w:lang w:bidi="ar"/>
              </w:rPr>
              <w:br w:type="textWrapping"/>
            </w:r>
            <w:r>
              <w:rPr>
                <w:rFonts w:hint="eastAsia" w:eastAsia="黑体" w:cs="黑体"/>
                <w:color w:val="000000"/>
                <w:kern w:val="0"/>
                <w:sz w:val="24"/>
                <w:lang w:bidi="ar"/>
              </w:rPr>
              <w:t>（具体评分详见评分细则，减分项计入总分，不设下限）</w:t>
            </w: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（一）规定任务</w:t>
            </w:r>
          </w:p>
        </w:tc>
        <w:tc>
          <w:tcPr>
            <w:tcW w:w="9875" w:type="dxa"/>
            <w:noWrap w:val="0"/>
            <w:vAlign w:val="center"/>
          </w:tcPr>
          <w:p>
            <w:pPr>
              <w:widowControl/>
              <w:spacing w:before="120" w:beforeLines="50" w:after="120" w:afterLines="50" w:line="240" w:lineRule="auto"/>
              <w:ind w:firstLine="456" w:firstLineChars="200"/>
              <w:jc w:val="left"/>
              <w:textAlignment w:val="center"/>
              <w:rPr>
                <w:rFonts w:cs="仿宋_GB2312"/>
                <w:color w:val="000000"/>
                <w:sz w:val="24"/>
              </w:rPr>
            </w:pPr>
            <w:r>
              <w:rPr>
                <w:rFonts w:hint="eastAsia" w:cs="仿宋_GB2312"/>
                <w:color w:val="000000"/>
                <w:kern w:val="0"/>
                <w:sz w:val="24"/>
                <w:lang w:bidi="ar"/>
              </w:rPr>
              <w:t>主要包括未完成人社部门下达的培训、评价、竞赛、对口支援等工作目标任务等，不配合不按时或敷衍完成人社部门日常交办工作任务。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s="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（二）师德师风</w:t>
            </w:r>
          </w:p>
        </w:tc>
        <w:tc>
          <w:tcPr>
            <w:tcW w:w="9875" w:type="dxa"/>
            <w:noWrap w:val="0"/>
            <w:vAlign w:val="center"/>
          </w:tcPr>
          <w:p>
            <w:pPr>
              <w:widowControl/>
              <w:spacing w:before="120" w:beforeLines="50" w:after="120" w:afterLines="50" w:line="240" w:lineRule="auto"/>
              <w:ind w:firstLine="456" w:firstLineChars="200"/>
              <w:jc w:val="left"/>
              <w:textAlignment w:val="center"/>
              <w:rPr>
                <w:rFonts w:cs="仿宋_GB2312"/>
                <w:color w:val="000000"/>
                <w:sz w:val="24"/>
              </w:rPr>
            </w:pPr>
            <w:r>
              <w:rPr>
                <w:rFonts w:hint="eastAsia" w:cs="仿宋_GB2312"/>
                <w:color w:val="000000"/>
                <w:kern w:val="0"/>
                <w:sz w:val="24"/>
                <w:lang w:bidi="ar"/>
              </w:rPr>
              <w:t>主要包括学校教师存在违反职业道德行为及其带来的社会负面影响情况。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s="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（三）舆情信访</w:t>
            </w:r>
          </w:p>
        </w:tc>
        <w:tc>
          <w:tcPr>
            <w:tcW w:w="9875" w:type="dxa"/>
            <w:noWrap w:val="0"/>
            <w:vAlign w:val="center"/>
          </w:tcPr>
          <w:p>
            <w:pPr>
              <w:widowControl/>
              <w:spacing w:before="120" w:beforeLines="50" w:after="120" w:afterLines="50" w:line="240" w:lineRule="auto"/>
              <w:ind w:firstLine="456" w:firstLineChars="200"/>
              <w:jc w:val="left"/>
              <w:textAlignment w:val="center"/>
              <w:rPr>
                <w:rFonts w:cs="仿宋_GB2312"/>
                <w:color w:val="000000"/>
                <w:sz w:val="24"/>
              </w:rPr>
            </w:pPr>
            <w:r>
              <w:rPr>
                <w:rFonts w:hint="eastAsia" w:cs="仿宋_GB2312"/>
                <w:color w:val="000000"/>
                <w:kern w:val="0"/>
                <w:sz w:val="24"/>
                <w:lang w:bidi="ar"/>
              </w:rPr>
              <w:t>学校被省、市级新闻媒体曝光、年市民热线投诉数量、年信访件数量、网络舆情发生与处置等情况，以及学校发生群体性上访事件、发生学生欺凌或打架斗殴等恶性事件的情况。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94" w:type="dxa"/>
            <w:vMerge w:val="continue"/>
            <w:noWrap w:val="0"/>
            <w:vAlign w:val="center"/>
          </w:tcPr>
          <w:p>
            <w:pPr>
              <w:spacing w:line="240" w:lineRule="auto"/>
              <w:jc w:val="center"/>
              <w:rPr>
                <w:rFonts w:eastAsia="黑体" w:cs="黑体"/>
                <w:color w:val="000000"/>
                <w:sz w:val="24"/>
              </w:rPr>
            </w:pPr>
          </w:p>
        </w:tc>
        <w:tc>
          <w:tcPr>
            <w:tcW w:w="1980" w:type="dxa"/>
            <w:noWrap w:val="0"/>
            <w:vAlign w:val="center"/>
          </w:tcPr>
          <w:p>
            <w:pPr>
              <w:widowControl/>
              <w:spacing w:before="120" w:beforeLines="50" w:after="120" w:afterLines="50" w:line="240" w:lineRule="auto"/>
              <w:jc w:val="center"/>
              <w:textAlignment w:val="center"/>
              <w:rPr>
                <w:color w:val="000000"/>
                <w:sz w:val="24"/>
              </w:rPr>
            </w:pPr>
            <w:r>
              <w:rPr>
                <w:rFonts w:hint="eastAsia"/>
                <w:color w:val="000000"/>
                <w:kern w:val="0"/>
                <w:sz w:val="24"/>
                <w:lang w:bidi="ar"/>
              </w:rPr>
              <w:t>（四）负面通报</w:t>
            </w:r>
          </w:p>
        </w:tc>
        <w:tc>
          <w:tcPr>
            <w:tcW w:w="9875" w:type="dxa"/>
            <w:noWrap w:val="0"/>
            <w:vAlign w:val="center"/>
          </w:tcPr>
          <w:p>
            <w:pPr>
              <w:widowControl/>
              <w:spacing w:before="120" w:beforeLines="50" w:after="120" w:afterLines="50" w:line="240" w:lineRule="auto"/>
              <w:ind w:firstLine="456" w:firstLineChars="200"/>
              <w:jc w:val="left"/>
              <w:textAlignment w:val="center"/>
              <w:rPr>
                <w:rFonts w:cs="仿宋_GB2312"/>
                <w:color w:val="000000"/>
                <w:sz w:val="24"/>
              </w:rPr>
            </w:pPr>
            <w:r>
              <w:rPr>
                <w:rFonts w:hint="eastAsia" w:cs="仿宋_GB2312"/>
                <w:color w:val="000000"/>
                <w:kern w:val="0"/>
                <w:sz w:val="24"/>
                <w:lang w:bidi="ar"/>
              </w:rPr>
              <w:t>学校收到其他办学工作负面通报情况。</w:t>
            </w: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B75AE"/>
    <w:rsid w:val="565B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Times New Roman" w:hAnsi="Times New Roman" w:eastAsia="仿宋_GB2312" w:cs="Times New Roman"/>
      <w:spacing w:val="-6"/>
      <w:kern w:val="32"/>
      <w:sz w:val="32"/>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2024-10-29T01:03:00Z</dcterms:created>
  <dc:creator>孙信仪</dc:creator>
  <cp:lastModifiedBy>孙信仪</cp:lastModifiedBy>
  <dcterms:modified xsi:type="dcterms:W3CDTF">2024-10-29T01:04:36Z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4589DAC8E2ED4847B7D8A492CA2755BB</vt:lpwstr>
  </property>
</Properties>
</file>