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line="334" w:lineRule="exact"/>
        <w:ind w:firstLine="2736" w:firstLineChars="1200"/>
        <w:jc w:val="both"/>
        <w:textAlignment w:val="auto"/>
        <w:rPr>
          <w:rFonts w:hint="default" w:ascii="Times New Roman" w:hAnsi="Times New Roman" w:eastAsia="楷体_GB2312" w:cs="Times New Roman"/>
          <w:color w:val="auto"/>
          <w:sz w:val="24"/>
          <w:szCs w:val="24"/>
          <w:lang w:val="en-US" w:eastAsia="zh-CN"/>
        </w:rPr>
      </w:pPr>
      <w:r>
        <w:rPr>
          <w:rFonts w:hint="default" w:ascii="Times New Roman" w:hAnsi="Times New Roman" w:cs="Times New Roman"/>
          <w:sz w:val="24"/>
        </w:rPr>
        <mc:AlternateContent>
          <mc:Choice Requires="wps">
            <w:drawing>
              <wp:anchor distT="0" distB="0" distL="114300" distR="114300" simplePos="0" relativeHeight="251660288" behindDoc="0" locked="0" layoutInCell="1" allowOverlap="1">
                <wp:simplePos x="0" y="0"/>
                <wp:positionH relativeFrom="column">
                  <wp:posOffset>5010785</wp:posOffset>
                </wp:positionH>
                <wp:positionV relativeFrom="paragraph">
                  <wp:posOffset>-1031240</wp:posOffset>
                </wp:positionV>
                <wp:extent cx="1118870" cy="4387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18870" cy="438785"/>
                        </a:xfrm>
                        <a:prstGeom prst="rect">
                          <a:avLst/>
                        </a:prstGeom>
                        <a:noFill/>
                        <a:ln>
                          <a:noFill/>
                        </a:ln>
                        <a:effectLst/>
                      </wps:spPr>
                      <wps:txbx>
                        <w:txbxContent>
                          <w:p>
                            <w:pPr>
                              <w:pStyle w:val="2"/>
                              <w:jc w:val="right"/>
                              <w:rPr>
                                <w:rFonts w:hint="eastAsia" w:ascii="Times New Roman"/>
                                <w:color w:val="auto"/>
                                <w:sz w:val="32"/>
                                <w:szCs w:val="32"/>
                                <w:lang w:val="en-US" w:eastAsia="zh-CN"/>
                              </w:rPr>
                            </w:pPr>
                            <w:r>
                              <w:rPr>
                                <w:rFonts w:hint="eastAsia" w:ascii="Times New Roman"/>
                                <w:color w:val="auto"/>
                                <w:sz w:val="32"/>
                                <w:szCs w:val="32"/>
                                <w:lang w:eastAsia="zh-CN"/>
                              </w:rPr>
                              <w:t>（</w:t>
                            </w:r>
                            <w:r>
                              <w:rPr>
                                <w:rFonts w:hint="eastAsia" w:ascii="Times New Roman"/>
                                <w:color w:val="auto"/>
                                <w:sz w:val="32"/>
                                <w:szCs w:val="32"/>
                                <w:u w:val="single"/>
                                <w:lang w:val="en-US" w:eastAsia="zh-CN"/>
                              </w:rPr>
                              <w:t xml:space="preserve"> A </w:t>
                            </w:r>
                            <w:r>
                              <w:rPr>
                                <w:rFonts w:hint="eastAsia" w:ascii="Times New Roman"/>
                                <w:color w:val="auto"/>
                                <w:sz w:val="32"/>
                                <w:szCs w:val="32"/>
                                <w:lang w:val="en-US" w:eastAsia="zh-CN"/>
                              </w:rPr>
                              <w:t>类）</w:t>
                            </w:r>
                          </w:p>
                          <w:p/>
                        </w:txbxContent>
                      </wps:txbx>
                      <wps:bodyPr upright="1"/>
                    </wps:wsp>
                  </a:graphicData>
                </a:graphic>
              </wp:anchor>
            </w:drawing>
          </mc:Choice>
          <mc:Fallback>
            <w:pict>
              <v:shape id="_x0000_s1026" o:spid="_x0000_s1026" o:spt="202" type="#_x0000_t202" style="position:absolute;left:0pt;margin-left:394.55pt;margin-top:-81.2pt;height:34.55pt;width:88.1pt;z-index:251660288;mso-width-relative:page;mso-height-relative:page;" filled="f" stroked="f" coordsize="21600,21600" o:gfxdata="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3vtx0toAAAAMAQAADwAAAAAAAAABACAAAAAiAAAAZHJzL2Rvd25yZXYueG1sUEsBAhQAFAAAAAgA&#10;h07iQLgWcRSxAQAAXAMAAA4AAAAAAAAAAQAgAAAAKQEAAGRycy9lMm9Eb2MueG1sUEsFBgAAAAAG&#10;AAYAWQEAAEwFAAAAAA==&#10;">
                <v:fill on="f" focussize="0,0"/>
                <v:stroke on="f"/>
                <v:imagedata o:title=""/>
                <o:lock v:ext="edit" aspectratio="f"/>
                <v:textbox>
                  <w:txbxContent>
                    <w:p>
                      <w:pPr>
                        <w:pStyle w:val="2"/>
                        <w:jc w:val="right"/>
                        <w:rPr>
                          <w:rFonts w:hint="eastAsia" w:ascii="Times New Roman"/>
                          <w:color w:val="auto"/>
                          <w:sz w:val="32"/>
                          <w:szCs w:val="32"/>
                          <w:lang w:val="en-US" w:eastAsia="zh-CN"/>
                        </w:rPr>
                      </w:pPr>
                      <w:r>
                        <w:rPr>
                          <w:rFonts w:hint="eastAsia" w:ascii="Times New Roman"/>
                          <w:color w:val="auto"/>
                          <w:sz w:val="32"/>
                          <w:szCs w:val="32"/>
                          <w:lang w:eastAsia="zh-CN"/>
                        </w:rPr>
                        <w:t>（</w:t>
                      </w:r>
                      <w:r>
                        <w:rPr>
                          <w:rFonts w:hint="eastAsia" w:ascii="Times New Roman"/>
                          <w:color w:val="auto"/>
                          <w:sz w:val="32"/>
                          <w:szCs w:val="32"/>
                          <w:u w:val="single"/>
                          <w:lang w:val="en-US" w:eastAsia="zh-CN"/>
                        </w:rPr>
                        <w:t xml:space="preserve"> A </w:t>
                      </w:r>
                      <w:r>
                        <w:rPr>
                          <w:rFonts w:hint="eastAsia" w:ascii="Times New Roman"/>
                          <w:color w:val="auto"/>
                          <w:sz w:val="32"/>
                          <w:szCs w:val="32"/>
                          <w:lang w:val="en-US" w:eastAsia="zh-CN"/>
                        </w:rPr>
                        <w:t>类）</w:t>
                      </w:r>
                    </w:p>
                    <w:p/>
                  </w:txbxContent>
                </v:textbox>
              </v:shape>
            </w:pict>
          </mc:Fallback>
        </mc:AlternateContent>
      </w:r>
    </w:p>
    <w:tbl>
      <w:tblPr>
        <w:tblStyle w:val="9"/>
        <w:tblpPr w:leftFromText="180" w:rightFromText="180" w:vertAnchor="page" w:horzAnchor="page" w:tblpX="1399" w:tblpY="1283"/>
        <w:tblOverlap w:val="never"/>
        <w:tblW w:w="9241" w:type="dxa"/>
        <w:jc w:val="center"/>
        <w:tblBorders>
          <w:top w:val="thinThickMediumGap" w:color="auto" w:sz="2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1"/>
      </w:tblGrid>
      <w:tr>
        <w:tblPrEx>
          <w:tblBorders>
            <w:top w:val="thinThickMedium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jc w:val="center"/>
        </w:trPr>
        <w:tc>
          <w:tcPr>
            <w:tcW w:w="9241" w:type="dxa"/>
            <w:tcBorders>
              <w:top w:val="nil"/>
              <w:bottom w:val="thinThickMediumGap" w:color="FF0000" w:sz="24" w:space="0"/>
            </w:tcBorders>
            <w:noWrap w:val="0"/>
            <w:vAlign w:val="center"/>
          </w:tcPr>
          <w:p>
            <w:pPr>
              <w:overflowPunct/>
              <w:spacing w:line="204" w:lineRule="auto"/>
              <w:jc w:val="center"/>
              <w:rPr>
                <w:rFonts w:hint="default" w:ascii="Times New Roman" w:hAnsi="Times New Roman" w:eastAsia="方正小标宋简体" w:cs="Times New Roman"/>
                <w:color w:val="FF0000"/>
                <w:spacing w:val="206"/>
                <w:kern w:val="76"/>
                <w:sz w:val="57"/>
                <w:lang w:eastAsia="zh-CN"/>
              </w:rPr>
            </w:pPr>
            <w:r>
              <w:rPr>
                <w:rFonts w:hint="default" w:ascii="Times New Roman" w:hAnsi="Times New Roman" w:eastAsia="方正小标宋简体" w:cs="Times New Roman"/>
                <w:color w:val="FF0000"/>
                <w:spacing w:val="312"/>
                <w:kern w:val="76"/>
                <w:sz w:val="96"/>
                <w:szCs w:val="96"/>
              </w:rPr>
              <w:t>中山市</w:t>
            </w:r>
            <w:r>
              <w:rPr>
                <w:rFonts w:hint="default" w:ascii="Times New Roman" w:hAnsi="Times New Roman" w:eastAsia="方正小标宋简体" w:cs="Times New Roman"/>
                <w:color w:val="FF0000"/>
                <w:spacing w:val="312"/>
                <w:kern w:val="76"/>
                <w:sz w:val="96"/>
                <w:szCs w:val="96"/>
                <w:lang w:eastAsia="zh-CN"/>
              </w:rPr>
              <w:t>民政</w:t>
            </w:r>
            <w:r>
              <w:rPr>
                <w:rFonts w:hint="default" w:ascii="Times New Roman" w:hAnsi="Times New Roman" w:eastAsia="方正小标宋简体" w:cs="Times New Roman"/>
                <w:color w:val="FF0000"/>
                <w:spacing w:val="0"/>
                <w:kern w:val="76"/>
                <w:sz w:val="96"/>
                <w:szCs w:val="96"/>
                <w:lang w:eastAsia="zh-CN"/>
              </w:rPr>
              <w:t>局</w:t>
            </w:r>
          </w:p>
        </w:tc>
      </w:tr>
      <w:tr>
        <w:tblPrEx>
          <w:tblBorders>
            <w:top w:val="thinThickMedium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9241" w:type="dxa"/>
            <w:tcBorders>
              <w:top w:val="thinThickMediumGap" w:color="FF0000" w:sz="24" w:space="0"/>
            </w:tcBorders>
            <w:noWrap w:val="0"/>
            <w:vAlign w:val="top"/>
          </w:tcPr>
          <w:p>
            <w:pPr>
              <w:spacing w:line="240" w:lineRule="auto"/>
              <w:jc w:val="both"/>
              <w:rPr>
                <w:rFonts w:hint="default" w:ascii="Times New Roman" w:hAnsi="Times New Roman" w:eastAsia="方正小标宋简体" w:cs="Times New Roman"/>
                <w:color w:val="FF0000"/>
                <w:spacing w:val="206"/>
                <w:kern w:val="76"/>
                <w:sz w:val="2"/>
              </w:rPr>
            </w:pPr>
          </w:p>
        </w:tc>
      </w:tr>
    </w:tbl>
    <w:p>
      <w:pPr>
        <w:pStyle w:val="12"/>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pacing w:val="0"/>
          <w:lang w:val="en-US" w:eastAsia="zh-CN"/>
        </w:rPr>
      </w:pPr>
      <w:r>
        <w:rPr>
          <w:rFonts w:hint="default" w:ascii="Times New Roman" w:hAnsi="Times New Roman" w:eastAsia="仿宋_GB2312" w:cs="Times New Roman"/>
          <w:spacing w:val="0"/>
          <w:lang w:val="en-US" w:eastAsia="zh-CN"/>
        </w:rPr>
        <w:t>中民函〔2024〕</w:t>
      </w:r>
      <w:r>
        <w:rPr>
          <w:rFonts w:hint="eastAsia" w:eastAsia="仿宋_GB2312" w:cs="Times New Roman"/>
          <w:spacing w:val="0"/>
          <w:lang w:val="en-US" w:eastAsia="zh-CN"/>
        </w:rPr>
        <w:t>57</w:t>
      </w:r>
      <w:r>
        <w:rPr>
          <w:rFonts w:hint="default" w:ascii="Times New Roman" w:hAnsi="Times New Roman" w:eastAsia="仿宋_GB2312" w:cs="Times New Roman"/>
          <w:spacing w:val="0"/>
          <w:lang w:val="en-US" w:eastAsia="zh-CN"/>
        </w:rPr>
        <w:t>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Times New Roman" w:hAnsi="Times New Roman" w:eastAsia="方正小标宋简体" w:cs="Times New Roman"/>
          <w:color w:val="auto"/>
          <w:spacing w:val="0"/>
          <w:sz w:val="44"/>
        </w:rPr>
      </w:pP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中山市</w:t>
      </w:r>
      <w:r>
        <w:rPr>
          <w:rFonts w:hint="default" w:ascii="Times New Roman" w:hAnsi="Times New Roman" w:eastAsia="方正小标宋简体" w:cs="Times New Roman"/>
          <w:sz w:val="44"/>
          <w:lang w:val="en-US" w:eastAsia="zh-CN"/>
        </w:rPr>
        <w:t>民政局</w:t>
      </w:r>
      <w:r>
        <w:rPr>
          <w:rFonts w:hint="default" w:ascii="Times New Roman" w:hAnsi="Times New Roman" w:eastAsia="方正小标宋简体" w:cs="Times New Roman"/>
          <w:sz w:val="44"/>
        </w:rPr>
        <w:t>关于市政协十三届</w:t>
      </w:r>
      <w:r>
        <w:rPr>
          <w:rFonts w:hint="eastAsia" w:ascii="Times New Roman" w:hAnsi="Times New Roman" w:eastAsia="方正小标宋简体" w:cs="Times New Roman"/>
          <w:sz w:val="44"/>
          <w:lang w:val="en-US" w:eastAsia="zh-CN"/>
        </w:rPr>
        <w:t>三</w:t>
      </w:r>
      <w:r>
        <w:rPr>
          <w:rFonts w:hint="default" w:ascii="Times New Roman" w:hAnsi="Times New Roman" w:eastAsia="方正小标宋简体" w:cs="Times New Roman"/>
          <w:sz w:val="44"/>
        </w:rPr>
        <w:t>次会议</w:t>
      </w: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sz w:val="44"/>
          <w:lang w:eastAsia="zh-CN"/>
        </w:rPr>
      </w:pPr>
      <w:r>
        <w:rPr>
          <w:rFonts w:hint="default" w:ascii="Times New Roman" w:hAnsi="Times New Roman" w:eastAsia="方正小标宋简体" w:cs="Times New Roman"/>
          <w:sz w:val="44"/>
          <w:lang w:eastAsia="zh-CN"/>
        </w:rPr>
        <w:t>第133</w:t>
      </w:r>
      <w:r>
        <w:rPr>
          <w:rFonts w:hint="eastAsia" w:ascii="Times New Roman" w:hAnsi="Times New Roman" w:eastAsia="方正小标宋简体" w:cs="Times New Roman"/>
          <w:sz w:val="44"/>
          <w:lang w:val="en-US" w:eastAsia="zh-CN"/>
        </w:rPr>
        <w:t>193</w:t>
      </w:r>
      <w:r>
        <w:rPr>
          <w:rFonts w:hint="default" w:ascii="Times New Roman" w:hAnsi="Times New Roman" w:eastAsia="方正小标宋简体" w:cs="Times New Roman"/>
          <w:sz w:val="44"/>
          <w:lang w:val="en-US" w:eastAsia="zh-CN"/>
        </w:rPr>
        <w:t>号提案</w:t>
      </w:r>
      <w:r>
        <w:rPr>
          <w:rFonts w:hint="default" w:ascii="Times New Roman" w:hAnsi="Times New Roman" w:eastAsia="方正小标宋简体" w:cs="Times New Roman"/>
          <w:sz w:val="44"/>
        </w:rPr>
        <w:t>答复</w:t>
      </w:r>
      <w:r>
        <w:rPr>
          <w:rFonts w:hint="default" w:ascii="Times New Roman" w:hAnsi="Times New Roman" w:eastAsia="方正小标宋简体" w:cs="Times New Roman"/>
          <w:sz w:val="44"/>
          <w:lang w:eastAsia="zh-CN"/>
        </w:rPr>
        <w:t>的函</w:t>
      </w:r>
    </w:p>
    <w:p>
      <w:pPr>
        <w:keepNext w:val="0"/>
        <w:keepLines w:val="0"/>
        <w:pageBreakBefore w:val="0"/>
        <w:kinsoku/>
        <w:wordWrap/>
        <w:overflowPunct/>
        <w:topLinePunct w:val="0"/>
        <w:autoSpaceDE/>
        <w:autoSpaceDN/>
        <w:bidi w:val="0"/>
        <w:spacing w:line="560" w:lineRule="exact"/>
        <w:textAlignment w:val="auto"/>
        <w:rPr>
          <w:rFonts w:hint="eastAsia" w:ascii="Times New Roman"/>
          <w:color w:val="auto"/>
          <w:spacing w:val="0"/>
        </w:rPr>
      </w:pPr>
    </w:p>
    <w:p>
      <w:pPr>
        <w:keepNext w:val="0"/>
        <w:keepLines w:val="0"/>
        <w:pageBreakBefore w:val="0"/>
        <w:widowControl w:val="0"/>
        <w:kinsoku/>
        <w:wordWrap/>
        <w:overflowPunct/>
        <w:topLinePunct w:val="0"/>
        <w:autoSpaceDE/>
        <w:autoSpaceDN/>
        <w:bidi w:val="0"/>
        <w:spacing w:beforeAutospacing="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钟海燕</w:t>
      </w:r>
      <w:r>
        <w:rPr>
          <w:rFonts w:hint="default" w:ascii="Times New Roman" w:hAnsi="Times New Roman" w:eastAsia="仿宋_GB2312" w:cs="Times New Roman"/>
          <w:sz w:val="32"/>
          <w:szCs w:val="32"/>
          <w:lang w:val="en-US" w:eastAsia="zh-CN"/>
        </w:rPr>
        <w:t>等委员</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beforeAutospacing="0" w:afterAutospacing="0" w:line="560" w:lineRule="exact"/>
        <w:ind w:firstLine="61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你们提出的</w:t>
      </w:r>
      <w:r>
        <w:rPr>
          <w:rFonts w:hint="default" w:ascii="Times New Roman" w:hAnsi="Times New Roman" w:eastAsia="仿宋_GB2312" w:cs="Times New Roman"/>
          <w:sz w:val="32"/>
          <w:szCs w:val="32"/>
          <w:lang w:eastAsia="zh-CN"/>
        </w:rPr>
        <w:t>《关于推进基本养老服务提质增效的建议》（</w:t>
      </w:r>
      <w:r>
        <w:rPr>
          <w:rFonts w:hint="default" w:ascii="Times New Roman" w:hAnsi="Times New Roman" w:eastAsia="仿宋_GB2312" w:cs="Times New Roman"/>
          <w:sz w:val="32"/>
          <w:szCs w:val="32"/>
          <w:lang w:val="en-US" w:eastAsia="zh-CN"/>
        </w:rPr>
        <w:t>提案</w:t>
      </w:r>
      <w:r>
        <w:rPr>
          <w:rFonts w:hint="default" w:ascii="Times New Roman" w:hAnsi="Times New Roman" w:eastAsia="仿宋_GB2312" w:cs="Times New Roman"/>
          <w:sz w:val="32"/>
          <w:szCs w:val="32"/>
          <w:lang w:eastAsia="zh-CN"/>
        </w:rPr>
        <w:t>第133</w:t>
      </w:r>
      <w:r>
        <w:rPr>
          <w:rFonts w:hint="default" w:ascii="Times New Roman" w:hAnsi="Times New Roman" w:eastAsia="仿宋_GB2312" w:cs="Times New Roman"/>
          <w:sz w:val="32"/>
          <w:szCs w:val="32"/>
          <w:lang w:val="en-US" w:eastAsia="zh-CN"/>
        </w:rPr>
        <w:t>193号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收悉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非常感谢你们对我市养老服务工作的关注和支持，提案具有前瞻性和可行性，市民政局及相关会办单位对贵会的意见予以积极采纳。</w:t>
      </w:r>
      <w:r>
        <w:rPr>
          <w:rFonts w:hint="default" w:ascii="Times New Roman" w:hAnsi="Times New Roman" w:eastAsia="仿宋_GB2312" w:cs="Times New Roman"/>
          <w:sz w:val="32"/>
          <w:szCs w:val="32"/>
          <w:lang w:eastAsia="zh-CN"/>
        </w:rPr>
        <w:t>经综合市财政局、</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eastAsia="zh-CN"/>
        </w:rPr>
        <w:t>卫生健康局</w:t>
      </w:r>
      <w:r>
        <w:rPr>
          <w:rFonts w:hint="default" w:ascii="Times New Roman" w:hAnsi="Times New Roman" w:eastAsia="仿宋_GB2312" w:cs="Times New Roman"/>
          <w:sz w:val="32"/>
          <w:szCs w:val="32"/>
          <w:lang w:val="en-US" w:eastAsia="zh-CN"/>
        </w:rPr>
        <w:t>意见，</w:t>
      </w:r>
      <w:r>
        <w:rPr>
          <w:rFonts w:hint="default" w:ascii="Times New Roman" w:hAnsi="Times New Roman" w:eastAsia="仿宋_GB2312" w:cs="Times New Roman"/>
          <w:sz w:val="32"/>
          <w:szCs w:val="32"/>
        </w:rPr>
        <w:t>现答复如下：</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16" w:firstLineChars="200"/>
        <w:textAlignment w:val="auto"/>
        <w:rPr>
          <w:rFonts w:hint="default" w:ascii="Times New Roman" w:hAnsi="Times New Roman" w:eastAsia="黑体" w:cs="Times New Roman"/>
          <w:snapToGrid w:val="0"/>
          <w:spacing w:val="-6"/>
          <w:kern w:val="32"/>
          <w:sz w:val="32"/>
          <w:szCs w:val="32"/>
          <w:lang w:val="en-US" w:eastAsia="zh-CN" w:bidi="ar-SA"/>
        </w:rPr>
      </w:pPr>
      <w:r>
        <w:rPr>
          <w:rFonts w:hint="default" w:ascii="Times New Roman" w:hAnsi="Times New Roman" w:eastAsia="黑体" w:cs="Times New Roman"/>
          <w:sz w:val="32"/>
          <w:szCs w:val="32"/>
          <w:lang w:val="en-US" w:eastAsia="zh-CN"/>
        </w:rPr>
        <w:t>一、关于加快扩大和优化老年助餐服务供给，探索总结其可持续发展模式的建议</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中山市认真贯彻落实</w:t>
      </w:r>
      <w:r>
        <w:rPr>
          <w:rFonts w:hint="default" w:ascii="Times New Roman" w:hAnsi="Times New Roman" w:eastAsia="仿宋_GB2312" w:cs="Times New Roman"/>
          <w:sz w:val="32"/>
          <w:szCs w:val="32"/>
          <w:lang w:val="en-US" w:eastAsia="zh-CN"/>
        </w:rPr>
        <w:t>上级有关发展老年助餐服务工作</w:t>
      </w:r>
      <w:r>
        <w:rPr>
          <w:rFonts w:hint="default" w:ascii="Times New Roman" w:hAnsi="Times New Roman" w:eastAsia="仿宋_GB2312" w:cs="Times New Roman"/>
          <w:sz w:val="32"/>
          <w:szCs w:val="32"/>
        </w:rPr>
        <w:t>部署要求，聚焦“高水平覆盖、高质量服务”，努力打造“香山长者饭堂”服务品牌，</w:t>
      </w:r>
      <w:r>
        <w:rPr>
          <w:rFonts w:hint="default" w:ascii="Times New Roman" w:hAnsi="Times New Roman" w:cs="Times New Roman"/>
          <w:sz w:val="32"/>
          <w:szCs w:val="32"/>
          <w:lang w:val="en-US" w:eastAsia="zh-CN"/>
        </w:rPr>
        <w:t>持续探索、优化老年助餐服务可持续发展模式。</w:t>
      </w:r>
    </w:p>
    <w:p>
      <w:pPr>
        <w:keepNext w:val="0"/>
        <w:keepLines w:val="0"/>
        <w:pageBreakBefore w:val="0"/>
        <w:widowControl w:val="0"/>
        <w:kinsoku/>
        <w:wordWrap/>
        <w:overflowPunct/>
        <w:topLinePunct w:val="0"/>
        <w:autoSpaceDE/>
        <w:autoSpaceDN/>
        <w:bidi w:val="0"/>
        <w:spacing w:beforeAutospacing="0" w:afterAutospacing="0" w:line="560" w:lineRule="exact"/>
        <w:ind w:firstLine="616"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一是打造规范化、多元化、品牌化老年助餐服务体系。</w:t>
      </w:r>
      <w:r>
        <w:rPr>
          <w:rFonts w:hint="default" w:ascii="Times New Roman" w:hAnsi="Times New Roman" w:eastAsia="仿宋_GB2312" w:cs="Times New Roman"/>
          <w:b w:val="0"/>
          <w:bCs w:val="0"/>
          <w:kern w:val="2"/>
          <w:sz w:val="32"/>
          <w:szCs w:val="32"/>
          <w:lang w:val="en-US" w:eastAsia="zh-CN" w:bidi="ar-SA"/>
        </w:rPr>
        <w:t>市民政局会同有关单位制定印发《中山市“香山长者饭堂”建设行动方案》《中山市“香山长者饭堂”建设运营指引》《中山市“香山长者饭堂”建设管理规范》《关于建立中山市“香山长者饭堂”联合监管机制的通知》等文件，在老年助餐服务场所建设运营、适老化改造、供餐配餐、膳食营养、星级评定、志愿服务、监督管理等方面进行制度规范，围绕品牌标识、上墙制度、装饰元素等方面，设计全市统一“香山长者饭堂”视觉形象，形成“香山长者饭堂”品牌标识。各镇街积极探索老年人助餐服务新模式，注重发挥现有餐饮资源作用，大力推动政企合作，灵活采取社会餐厅专区助餐、中央厨房配送供餐、养老机构对外专窗等多种运营模式，所有长者饭堂均由社会力量举办，实行市场化运作，给予老年人公益价就餐。同时市财政对低保、低保边缘家庭中的老年人给予适当的用餐和送餐补助。目前，老年助餐服务已覆盖全市288个村（社区）。</w:t>
      </w:r>
    </w:p>
    <w:p>
      <w:pPr>
        <w:keepNext w:val="0"/>
        <w:keepLines w:val="0"/>
        <w:pageBreakBefore w:val="0"/>
        <w:widowControl w:val="0"/>
        <w:kinsoku/>
        <w:wordWrap/>
        <w:overflowPunct/>
        <w:topLinePunct w:val="0"/>
        <w:autoSpaceDE/>
        <w:autoSpaceDN/>
        <w:bidi w:val="0"/>
        <w:spacing w:beforeAutospacing="0" w:afterAutospacing="0" w:line="560" w:lineRule="exact"/>
        <w:ind w:firstLine="616"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二是完善支持政策，降低经营成本，提高经营可持续。</w:t>
      </w:r>
      <w:r>
        <w:rPr>
          <w:rFonts w:hint="default" w:ascii="Times New Roman" w:hAnsi="Times New Roman" w:eastAsia="仿宋_GB2312" w:cs="Times New Roman"/>
          <w:b w:val="0"/>
          <w:bCs w:val="0"/>
          <w:kern w:val="2"/>
          <w:sz w:val="32"/>
          <w:szCs w:val="32"/>
          <w:lang w:val="en-US" w:eastAsia="zh-CN" w:bidi="ar-SA"/>
        </w:rPr>
        <w:t>我市制定一揽子扶持政策，包括明确租用市属国有企业权属物业建设“香山长者饭堂”租金优惠；提供老年助餐服务的房产、土地，按规定执行房产税、城镇土地使用税减免政策；老年助餐服务所得收入按规定免征、减征增值税；“香山长者饭堂”运营期间用水、用电、用气按规定执行居民生活类价格等，切实降低企业运营成本，实现微利可持续发展。</w:t>
      </w:r>
    </w:p>
    <w:p>
      <w:pPr>
        <w:keepNext w:val="0"/>
        <w:keepLines w:val="0"/>
        <w:pageBreakBefore w:val="0"/>
        <w:widowControl w:val="0"/>
        <w:kinsoku/>
        <w:wordWrap/>
        <w:overflowPunct/>
        <w:topLinePunct w:val="0"/>
        <w:autoSpaceDE/>
        <w:autoSpaceDN/>
        <w:bidi w:val="0"/>
        <w:spacing w:beforeAutospacing="0" w:afterAutospacing="0" w:line="560" w:lineRule="exact"/>
        <w:ind w:firstLine="616"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同时，</w:t>
      </w:r>
      <w:r>
        <w:rPr>
          <w:rFonts w:hint="default" w:ascii="Times New Roman" w:hAnsi="Times New Roman" w:eastAsia="仿宋_GB2312" w:cs="Times New Roman"/>
          <w:spacing w:val="0"/>
          <w:sz w:val="32"/>
          <w:szCs w:val="32"/>
          <w:lang w:val="en-US" w:eastAsia="zh-CN"/>
        </w:rPr>
        <w:t>充分发动社会慈善力</w:t>
      </w:r>
      <w:r>
        <w:rPr>
          <w:rFonts w:hint="default" w:ascii="Times New Roman" w:hAnsi="Times New Roman" w:eastAsia="仿宋_GB2312" w:cs="Times New Roman"/>
          <w:b w:val="0"/>
          <w:bCs w:val="0"/>
          <w:spacing w:val="0"/>
          <w:kern w:val="2"/>
          <w:sz w:val="32"/>
          <w:szCs w:val="32"/>
          <w:lang w:val="en-US" w:eastAsia="zh-CN" w:bidi="ar-SA"/>
        </w:rPr>
        <w:t>量，扩大社会参与。2024年中山市慈善万人行捐款定向捐助支持发展老年助餐服务。市社会福利协会筹建“香山长者饭堂爱心联盟”，发动35家爱心企业提供器械、家具、耗材、食材等优惠订购渠道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pacing w:val="0"/>
          <w:kern w:val="2"/>
          <w:sz w:val="32"/>
          <w:szCs w:val="32"/>
          <w:lang w:val="en-US" w:eastAsia="zh-CN" w:bidi="ar-SA"/>
        </w:rPr>
        <w:t>倡导社会积极捐助参与老年助餐，全市共有17个镇街设立“香山长者饭堂慈善基金”，募集资金近400万元，有效助力老年助餐服务可持续发展</w:t>
      </w:r>
      <w:r>
        <w:rPr>
          <w:rFonts w:hint="default" w:ascii="Times New Roman" w:hAnsi="Times New Roman" w:eastAsia="仿宋_GB2312" w:cs="Times New Roman"/>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16" w:firstLineChars="200"/>
        <w:textAlignment w:val="auto"/>
        <w:rPr>
          <w:rFonts w:hint="default" w:ascii="Times New Roman" w:hAnsi="Times New Roman" w:eastAsia="仿宋_GB2312" w:cs="Times New Roman"/>
          <w:snapToGrid w:val="0"/>
          <w:spacing w:val="-6"/>
          <w:kern w:val="32"/>
          <w:sz w:val="32"/>
          <w:szCs w:val="32"/>
          <w:lang w:val="en-US" w:eastAsia="zh-CN" w:bidi="ar-SA"/>
        </w:rPr>
      </w:pPr>
      <w:r>
        <w:rPr>
          <w:rFonts w:hint="default" w:ascii="Times New Roman" w:hAnsi="Times New Roman" w:eastAsia="黑体" w:cs="Times New Roman"/>
          <w:snapToGrid w:val="0"/>
          <w:spacing w:val="-6"/>
          <w:kern w:val="32"/>
          <w:sz w:val="32"/>
          <w:szCs w:val="32"/>
          <w:lang w:val="en-US" w:eastAsia="zh-CN" w:bidi="ar-SA"/>
        </w:rPr>
        <w:t>二、关于扩大免费体检、疫苗接种等老人健康管理服务范围</w:t>
      </w:r>
      <w:r>
        <w:rPr>
          <w:rFonts w:hint="default" w:ascii="Times New Roman" w:hAnsi="Times New Roman" w:eastAsia="黑体" w:cs="Times New Roman"/>
          <w:sz w:val="32"/>
          <w:szCs w:val="32"/>
          <w:lang w:val="en-US" w:eastAsia="zh-CN"/>
        </w:rPr>
        <w:t>的建议</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cs="Times New Roman"/>
          <w:spacing w:val="0"/>
          <w:sz w:val="32"/>
          <w:szCs w:val="32"/>
          <w:lang w:val="en-US" w:eastAsia="zh-CN"/>
        </w:rPr>
      </w:pPr>
      <w:r>
        <w:rPr>
          <w:rFonts w:hint="default" w:ascii="Times New Roman" w:hAnsi="Times New Roman" w:cs="Times New Roman"/>
          <w:spacing w:val="0"/>
          <w:sz w:val="32"/>
          <w:szCs w:val="32"/>
          <w:lang w:val="en-US" w:eastAsia="zh-CN"/>
        </w:rPr>
        <w:t xml:space="preserve">老年人健康管理服务是国家基本公共卫生服务项目之一，我市每年免费为辖区常住老年人提供1次健康管理，包括生活方式和健康状况评估、体格检查、辅助检查和健康指导。近年来，我市创新工作方式，丰富体检项目和服务内容，各镇街有不同特色做法。有的镇街设置老年人体检报告发放专场，进行健康指导服务；有的重点发动三年内没有体检的老年人参加体检；有的辖区医疗机构与当地敬老院签订协议，上门提供体检服务；有的改变既往固定日期开展老年人体检模式，实行院内+院外集中体检模式，老年人随时可以到医院进行体检，做到体检常态化；有的通过购买所在镇街医院医疗服务的方式，扩大服务团队，上门为老年人服务；有的镇街扩大体检项目范围，给体检老年人赠送X光胸片和尿酸检测等检测项目；有的社区卫生服务中心完成常规老年人体检项目后，对无条件完成的项目（抽血、心电图、B超）等能够联合上级医院完成；有的由专门体检车接送老年人进行体检，对于行动不便的老年人提供上门服务。针对65岁以上老年人中医体质辨识服务，按体质分型做好智能电话通知以及短信通知，全覆盖短信及电话告知中医体质类型及提供中医健康指导。2023年我市把为老年人免费健康体检和健康指导纳入市十大民生实事之一“促进老年人健康养老”项目，共为16万余名老年人进行了免费健康体检和健康指导。同时，为3万余名老年人免费提供流感疫苗服务。 </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16" w:firstLineChars="200"/>
        <w:textAlignment w:val="auto"/>
        <w:rPr>
          <w:rFonts w:hint="default" w:ascii="Times New Roman" w:hAnsi="Times New Roman" w:eastAsia="仿宋_GB2312" w:cs="Times New Roman"/>
          <w:snapToGrid w:val="0"/>
          <w:spacing w:val="-6"/>
          <w:kern w:val="32"/>
          <w:sz w:val="32"/>
          <w:szCs w:val="32"/>
          <w:lang w:val="en-US" w:eastAsia="zh-CN" w:bidi="ar-SA"/>
        </w:rPr>
      </w:pPr>
      <w:r>
        <w:rPr>
          <w:rFonts w:hint="default" w:ascii="Times New Roman" w:hAnsi="Times New Roman" w:eastAsia="黑体" w:cs="Times New Roman"/>
          <w:snapToGrid w:val="0"/>
          <w:spacing w:val="-6"/>
          <w:kern w:val="32"/>
          <w:sz w:val="32"/>
          <w:szCs w:val="32"/>
          <w:lang w:val="en-US" w:eastAsia="zh-CN" w:bidi="ar-SA"/>
        </w:rPr>
        <w:t>三、关于提升家庭病床的服务能力的建议</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cs="Times New Roman"/>
          <w:spacing w:val="0"/>
          <w:sz w:val="32"/>
          <w:szCs w:val="32"/>
          <w:lang w:val="en-US" w:eastAsia="zh-CN"/>
        </w:rPr>
      </w:pPr>
      <w:r>
        <w:rPr>
          <w:rFonts w:hint="default" w:ascii="Times New Roman" w:hAnsi="Times New Roman" w:cs="Times New Roman"/>
          <w:spacing w:val="0"/>
          <w:sz w:val="32"/>
          <w:szCs w:val="32"/>
          <w:lang w:val="en-US" w:eastAsia="zh-CN"/>
        </w:rPr>
        <w:t>近年来，我市持续推动开展家庭病床建设，对有意愿的符合设置家庭病床条件的特定老年人实现“应建尽建，应享尽享”，满足老年群体便利医养的需求，5年累计设立家庭病床近1300张。2023年我市把为特定老年人设置家庭病床纳入“十件民生实事”，市镇高度重视，把建好家庭病床纳入年度重点工作，制定实施方案，开展督导检查，不断提升服务对象满意度。2024年市财政预算安排100万元医养结合经费，家庭病床最高财政补助1万元/床/人，专项用于特定老年人家庭病床补助、安宁照护等工作，进一步满足我市特定老年人便利医疗的需求，解决老年人就医难问题，促进养老服务与医疗卫生进一步相结合，拓展中山市医养结合服务水平的深度和广度。</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16" w:firstLineChars="200"/>
        <w:textAlignment w:val="auto"/>
        <w:rPr>
          <w:rFonts w:hint="default" w:ascii="Times New Roman" w:hAnsi="Times New Roman" w:eastAsia="黑体" w:cs="Times New Roman"/>
          <w:snapToGrid w:val="0"/>
          <w:spacing w:val="-6"/>
          <w:kern w:val="32"/>
          <w:sz w:val="32"/>
          <w:szCs w:val="32"/>
          <w:lang w:val="en-US" w:eastAsia="zh-CN" w:bidi="ar-SA"/>
        </w:rPr>
      </w:pPr>
      <w:r>
        <w:rPr>
          <w:rFonts w:hint="default" w:ascii="Times New Roman" w:hAnsi="Times New Roman" w:eastAsia="黑体" w:cs="Times New Roman"/>
          <w:snapToGrid w:val="0"/>
          <w:spacing w:val="-6"/>
          <w:kern w:val="32"/>
          <w:sz w:val="32"/>
          <w:szCs w:val="32"/>
          <w:lang w:val="en-US" w:eastAsia="zh-CN" w:bidi="ar-SA"/>
        </w:rPr>
        <w:t>四、关于充分发挥社区卫生服务站的作用，提供便捷医疗服务的建议</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cs="Times New Roman"/>
          <w:spacing w:val="0"/>
          <w:sz w:val="32"/>
          <w:szCs w:val="32"/>
          <w:lang w:val="en-US" w:eastAsia="zh-CN"/>
        </w:rPr>
      </w:pPr>
      <w:r>
        <w:rPr>
          <w:rFonts w:hint="default" w:ascii="Times New Roman" w:hAnsi="Times New Roman" w:cs="Times New Roman"/>
          <w:spacing w:val="0"/>
          <w:sz w:val="32"/>
          <w:szCs w:val="32"/>
          <w:lang w:val="en-US" w:eastAsia="zh-CN"/>
        </w:rPr>
        <w:t>我市为辖区老年人等重点人群建立健康档案，家庭医生签约服务优先覆盖老年人。每年在老年人体检后，家庭医生均及时为老年人告知体检结果并进行健康指导，对已发现确诊的原发性高血压和2型糖尿病患者同时开展相应的慢病管理，对患有其他疾病的，进行及时治疗或转诊。对发现有异常的老年人建议定期复查或向上级医院转诊。并做好社区老年人的身体能力综合评估及慢性病信息收集、整理、防治和康复护理</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16" w:firstLineChars="200"/>
        <w:textAlignment w:val="auto"/>
        <w:rPr>
          <w:rFonts w:hint="default" w:ascii="Times New Roman" w:hAnsi="Times New Roman" w:eastAsia="黑体" w:cs="Times New Roman"/>
          <w:snapToGrid w:val="0"/>
          <w:spacing w:val="-6"/>
          <w:kern w:val="32"/>
          <w:sz w:val="32"/>
          <w:szCs w:val="32"/>
          <w:lang w:val="en-US" w:eastAsia="zh-CN" w:bidi="ar-SA"/>
        </w:rPr>
      </w:pPr>
      <w:r>
        <w:rPr>
          <w:rFonts w:hint="default" w:ascii="Times New Roman" w:hAnsi="Times New Roman" w:eastAsia="黑体" w:cs="Times New Roman"/>
          <w:snapToGrid w:val="0"/>
          <w:spacing w:val="-6"/>
          <w:kern w:val="32"/>
          <w:sz w:val="32"/>
          <w:szCs w:val="32"/>
          <w:lang w:val="en-US" w:eastAsia="zh-CN" w:bidi="ar-SA"/>
        </w:rPr>
        <w:t>五、关于建立中山市居家养老综合信息服务平台，统筹协调全市的居家养老服务的建议</w:t>
      </w:r>
    </w:p>
    <w:p>
      <w:pPr>
        <w:keepNext w:val="0"/>
        <w:keepLines w:val="0"/>
        <w:pageBreakBefore w:val="0"/>
        <w:widowControl w:val="0"/>
        <w:kinsoku/>
        <w:wordWrap/>
        <w:overflowPunct/>
        <w:topLinePunct w:val="0"/>
        <w:autoSpaceDE/>
        <w:autoSpaceDN/>
        <w:bidi w:val="0"/>
        <w:spacing w:beforeAutospacing="0" w:afterAutospacing="0" w:line="560" w:lineRule="exact"/>
        <w:ind w:firstLine="616"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val="0"/>
          <w:color w:val="auto"/>
          <w:kern w:val="2"/>
          <w:sz w:val="32"/>
          <w:szCs w:val="32"/>
          <w:highlight w:val="none"/>
          <w:lang w:val="en-US" w:eastAsia="zh-CN" w:bidi="ar-SA"/>
        </w:rPr>
        <w:t>中山市智慧健康养老服务信息平台于2021年建成，</w:t>
      </w:r>
      <w:r>
        <w:rPr>
          <w:rFonts w:hint="default" w:ascii="Times New Roman" w:hAnsi="Times New Roman" w:eastAsia="仿宋_GB2312" w:cs="Times New Roman"/>
          <w:sz w:val="32"/>
          <w:szCs w:val="32"/>
          <w:vertAlign w:val="baseline"/>
          <w:lang w:val="en-US" w:eastAsia="zh-CN"/>
        </w:rPr>
        <w:t>由“一系统、一中心、一平台”</w:t>
      </w:r>
      <w:r>
        <w:rPr>
          <w:rFonts w:hint="default" w:ascii="Times New Roman" w:hAnsi="Times New Roman" w:eastAsia="仿宋_GB2312" w:cs="Times New Roman"/>
          <w:b w:val="0"/>
          <w:bCs w:val="0"/>
          <w:color w:val="auto"/>
          <w:kern w:val="2"/>
          <w:sz w:val="32"/>
          <w:szCs w:val="32"/>
          <w:highlight w:val="none"/>
          <w:lang w:val="en-US" w:eastAsia="zh-CN" w:bidi="ar-SA"/>
        </w:rPr>
        <w:t>构成。“一系统”是中山市智慧养老服务信息系统，由信息数据管理、养老服务管理、话务管理、供应商管理、居家安全及健康监测、门户网站管理、预约挂号管理8大功能模块组成，支持平台用户查询应用，实现不同养老服务主体的数据互通和信息共享。“一中心”是中山市智慧养老服务调度中心，内设养老服务话务专席，负责对全市养老服务进行指挥调度，为老年人提供服务预约、供需对接、工单回访、线上关怀等服务。“一平台”是中山市智慧养老服务公众平台是中山市智慧养老服务平台的对外展示和服务窗口，依托中山市智慧养老服务公众端、0760-88885252养老服务热线、中山市智慧养老服务展厅，对接公众需求、传达养老资讯实现了平台多方数据关联交互，形成了信息互通、响应迅速、监管实时、服务形式多样化的服务体系。</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目前平台已入驻229家居家养老服务商</w:t>
      </w:r>
      <w:r>
        <w:rPr>
          <w:rFonts w:hint="default" w:ascii="Times New Roman" w:hAnsi="Times New Roman" w:eastAsia="仿宋_GB2312" w:cs="Times New Roman"/>
          <w:color w:val="auto"/>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16"/>
        <w:textAlignment w:val="auto"/>
        <w:rPr>
          <w:rFonts w:hint="default" w:ascii="Times New Roman" w:hAnsi="Times New Roman"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截至2023年底，信息平台服务申请审批记录7137条，助洁、助餐、助医、定期巡访等服务记录约223万余条；调度中心话务坐席共接听2975次电话咨询，主动呼出老年人关怀电话75428次</w:t>
      </w:r>
      <w:r>
        <w:rPr>
          <w:rFonts w:hint="default" w:ascii="Times New Roman" w:hAnsi="Times New Roman" w:cs="Times New Roman"/>
          <w:color w:val="auto"/>
          <w:kern w:val="2"/>
          <w:sz w:val="32"/>
          <w:szCs w:val="32"/>
          <w:highlight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16" w:firstLineChars="200"/>
        <w:textAlignment w:val="auto"/>
        <w:rPr>
          <w:rFonts w:hint="default" w:ascii="Times New Roman" w:hAnsi="Times New Roman" w:eastAsia="黑体" w:cs="Times New Roman"/>
          <w:snapToGrid w:val="0"/>
          <w:spacing w:val="-6"/>
          <w:kern w:val="32"/>
          <w:sz w:val="32"/>
          <w:szCs w:val="32"/>
          <w:lang w:val="en-US" w:eastAsia="zh-CN" w:bidi="ar-SA"/>
        </w:rPr>
      </w:pPr>
      <w:r>
        <w:rPr>
          <w:rFonts w:hint="default" w:ascii="Times New Roman" w:hAnsi="Times New Roman" w:eastAsia="黑体" w:cs="Times New Roman"/>
          <w:snapToGrid w:val="0"/>
          <w:spacing w:val="-6"/>
          <w:kern w:val="32"/>
          <w:sz w:val="32"/>
          <w:szCs w:val="32"/>
          <w:lang w:val="en-US" w:eastAsia="zh-CN" w:bidi="ar-SA"/>
        </w:rPr>
        <w:t>六、关于开展老年人信息无障碍改造，建设老年人友好社会的建议</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16"/>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近年来，我市积极开展网站适老化及无障碍改造，针对老年人视力不佳的情况，引入“长者助手”功能，为老龄用户提供智能导航、语音导读、大字幕、大鼠标、界面放大等无障碍服务，助力“银发”群体平等快捷地获取、使用互联网应用信息。至2023年底，已完成19个政府网站适老化改造。大力开展政务服务场所无障碍改造，对全市24个镇街政务服务中心进行无障碍改造，在停车场设置无障碍停车位，同步配套设置无障碍通道；政务服务场所内设立无障碍卫生间，添置放大镜、老花镜、日常药物等便民物品；大厅内部均设置显示屏和音响，对相关办事信息进行实时显示和播报，方便视力、听力不佳的老人获取办事信息。在全市镇街、村（居）部署383台“粤智助”政府服务自助机，可集中快速办理身份证打印、社保查询、医疗挂号等老年人高频办理事项，并通过推出大字号、大图标、高对比度的操作界面，尽力满足农村老年人和特殊群体需求。同时加大智慧助老力度。2023年全市开展各种智慧助老活动168场，参加老年人6500余人，为老年人就医、交通出行、线上购物、线上聊天等消费场景提供帮助。</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16"/>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金融服务适老化方面，深入推进金融服务适老化改造升级，扩大养老金融示范网点建设，在养老金融产品、厅堂布局、环境设施、服务指引方面提高对老年人的适应性。中国银行、建设银行等一批金融机构不断完善网点适老化软硬件设施，因地制宜设置弹性窗口、爱心窗口、爱心专座、无障碍通道、无障碍洗手间、便民通道等设施，推出适老版手机银行APP，方便老年人查看使用。同时，主动为老年人设计相适应的延伸服务流程，优化老年人客户身份识别，加强支付服务安全管理，为老年人提示风险。</w:t>
      </w:r>
    </w:p>
    <w:p>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16"/>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医疗服务适老化方面，着力畅通医保线上服务通道，通过在“中山医保”微信公众号开设“医保服务”专栏，整合国家、省、市医保网上办理平台，并安排专人跟进办理，方便老年参保人通过一个入口办理多个线上平台的医保业务。向老年人介绍其难以独自操作的国家医保APP、粤医保微信小程序，设置后续阶段的使用场景。参保人可在全市所有村（社区）党群服务中心的“粤自助”机上查询参保情况等医保信息。开启线上智能关怀服务模式，推广国家医保服务平台APP关怀版和线上“代办”服务，为老年人提供字体放大、功能简化的线上服务。结合健康中山智慧平台，加快“互联网+护理”、互联网医院等与养老服务深度融合。26家开展“互联网+护理”的医疗单位将预约电话在单位微信公众号和机构预约平台上发布，提供给有需求的群众；互联网医院将电话、服务项目、服务方式等与民政的智慧养老服务平台系统主动融合，为老年人提供“点菜式”就近便捷服务。截至2023年底，我市2</w:t>
      </w:r>
      <w:r>
        <w:rPr>
          <w:rFonts w:hint="eastAsia" w:ascii="Times New Roman" w:hAnsi="Times New Roman" w:cs="Times New Roman"/>
          <w:sz w:val="32"/>
          <w:szCs w:val="32"/>
          <w:lang w:val="en-US" w:eastAsia="zh-CN"/>
        </w:rPr>
        <w:t>6</w:t>
      </w:r>
      <w:r>
        <w:rPr>
          <w:rFonts w:hint="default" w:ascii="Times New Roman" w:hAnsi="Times New Roman" w:cs="Times New Roman"/>
          <w:sz w:val="32"/>
          <w:szCs w:val="32"/>
          <w:lang w:val="en-US" w:eastAsia="zh-CN"/>
        </w:rPr>
        <w:t>家医疗机构在“互联网+护理服务”平台提供专业的上门护理服务，覆盖全市所有镇街，上门护理总时长13259小时，预约上门护理服务达到13022人次。</w:t>
      </w:r>
    </w:p>
    <w:p>
      <w:pPr>
        <w:keepNext w:val="0"/>
        <w:keepLines w:val="0"/>
        <w:pageBreakBefore w:val="0"/>
        <w:widowControl w:val="0"/>
        <w:kinsoku/>
        <w:wordWrap/>
        <w:overflowPunct/>
        <w:topLinePunct w:val="0"/>
        <w:autoSpaceDE/>
        <w:autoSpaceDN/>
        <w:bidi w:val="0"/>
        <w:spacing w:beforeAutospacing="0" w:afterAutospacing="0" w:line="560" w:lineRule="exact"/>
        <w:ind w:firstLine="616"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下一步，我局将积极围绕基本养老服务内容，紧密结合老年群体关系密切、关注度高的老年服务领域，在老年助餐服务、健康管理服务、家庭病床服务、社区便捷医疗服务、居家养老信息化服务、信息无障碍改造等方面持续发力，不断丰富和完善我市居家养老服务体系内容，强化硬件设施建设和服务供给质量，提高老年群体居家享老服务感知和满意度。</w:t>
      </w:r>
    </w:p>
    <w:p>
      <w:pPr>
        <w:keepNext w:val="0"/>
        <w:keepLines w:val="0"/>
        <w:pageBreakBefore w:val="0"/>
        <w:widowControl w:val="0"/>
        <w:kinsoku/>
        <w:wordWrap/>
        <w:overflowPunct/>
        <w:topLinePunct w:val="0"/>
        <w:autoSpaceDE/>
        <w:autoSpaceDN/>
        <w:bidi w:val="0"/>
        <w:spacing w:beforeAutospacing="0" w:afterAutospacing="0" w:line="560" w:lineRule="exact"/>
        <w:ind w:firstLine="61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专此答复，</w:t>
      </w:r>
      <w:r>
        <w:rPr>
          <w:rFonts w:hint="default" w:ascii="Times New Roman" w:hAnsi="Times New Roman" w:eastAsia="仿宋_GB2312" w:cs="Times New Roman"/>
          <w:sz w:val="32"/>
          <w:szCs w:val="32"/>
        </w:rPr>
        <w:t>诚挚感谢你们对</w:t>
      </w:r>
      <w:r>
        <w:rPr>
          <w:rFonts w:hint="default" w:ascii="Times New Roman" w:hAnsi="Times New Roman" w:eastAsia="仿宋_GB2312" w:cs="Times New Roman"/>
          <w:sz w:val="32"/>
          <w:szCs w:val="32"/>
          <w:lang w:eastAsia="zh-CN"/>
        </w:rPr>
        <w:t>我市</w:t>
      </w:r>
      <w:r>
        <w:rPr>
          <w:rFonts w:hint="default" w:ascii="Times New Roman" w:hAnsi="Times New Roman" w:eastAsia="仿宋_GB2312" w:cs="Times New Roman"/>
          <w:sz w:val="32"/>
          <w:szCs w:val="32"/>
          <w:lang w:val="en-US" w:eastAsia="zh-CN"/>
        </w:rPr>
        <w:t>养老服务</w:t>
      </w:r>
      <w:r>
        <w:rPr>
          <w:rFonts w:hint="default" w:ascii="Times New Roman" w:hAnsi="Times New Roman" w:eastAsia="仿宋_GB2312" w:cs="Times New Roman"/>
          <w:sz w:val="32"/>
          <w:szCs w:val="32"/>
        </w:rPr>
        <w:t>工作的关心支持。</w:t>
      </w:r>
    </w:p>
    <w:p>
      <w:pPr>
        <w:pStyle w:val="5"/>
        <w:keepNext w:val="0"/>
        <w:keepLines w:val="0"/>
        <w:pageBreakBefore w:val="0"/>
        <w:kinsoku/>
        <w:wordWrap/>
        <w:overflowPunct/>
        <w:topLinePunct w:val="0"/>
        <w:autoSpaceDE/>
        <w:autoSpaceDN/>
        <w:bidi w:val="0"/>
        <w:spacing w:before="0" w:beforeAutospacing="0" w:afterAutospacing="0" w:line="560" w:lineRule="exact"/>
        <w:textAlignment w:val="auto"/>
        <w:rPr>
          <w:rFonts w:hint="default" w:ascii="Times New Roman" w:hAnsi="Times New Roman" w:cs="Times New Roman"/>
          <w:sz w:val="32"/>
          <w:szCs w:val="32"/>
        </w:rPr>
      </w:pPr>
    </w:p>
    <w:p>
      <w:pPr>
        <w:pStyle w:val="2"/>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spacing w:beforeAutospacing="0" w:afterAutospacing="0" w:line="560" w:lineRule="exact"/>
        <w:ind w:firstLine="6468" w:firstLineChars="21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中山市民政局                                </w:t>
      </w:r>
    </w:p>
    <w:p>
      <w:pPr>
        <w:keepNext w:val="0"/>
        <w:keepLines w:val="0"/>
        <w:pageBreakBefore w:val="0"/>
        <w:widowControl w:val="0"/>
        <w:kinsoku/>
        <w:wordWrap/>
        <w:overflowPunct/>
        <w:topLinePunct w:val="0"/>
        <w:autoSpaceDE/>
        <w:autoSpaceDN/>
        <w:bidi w:val="0"/>
        <w:spacing w:beforeAutospacing="0" w:afterAutospacing="0" w:line="560" w:lineRule="exact"/>
        <w:ind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12</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spacing w:beforeAutospacing="0" w:afterAutospacing="0" w:line="560" w:lineRule="exact"/>
        <w:ind w:firstLine="616"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beforeAutospacing="0" w:afterAutospacing="0" w:line="560" w:lineRule="exact"/>
        <w:ind w:firstLine="61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（联系人及电话：</w:t>
      </w:r>
      <w:r>
        <w:rPr>
          <w:rFonts w:hint="default" w:ascii="Times New Roman" w:hAnsi="Times New Roman" w:eastAsia="仿宋_GB2312" w:cs="Times New Roman"/>
          <w:sz w:val="32"/>
          <w:szCs w:val="32"/>
          <w:lang w:val="en-US" w:eastAsia="zh-CN"/>
        </w:rPr>
        <w:t>张力伟，88301633</w:t>
      </w:r>
      <w:r>
        <w:rPr>
          <w:rFonts w:hint="default" w:ascii="Times New Roman" w:hAnsi="Times New Roman" w:eastAsia="仿宋_GB2312" w:cs="Times New Roman"/>
          <w:sz w:val="32"/>
          <w:szCs w:val="32"/>
        </w:rPr>
        <w:t>）</w:t>
      </w:r>
    </w:p>
    <w:p>
      <w:pPr>
        <w:pStyle w:val="6"/>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default" w:ascii="Times New Roman" w:hAnsi="Times New Roman" w:cs="Times New Roman"/>
        </w:rPr>
      </w:pPr>
    </w:p>
    <w:p>
      <w:pPr>
        <w:pStyle w:val="6"/>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default" w:ascii="Times New Roman" w:hAnsi="Times New Roman" w:cs="Times New Roman"/>
        </w:rPr>
      </w:pPr>
    </w:p>
    <w:p>
      <w:pPr>
        <w:pStyle w:val="6"/>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default" w:ascii="Times New Roman" w:hAnsi="Times New Roman" w:cs="Times New Roman"/>
        </w:rPr>
      </w:pPr>
    </w:p>
    <w:p>
      <w:pPr>
        <w:pStyle w:val="6"/>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default" w:ascii="Times New Roman" w:hAnsi="Times New Roman" w:cs="Times New Roman"/>
        </w:rPr>
      </w:pPr>
    </w:p>
    <w:p>
      <w:pPr>
        <w:pStyle w:val="6"/>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default" w:ascii="Times New Roman" w:hAnsi="Times New Roman" w:cs="Times New Roman"/>
        </w:rPr>
      </w:pPr>
    </w:p>
    <w:p>
      <w:pPr>
        <w:pStyle w:val="6"/>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default" w:ascii="Times New Roman" w:hAnsi="Times New Roman" w:cs="Times New Roman"/>
        </w:rPr>
      </w:pPr>
    </w:p>
    <w:p>
      <w:pPr>
        <w:pStyle w:val="6"/>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default" w:ascii="Times New Roman" w:hAnsi="Times New Roman" w:cs="Times New Roman"/>
        </w:rPr>
      </w:pPr>
      <w:bookmarkStart w:id="0" w:name="_GoBack"/>
      <w:bookmarkEnd w:id="0"/>
    </w:p>
    <w:p>
      <w:pPr>
        <w:pStyle w:val="6"/>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before="313" w:beforeLines="100" w:beforeAutospacing="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公开方式：</w:t>
      </w:r>
      <w:r>
        <w:rPr>
          <w:rFonts w:hint="default" w:ascii="Times New Roman" w:hAnsi="Times New Roman" w:eastAsia="仿宋_GB2312" w:cs="Times New Roman"/>
          <w:sz w:val="32"/>
          <w:szCs w:val="32"/>
        </w:rPr>
        <w:t>主动公开</w:t>
      </w:r>
    </w:p>
    <w:p>
      <w:pPr>
        <w:keepNext w:val="0"/>
        <w:keepLines w:val="0"/>
        <w:pageBreakBefore w:val="0"/>
        <w:kinsoku/>
        <w:wordWrap/>
        <w:overflowPunct/>
        <w:topLinePunct w:val="0"/>
        <w:autoSpaceDE/>
        <w:autoSpaceDN/>
        <w:bidi w:val="0"/>
        <w:spacing w:beforeAutospacing="0" w:afterAutospacing="0" w:line="560" w:lineRule="exact"/>
        <w:textAlignment w:val="auto"/>
        <w:rPr>
          <w:rFonts w:hint="eastAsia"/>
          <w:color w:val="auto"/>
          <w:spacing w:val="0"/>
          <w:sz w:val="28"/>
          <w:szCs w:val="28"/>
        </w:rPr>
      </w:pPr>
      <w:r>
        <w:rPr>
          <w:rFonts w:hint="default" w:ascii="Times New Roman" w:hAnsi="Times New Roman" w:eastAsia="仿宋_GB2312" w:cs="Times New Roman"/>
          <w:sz w:val="32"/>
          <w:szCs w:val="32"/>
        </w:rPr>
        <w:t>抄送：市政协提案</w:t>
      </w:r>
      <w:r>
        <w:rPr>
          <w:rFonts w:hint="default" w:ascii="Times New Roman" w:hAnsi="Times New Roman" w:eastAsia="仿宋_GB2312" w:cs="Times New Roman"/>
          <w:sz w:val="32"/>
          <w:szCs w:val="32"/>
          <w:lang w:eastAsia="zh-CN"/>
        </w:rPr>
        <w:t>委</w:t>
      </w:r>
      <w:r>
        <w:rPr>
          <w:rFonts w:hint="eastAsia" w:ascii="Times New Roman" w:cs="Times New Roman"/>
          <w:sz w:val="32"/>
          <w:szCs w:val="32"/>
          <w:lang w:val="en-US" w:eastAsia="zh-CN"/>
        </w:rPr>
        <w:t>、市政府办公室、</w:t>
      </w:r>
      <w:r>
        <w:rPr>
          <w:rFonts w:hint="default" w:ascii="Times New Roman" w:hAnsi="Times New Roman" w:eastAsia="仿宋_GB2312" w:cs="Times New Roman"/>
          <w:sz w:val="32"/>
          <w:szCs w:val="32"/>
          <w:lang w:eastAsia="zh-CN"/>
        </w:rPr>
        <w:t>市财政局</w:t>
      </w:r>
      <w:r>
        <w:rPr>
          <w:rFonts w:hint="eastAsia" w:ascii="Times New Roman" w:cs="Times New Roman"/>
          <w:sz w:val="32"/>
          <w:szCs w:val="32"/>
          <w:lang w:val="en-US" w:eastAsia="zh-CN"/>
        </w:rPr>
        <w:t>、</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eastAsia="zh-CN"/>
        </w:rPr>
        <w:t>卫生健康局</w:t>
      </w:r>
      <w:r>
        <w:rPr>
          <w:rFonts w:hint="eastAsia" w:ascii="Times New Roman" w:cs="Times New Roman"/>
          <w:sz w:val="32"/>
          <w:szCs w:val="32"/>
          <w:lang w:eastAsia="zh-CN"/>
        </w:rPr>
        <w:t>。</w:t>
      </w:r>
    </w:p>
    <w:sectPr>
      <w:footerReference r:id="rId5" w:type="default"/>
      <w:pgSz w:w="11906" w:h="16838"/>
      <w:pgMar w:top="2098" w:right="1587"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firstLine="360"/>
      <w:jc w:val="both"/>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N2Q4Nzg4OTg3NjFkMmM2MjRkOWRjNWZiNjhlNTUifQ=="/>
  </w:docVars>
  <w:rsids>
    <w:rsidRoot w:val="00000000"/>
    <w:rsid w:val="045F5144"/>
    <w:rsid w:val="089944A9"/>
    <w:rsid w:val="184D618D"/>
    <w:rsid w:val="19BC183E"/>
    <w:rsid w:val="1A8244F9"/>
    <w:rsid w:val="1BB20793"/>
    <w:rsid w:val="1D183716"/>
    <w:rsid w:val="4AE30161"/>
    <w:rsid w:val="516D66CD"/>
    <w:rsid w:val="523E6617"/>
    <w:rsid w:val="57A065F1"/>
    <w:rsid w:val="582F1DC5"/>
    <w:rsid w:val="593D1BC4"/>
    <w:rsid w:val="7BAD1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paragraph" w:styleId="3">
    <w:name w:val="toc 5"/>
    <w:basedOn w:val="1"/>
    <w:next w:val="1"/>
    <w:qFormat/>
    <w:uiPriority w:val="0"/>
    <w:pPr>
      <w:ind w:left="1680"/>
    </w:pPr>
  </w:style>
  <w:style w:type="paragraph" w:styleId="5">
    <w:name w:val="toa heading"/>
    <w:basedOn w:val="1"/>
    <w:next w:val="1"/>
    <w:qFormat/>
    <w:uiPriority w:val="0"/>
    <w:pPr>
      <w:spacing w:before="120"/>
    </w:pPr>
    <w:rPr>
      <w:rFonts w:ascii="Cambria" w:hAnsi="Cambria"/>
    </w:rPr>
  </w:style>
  <w:style w:type="paragraph" w:styleId="6">
    <w:name w:val="Plain Text"/>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Hyperlink"/>
    <w:basedOn w:val="10"/>
    <w:qFormat/>
    <w:uiPriority w:val="0"/>
    <w:rPr>
      <w:color w:val="0000FF"/>
      <w:u w:val="single"/>
    </w:rPr>
  </w:style>
  <w:style w:type="paragraph" w:customStyle="1" w:styleId="12">
    <w:name w:val="样式 三号"/>
    <w:qFormat/>
    <w:uiPriority w:val="0"/>
    <w:pPr>
      <w:widowControl w:val="0"/>
      <w:spacing w:line="560" w:lineRule="exact"/>
      <w:jc w:val="both"/>
    </w:pPr>
    <w:rPr>
      <w:rFonts w:ascii="Times New Roman" w:hAnsi="Times New Roman" w:eastAsia="方正仿宋_GBK" w:cs="Times New Roman"/>
      <w:spacing w:val="-4"/>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788</Words>
  <Characters>813</Characters>
  <Lines>0</Lines>
  <Paragraphs>0</Paragraphs>
  <TotalTime>8</TotalTime>
  <ScaleCrop>false</ScaleCrop>
  <LinksUpToDate>false</LinksUpToDate>
  <CharactersWithSpaces>890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2024-05-21T08:15:00Z</dcterms:created>
  <dc:creator>Administrator</dc:creator>
  <cp:lastModifiedBy>黄泳珊</cp:lastModifiedBy>
  <cp:lastPrinted>2024-05-24T04:01:00Z</cp:lastPrinted>
  <dcterms:modified xsi:type="dcterms:W3CDTF">2024-07-15T07:49:45Z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9648BC4DEEB94311992AD08E25C823B9_12</vt:lpwstr>
  </property>
</Properties>
</file>