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2929">
      <w:pPr>
        <w:spacing w:line="540" w:lineRule="exact"/>
        <w:jc w:val="center"/>
        <w:rPr>
          <w:rFonts w:hint="eastAsia" w:ascii="微软简标宋" w:hAnsi="微软简标宋" w:eastAsia="微软简标宋" w:cs="微软简标宋"/>
          <w:b w:val="0"/>
          <w:bCs w:val="0"/>
          <w:sz w:val="36"/>
          <w:szCs w:val="36"/>
          <w:lang w:val="en-US" w:eastAsia="zh-CN"/>
        </w:rPr>
      </w:pPr>
      <w:r>
        <w:rPr>
          <w:rFonts w:hint="eastAsia" w:ascii="微软简标宋" w:hAnsi="微软简标宋" w:eastAsia="微软简标宋" w:cs="微软简标宋"/>
          <w:b w:val="0"/>
          <w:bCs w:val="0"/>
          <w:sz w:val="36"/>
          <w:szCs w:val="36"/>
          <w:lang w:eastAsia="zh-CN"/>
        </w:rPr>
        <w:t>东凤镇天乙铂金尊汇小区外围部分区域智慧停车场合作建设运营项目</w:t>
      </w:r>
      <w:r>
        <w:rPr>
          <w:rFonts w:hint="eastAsia" w:ascii="微软简标宋" w:hAnsi="微软简标宋" w:eastAsia="微软简标宋" w:cs="微软简标宋"/>
          <w:b w:val="0"/>
          <w:bCs w:val="0"/>
          <w:sz w:val="36"/>
          <w:szCs w:val="36"/>
        </w:rPr>
        <w:t>招</w:t>
      </w:r>
      <w:r>
        <w:rPr>
          <w:rFonts w:hint="eastAsia" w:ascii="微软简标宋" w:hAnsi="微软简标宋" w:eastAsia="微软简标宋" w:cs="微软简标宋"/>
          <w:b w:val="0"/>
          <w:bCs w:val="0"/>
          <w:sz w:val="36"/>
          <w:szCs w:val="36"/>
          <w:lang w:eastAsia="zh-CN"/>
        </w:rPr>
        <w:t>租</w:t>
      </w:r>
      <w:r>
        <w:rPr>
          <w:rFonts w:hint="eastAsia" w:ascii="微软简标宋" w:hAnsi="微软简标宋" w:eastAsia="微软简标宋" w:cs="微软简标宋"/>
          <w:b w:val="0"/>
          <w:bCs w:val="0"/>
          <w:sz w:val="36"/>
          <w:szCs w:val="36"/>
        </w:rPr>
        <w:t>方案</w:t>
      </w:r>
    </w:p>
    <w:p w14:paraId="60D71B5C">
      <w:pPr>
        <w:spacing w:line="600" w:lineRule="exact"/>
        <w:ind w:firstLine="560" w:firstLineChars="200"/>
        <w:rPr>
          <w:rFonts w:ascii="仿宋_GB2312" w:hAnsi="仿宋_GB2312" w:eastAsia="仿宋_GB2312" w:cs="仿宋_GB2312"/>
          <w:sz w:val="28"/>
          <w:szCs w:val="28"/>
        </w:rPr>
      </w:pPr>
    </w:p>
    <w:p w14:paraId="682AEBFE">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东海社区受托对</w:t>
      </w:r>
      <w:r>
        <w:rPr>
          <w:rFonts w:hint="eastAsia" w:ascii="仿宋_GB2312" w:hAnsi="仿宋_GB2312" w:eastAsia="仿宋_GB2312" w:cs="仿宋_GB2312"/>
          <w:sz w:val="28"/>
          <w:szCs w:val="28"/>
          <w:lang w:val="en-US" w:eastAsia="zh-CN"/>
        </w:rPr>
        <w:t>天乙铂金尊汇小区外围部分区域进行管理，</w:t>
      </w:r>
      <w:r>
        <w:rPr>
          <w:rFonts w:hint="eastAsia" w:ascii="仿宋_GB2312" w:hAnsi="仿宋_GB2312" w:eastAsia="仿宋_GB2312" w:cs="仿宋_GB2312"/>
          <w:sz w:val="28"/>
          <w:szCs w:val="28"/>
        </w:rPr>
        <w:t>现面</w:t>
      </w:r>
      <w:r>
        <w:rPr>
          <w:rFonts w:hint="eastAsia" w:ascii="仿宋_GB2312" w:hAnsi="仿宋_GB2312" w:eastAsia="仿宋_GB2312" w:cs="仿宋_GB2312"/>
          <w:sz w:val="28"/>
          <w:szCs w:val="28"/>
          <w:lang w:eastAsia="zh-CN"/>
        </w:rPr>
        <w:t>向</w:t>
      </w:r>
      <w:r>
        <w:rPr>
          <w:rFonts w:hint="eastAsia" w:ascii="仿宋_GB2312" w:hAnsi="仿宋_GB2312" w:eastAsia="仿宋_GB2312" w:cs="仿宋_GB2312"/>
          <w:sz w:val="28"/>
          <w:szCs w:val="28"/>
        </w:rPr>
        <w:t>社会进行公开</w:t>
      </w:r>
      <w:r>
        <w:rPr>
          <w:rFonts w:hint="eastAsia" w:ascii="仿宋_GB2312" w:hAnsi="仿宋_GB2312" w:eastAsia="仿宋_GB2312" w:cs="仿宋_GB2312"/>
          <w:sz w:val="28"/>
          <w:szCs w:val="28"/>
          <w:lang w:val="en-US" w:eastAsia="zh-CN"/>
        </w:rPr>
        <w:t>招商合作建设运营</w:t>
      </w:r>
      <w:r>
        <w:rPr>
          <w:rFonts w:hint="eastAsia" w:ascii="仿宋_GB2312" w:hAnsi="仿宋_GB2312" w:eastAsia="仿宋_GB2312" w:cs="仿宋_GB2312"/>
          <w:sz w:val="28"/>
          <w:szCs w:val="28"/>
        </w:rPr>
        <w:t>。</w:t>
      </w:r>
    </w:p>
    <w:p w14:paraId="44DADA6F">
      <w:pPr>
        <w:spacing w:line="240" w:lineRule="auto"/>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w:t>
      </w:r>
      <w:r>
        <w:rPr>
          <w:rFonts w:hint="eastAsia" w:ascii="黑体" w:hAnsi="黑体" w:eastAsia="黑体" w:cs="黑体"/>
          <w:b/>
          <w:bCs/>
          <w:sz w:val="28"/>
          <w:szCs w:val="28"/>
          <w:lang w:eastAsia="zh-CN"/>
        </w:rPr>
        <w:t>项目</w:t>
      </w:r>
      <w:r>
        <w:rPr>
          <w:rFonts w:hint="eastAsia" w:ascii="黑体" w:hAnsi="黑体" w:eastAsia="黑体" w:cs="黑体"/>
          <w:b/>
          <w:bCs/>
          <w:sz w:val="28"/>
          <w:szCs w:val="28"/>
        </w:rPr>
        <w:t>基本情况</w:t>
      </w:r>
      <w:r>
        <w:rPr>
          <w:rFonts w:hint="eastAsia" w:ascii="黑体" w:hAnsi="黑体" w:eastAsia="黑体" w:cs="黑体"/>
          <w:b/>
          <w:bCs/>
          <w:sz w:val="28"/>
          <w:szCs w:val="28"/>
          <w:lang w:eastAsia="zh-CN"/>
        </w:rPr>
        <w:t>及合作建设要求</w:t>
      </w:r>
      <w:r>
        <w:rPr>
          <w:rFonts w:hint="eastAsia" w:ascii="黑体" w:hAnsi="黑体" w:eastAsia="黑体" w:cs="黑体"/>
          <w:b/>
          <w:bCs/>
          <w:sz w:val="28"/>
          <w:szCs w:val="28"/>
        </w:rPr>
        <w:t>：</w:t>
      </w:r>
    </w:p>
    <w:p w14:paraId="24B707A8">
      <w:pPr>
        <w:ind w:firstLine="562"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color w:val="auto"/>
          <w:sz w:val="28"/>
          <w:szCs w:val="28"/>
          <w:highlight w:val="none"/>
          <w:lang w:eastAsia="zh-CN"/>
        </w:rPr>
        <w:t>天乙铂金尊汇项目基本情况：</w:t>
      </w:r>
      <w:r>
        <w:rPr>
          <w:rFonts w:hint="eastAsia" w:ascii="仿宋_GB2312" w:hAnsi="仿宋_GB2312" w:eastAsia="仿宋_GB2312" w:cs="仿宋_GB2312"/>
          <w:color w:val="auto"/>
          <w:sz w:val="28"/>
          <w:szCs w:val="28"/>
          <w:highlight w:val="none"/>
          <w:lang w:eastAsia="zh-CN"/>
        </w:rPr>
        <w:t>位于</w:t>
      </w:r>
      <w:r>
        <w:rPr>
          <w:rFonts w:hint="eastAsia" w:ascii="仿宋_GB2312" w:hAnsi="仿宋_GB2312" w:eastAsia="仿宋_GB2312" w:cs="仿宋_GB2312"/>
          <w:color w:val="auto"/>
          <w:sz w:val="28"/>
          <w:szCs w:val="28"/>
          <w:highlight w:val="none"/>
          <w:lang w:val="en-US" w:eastAsia="zh-CN"/>
        </w:rPr>
        <w:t>东凤镇东凤大道北69号，G105国道辅道旁（</w:t>
      </w:r>
      <w:r>
        <w:rPr>
          <w:rFonts w:hint="eastAsia" w:ascii="仿宋" w:hAnsi="仿宋" w:eastAsia="仿宋" w:cs="仿宋"/>
          <w:color w:val="auto"/>
          <w:sz w:val="28"/>
          <w:szCs w:val="28"/>
          <w:highlight w:val="none"/>
          <w:lang w:eastAsia="zh-CN"/>
        </w:rPr>
        <w:t>长约</w:t>
      </w:r>
      <w:r>
        <w:rPr>
          <w:rFonts w:hint="eastAsia" w:ascii="仿宋" w:hAnsi="仿宋" w:eastAsia="仿宋" w:cs="仿宋"/>
          <w:color w:val="auto"/>
          <w:sz w:val="28"/>
          <w:szCs w:val="28"/>
          <w:highlight w:val="none"/>
          <w:lang w:val="en-US" w:eastAsia="zh-CN"/>
        </w:rPr>
        <w:t>250米，宽约7米，不含105国道辅道）</w:t>
      </w:r>
      <w:r>
        <w:rPr>
          <w:rFonts w:hint="eastAsia" w:ascii="仿宋_GB2312" w:hAnsi="仿宋_GB2312" w:eastAsia="仿宋_GB2312" w:cs="仿宋_GB2312"/>
          <w:color w:val="auto"/>
          <w:sz w:val="28"/>
          <w:szCs w:val="28"/>
          <w:highlight w:val="none"/>
          <w:lang w:val="en-US" w:eastAsia="zh-CN"/>
        </w:rPr>
        <w:t>，侧方停车约40个停车位（以实际可用为准）。</w:t>
      </w:r>
    </w:p>
    <w:p w14:paraId="75BE5499">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合作建设要求：</w:t>
      </w:r>
    </w:p>
    <w:p w14:paraId="3C7CA810">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建设要求</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成功招商后立即开始建设，合作方承担所有建设费用，由于不能直接下闸围蔽辅道，因此须配套建设两套一进一出道闸、停车区域加装与辅道间的分隔设施、画好停车位、</w:t>
      </w:r>
      <w:r>
        <w:rPr>
          <w:rFonts w:hint="eastAsia" w:ascii="仿宋" w:hAnsi="仿宋" w:eastAsia="仿宋" w:cs="仿宋"/>
          <w:color w:val="auto"/>
          <w:sz w:val="28"/>
          <w:szCs w:val="28"/>
          <w:highlight w:val="none"/>
          <w:lang w:val="en-US" w:eastAsia="zh-CN"/>
        </w:rPr>
        <w:t>接入收费系统、加建监控设备、加装收费公示牌、做好停车区域环境卫生保洁、场地设施维护，配备消防、安全生产器材等；同时，须修复好现有破损环保砖路面和路沿石并做好涉停车位问题投诉</w:t>
      </w:r>
      <w:r>
        <w:rPr>
          <w:rFonts w:hint="eastAsia" w:ascii="仿宋_GB2312" w:hAnsi="仿宋_GB2312" w:eastAsia="仿宋_GB2312" w:cs="仿宋_GB2312"/>
          <w:color w:val="auto"/>
          <w:sz w:val="28"/>
          <w:szCs w:val="28"/>
          <w:highlight w:val="none"/>
        </w:rPr>
        <w:t>；</w:t>
      </w:r>
    </w:p>
    <w:p w14:paraId="03E29E69">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2、合作期限：6年；</w:t>
      </w:r>
    </w:p>
    <w:p w14:paraId="17494FC9">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3、合作租金底价：80元/车位/月，每三年递增10%</w:t>
      </w:r>
    </w:p>
    <w:p w14:paraId="76F44956">
      <w:pPr>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租金缴纳方式：</w:t>
      </w:r>
      <w:r>
        <w:rPr>
          <w:rFonts w:hint="eastAsia" w:ascii="仿宋_GB2312" w:hAnsi="仿宋_GB2312" w:eastAsia="仿宋_GB2312" w:cs="仿宋_GB2312"/>
          <w:b w:val="0"/>
          <w:bCs w:val="0"/>
          <w:color w:val="auto"/>
          <w:sz w:val="28"/>
          <w:szCs w:val="28"/>
          <w:highlight w:val="none"/>
        </w:rPr>
        <w:t>非税收入，系统自动生成非税收入一般缴款书，</w:t>
      </w:r>
      <w:r>
        <w:rPr>
          <w:rFonts w:hint="eastAsia" w:ascii="仿宋_GB2312" w:hAnsi="仿宋_GB2312" w:eastAsia="仿宋_GB2312" w:cs="仿宋_GB2312"/>
          <w:b w:val="0"/>
          <w:bCs w:val="0"/>
          <w:color w:val="auto"/>
          <w:sz w:val="28"/>
          <w:szCs w:val="28"/>
          <w:highlight w:val="none"/>
          <w:lang w:eastAsia="zh-CN"/>
        </w:rPr>
        <w:t>每半</w:t>
      </w:r>
      <w:r>
        <w:rPr>
          <w:rFonts w:hint="eastAsia" w:ascii="仿宋_GB2312" w:hAnsi="仿宋_GB2312" w:eastAsia="仿宋_GB2312" w:cs="仿宋_GB2312"/>
          <w:b w:val="0"/>
          <w:bCs w:val="0"/>
          <w:color w:val="auto"/>
          <w:sz w:val="28"/>
          <w:szCs w:val="28"/>
          <w:highlight w:val="none"/>
          <w:lang w:val="en-US" w:eastAsia="zh-CN"/>
        </w:rPr>
        <w:t>年</w:t>
      </w:r>
      <w:r>
        <w:rPr>
          <w:rFonts w:hint="eastAsia" w:ascii="仿宋_GB2312" w:hAnsi="仿宋_GB2312" w:eastAsia="仿宋_GB2312" w:cs="仿宋_GB2312"/>
          <w:b w:val="0"/>
          <w:bCs w:val="0"/>
          <w:color w:val="auto"/>
          <w:sz w:val="28"/>
          <w:szCs w:val="28"/>
          <w:highlight w:val="none"/>
        </w:rPr>
        <w:t>支付</w:t>
      </w:r>
      <w:r>
        <w:rPr>
          <w:rFonts w:hint="eastAsia" w:ascii="仿宋_GB2312" w:hAnsi="仿宋_GB2312" w:eastAsia="仿宋_GB2312" w:cs="仿宋_GB2312"/>
          <w:b w:val="0"/>
          <w:bCs w:val="0"/>
          <w:color w:val="auto"/>
          <w:sz w:val="28"/>
          <w:szCs w:val="28"/>
          <w:highlight w:val="none"/>
          <w:lang w:eastAsia="zh-CN"/>
        </w:rPr>
        <w:t>一次</w:t>
      </w:r>
      <w:r>
        <w:rPr>
          <w:rFonts w:hint="eastAsia" w:ascii="仿宋_GB2312" w:hAnsi="仿宋_GB2312" w:eastAsia="仿宋_GB2312" w:cs="仿宋_GB2312"/>
          <w:b w:val="0"/>
          <w:bCs w:val="0"/>
          <w:color w:val="auto"/>
          <w:sz w:val="28"/>
          <w:szCs w:val="28"/>
          <w:highlight w:val="none"/>
        </w:rPr>
        <w:t>租金</w:t>
      </w:r>
      <w:r>
        <w:rPr>
          <w:rFonts w:hint="eastAsia" w:ascii="仿宋_GB2312" w:hAnsi="仿宋_GB2312" w:eastAsia="仿宋_GB2312" w:cs="仿宋_GB2312"/>
          <w:b w:val="0"/>
          <w:bCs w:val="0"/>
          <w:color w:val="auto"/>
          <w:sz w:val="28"/>
          <w:szCs w:val="28"/>
          <w:highlight w:val="none"/>
          <w:lang w:eastAsia="zh-CN"/>
        </w:rPr>
        <w:t>；</w:t>
      </w:r>
    </w:p>
    <w:p w14:paraId="07AEB7CB">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计租时间：</w:t>
      </w:r>
      <w:r>
        <w:rPr>
          <w:rFonts w:hint="eastAsia" w:ascii="仿宋_GB2312" w:hAnsi="仿宋_GB2312" w:eastAsia="仿宋_GB2312" w:cs="仿宋_GB2312"/>
          <w:b w:val="0"/>
          <w:bCs w:val="0"/>
          <w:color w:val="auto"/>
          <w:sz w:val="28"/>
          <w:szCs w:val="28"/>
          <w:highlight w:val="none"/>
          <w:lang w:val="en-US" w:eastAsia="zh-CN"/>
        </w:rPr>
        <w:t>免租期1个月</w:t>
      </w:r>
      <w:r>
        <w:rPr>
          <w:rFonts w:hint="eastAsia" w:ascii="仿宋_GB2312" w:hAnsi="仿宋_GB2312" w:eastAsia="仿宋_GB2312" w:cs="仿宋_GB2312"/>
          <w:color w:val="auto"/>
          <w:sz w:val="28"/>
          <w:szCs w:val="28"/>
          <w:highlight w:val="none"/>
        </w:rPr>
        <w:t>。</w:t>
      </w:r>
    </w:p>
    <w:p w14:paraId="4B6D4D3F">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智慧停车场收费指导价：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3"/>
        <w:gridCol w:w="5179"/>
      </w:tblGrid>
      <w:tr w14:paraId="7CA7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3" w:type="dxa"/>
            <w:noWrap w:val="0"/>
            <w:vAlign w:val="top"/>
          </w:tcPr>
          <w:p w14:paraId="282DAC9D">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车辆类型</w:t>
            </w:r>
          </w:p>
        </w:tc>
        <w:tc>
          <w:tcPr>
            <w:tcW w:w="5179" w:type="dxa"/>
            <w:noWrap w:val="0"/>
            <w:vAlign w:val="top"/>
          </w:tcPr>
          <w:p w14:paraId="35DCEC33">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收费标准</w:t>
            </w:r>
          </w:p>
        </w:tc>
      </w:tr>
      <w:tr w14:paraId="1B9A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2633176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临停车</w:t>
            </w:r>
          </w:p>
        </w:tc>
        <w:tc>
          <w:tcPr>
            <w:tcW w:w="5179" w:type="dxa"/>
            <w:noWrap w:val="0"/>
            <w:vAlign w:val="top"/>
          </w:tcPr>
          <w:p w14:paraId="2832CF5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1小时内免费，超1小时到12小时收费5元，超12小时到24小时10元，超过24小时后循环计费</w:t>
            </w:r>
          </w:p>
        </w:tc>
      </w:tr>
    </w:tbl>
    <w:p w14:paraId="2AD0CB98">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7、系统及数据管理要求：</w:t>
      </w:r>
    </w:p>
    <w:p w14:paraId="4C97C4E4">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1.道闸收费系统须无条件配合接入镇统一管理平台；</w:t>
      </w:r>
    </w:p>
    <w:p w14:paraId="0EDA9DCE">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2.道闸收费系统、现场监控系统等须增加东海社区账号作为管理员。</w:t>
      </w:r>
    </w:p>
    <w:p w14:paraId="7DEDFF04">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二、规划用途：</w:t>
      </w:r>
      <w:r>
        <w:rPr>
          <w:rFonts w:hint="eastAsia" w:ascii="仿宋_GB2312" w:hAnsi="仿宋_GB2312" w:eastAsia="仿宋_GB2312" w:cs="仿宋_GB2312"/>
          <w:color w:val="auto"/>
          <w:sz w:val="28"/>
          <w:szCs w:val="28"/>
          <w:highlight w:val="none"/>
          <w:lang w:eastAsia="zh-CN"/>
        </w:rPr>
        <w:t>出租区域</w:t>
      </w:r>
      <w:r>
        <w:rPr>
          <w:rFonts w:hint="eastAsia" w:ascii="仿宋_GB2312" w:hAnsi="仿宋_GB2312" w:eastAsia="仿宋_GB2312" w:cs="仿宋_GB2312"/>
          <w:color w:val="auto"/>
          <w:sz w:val="28"/>
          <w:szCs w:val="28"/>
          <w:highlight w:val="none"/>
        </w:rPr>
        <w:t>只作</w:t>
      </w:r>
      <w:r>
        <w:rPr>
          <w:rFonts w:hint="eastAsia" w:ascii="仿宋_GB2312" w:hAnsi="仿宋_GB2312" w:eastAsia="仿宋_GB2312" w:cs="仿宋_GB2312"/>
          <w:b w:val="0"/>
          <w:bCs w:val="0"/>
          <w:color w:val="auto"/>
          <w:sz w:val="28"/>
          <w:szCs w:val="28"/>
          <w:highlight w:val="none"/>
          <w:lang w:val="en-US" w:eastAsia="zh-CN"/>
        </w:rPr>
        <w:t>停车</w:t>
      </w:r>
      <w:r>
        <w:rPr>
          <w:rFonts w:hint="eastAsia" w:ascii="仿宋_GB2312" w:hAnsi="仿宋_GB2312" w:eastAsia="仿宋_GB2312" w:cs="仿宋_GB2312"/>
          <w:color w:val="auto"/>
          <w:sz w:val="28"/>
          <w:szCs w:val="28"/>
          <w:highlight w:val="none"/>
          <w:lang w:eastAsia="zh-CN"/>
        </w:rPr>
        <w:t>使用</w:t>
      </w:r>
      <w:r>
        <w:rPr>
          <w:rFonts w:hint="eastAsia" w:ascii="仿宋_GB2312" w:hAnsi="仿宋_GB2312" w:eastAsia="仿宋_GB2312" w:cs="仿宋_GB2312"/>
          <w:color w:val="auto"/>
          <w:sz w:val="28"/>
          <w:szCs w:val="28"/>
          <w:highlight w:val="none"/>
        </w:rPr>
        <w:t>，不</w:t>
      </w:r>
      <w:r>
        <w:rPr>
          <w:rFonts w:hint="eastAsia" w:ascii="仿宋_GB2312" w:hAnsi="仿宋_GB2312" w:eastAsia="仿宋_GB2312" w:cs="仿宋_GB2312"/>
          <w:color w:val="auto"/>
          <w:sz w:val="28"/>
          <w:szCs w:val="28"/>
          <w:highlight w:val="none"/>
          <w:lang w:eastAsia="zh-CN"/>
        </w:rPr>
        <w:t>得作其他</w:t>
      </w:r>
      <w:r>
        <w:rPr>
          <w:rFonts w:hint="eastAsia" w:ascii="仿宋_GB2312" w:hAnsi="仿宋_GB2312" w:eastAsia="仿宋_GB2312" w:cs="仿宋_GB2312"/>
          <w:color w:val="auto"/>
          <w:sz w:val="28"/>
          <w:szCs w:val="28"/>
          <w:highlight w:val="none"/>
        </w:rPr>
        <w:t>用途；</w:t>
      </w:r>
    </w:p>
    <w:p w14:paraId="733B8EC3">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三、</w:t>
      </w:r>
      <w:r>
        <w:rPr>
          <w:rFonts w:hint="eastAsia" w:ascii="黑体" w:hAnsi="黑体" w:eastAsia="黑体" w:cs="黑体"/>
          <w:b/>
          <w:bCs/>
          <w:color w:val="auto"/>
          <w:sz w:val="28"/>
          <w:szCs w:val="28"/>
          <w:highlight w:val="none"/>
          <w:lang w:val="en-US" w:eastAsia="zh-CN"/>
        </w:rPr>
        <w:t>投标</w:t>
      </w:r>
      <w:r>
        <w:rPr>
          <w:rFonts w:hint="eastAsia" w:ascii="黑体" w:hAnsi="黑体" w:eastAsia="黑体" w:cs="黑体"/>
          <w:b/>
          <w:bCs/>
          <w:color w:val="auto"/>
          <w:sz w:val="28"/>
          <w:szCs w:val="28"/>
          <w:highlight w:val="none"/>
        </w:rPr>
        <w:t>保证金：</w:t>
      </w:r>
      <w:r>
        <w:rPr>
          <w:rFonts w:hint="eastAsia" w:ascii="仿宋_GB2312" w:hAnsi="仿宋_GB2312" w:eastAsia="仿宋_GB2312" w:cs="仿宋_GB2312"/>
          <w:color w:val="auto"/>
          <w:sz w:val="28"/>
          <w:szCs w:val="28"/>
          <w:highlight w:val="none"/>
          <w:lang w:eastAsia="zh-CN"/>
        </w:rPr>
        <w:t>天乙铂金项目</w:t>
      </w:r>
      <w:r>
        <w:rPr>
          <w:rFonts w:hint="eastAsia" w:ascii="仿宋_GB2312" w:hAnsi="仿宋_GB2312" w:eastAsia="仿宋_GB2312" w:cs="仿宋_GB2312"/>
          <w:b w:val="0"/>
          <w:bCs w:val="0"/>
          <w:color w:val="auto"/>
          <w:sz w:val="28"/>
          <w:szCs w:val="28"/>
          <w:highlight w:val="none"/>
          <w:lang w:val="en-US" w:eastAsia="zh-CN"/>
        </w:rPr>
        <w:t>30000</w:t>
      </w:r>
      <w:r>
        <w:rPr>
          <w:rFonts w:hint="eastAsia" w:ascii="仿宋_GB2312" w:hAnsi="仿宋_GB2312" w:eastAsia="仿宋_GB2312" w:cs="仿宋_GB2312"/>
          <w:b w:val="0"/>
          <w:bCs w:val="0"/>
          <w:color w:val="auto"/>
          <w:sz w:val="28"/>
          <w:szCs w:val="28"/>
          <w:highlight w:val="none"/>
        </w:rPr>
        <w:t>元人民币</w:t>
      </w:r>
      <w:r>
        <w:rPr>
          <w:rFonts w:hint="eastAsia" w:ascii="仿宋_GB2312" w:hAnsi="仿宋_GB2312" w:eastAsia="仿宋_GB2312" w:cs="仿宋_GB2312"/>
          <w:b w:val="0"/>
          <w:bCs w:val="0"/>
          <w:color w:val="auto"/>
          <w:sz w:val="28"/>
          <w:szCs w:val="28"/>
          <w:highlight w:val="none"/>
          <w:lang w:eastAsia="zh-CN"/>
        </w:rPr>
        <w:t>（大写：叁万元整）</w:t>
      </w:r>
      <w:r>
        <w:rPr>
          <w:rFonts w:hint="eastAsia" w:ascii="仿宋_GB2312" w:hAnsi="仿宋_GB2312" w:eastAsia="仿宋_GB2312" w:cs="仿宋_GB2312"/>
          <w:b w:val="0"/>
          <w:bCs w:val="0"/>
          <w:color w:val="auto"/>
          <w:sz w:val="28"/>
          <w:szCs w:val="28"/>
          <w:highlight w:val="none"/>
        </w:rPr>
        <w:t>；</w:t>
      </w:r>
    </w:p>
    <w:p w14:paraId="02909B8C">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四、投标报名：</w:t>
      </w:r>
    </w:p>
    <w:p w14:paraId="35312629">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1、参与竞投者须缴纳投标保证金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缴纳保证金账号必须与竞投者保持一致</w:t>
      </w:r>
      <w:r>
        <w:rPr>
          <w:rFonts w:hint="eastAsia" w:ascii="仿宋_GB2312" w:hAnsi="仿宋_GB2312" w:eastAsia="仿宋_GB2312" w:cs="仿宋_GB2312"/>
          <w:color w:val="auto"/>
          <w:sz w:val="28"/>
          <w:szCs w:val="28"/>
          <w:highlight w:val="none"/>
        </w:rPr>
        <w:t>，投标保证金</w:t>
      </w:r>
      <w:r>
        <w:rPr>
          <w:rFonts w:hint="eastAsia" w:ascii="仿宋_GB2312" w:hAnsi="仿宋_GB2312" w:eastAsia="仿宋_GB2312" w:cs="仿宋_GB2312"/>
          <w:color w:val="auto"/>
          <w:sz w:val="28"/>
          <w:szCs w:val="28"/>
          <w:highlight w:val="none"/>
          <w:lang w:eastAsia="zh-CN"/>
        </w:rPr>
        <w:t>按单个项目</w:t>
      </w:r>
      <w:r>
        <w:rPr>
          <w:rFonts w:hint="eastAsia" w:ascii="仿宋_GB2312" w:hAnsi="仿宋_GB2312" w:eastAsia="仿宋_GB2312" w:cs="仿宋_GB2312"/>
          <w:color w:val="auto"/>
          <w:sz w:val="28"/>
          <w:szCs w:val="28"/>
          <w:highlight w:val="none"/>
          <w:lang w:val="en-US" w:eastAsia="zh-CN"/>
        </w:rPr>
        <w:t>计算，缴交时要备注具体参投项目</w:t>
      </w:r>
      <w:r>
        <w:rPr>
          <w:rFonts w:hint="eastAsia" w:ascii="仿宋_GB2312" w:hAnsi="仿宋_GB2312" w:eastAsia="仿宋_GB2312" w:cs="仿宋_GB2312"/>
          <w:b w:val="0"/>
          <w:bCs w:val="0"/>
          <w:color w:val="auto"/>
          <w:sz w:val="28"/>
          <w:szCs w:val="28"/>
          <w:highlight w:val="none"/>
        </w:rPr>
        <w:t>，竞投者</w:t>
      </w:r>
      <w:r>
        <w:rPr>
          <w:rFonts w:hint="eastAsia" w:ascii="仿宋_GB2312" w:hAnsi="仿宋_GB2312" w:eastAsia="仿宋_GB2312" w:cs="仿宋_GB2312"/>
          <w:color w:val="auto"/>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10</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25</w:t>
      </w:r>
      <w:r>
        <w:rPr>
          <w:rFonts w:hint="eastAsia" w:ascii="仿宋_GB2312" w:hAnsi="仿宋_GB2312" w:eastAsia="仿宋_GB2312" w:cs="仿宋_GB2312"/>
          <w:color w:val="auto"/>
          <w:sz w:val="28"/>
          <w:szCs w:val="28"/>
          <w:highlight w:val="none"/>
        </w:rPr>
        <w:t>日16：00</w:t>
      </w:r>
      <w:r>
        <w:rPr>
          <w:rFonts w:hint="eastAsia" w:ascii="仿宋_GB2312" w:hAnsi="仿宋_GB2312" w:eastAsia="仿宋_GB2312" w:cs="仿宋_GB2312"/>
          <w:sz w:val="28"/>
          <w:szCs w:val="28"/>
          <w:highlight w:val="none"/>
        </w:rPr>
        <w:t>前自行到</w:t>
      </w:r>
      <w:r>
        <w:rPr>
          <w:rFonts w:hint="eastAsia" w:ascii="仿宋_GB2312" w:hAnsi="仿宋_GB2312" w:eastAsia="仿宋_GB2312" w:cs="仿宋_GB2312"/>
          <w:sz w:val="28"/>
          <w:szCs w:val="28"/>
          <w:highlight w:val="none"/>
          <w:lang w:eastAsia="zh-CN"/>
        </w:rPr>
        <w:t>建设银行东富路</w:t>
      </w:r>
      <w:r>
        <w:rPr>
          <w:rFonts w:hint="eastAsia" w:ascii="仿宋_GB2312" w:hAnsi="仿宋_GB2312" w:eastAsia="仿宋_GB2312" w:cs="仿宋_GB2312"/>
          <w:sz w:val="28"/>
          <w:szCs w:val="28"/>
          <w:highlight w:val="none"/>
        </w:rPr>
        <w:t>支行缴纳（银行名称：</w:t>
      </w:r>
      <w:r>
        <w:rPr>
          <w:rFonts w:hint="eastAsia" w:ascii="仿宋_GB2312" w:hAnsi="仿宋_GB2312" w:eastAsia="仿宋_GB2312" w:cs="仿宋_GB2312"/>
          <w:sz w:val="28"/>
          <w:szCs w:val="28"/>
          <w:highlight w:val="none"/>
          <w:lang w:eastAsia="zh-CN"/>
        </w:rPr>
        <w:t>中国建设银行中山东凤东富路支行</w:t>
      </w:r>
      <w:r>
        <w:rPr>
          <w:rFonts w:hint="eastAsia" w:ascii="仿宋_GB2312" w:hAnsi="仿宋_GB2312" w:eastAsia="仿宋_GB2312" w:cs="仿宋_GB2312"/>
          <w:sz w:val="28"/>
          <w:szCs w:val="28"/>
          <w:highlight w:val="none"/>
        </w:rPr>
        <w:t>，单位名称：广东省中山市东凤镇东海社区居民委员会，账号：</w:t>
      </w:r>
      <w:r>
        <w:rPr>
          <w:rFonts w:hint="eastAsia" w:ascii="仿宋_GB2312" w:hAnsi="仿宋_GB2312" w:eastAsia="仿宋_GB2312" w:cs="仿宋_GB2312"/>
          <w:sz w:val="28"/>
          <w:szCs w:val="28"/>
          <w:highlight w:val="none"/>
          <w:lang w:val="en-US" w:eastAsia="zh-CN"/>
        </w:rPr>
        <w:t>44050178180100001067</w:t>
      </w:r>
      <w:r>
        <w:rPr>
          <w:rFonts w:hint="eastAsia" w:ascii="仿宋_GB2312" w:hAnsi="仿宋_GB2312" w:eastAsia="仿宋_GB2312" w:cs="仿宋_GB2312"/>
          <w:sz w:val="28"/>
          <w:szCs w:val="28"/>
          <w:highlight w:val="none"/>
        </w:rPr>
        <w:t>）</w:t>
      </w:r>
      <w:bookmarkStart w:id="0" w:name="_GoBack"/>
      <w:bookmarkEnd w:id="0"/>
      <w:r>
        <w:rPr>
          <w:rFonts w:hint="eastAsia" w:ascii="仿宋_GB2312" w:hAnsi="仿宋_GB2312" w:eastAsia="仿宋_GB2312" w:cs="仿宋_GB2312"/>
          <w:color w:val="auto"/>
          <w:sz w:val="28"/>
          <w:szCs w:val="28"/>
          <w:highlight w:val="none"/>
        </w:rPr>
        <w:t>。未中标者</w:t>
      </w:r>
      <w:r>
        <w:rPr>
          <w:rFonts w:hint="eastAsia" w:ascii="仿宋_GB2312" w:hAnsi="仿宋_GB2312" w:eastAsia="仿宋_GB2312" w:cs="仿宋_GB2312"/>
          <w:color w:val="auto"/>
          <w:sz w:val="28"/>
          <w:szCs w:val="28"/>
          <w:highlight w:val="none"/>
          <w:lang w:eastAsia="zh-CN"/>
        </w:rPr>
        <w:t>凭</w:t>
      </w:r>
      <w:r>
        <w:rPr>
          <w:rFonts w:hint="eastAsia" w:ascii="仿宋_GB2312" w:hAnsi="仿宋_GB2312" w:eastAsia="仿宋_GB2312" w:cs="仿宋_GB2312"/>
          <w:color w:val="auto"/>
          <w:sz w:val="28"/>
          <w:szCs w:val="28"/>
          <w:highlight w:val="none"/>
          <w:lang w:val="en-US" w:eastAsia="zh-CN"/>
        </w:rPr>
        <w:t>保证金缴款单回执、收款收据办理退回手续，</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lang w:val="en-US" w:eastAsia="zh-CN"/>
        </w:rPr>
        <w:t>于</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个工作日内退还保证金本金</w:t>
      </w:r>
      <w:r>
        <w:rPr>
          <w:rFonts w:hint="eastAsia" w:ascii="仿宋_GB2312" w:hAnsi="仿宋_GB2312" w:eastAsia="仿宋_GB2312" w:cs="仿宋_GB2312"/>
          <w:color w:val="auto"/>
          <w:sz w:val="28"/>
          <w:szCs w:val="28"/>
          <w:highlight w:val="none"/>
          <w:lang w:eastAsia="zh-CN"/>
        </w:rPr>
        <w:t>。</w:t>
      </w:r>
      <w:r>
        <w:rPr>
          <w:rFonts w:hint="eastAsia" w:ascii="仿宋_GB2312" w:hAnsi="仿宋" w:eastAsia="仿宋_GB2312" w:cs="Arial"/>
          <w:color w:val="auto"/>
          <w:kern w:val="0"/>
          <w:sz w:val="28"/>
          <w:szCs w:val="28"/>
          <w:highlight w:val="none"/>
          <w:lang w:val="en-US" w:eastAsia="zh-CN"/>
        </w:rPr>
        <w:t>中标者投标保证金自动转为合同履约金。</w:t>
      </w:r>
    </w:p>
    <w:p w14:paraId="3D8077B5">
      <w:pPr>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2、竞投者需具有独立法人资格</w:t>
      </w:r>
      <w:r>
        <w:rPr>
          <w:rFonts w:hint="eastAsia" w:ascii="仿宋_GB2312" w:hAnsi="仿宋_GB2312" w:eastAsia="仿宋_GB2312" w:cs="仿宋_GB2312"/>
          <w:color w:val="auto"/>
          <w:sz w:val="28"/>
          <w:szCs w:val="28"/>
          <w:highlight w:val="none"/>
          <w:lang w:val="en-US" w:eastAsia="zh-CN"/>
        </w:rPr>
        <w:t>企业；</w:t>
      </w:r>
      <w:r>
        <w:rPr>
          <w:rFonts w:hint="eastAsia" w:ascii="仿宋_GB2312" w:hAnsi="仿宋_GB2312" w:eastAsia="仿宋_GB2312" w:cs="仿宋_GB2312"/>
          <w:color w:val="auto"/>
          <w:sz w:val="28"/>
          <w:szCs w:val="28"/>
          <w:highlight w:val="none"/>
        </w:rPr>
        <w:t>具有良好的商业信誉和健全的财务会计制度；</w:t>
      </w:r>
      <w:r>
        <w:rPr>
          <w:rFonts w:hint="eastAsia" w:ascii="仿宋_GB2312" w:hAnsi="仿宋_GB2312" w:eastAsia="仿宋_GB2312" w:cs="仿宋_GB2312"/>
          <w:color w:val="auto"/>
          <w:sz w:val="28"/>
          <w:szCs w:val="28"/>
          <w:highlight w:val="none"/>
          <w:lang w:eastAsia="zh-CN"/>
        </w:rPr>
        <w:t>有物业管理或停车场运营管理服务资质。</w:t>
      </w:r>
      <w:r>
        <w:rPr>
          <w:rFonts w:hint="eastAsia" w:ascii="仿宋_GB2312" w:hAnsi="仿宋_GB2312" w:eastAsia="仿宋_GB2312" w:cs="仿宋_GB2312"/>
          <w:color w:val="auto"/>
          <w:sz w:val="28"/>
          <w:szCs w:val="28"/>
          <w:highlight w:val="none"/>
        </w:rPr>
        <w:t>有依法缴纳税收和社会保障资金的良好记录；参加本次招投标前三年内，在经营活动中没有重大违法记录；不接受联合竞投。在报名截止前携带法人身份证</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、营业执照</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、保证金缴款单回执等资料到我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进行登记</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，领取投标确认书参加投标。</w:t>
      </w:r>
      <w:r>
        <w:rPr>
          <w:rFonts w:hint="eastAsia" w:ascii="仿宋_GB2312" w:hAnsi="仿宋_GB2312" w:eastAsia="仿宋_GB2312" w:cs="仿宋_GB2312"/>
          <w:color w:val="auto"/>
          <w:sz w:val="28"/>
          <w:szCs w:val="28"/>
          <w:highlight w:val="none"/>
          <w:lang w:eastAsia="zh-CN"/>
        </w:rPr>
        <w:t>如代理人报名，则须提交委托代理书。</w:t>
      </w:r>
    </w:p>
    <w:p w14:paraId="005DF967">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 w:val="0"/>
          <w:bCs w:val="0"/>
          <w:color w:val="auto"/>
          <w:sz w:val="28"/>
          <w:szCs w:val="28"/>
          <w:highlight w:val="none"/>
        </w:rPr>
        <w:t>招标人不组织现场踏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，投标人须自行对租赁物进行踏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，了解租赁物现状情况</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以土地现状交付使用</w:t>
      </w:r>
      <w:r>
        <w:rPr>
          <w:rFonts w:hint="eastAsia" w:ascii="仿宋_GB2312" w:hAnsi="仿宋_GB2312" w:eastAsia="仿宋_GB2312" w:cs="仿宋_GB2312"/>
          <w:b w:val="0"/>
          <w:bCs w:val="0"/>
          <w:color w:val="auto"/>
          <w:sz w:val="28"/>
          <w:szCs w:val="28"/>
          <w:highlight w:val="none"/>
        </w:rPr>
        <w:t>。</w:t>
      </w:r>
    </w:p>
    <w:p w14:paraId="44472492">
      <w:pPr>
        <w:spacing w:line="240" w:lineRule="auto"/>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b w:val="0"/>
          <w:bCs w:val="0"/>
          <w:color w:val="auto"/>
          <w:sz w:val="28"/>
          <w:szCs w:val="28"/>
          <w:highlight w:val="none"/>
        </w:rPr>
        <w:t>如项目用地在租赁期间涉及违法用地相关情况，承租方无条件服从处理，相关费用及责任由承租方承担，如承租方在整改期内未完成整改，我司有权使用承租方所缴纳的按金用于处理该地块的违法用地所产生的费用。</w:t>
      </w:r>
    </w:p>
    <w:p w14:paraId="4D99CEBC">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五、投标：</w:t>
      </w:r>
    </w:p>
    <w:p w14:paraId="4CFE3CB5">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1、招投标方式和评标办法：采取现场明标出价方式竞投，出价最高且高于底价者为中标单位。</w:t>
      </w:r>
    </w:p>
    <w:p w14:paraId="062345A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2、第一次竞价可平价，之后每次竞价增加幅度不少于</w:t>
      </w:r>
      <w:r>
        <w:rPr>
          <w:rFonts w:hint="eastAsia" w:ascii="仿宋_GB2312" w:hAnsi="仿宋_GB2312" w:eastAsia="仿宋_GB2312" w:cs="仿宋_GB2312"/>
          <w:color w:val="auto"/>
          <w:sz w:val="28"/>
          <w:szCs w:val="28"/>
          <w:highlight w:val="none"/>
          <w:lang w:val="en-US" w:eastAsia="zh-CN"/>
        </w:rPr>
        <w:t>底价的10%</w:t>
      </w:r>
      <w:r>
        <w:rPr>
          <w:rFonts w:hint="eastAsia" w:ascii="仿宋_GB2312" w:hAnsi="仿宋_GB2312" w:eastAsia="仿宋_GB2312" w:cs="仿宋_GB2312"/>
          <w:color w:val="auto"/>
          <w:sz w:val="28"/>
          <w:szCs w:val="28"/>
          <w:highlight w:val="none"/>
        </w:rPr>
        <w:t>。</w:t>
      </w:r>
    </w:p>
    <w:p w14:paraId="71FFE999">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3、如参与竞投者本人无法到场、则代理人需携带委托书和身份证复印件（需加盖公章）到场代理参与竞标。</w:t>
      </w:r>
    </w:p>
    <w:p w14:paraId="1340290B">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4、不限参加竞投单位数量，如只有一家单位</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竞</w:t>
      </w:r>
      <w:r>
        <w:rPr>
          <w:rFonts w:hint="eastAsia" w:ascii="仿宋_GB2312" w:hAnsi="仿宋_GB2312" w:eastAsia="仿宋_GB2312" w:cs="仿宋_GB2312"/>
          <w:color w:val="auto"/>
          <w:sz w:val="28"/>
          <w:szCs w:val="28"/>
          <w:highlight w:val="none"/>
          <w:lang w:eastAsia="zh-CN"/>
        </w:rPr>
        <w:t>投</w:t>
      </w:r>
      <w:r>
        <w:rPr>
          <w:rFonts w:hint="eastAsia" w:ascii="仿宋_GB2312" w:hAnsi="仿宋_GB2312" w:eastAsia="仿宋_GB2312" w:cs="仿宋_GB2312"/>
          <w:color w:val="auto"/>
          <w:sz w:val="28"/>
          <w:szCs w:val="28"/>
          <w:highlight w:val="none"/>
        </w:rPr>
        <w:t>也正常开标。</w:t>
      </w:r>
    </w:p>
    <w:p w14:paraId="25B5E5C5">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六、招投标时间安排：</w:t>
      </w:r>
    </w:p>
    <w:p w14:paraId="4B8DB206">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竞标报名截止：</w:t>
      </w:r>
      <w:r>
        <w:rPr>
          <w:rFonts w:hint="eastAsia" w:ascii="仿宋_GB2312" w:hAnsi="仿宋_GB2312" w:eastAsia="仿宋_GB2312" w:cs="仿宋_GB2312"/>
          <w:i w:val="0"/>
          <w:caps w:val="0"/>
          <w:color w:val="auto"/>
          <w:spacing w:val="0"/>
          <w:sz w:val="28"/>
          <w:szCs w:val="28"/>
          <w:highlight w:val="none"/>
          <w:lang w:val="en-US" w:eastAsia="zh-CN"/>
        </w:rPr>
        <w:t>2024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10</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25</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00；</w:t>
      </w:r>
    </w:p>
    <w:p w14:paraId="716F77D1">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公开竞标日期：</w:t>
      </w:r>
      <w:r>
        <w:rPr>
          <w:rFonts w:hint="eastAsia" w:ascii="仿宋_GB2312" w:hAnsi="仿宋_GB2312" w:eastAsia="仿宋_GB2312" w:cs="仿宋_GB2312"/>
          <w:i w:val="0"/>
          <w:caps w:val="0"/>
          <w:color w:val="auto"/>
          <w:spacing w:val="0"/>
          <w:sz w:val="28"/>
          <w:szCs w:val="28"/>
          <w:highlight w:val="none"/>
          <w:lang w:val="en-US" w:eastAsia="zh-CN"/>
        </w:rPr>
        <w:t>2024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10</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14:45</w:t>
      </w:r>
      <w:r>
        <w:rPr>
          <w:rFonts w:hint="eastAsia" w:ascii="仿宋_GB2312" w:hAnsi="仿宋_GB2312" w:eastAsia="仿宋_GB2312" w:cs="仿宋_GB2312"/>
          <w:color w:val="auto"/>
          <w:sz w:val="28"/>
          <w:szCs w:val="28"/>
          <w:highlight w:val="none"/>
          <w:lang w:eastAsia="zh-CN"/>
        </w:rPr>
        <w:t>开始</w:t>
      </w:r>
      <w:r>
        <w:rPr>
          <w:rFonts w:hint="eastAsia" w:ascii="仿宋_GB2312" w:hAnsi="仿宋_GB2312" w:eastAsia="仿宋_GB2312" w:cs="仿宋_GB2312"/>
          <w:color w:val="auto"/>
          <w:sz w:val="28"/>
          <w:szCs w:val="28"/>
          <w:highlight w:val="none"/>
          <w:lang w:val="en-US" w:eastAsia="zh-CN"/>
        </w:rPr>
        <w:t>签到，15:00开始竞投</w:t>
      </w:r>
      <w:r>
        <w:rPr>
          <w:rFonts w:hint="eastAsia" w:ascii="仿宋_GB2312" w:hAnsi="仿宋_GB2312" w:eastAsia="仿宋_GB2312" w:cs="仿宋_GB2312"/>
          <w:color w:val="auto"/>
          <w:sz w:val="28"/>
          <w:szCs w:val="28"/>
          <w:highlight w:val="none"/>
        </w:rPr>
        <w:t>；</w:t>
      </w:r>
    </w:p>
    <w:p w14:paraId="41C57A30">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公开竞标地址：东凤镇凤翔大道13号</w:t>
      </w:r>
      <w:r>
        <w:rPr>
          <w:rFonts w:hint="eastAsia" w:ascii="仿宋_GB2312" w:hAnsi="仿宋_GB2312" w:eastAsia="仿宋_GB2312" w:cs="仿宋_GB2312"/>
          <w:color w:val="auto"/>
          <w:sz w:val="28"/>
          <w:szCs w:val="28"/>
          <w:highlight w:val="none"/>
          <w:lang w:eastAsia="zh-CN"/>
        </w:rPr>
        <w:t>平安法治办</w:t>
      </w:r>
      <w:r>
        <w:rPr>
          <w:rFonts w:hint="eastAsia" w:ascii="仿宋_GB2312" w:hAnsi="仿宋_GB2312" w:eastAsia="仿宋_GB2312" w:cs="仿宋_GB2312"/>
          <w:color w:val="auto"/>
          <w:sz w:val="28"/>
          <w:szCs w:val="28"/>
          <w:highlight w:val="none"/>
        </w:rPr>
        <w:t>五楼开标室</w:t>
      </w:r>
      <w:r>
        <w:rPr>
          <w:rFonts w:hint="eastAsia" w:ascii="仿宋_GB2312" w:hAnsi="仿宋_GB2312" w:eastAsia="仿宋_GB2312" w:cs="仿宋_GB2312"/>
          <w:color w:val="auto"/>
          <w:sz w:val="28"/>
          <w:szCs w:val="28"/>
          <w:highlight w:val="none"/>
          <w:lang w:eastAsia="zh-CN"/>
        </w:rPr>
        <w:t>（开标时间、</w:t>
      </w:r>
      <w:r>
        <w:rPr>
          <w:rFonts w:hint="eastAsia" w:ascii="仿宋_GB2312" w:hAnsi="仿宋_GB2312" w:eastAsia="仿宋_GB2312" w:cs="仿宋_GB2312"/>
          <w:color w:val="auto"/>
          <w:sz w:val="28"/>
          <w:szCs w:val="28"/>
          <w:highlight w:val="none"/>
          <w:lang w:val="en-US" w:eastAsia="zh-CN"/>
        </w:rPr>
        <w:t>地点有变化将会电话通知）</w:t>
      </w:r>
      <w:r>
        <w:rPr>
          <w:rFonts w:hint="eastAsia" w:ascii="仿宋_GB2312" w:hAnsi="仿宋_GB2312" w:eastAsia="仿宋_GB2312" w:cs="仿宋_GB2312"/>
          <w:color w:val="auto"/>
          <w:sz w:val="28"/>
          <w:szCs w:val="28"/>
          <w:highlight w:val="none"/>
        </w:rPr>
        <w:t>；</w:t>
      </w:r>
    </w:p>
    <w:p w14:paraId="2818F78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竞标者迟到10分钟以上作弃权处理；</w:t>
      </w:r>
    </w:p>
    <w:p w14:paraId="7166BB5E">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七、其他：</w:t>
      </w:r>
    </w:p>
    <w:p w14:paraId="2E3AA34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1、中标单位在中标通知书发出之日起三十日内必须缴清合同履约保证金</w:t>
      </w:r>
      <w:r>
        <w:rPr>
          <w:rFonts w:hint="eastAsia" w:ascii="仿宋_GB2312" w:hAnsi="仿宋_GB2312" w:eastAsia="仿宋_GB2312" w:cs="仿宋_GB2312"/>
          <w:color w:val="auto"/>
          <w:sz w:val="28"/>
          <w:szCs w:val="28"/>
          <w:highlight w:val="none"/>
          <w:lang w:eastAsia="zh-CN"/>
        </w:rPr>
        <w:t>（投标保证金自动转为履约保证金）</w:t>
      </w:r>
      <w:r>
        <w:rPr>
          <w:rFonts w:hint="eastAsia" w:ascii="仿宋_GB2312" w:hAnsi="仿宋_GB2312" w:eastAsia="仿宋_GB2312" w:cs="仿宋_GB2312"/>
          <w:color w:val="auto"/>
          <w:sz w:val="28"/>
          <w:szCs w:val="28"/>
          <w:highlight w:val="none"/>
        </w:rPr>
        <w:t>和签订合同，逾期不签订合同，则视作弃标处理，并没收投标保证金。</w:t>
      </w:r>
    </w:p>
    <w:p w14:paraId="657302EE">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中标单位需承担中标项目第三方资产评估费用</w:t>
      </w:r>
      <w:r>
        <w:rPr>
          <w:rFonts w:hint="eastAsia" w:ascii="仿宋_GB2312" w:hAnsi="仿宋_GB2312" w:eastAsia="仿宋_GB2312" w:cs="仿宋_GB2312"/>
          <w:color w:val="auto"/>
          <w:sz w:val="28"/>
          <w:szCs w:val="28"/>
          <w:highlight w:val="none"/>
          <w:lang w:val="en-US" w:eastAsia="zh-CN"/>
        </w:rPr>
        <w:t>600元，</w:t>
      </w:r>
      <w:r>
        <w:rPr>
          <w:rFonts w:hint="eastAsia" w:ascii="仿宋_GB2312" w:hAnsi="仿宋_GB2312" w:eastAsia="仿宋_GB2312" w:cs="仿宋_GB2312"/>
          <w:color w:val="auto"/>
          <w:sz w:val="28"/>
          <w:szCs w:val="28"/>
          <w:highlight w:val="none"/>
          <w:lang w:eastAsia="zh-CN"/>
        </w:rPr>
        <w:t>中标单位</w:t>
      </w:r>
      <w:r>
        <w:rPr>
          <w:rFonts w:hint="eastAsia" w:ascii="仿宋_GB2312" w:hAnsi="仿宋_GB2312" w:eastAsia="仿宋_GB2312" w:cs="仿宋_GB2312"/>
          <w:color w:val="auto"/>
          <w:sz w:val="28"/>
          <w:szCs w:val="28"/>
          <w:highlight w:val="none"/>
          <w:lang w:val="en-US" w:eastAsia="zh-CN"/>
        </w:rPr>
        <w:t>直接与评估公司结算该笔评估费用。</w:t>
      </w:r>
    </w:p>
    <w:p w14:paraId="1327606F">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3、其他租赁条款于租赁合同中约定。</w:t>
      </w:r>
    </w:p>
    <w:p w14:paraId="64CE5B2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、此租赁方案最终解释权归我司。</w:t>
      </w:r>
    </w:p>
    <w:p w14:paraId="7E5D9BCF">
      <w:pPr>
        <w:spacing w:line="240" w:lineRule="auto"/>
        <w:ind w:firstLine="560" w:firstLineChars="200"/>
        <w:rPr>
          <w:rFonts w:hint="eastAsia" w:ascii="仿宋_GB2312" w:hAnsi="仿宋_GB2312" w:eastAsia="仿宋_GB2312" w:cs="仿宋_GB2312"/>
          <w:color w:val="auto"/>
          <w:sz w:val="28"/>
          <w:szCs w:val="28"/>
          <w:highlight w:val="none"/>
        </w:rPr>
      </w:pPr>
    </w:p>
    <w:p w14:paraId="173BDF36">
      <w:pPr>
        <w:spacing w:line="240" w:lineRule="auto"/>
        <w:ind w:firstLine="560" w:firstLineChars="200"/>
        <w:jc w:val="righ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中山市东凤镇</w:t>
      </w:r>
      <w:r>
        <w:rPr>
          <w:rFonts w:hint="eastAsia" w:ascii="仿宋_GB2312" w:hAnsi="仿宋_GB2312" w:eastAsia="仿宋_GB2312" w:cs="仿宋_GB2312"/>
          <w:color w:val="auto"/>
          <w:sz w:val="28"/>
          <w:szCs w:val="28"/>
          <w:highlight w:val="none"/>
          <w:lang w:eastAsia="zh-CN"/>
        </w:rPr>
        <w:t>东海社区居民委员会</w:t>
      </w:r>
    </w:p>
    <w:p w14:paraId="4C5CC8D1">
      <w:pPr>
        <w:spacing w:line="240" w:lineRule="auto"/>
        <w:ind w:firstLine="560" w:firstLineChars="2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i w:val="0"/>
          <w:caps w:val="0"/>
          <w:color w:val="auto"/>
          <w:spacing w:val="0"/>
          <w:sz w:val="28"/>
          <w:szCs w:val="28"/>
          <w:highlight w:val="none"/>
          <w:lang w:val="en-US" w:eastAsia="zh-CN"/>
        </w:rPr>
        <w:t>2024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日</w:t>
      </w:r>
    </w:p>
    <w:p w14:paraId="63E9EAD2">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636C2F8D">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1A116AAF">
      <w:pPr>
        <w:spacing w:line="240" w:lineRule="auto"/>
        <w:ind w:firstLine="560" w:firstLineChars="200"/>
        <w:rPr>
          <w:color w:val="auto"/>
          <w:sz w:val="28"/>
          <w:szCs w:val="28"/>
          <w:highlight w:val="none"/>
        </w:rPr>
      </w:pPr>
      <w:r>
        <w:rPr>
          <w:rFonts w:hint="eastAsia" w:ascii="仿宋_GB2312" w:hAnsi="仿宋_GB2312" w:eastAsia="仿宋_GB2312" w:cs="仿宋_GB2312"/>
          <w:bCs w:val="0"/>
          <w:color w:val="auto"/>
          <w:sz w:val="28"/>
          <w:szCs w:val="28"/>
          <w:highlight w:val="none"/>
          <w:lang w:eastAsia="zh-CN"/>
        </w:rPr>
        <w:t>参加投标人员签名：</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95E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239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E239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OGM3MzYzMDZkZmZkNmQzNWI2YWU4NThiOTRjOTEifQ=="/>
  </w:docVars>
  <w:rsids>
    <w:rsidRoot w:val="2CA4386C"/>
    <w:rsid w:val="02B64B93"/>
    <w:rsid w:val="03AD42CA"/>
    <w:rsid w:val="05D71325"/>
    <w:rsid w:val="07A8744A"/>
    <w:rsid w:val="098807FA"/>
    <w:rsid w:val="09FA11E0"/>
    <w:rsid w:val="0B660046"/>
    <w:rsid w:val="0B71740F"/>
    <w:rsid w:val="11621375"/>
    <w:rsid w:val="1313164F"/>
    <w:rsid w:val="14A44A77"/>
    <w:rsid w:val="15FA5779"/>
    <w:rsid w:val="17A1197A"/>
    <w:rsid w:val="18E74005"/>
    <w:rsid w:val="1BB75C39"/>
    <w:rsid w:val="1BD91B92"/>
    <w:rsid w:val="1E2C7FF6"/>
    <w:rsid w:val="1FA97D98"/>
    <w:rsid w:val="218A582A"/>
    <w:rsid w:val="21F03B95"/>
    <w:rsid w:val="2454465C"/>
    <w:rsid w:val="253B58D8"/>
    <w:rsid w:val="25BC6827"/>
    <w:rsid w:val="29D108D4"/>
    <w:rsid w:val="2AC860B7"/>
    <w:rsid w:val="2CA4386C"/>
    <w:rsid w:val="2D9B6278"/>
    <w:rsid w:val="2DBE7325"/>
    <w:rsid w:val="2DF9676E"/>
    <w:rsid w:val="2E882F5E"/>
    <w:rsid w:val="2F76684C"/>
    <w:rsid w:val="36A2264C"/>
    <w:rsid w:val="38497762"/>
    <w:rsid w:val="3D8454D5"/>
    <w:rsid w:val="3E5C54C3"/>
    <w:rsid w:val="3E8174A1"/>
    <w:rsid w:val="412F5689"/>
    <w:rsid w:val="42BF4549"/>
    <w:rsid w:val="42D70FD5"/>
    <w:rsid w:val="441F1F30"/>
    <w:rsid w:val="47470079"/>
    <w:rsid w:val="4E5B5471"/>
    <w:rsid w:val="4F375809"/>
    <w:rsid w:val="508F720D"/>
    <w:rsid w:val="53277834"/>
    <w:rsid w:val="53524611"/>
    <w:rsid w:val="557E0ABE"/>
    <w:rsid w:val="5A1225D4"/>
    <w:rsid w:val="5A613B84"/>
    <w:rsid w:val="5D150161"/>
    <w:rsid w:val="5F455CC4"/>
    <w:rsid w:val="5FB149DD"/>
    <w:rsid w:val="61F47390"/>
    <w:rsid w:val="634E06D7"/>
    <w:rsid w:val="65953340"/>
    <w:rsid w:val="660802C2"/>
    <w:rsid w:val="66EA5D84"/>
    <w:rsid w:val="670C04C4"/>
    <w:rsid w:val="67746B3D"/>
    <w:rsid w:val="67A86A9A"/>
    <w:rsid w:val="682B3331"/>
    <w:rsid w:val="69E61E22"/>
    <w:rsid w:val="6CE453A5"/>
    <w:rsid w:val="6ED756FD"/>
    <w:rsid w:val="72196775"/>
    <w:rsid w:val="72A055C4"/>
    <w:rsid w:val="749F757D"/>
    <w:rsid w:val="77FB5A76"/>
    <w:rsid w:val="78420C7F"/>
    <w:rsid w:val="78867117"/>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1619</Words>
  <Characters>1702</Characters>
  <Lines>0</Lines>
  <Paragraphs>0</Paragraphs>
  <TotalTime>0</TotalTime>
  <ScaleCrop>false</ScaleCrop>
  <LinksUpToDate>false</LinksUpToDate>
  <CharactersWithSpaces>1731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2023-11-15T03:21:00Z</dcterms:created>
  <dc:creator>翼~莨</dc:creator>
  <cp:lastModifiedBy>赵健成</cp:lastModifiedBy>
  <cp:lastPrinted>2024-10-24T03:10:15Z</cp:lastPrinted>
  <dcterms:modified xsi:type="dcterms:W3CDTF">2024-10-24T03:34:01Z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A2400D3D79C846479E3221CB4BE51C4D_13</vt:lpwstr>
  </property>
</Properties>
</file>