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val="en-US" w:eastAsia="zh-CN"/>
        </w:rPr>
        <w:t>中山市车用汽油清净剂</w:t>
      </w:r>
      <w:r>
        <w:rPr>
          <w:rFonts w:hint="eastAsia" w:cs="Times New Roman"/>
        </w:rPr>
        <w:t>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auto"/>
          <w:sz w:val="32"/>
          <w:szCs w:val="32"/>
          <w:highlight w:val="none"/>
        </w:rPr>
      </w:pPr>
      <w:bookmarkStart w:id="0" w:name="_GoBack"/>
      <w:bookmarkEnd w:id="0"/>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rPr>
        <w:t>每批次产品抽取两份，每份不少于350mL，其中1份作为检验样品，1份作为备用样品。</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2 检验依据</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977"/>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418"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297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4252"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倾点</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闪点（闭口）</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硫含量</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SH/T 0689—2000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NB/SH/T 0253—2021</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11140—2008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NB/SH/T 0842—2017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氯含量</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SH/T 1757—2006</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ASTM D7536—2020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防锈性/锈蚀程度</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19230.1—2003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破乳性</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19230.2—2003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7</w:t>
            </w:r>
          </w:p>
        </w:tc>
        <w:tc>
          <w:tcPr>
            <w:tcW w:w="297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模拟进气阀沉积物质量</w:t>
            </w:r>
          </w:p>
        </w:tc>
        <w:tc>
          <w:tcPr>
            <w:tcW w:w="425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37322—2019</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000000"/>
          <w:sz w:val="32"/>
          <w:szCs w:val="32"/>
        </w:rPr>
        <w:t>GB 19592</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2019 车用汽油清净剂</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24208"/>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2420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2024-07-09T03:48:00Z</dcterms:created>
  <dc:creator>Administrator</dc:creator>
  <cp:lastModifiedBy>Administrator</cp:lastModifiedBy>
  <dcterms:modified xsi:type="dcterms:W3CDTF">2024-07-09T03:49:12Z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7ED47CB38FD94119AC9C7695ED1BD7BA</vt:lpwstr>
  </property>
</Properties>
</file>