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val="0"/>
        <w:suppressLineNumbers w:val="0"/>
        <w:kinsoku/>
        <w:wordWrap/>
        <w:overflowPunct/>
        <w:topLinePunct w:val="0"/>
        <w:autoSpaceDE/>
        <w:autoSpaceDN/>
        <w:bidi w:val="0"/>
        <w:adjustRightInd/>
        <w:snapToGrid w:val="0"/>
        <w:spacing w:before="0" w:beforeAutospacing="0" w:after="0" w:afterAutospacing="0" w:line="594" w:lineRule="exact"/>
        <w:ind w:left="0" w:right="0"/>
        <w:jc w:val="center"/>
        <w:textAlignment w:val="auto"/>
        <w:rPr>
          <w:rFonts w:hint="default" w:ascii="Times New Roman" w:hAnsi="Times New Roman" w:eastAsia="方正小标宋简体" w:cs="Times New Roman"/>
          <w:kern w:val="2"/>
          <w:sz w:val="32"/>
          <w:szCs w:val="32"/>
        </w:rPr>
      </w:pPr>
      <w:r>
        <w:rPr>
          <w:rFonts w:hint="eastAsia" w:ascii="方正小标宋简体" w:hAnsi="方正小标宋简体" w:eastAsia="方正小标宋简体" w:cs="方正小标宋简体"/>
          <w:kern w:val="2"/>
          <w:sz w:val="32"/>
          <w:szCs w:val="32"/>
          <w:lang w:val="en-US" w:eastAsia="zh-CN" w:bidi="ar"/>
        </w:rPr>
        <w:t>中山市机动车辆制动液产品质量监督抽查实施细则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1 </w:t>
      </w:r>
      <w:r>
        <w:rPr>
          <w:rFonts w:hint="eastAsia" w:ascii="黑体" w:hAnsi="宋体" w:eastAsia="黑体" w:cs="黑体"/>
          <w:kern w:val="2"/>
          <w:sz w:val="21"/>
          <w:szCs w:val="21"/>
          <w:lang w:val="en-US" w:eastAsia="zh-CN" w:bidi="ar"/>
        </w:rPr>
        <w:t>抽样方法</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以随机抽样的方式在被抽样生产者、销售者的待销产品中抽取。</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随机数一般可使用随机数表等方法产生。</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每批次产品抽取不少</w:t>
      </w:r>
      <w:bookmarkStart w:id="0" w:name="_GoBack"/>
      <w:bookmarkEnd w:id="0"/>
      <w:r>
        <w:rPr>
          <w:rFonts w:hint="eastAsia" w:ascii="宋体" w:hAnsi="宋体" w:eastAsia="宋体" w:cs="宋体"/>
          <w:color w:val="000000"/>
          <w:kern w:val="2"/>
          <w:sz w:val="21"/>
          <w:szCs w:val="21"/>
          <w:lang w:val="en-US" w:eastAsia="zh-CN" w:bidi="ar"/>
        </w:rPr>
        <w:t>于</w:t>
      </w:r>
      <w:r>
        <w:rPr>
          <w:rFonts w:hint="default" w:ascii="Times New Roman" w:hAnsi="Times New Roman" w:eastAsia="宋体" w:cs="Times New Roman"/>
          <w:color w:val="000000"/>
          <w:kern w:val="2"/>
          <w:sz w:val="21"/>
          <w:szCs w:val="21"/>
          <w:lang w:val="en-US" w:eastAsia="zh-CN" w:bidi="ar"/>
        </w:rPr>
        <w:t>2</w:t>
      </w:r>
      <w:r>
        <w:rPr>
          <w:rFonts w:hint="eastAsia" w:ascii="宋体" w:hAnsi="宋体" w:eastAsia="宋体" w:cs="宋体"/>
          <w:color w:val="000000"/>
          <w:kern w:val="2"/>
          <w:sz w:val="21"/>
          <w:szCs w:val="21"/>
          <w:lang w:val="en-US" w:eastAsia="zh-CN" w:bidi="ar"/>
        </w:rPr>
        <w:t>个独立包装、总量不小于2kg或2L的样品，其中</w:t>
      </w:r>
      <w:r>
        <w:rPr>
          <w:rFonts w:hint="default" w:ascii="Times New Roman" w:hAnsi="Times New Roman" w:eastAsia="宋体" w:cs="Times New Roman"/>
          <w:color w:val="000000"/>
          <w:kern w:val="2"/>
          <w:sz w:val="21"/>
          <w:szCs w:val="21"/>
          <w:lang w:val="en-US" w:eastAsia="zh-CN" w:bidi="ar"/>
        </w:rPr>
        <w:t>1/2</w:t>
      </w:r>
      <w:r>
        <w:rPr>
          <w:rFonts w:hint="eastAsia" w:ascii="宋体" w:hAnsi="宋体" w:eastAsia="宋体" w:cs="宋体"/>
          <w:color w:val="000000"/>
          <w:kern w:val="2"/>
          <w:sz w:val="21"/>
          <w:szCs w:val="21"/>
          <w:lang w:val="en-US" w:eastAsia="zh-CN" w:bidi="ar"/>
        </w:rPr>
        <w:t>作为检验样品，采用购买方式，带回承检单位；</w:t>
      </w:r>
      <w:r>
        <w:rPr>
          <w:rFonts w:hint="default" w:ascii="Times New Roman" w:hAnsi="Times New Roman" w:eastAsia="宋体" w:cs="Times New Roman"/>
          <w:color w:val="000000"/>
          <w:kern w:val="2"/>
          <w:sz w:val="21"/>
          <w:szCs w:val="21"/>
          <w:lang w:val="en-US" w:eastAsia="zh-CN" w:bidi="ar"/>
        </w:rPr>
        <w:t>1/2</w:t>
      </w:r>
      <w:r>
        <w:rPr>
          <w:rFonts w:hint="eastAsia" w:ascii="宋体" w:hAnsi="宋体" w:eastAsia="宋体" w:cs="宋体"/>
          <w:color w:val="000000"/>
          <w:kern w:val="2"/>
          <w:sz w:val="21"/>
          <w:szCs w:val="21"/>
          <w:lang w:val="en-US" w:eastAsia="zh-CN" w:bidi="ar"/>
        </w:rPr>
        <w:t>作为备用样品，留在受检单位。</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2 </w:t>
      </w:r>
      <w:r>
        <w:rPr>
          <w:rFonts w:hint="eastAsia" w:ascii="黑体" w:hAnsi="宋体" w:eastAsia="黑体" w:cs="黑体"/>
          <w:kern w:val="2"/>
          <w:sz w:val="21"/>
          <w:szCs w:val="21"/>
          <w:lang w:val="en-US" w:eastAsia="zh-CN" w:bidi="ar"/>
        </w:rPr>
        <w:t>检验依据</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tbl>
      <w:tblPr>
        <w:tblStyle w:val="7"/>
        <w:tblW w:w="45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95"/>
        <w:gridCol w:w="3872"/>
        <w:gridCol w:w="3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68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序号</w:t>
            </w:r>
          </w:p>
        </w:tc>
        <w:tc>
          <w:tcPr>
            <w:tcW w:w="242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检验项目</w:t>
            </w:r>
          </w:p>
        </w:tc>
        <w:tc>
          <w:tcPr>
            <w:tcW w:w="18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8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1</w:t>
            </w:r>
          </w:p>
        </w:tc>
        <w:tc>
          <w:tcPr>
            <w:tcW w:w="242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运动黏度（</w:t>
            </w:r>
            <w:r>
              <w:rPr>
                <w:rFonts w:hint="default" w:ascii="Times New Roman" w:hAnsi="Times New Roman" w:eastAsia="宋体" w:cs="Times New Roman"/>
                <w:kern w:val="2"/>
                <w:sz w:val="21"/>
                <w:szCs w:val="21"/>
                <w:lang w:val="en-US" w:eastAsia="zh-CN" w:bidi="ar"/>
              </w:rPr>
              <w:t>-40</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100</w:t>
            </w:r>
            <w:r>
              <w:rPr>
                <w:rFonts w:hint="eastAsia" w:ascii="宋体" w:hAnsi="宋体" w:eastAsia="宋体" w:cs="宋体"/>
                <w:kern w:val="2"/>
                <w:sz w:val="21"/>
                <w:szCs w:val="21"/>
                <w:lang w:val="en-US" w:eastAsia="zh-CN" w:bidi="ar"/>
              </w:rPr>
              <w:t>℃）</w:t>
            </w:r>
          </w:p>
        </w:tc>
        <w:tc>
          <w:tcPr>
            <w:tcW w:w="18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8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2</w:t>
            </w:r>
          </w:p>
        </w:tc>
        <w:tc>
          <w:tcPr>
            <w:tcW w:w="242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平衡回流沸点（</w:t>
            </w:r>
            <w:r>
              <w:rPr>
                <w:rFonts w:hint="default" w:ascii="Times New Roman" w:hAnsi="Times New Roman" w:eastAsia="宋体" w:cs="Times New Roman"/>
                <w:kern w:val="2"/>
                <w:sz w:val="21"/>
                <w:szCs w:val="21"/>
                <w:lang w:val="en-US" w:eastAsia="zh-CN" w:bidi="ar"/>
              </w:rPr>
              <w:t>ERBP</w:t>
            </w:r>
            <w:r>
              <w:rPr>
                <w:rFonts w:hint="eastAsia" w:ascii="宋体" w:hAnsi="宋体" w:eastAsia="宋体" w:cs="宋体"/>
                <w:kern w:val="2"/>
                <w:sz w:val="21"/>
                <w:szCs w:val="21"/>
                <w:lang w:val="en-US" w:eastAsia="zh-CN" w:bidi="ar"/>
              </w:rPr>
              <w:t>）</w:t>
            </w:r>
          </w:p>
        </w:tc>
        <w:tc>
          <w:tcPr>
            <w:tcW w:w="18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NB/SH/T 0430—2019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8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3</w:t>
            </w:r>
          </w:p>
        </w:tc>
        <w:tc>
          <w:tcPr>
            <w:tcW w:w="242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湿平衡回流沸点（</w:t>
            </w:r>
            <w:r>
              <w:rPr>
                <w:rFonts w:hint="default" w:ascii="Times New Roman" w:hAnsi="Times New Roman" w:eastAsia="宋体" w:cs="Times New Roman"/>
                <w:kern w:val="2"/>
                <w:sz w:val="21"/>
                <w:szCs w:val="21"/>
                <w:lang w:val="en-US" w:eastAsia="zh-CN" w:bidi="ar"/>
              </w:rPr>
              <w:t>WERBP</w:t>
            </w:r>
            <w:r>
              <w:rPr>
                <w:rFonts w:hint="eastAsia" w:ascii="宋体" w:hAnsi="宋体" w:eastAsia="宋体" w:cs="宋体"/>
                <w:kern w:val="2"/>
                <w:sz w:val="21"/>
                <w:szCs w:val="21"/>
                <w:lang w:val="en-US" w:eastAsia="zh-CN" w:bidi="ar"/>
              </w:rPr>
              <w:t>）</w:t>
            </w:r>
          </w:p>
        </w:tc>
        <w:tc>
          <w:tcPr>
            <w:tcW w:w="18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GB 12981—2012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8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4</w:t>
            </w:r>
          </w:p>
        </w:tc>
        <w:tc>
          <w:tcPr>
            <w:tcW w:w="242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pH</w:t>
            </w:r>
            <w:r>
              <w:rPr>
                <w:rFonts w:hint="eastAsia" w:ascii="宋体" w:hAnsi="宋体" w:eastAsia="宋体" w:cs="宋体"/>
                <w:kern w:val="2"/>
                <w:sz w:val="21"/>
                <w:szCs w:val="21"/>
                <w:lang w:val="en-US" w:eastAsia="zh-CN" w:bidi="ar"/>
              </w:rPr>
              <w:t>值</w:t>
            </w:r>
          </w:p>
        </w:tc>
        <w:tc>
          <w:tcPr>
            <w:tcW w:w="18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GB 12981—2012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8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5</w:t>
            </w:r>
          </w:p>
        </w:tc>
        <w:tc>
          <w:tcPr>
            <w:tcW w:w="242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蒸发性能</w:t>
            </w:r>
          </w:p>
        </w:tc>
        <w:tc>
          <w:tcPr>
            <w:tcW w:w="188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exact"/>
              <w:ind w:left="0" w:right="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GB 12981—2012</w:t>
            </w:r>
          </w:p>
        </w:tc>
      </w:tr>
    </w:tbl>
    <w:p>
      <w:pPr>
        <w:keepNext w:val="0"/>
        <w:keepLines w:val="0"/>
        <w:widowControl w:val="0"/>
        <w:suppressLineNumbers w:val="0"/>
        <w:adjustRightInd w:val="0"/>
        <w:snapToGrid w:val="0"/>
        <w:spacing w:before="0" w:beforeAutospacing="0" w:after="0" w:afterAutospacing="0" w:line="440" w:lineRule="exact"/>
        <w:ind w:left="0" w:right="0"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执行企业标准、团体标准、地方标准的产品，检验项目参照上述内容执行。</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凡是注日期的文件，其随后所有的修改单（不包括勘误的内容）或修订版不适用于本细则。凡是不注日期的文件，其最新版本适用于本细则。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3 </w:t>
      </w:r>
      <w:r>
        <w:rPr>
          <w:rFonts w:hint="eastAsia" w:ascii="黑体" w:hAnsi="宋体" w:eastAsia="黑体" w:cs="黑体"/>
          <w:kern w:val="2"/>
          <w:sz w:val="21"/>
          <w:szCs w:val="21"/>
          <w:lang w:val="en-US" w:eastAsia="zh-CN" w:bidi="ar"/>
        </w:rPr>
        <w:t>判定规则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3.1</w:t>
      </w:r>
      <w:r>
        <w:rPr>
          <w:rFonts w:hint="eastAsia" w:ascii="宋体" w:hAnsi="宋体" w:eastAsia="宋体" w:cs="宋体"/>
          <w:kern w:val="2"/>
          <w:sz w:val="21"/>
          <w:szCs w:val="21"/>
          <w:lang w:val="en-US" w:eastAsia="zh-CN" w:bidi="ar"/>
        </w:rPr>
        <w:t>依据标准</w:t>
      </w:r>
    </w:p>
    <w:p>
      <w:pPr>
        <w:keepNext w:val="0"/>
        <w:keepLines w:val="0"/>
        <w:widowControl w:val="0"/>
        <w:suppressLineNumbers w:val="0"/>
        <w:spacing w:before="0" w:beforeAutospacing="0" w:after="0" w:afterAutospacing="0" w:line="440" w:lineRule="exact"/>
        <w:ind w:left="0" w:right="0" w:firstLine="359" w:firstLineChars="171"/>
        <w:jc w:val="both"/>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 xml:space="preserve">GB 12981—2012 </w:t>
      </w:r>
      <w:r>
        <w:rPr>
          <w:rFonts w:hint="eastAsia" w:ascii="宋体" w:hAnsi="宋体" w:eastAsia="宋体" w:cs="宋体"/>
          <w:color w:val="000000"/>
          <w:kern w:val="2"/>
          <w:sz w:val="21"/>
          <w:szCs w:val="21"/>
          <w:lang w:val="en-US" w:eastAsia="zh-CN" w:bidi="ar"/>
        </w:rPr>
        <w:t>机动车辆制动液</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现行有效的企业标准、团体标准、地方标准及产品明示质量要求</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3.2</w:t>
      </w:r>
      <w:r>
        <w:rPr>
          <w:rFonts w:hint="eastAsia" w:ascii="宋体" w:hAnsi="宋体" w:eastAsia="宋体" w:cs="宋体"/>
          <w:kern w:val="2"/>
          <w:sz w:val="21"/>
          <w:szCs w:val="21"/>
          <w:lang w:val="en-US" w:eastAsia="zh-CN" w:bidi="ar"/>
        </w:rPr>
        <w:t>判定原则</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经检验，检验项目全部合格，判定为被抽查产品所检项目未发现不合格；检验项目中任一项或一项以上不合格，判定为被抽查产品不合格。</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若被检产品明示的质量要求高于本细则中检验项目依据的标准要求时，应按被检产品明示的质量要求判定。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若被检产品明示的质量要求低于本细则中检验项目依据的强制性标准要求时，应按照强制性标准要求判定。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若被检产品明示的质量要求低于或包含本细则中检验项目依据的推荐性标准要求时，应以被检产品明示的质量要求判定。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若被检产品明示的质量要求缺少本细则中检验项目依据的强制性标准要求时，应按照强制性标准要求判定。</w:t>
      </w:r>
    </w:p>
    <w:p>
      <w:pPr>
        <w:keepNext w:val="0"/>
        <w:keepLines w:val="0"/>
        <w:widowControl w:val="0"/>
        <w:suppressLineNumbers w:val="0"/>
        <w:spacing w:before="0" w:beforeAutospacing="0" w:after="0" w:afterAutospacing="0"/>
        <w:ind w:left="0" w:right="0"/>
        <w:jc w:val="both"/>
      </w:pPr>
      <w:r>
        <w:rPr>
          <w:rFonts w:hint="eastAsia" w:ascii="宋体" w:hAnsi="宋体" w:eastAsia="宋体" w:cs="宋体"/>
          <w:kern w:val="2"/>
          <w:sz w:val="21"/>
          <w:szCs w:val="21"/>
          <w:lang w:val="en-US" w:eastAsia="zh-CN" w:bidi="ar"/>
        </w:rPr>
        <w:t>若被检产品明示的质量要求缺少本细则中检验项目依据的推荐性标准要求时，该项目不参与判定。</w:t>
      </w:r>
    </w:p>
    <w:p>
      <w:pPr>
        <w:spacing w:beforeLines="0" w:afterLines="0" w:line="590" w:lineRule="exact"/>
        <w:ind w:firstLine="420" w:firstLineChars="200"/>
        <w:rPr>
          <w:rFonts w:hint="eastAsia" w:ascii="宋体" w:hAnsi="宋体" w:eastAsia="宋体" w:cs="宋体"/>
          <w:sz w:val="21"/>
          <w:szCs w:val="21"/>
          <w:lang w:val="en-US" w:eastAsia="zh-CN"/>
        </w:rPr>
      </w:pPr>
    </w:p>
    <w:sectPr>
      <w:footerReference r:id="rId4" w:type="default"/>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D7A452-A1AA-40C7-8FE6-5B56C129C4C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embedRegular r:id="rId2" w:fontKey="{7C3FE75B-8F3C-4EDD-B99D-F32D2BB0D1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line="14" w:lineRule="auto"/>
      <w:rPr>
        <w:rFonts w:hint="default"/>
        <w:sz w:val="20"/>
        <w:szCs w:val="24"/>
      </w:rPr>
    </w:pPr>
    <w:r>
      <w:rPr>
        <w:rFonts w:hint="default"/>
        <w:sz w:val="32"/>
        <w:szCs w:val="24"/>
        <w:lang w:eastAsia="zh-CN"/>
      </w:rPr>
      <mc:AlternateContent>
        <mc:Choice Requires="wps">
          <w:drawing>
            <wp:anchor distT="0" distB="0" distL="114300" distR="114300" simplePos="0" relativeHeight="251659264" behindDoc="1" locked="0" layoutInCell="1" allowOverlap="1">
              <wp:simplePos x="0" y="0"/>
              <wp:positionH relativeFrom="page">
                <wp:posOffset>5802630</wp:posOffset>
              </wp:positionH>
              <wp:positionV relativeFrom="page">
                <wp:posOffset>9726930</wp:posOffset>
              </wp:positionV>
              <wp:extent cx="55816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8165" cy="203835"/>
                      </a:xfrm>
                      <a:prstGeom prst="rect">
                        <a:avLst/>
                      </a:prstGeom>
                      <a:noFill/>
                      <a:ln>
                        <a:noFill/>
                      </a:ln>
                    </wps:spPr>
                    <wps:txbx>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wps:txbx>
                    <wps:bodyPr lIns="0" tIns="0" rIns="0" bIns="0" upright="1"/>
                  </wps:wsp>
                </a:graphicData>
              </a:graphic>
            </wp:anchor>
          </w:drawing>
        </mc:Choice>
        <mc:Fallback>
          <w:pict>
            <v:shape id="_x0000_s1026" o:spid="_x0000_s1026" o:spt="202" type="#_x0000_t202" style="position:absolute;left:0pt;margin-left:456.9pt;margin-top:765.9pt;height:16.05pt;width:43.95pt;mso-position-horizontal-relative:page;mso-position-vertical-relative:page;z-index:-251657216;mso-width-relative:page;mso-height-relative:page;" filled="f" stroked="f" coordsize="21600,21600" o:gfxdata="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zeSdQ2gAAAA4BAAAPAAAAAAAAAAEAIAAAACIAAABkcnMvZG93bnJldi54bWxQSwEC&#10;FAAUAAAACACHTuJAa+L/grkBAABxAwAADgAAAAAAAAABACAAAAApAQAAZHJzL2Uyb0RvYy54bWxQ&#10;SwUGAAAAAAYABgBZAQAAVAUAAAAA&#10;">
              <v:fill on="f" focussize="0,0"/>
              <v:stroke on="f"/>
              <v:imagedata o:title=""/>
              <o:lock v:ext="edit" aspectratio="f"/>
              <v:textbox inset="0mm,0mm,0mm,0mm">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ZjM1ZGY3OTg4NjMyZDJmYTU2NzljZWY5NDYxMzAifQ=="/>
  </w:docVars>
  <w:rsids>
    <w:rsidRoot w:val="00000000"/>
    <w:rsid w:val="00625780"/>
    <w:rsid w:val="016B50A8"/>
    <w:rsid w:val="01B01BF0"/>
    <w:rsid w:val="01ED3491"/>
    <w:rsid w:val="02A76009"/>
    <w:rsid w:val="031A4A4E"/>
    <w:rsid w:val="03FD2B28"/>
    <w:rsid w:val="047D5273"/>
    <w:rsid w:val="04854128"/>
    <w:rsid w:val="04C335CE"/>
    <w:rsid w:val="06007F0A"/>
    <w:rsid w:val="068604E5"/>
    <w:rsid w:val="06CE625A"/>
    <w:rsid w:val="06E67100"/>
    <w:rsid w:val="078E1545"/>
    <w:rsid w:val="08403721"/>
    <w:rsid w:val="099A0675"/>
    <w:rsid w:val="0CA92162"/>
    <w:rsid w:val="0CF2087E"/>
    <w:rsid w:val="0DA82471"/>
    <w:rsid w:val="0F672631"/>
    <w:rsid w:val="0F952D6B"/>
    <w:rsid w:val="0FA1450C"/>
    <w:rsid w:val="121548EA"/>
    <w:rsid w:val="1272218F"/>
    <w:rsid w:val="13FA4D8C"/>
    <w:rsid w:val="149208C7"/>
    <w:rsid w:val="164E6A70"/>
    <w:rsid w:val="16AD0593"/>
    <w:rsid w:val="16CF6A23"/>
    <w:rsid w:val="16D76A65"/>
    <w:rsid w:val="17B668A4"/>
    <w:rsid w:val="18B13D26"/>
    <w:rsid w:val="19237632"/>
    <w:rsid w:val="19D76D7C"/>
    <w:rsid w:val="1A5403CD"/>
    <w:rsid w:val="1AC83294"/>
    <w:rsid w:val="1B6F1962"/>
    <w:rsid w:val="1B961DA9"/>
    <w:rsid w:val="1CF0262F"/>
    <w:rsid w:val="1D216C8C"/>
    <w:rsid w:val="1EB83620"/>
    <w:rsid w:val="1FD863D3"/>
    <w:rsid w:val="1FEA7809"/>
    <w:rsid w:val="2136082C"/>
    <w:rsid w:val="23304EF1"/>
    <w:rsid w:val="23C860B3"/>
    <w:rsid w:val="25C34C54"/>
    <w:rsid w:val="26C07516"/>
    <w:rsid w:val="26D933C3"/>
    <w:rsid w:val="27053614"/>
    <w:rsid w:val="27BE3B1B"/>
    <w:rsid w:val="289360AA"/>
    <w:rsid w:val="28DC615D"/>
    <w:rsid w:val="28E55011"/>
    <w:rsid w:val="295B52D4"/>
    <w:rsid w:val="29EC23D0"/>
    <w:rsid w:val="2A4268AB"/>
    <w:rsid w:val="2B084FE7"/>
    <w:rsid w:val="2D0A3299"/>
    <w:rsid w:val="2D3D721E"/>
    <w:rsid w:val="2D9C5EBB"/>
    <w:rsid w:val="313C59EB"/>
    <w:rsid w:val="31853836"/>
    <w:rsid w:val="31C441A2"/>
    <w:rsid w:val="32586854"/>
    <w:rsid w:val="32902492"/>
    <w:rsid w:val="33074740"/>
    <w:rsid w:val="33296443"/>
    <w:rsid w:val="339A41CD"/>
    <w:rsid w:val="35A20FF6"/>
    <w:rsid w:val="371F3DE4"/>
    <w:rsid w:val="375F2433"/>
    <w:rsid w:val="37712166"/>
    <w:rsid w:val="384B7018"/>
    <w:rsid w:val="3986014B"/>
    <w:rsid w:val="3A0D5771"/>
    <w:rsid w:val="3A3069D4"/>
    <w:rsid w:val="3A4F0B96"/>
    <w:rsid w:val="3A83468A"/>
    <w:rsid w:val="3AEF6A0D"/>
    <w:rsid w:val="3BA174BE"/>
    <w:rsid w:val="3C025A83"/>
    <w:rsid w:val="3C7E0800"/>
    <w:rsid w:val="3CFC0724"/>
    <w:rsid w:val="3D357EE0"/>
    <w:rsid w:val="3E0F4311"/>
    <w:rsid w:val="3E3D2DA2"/>
    <w:rsid w:val="402E32EA"/>
    <w:rsid w:val="403135E9"/>
    <w:rsid w:val="41F9028E"/>
    <w:rsid w:val="421502BE"/>
    <w:rsid w:val="421B1066"/>
    <w:rsid w:val="43821950"/>
    <w:rsid w:val="43A21908"/>
    <w:rsid w:val="452E61C6"/>
    <w:rsid w:val="458A4B1F"/>
    <w:rsid w:val="45AD4CB1"/>
    <w:rsid w:val="468D122A"/>
    <w:rsid w:val="46D87B0C"/>
    <w:rsid w:val="46F96DC1"/>
    <w:rsid w:val="48403BBB"/>
    <w:rsid w:val="48A57EC2"/>
    <w:rsid w:val="48CC050C"/>
    <w:rsid w:val="496F29A9"/>
    <w:rsid w:val="49EA0E56"/>
    <w:rsid w:val="4AD4683C"/>
    <w:rsid w:val="4B0D06CC"/>
    <w:rsid w:val="4BAD5A0B"/>
    <w:rsid w:val="4CE5450F"/>
    <w:rsid w:val="4E3F66C2"/>
    <w:rsid w:val="4E55558A"/>
    <w:rsid w:val="4E7C7675"/>
    <w:rsid w:val="4FD5108C"/>
    <w:rsid w:val="501E715D"/>
    <w:rsid w:val="51750D79"/>
    <w:rsid w:val="51917235"/>
    <w:rsid w:val="528E0C74"/>
    <w:rsid w:val="53AA2830"/>
    <w:rsid w:val="550B72FE"/>
    <w:rsid w:val="5536081F"/>
    <w:rsid w:val="55540CA5"/>
    <w:rsid w:val="55D6790C"/>
    <w:rsid w:val="57B020F8"/>
    <w:rsid w:val="58533496"/>
    <w:rsid w:val="58A261CC"/>
    <w:rsid w:val="58C229CF"/>
    <w:rsid w:val="58C72F50"/>
    <w:rsid w:val="59F6057D"/>
    <w:rsid w:val="5A1A06EB"/>
    <w:rsid w:val="5B1A473F"/>
    <w:rsid w:val="5C653798"/>
    <w:rsid w:val="600D21A5"/>
    <w:rsid w:val="606E5E0A"/>
    <w:rsid w:val="607C7302"/>
    <w:rsid w:val="626D784A"/>
    <w:rsid w:val="63140E26"/>
    <w:rsid w:val="63343F86"/>
    <w:rsid w:val="63CE3457"/>
    <w:rsid w:val="63ED36D1"/>
    <w:rsid w:val="64EA33D4"/>
    <w:rsid w:val="65030DDA"/>
    <w:rsid w:val="663C7C5F"/>
    <w:rsid w:val="66F44096"/>
    <w:rsid w:val="66F66060"/>
    <w:rsid w:val="670C7632"/>
    <w:rsid w:val="6748228D"/>
    <w:rsid w:val="67A604B4"/>
    <w:rsid w:val="6A203385"/>
    <w:rsid w:val="6A5B2C58"/>
    <w:rsid w:val="6A667059"/>
    <w:rsid w:val="6CC24715"/>
    <w:rsid w:val="6CF0139F"/>
    <w:rsid w:val="6D317DF2"/>
    <w:rsid w:val="6F1A6664"/>
    <w:rsid w:val="708446DD"/>
    <w:rsid w:val="713D5FA9"/>
    <w:rsid w:val="71CA25C3"/>
    <w:rsid w:val="7277099F"/>
    <w:rsid w:val="728F751C"/>
    <w:rsid w:val="73C44DF0"/>
    <w:rsid w:val="74A05010"/>
    <w:rsid w:val="75383CE8"/>
    <w:rsid w:val="76424E1E"/>
    <w:rsid w:val="765A1E12"/>
    <w:rsid w:val="7769462C"/>
    <w:rsid w:val="77BF249E"/>
    <w:rsid w:val="77FA5285"/>
    <w:rsid w:val="78570929"/>
    <w:rsid w:val="7AC202DC"/>
    <w:rsid w:val="7AD26045"/>
    <w:rsid w:val="7AE024CF"/>
    <w:rsid w:val="7C63164A"/>
    <w:rsid w:val="7D556376"/>
    <w:rsid w:val="7EC65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spacing w:beforeLines="0" w:afterLines="0"/>
      <w:jc w:val="both"/>
    </w:pPr>
    <w:rPr>
      <w:rFonts w:hint="default" w:ascii="Times New Roman" w:hAnsi="Times New Roman" w:eastAsia="宋体" w:cs="Times New Roman"/>
      <w:kern w:val="2"/>
      <w:sz w:val="21"/>
      <w:szCs w:val="24"/>
    </w:rPr>
  </w:style>
  <w:style w:type="paragraph" w:styleId="3">
    <w:name w:val="heading 1"/>
    <w:basedOn w:val="1"/>
    <w:next w:val="1"/>
    <w:unhideWhenUsed/>
    <w:qFormat/>
    <w:uiPriority w:val="9"/>
    <w:pPr>
      <w:spacing w:beforeLines="0" w:afterLines="0"/>
      <w:ind w:left="143" w:right="898" w:hanging="2475"/>
      <w:outlineLvl w:val="0"/>
    </w:pPr>
    <w:rPr>
      <w:rFonts w:hint="eastAsia" w:ascii="方正小标宋简体" w:hAnsi="方正小标宋简体" w:eastAsia="方正小标宋简体" w:cs="方正小标宋简体"/>
      <w:sz w:val="44"/>
      <w:szCs w:val="44"/>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unhideWhenUsed/>
    <w:qFormat/>
    <w:uiPriority w:val="1"/>
    <w:pPr>
      <w:spacing w:beforeLines="0" w:afterLines="0"/>
    </w:pPr>
    <w:rPr>
      <w:rFonts w:hint="default"/>
      <w:sz w:val="32"/>
      <w:szCs w:val="24"/>
    </w:rPr>
  </w:style>
  <w:style w:type="paragraph" w:styleId="5">
    <w:name w:val="toc 2"/>
    <w:basedOn w:val="1"/>
    <w:next w:val="1"/>
    <w:qFormat/>
    <w:uiPriority w:val="0"/>
    <w:pPr>
      <w:ind w:left="420" w:leftChars="200"/>
    </w:pPr>
  </w:style>
  <w:style w:type="paragraph" w:styleId="6">
    <w:name w:val="Normal (Web)"/>
    <w:basedOn w:val="1"/>
    <w:uiPriority w:val="0"/>
    <w:rPr>
      <w:sz w:val="24"/>
    </w:rPr>
  </w:style>
  <w:style w:type="paragraph" w:customStyle="1" w:styleId="9">
    <w:name w:val="Table Paragraph"/>
    <w:basedOn w:val="1"/>
    <w:unhideWhenUsed/>
    <w:qFormat/>
    <w:uiPriority w:val="1"/>
    <w:pPr>
      <w:spacing w:beforeLines="0" w:afterLines="0"/>
    </w:pPr>
    <w:rPr>
      <w:rFonts w:hint="default"/>
      <w:sz w:val="21"/>
      <w:szCs w:val="24"/>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1">
    <w:name w:val="15"/>
    <w:basedOn w:val="8"/>
    <w:qFormat/>
    <w:uiPriority w:val="0"/>
    <w:rPr>
      <w:rFonts w:hint="default" w:ascii="Times New Roman" w:hAnsi="Times New Roman" w:cs="Times New Roman"/>
    </w:rPr>
  </w:style>
  <w:style w:type="character" w:customStyle="1" w:styleId="12">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3797</Words>
  <Characters>4539</Characters>
  <Lines>1</Lines>
  <Paragraphs>1</Paragraphs>
  <TotalTime>0</TotalTime>
  <ScaleCrop>false</ScaleCrop>
  <LinksUpToDate>false</LinksUpToDate>
  <CharactersWithSpaces>4798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2022-09-01T02:20:00Z</dcterms:created>
  <dc:creator>001</dc:creator>
  <cp:lastModifiedBy>钟锡连</cp:lastModifiedBy>
  <cp:lastPrinted>2022-09-13T06:19:00Z</cp:lastPrinted>
  <dcterms:modified xsi:type="dcterms:W3CDTF">2024-08-15T01:45:16Z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9D141648CC654E99AE2C7334087706F9_13</vt:lpwstr>
  </property>
</Properties>
</file>