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中山市轮滑鞋</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w:t>
      </w:r>
      <w:r>
        <w:rPr>
          <w:szCs w:val="21"/>
        </w:rPr>
        <w:t>样生产者、销售者</w:t>
      </w:r>
      <w:bookmarkStart w:id="0" w:name="_GoBack"/>
      <w:bookmarkEnd w:id="0"/>
      <w:r>
        <w:rPr>
          <w:kern w:val="0"/>
          <w:szCs w:val="32"/>
        </w:rPr>
        <w:t>的待销产品中抽取。</w:t>
      </w:r>
    </w:p>
    <w:p>
      <w:pPr>
        <w:widowControl/>
        <w:ind w:firstLine="640" w:firstLineChars="200"/>
        <w:rPr>
          <w:szCs w:val="32"/>
        </w:rPr>
      </w:pPr>
      <w:r>
        <w:rPr>
          <w:color w:val="333333"/>
          <w:kern w:val="0"/>
          <w:szCs w:val="32"/>
        </w:rPr>
        <w:t>随机数一般可使用随机数表等方法产生。</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1组抽取样品3双，</w:t>
      </w:r>
      <w:r>
        <w:rPr>
          <w:rFonts w:hint="eastAsia" w:cs="仿宋_GB2312"/>
          <w:color w:val="000000"/>
          <w:szCs w:val="32"/>
        </w:rPr>
        <w:t>第2组抽取样品1双。</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sz w:val="24"/>
              </w:rPr>
              <w:t>尺寸</w:t>
            </w:r>
          </w:p>
        </w:tc>
        <w:tc>
          <w:tcPr>
            <w:tcW w:w="1909" w:type="dxa"/>
            <w:vMerge w:val="restart"/>
            <w:shd w:val="clear" w:color="auto" w:fill="auto"/>
            <w:vAlign w:val="center"/>
          </w:tcPr>
          <w:p>
            <w:pPr>
              <w:jc w:val="center"/>
              <w:rPr>
                <w:rFonts w:eastAsia="仿宋"/>
                <w:spacing w:val="-6"/>
                <w:sz w:val="21"/>
                <w:szCs w:val="21"/>
              </w:rPr>
            </w:pPr>
            <w:r>
              <w:rPr>
                <w:rFonts w:hint="eastAsia"/>
                <w:sz w:val="24"/>
              </w:rPr>
              <w:t>GB/T 20096-2021</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sz w:val="24"/>
              </w:rPr>
            </w:pPr>
            <w:r>
              <w:rPr>
                <w:rFonts w:hint="eastAsia"/>
                <w:sz w:val="24"/>
              </w:rPr>
              <w:t>轮子着地性</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sz w:val="24"/>
              </w:rPr>
            </w:pPr>
            <w:r>
              <w:rPr>
                <w:rFonts w:hint="eastAsia"/>
                <w:sz w:val="24"/>
              </w:rPr>
              <w:t>轮子硬度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4</w:t>
            </w:r>
          </w:p>
        </w:tc>
        <w:tc>
          <w:tcPr>
            <w:tcW w:w="1913" w:type="dxa"/>
            <w:shd w:val="clear" w:color="auto" w:fill="auto"/>
            <w:vAlign w:val="center"/>
          </w:tcPr>
          <w:p>
            <w:pPr>
              <w:jc w:val="center"/>
              <w:rPr>
                <w:sz w:val="24"/>
              </w:rPr>
            </w:pPr>
            <w:r>
              <w:rPr>
                <w:rFonts w:hint="eastAsia"/>
                <w:sz w:val="24"/>
              </w:rPr>
              <w:t>高低温性能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5</w:t>
            </w:r>
          </w:p>
        </w:tc>
        <w:tc>
          <w:tcPr>
            <w:tcW w:w="1913" w:type="dxa"/>
            <w:shd w:val="clear" w:color="auto" w:fill="auto"/>
            <w:vAlign w:val="center"/>
          </w:tcPr>
          <w:p>
            <w:pPr>
              <w:jc w:val="center"/>
              <w:rPr>
                <w:sz w:val="24"/>
              </w:rPr>
            </w:pPr>
            <w:r>
              <w:rPr>
                <w:rFonts w:hint="eastAsia"/>
                <w:sz w:val="24"/>
              </w:rPr>
              <w:t>尖端</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6</w:t>
            </w:r>
          </w:p>
        </w:tc>
        <w:tc>
          <w:tcPr>
            <w:tcW w:w="1913" w:type="dxa"/>
            <w:shd w:val="clear" w:color="auto" w:fill="auto"/>
            <w:vAlign w:val="center"/>
          </w:tcPr>
          <w:p>
            <w:pPr>
              <w:jc w:val="center"/>
              <w:rPr>
                <w:sz w:val="24"/>
              </w:rPr>
            </w:pPr>
            <w:r>
              <w:rPr>
                <w:rFonts w:hint="eastAsia"/>
                <w:sz w:val="24"/>
              </w:rPr>
              <w:t>易操纵性能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7</w:t>
            </w:r>
          </w:p>
        </w:tc>
        <w:tc>
          <w:tcPr>
            <w:tcW w:w="1913" w:type="dxa"/>
            <w:shd w:val="clear" w:color="auto" w:fill="auto"/>
            <w:vAlign w:val="center"/>
          </w:tcPr>
          <w:p>
            <w:pPr>
              <w:jc w:val="center"/>
              <w:rPr>
                <w:sz w:val="24"/>
              </w:rPr>
            </w:pPr>
            <w:r>
              <w:rPr>
                <w:rFonts w:hint="eastAsia"/>
                <w:sz w:val="24"/>
              </w:rPr>
              <w:t>连接牢固性能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8</w:t>
            </w:r>
          </w:p>
        </w:tc>
        <w:tc>
          <w:tcPr>
            <w:tcW w:w="1913" w:type="dxa"/>
            <w:shd w:val="clear" w:color="auto" w:fill="auto"/>
            <w:vAlign w:val="center"/>
          </w:tcPr>
          <w:p>
            <w:pPr>
              <w:jc w:val="center"/>
              <w:rPr>
                <w:sz w:val="24"/>
              </w:rPr>
            </w:pPr>
            <w:r>
              <w:rPr>
                <w:rFonts w:hint="eastAsia"/>
                <w:sz w:val="24"/>
              </w:rPr>
              <w:t>摩擦色牢度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9</w:t>
            </w:r>
          </w:p>
        </w:tc>
        <w:tc>
          <w:tcPr>
            <w:tcW w:w="1913" w:type="dxa"/>
            <w:shd w:val="clear" w:color="auto" w:fill="auto"/>
            <w:vAlign w:val="center"/>
          </w:tcPr>
          <w:p>
            <w:pPr>
              <w:jc w:val="center"/>
              <w:rPr>
                <w:sz w:val="24"/>
              </w:rPr>
            </w:pPr>
            <w:r>
              <w:rPr>
                <w:rFonts w:hint="eastAsia"/>
                <w:sz w:val="24"/>
              </w:rPr>
              <w:t>可分解有害芳香胺染料含量</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10</w:t>
            </w:r>
          </w:p>
        </w:tc>
        <w:tc>
          <w:tcPr>
            <w:tcW w:w="1913" w:type="dxa"/>
            <w:shd w:val="clear" w:color="auto" w:fill="auto"/>
            <w:vAlign w:val="center"/>
          </w:tcPr>
          <w:p>
            <w:pPr>
              <w:jc w:val="center"/>
              <w:rPr>
                <w:sz w:val="24"/>
              </w:rPr>
            </w:pPr>
            <w:r>
              <w:rPr>
                <w:rFonts w:hint="eastAsia"/>
                <w:sz w:val="24"/>
              </w:rPr>
              <w:t>游离或可部分水解的甲醛含量</w:t>
            </w:r>
          </w:p>
        </w:tc>
        <w:tc>
          <w:tcPr>
            <w:tcW w:w="1909" w:type="dxa"/>
            <w:shd w:val="clear" w:color="auto" w:fill="auto"/>
            <w:vAlign w:val="center"/>
          </w:tcPr>
          <w:p>
            <w:pPr>
              <w:jc w:val="center"/>
              <w:rPr>
                <w:rFonts w:eastAsia="仿宋"/>
                <w:spacing w:val="-6"/>
                <w:sz w:val="21"/>
                <w:szCs w:val="21"/>
              </w:rPr>
            </w:pPr>
            <w:r>
              <w:rPr>
                <w:rFonts w:hint="eastAsia"/>
                <w:sz w:val="24"/>
              </w:rPr>
              <w:t>GB/T 20096-2021</w:t>
            </w:r>
          </w:p>
        </w:tc>
        <w:tc>
          <w:tcPr>
            <w:tcW w:w="746"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bl>
    <w:p>
      <w:pPr>
        <w:adjustRightInd w:val="0"/>
        <w:snapToGrid w:val="0"/>
        <w:ind w:firstLine="600" w:firstLineChars="200"/>
        <w:jc w:val="left"/>
        <w:rPr>
          <w:rFonts w:eastAsia="仿宋"/>
          <w:color w:val="000000"/>
          <w:sz w:val="30"/>
          <w:szCs w:val="30"/>
        </w:rPr>
      </w:pPr>
      <w:r>
        <w:rPr>
          <w:rFonts w:eastAsia="仿宋"/>
          <w:color w:val="000000"/>
          <w:sz w:val="30"/>
          <w:szCs w:val="30"/>
        </w:rPr>
        <w:t>注： 执行企业标准、团体标准、地方标准的产品，检验项目参照上述内容执行。</w:t>
      </w:r>
    </w:p>
    <w:p>
      <w:pPr>
        <w:adjustRightInd w:val="0"/>
        <w:snapToGrid w:val="0"/>
        <w:ind w:firstLine="600" w:firstLineChars="2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rPr>
          <w:szCs w:val="32"/>
        </w:rPr>
      </w:pPr>
      <w:r>
        <w:rPr>
          <w:rFonts w:hint="eastAsia"/>
          <w:szCs w:val="32"/>
        </w:rPr>
        <w:t>GB/T 20096-2021《轮滑鞋》</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1、重要质量指标不合格判定所检样本不合格程度类型为：严重不合格，较重要质量指标不合格判定为所检样本不合格类型为：不合格。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2、监督总体不合格类型与所检样本不合格类型一一对应，即若所检样本出现严重不合格，判定为监督总体严重不合格；若所检样本未出现严重不合格，则判定为监督总体不合格。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3、若样本所检质量指标均合格，判定为样本所检质量指标未发现不合格。</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rPr>
        <w:t>。</w:t>
      </w:r>
    </w:p>
    <w:p>
      <w:pPr>
        <w:pStyle w:val="8"/>
        <w:tabs>
          <w:tab w:val="clear" w:pos="4201"/>
          <w:tab w:val="clear" w:pos="9298"/>
        </w:tabs>
        <w:ind w:firstLine="640"/>
        <w:rPr>
          <w:rFonts w:eastAsia="方正小标宋简体" w:cs="方正小标宋简体"/>
          <w:sz w:val="44"/>
          <w:szCs w:val="44"/>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76AF"/>
    <w:rsid w:val="00022EBF"/>
    <w:rsid w:val="00034D8C"/>
    <w:rsid w:val="000A14BC"/>
    <w:rsid w:val="000A40B0"/>
    <w:rsid w:val="000A6F8B"/>
    <w:rsid w:val="000B0C04"/>
    <w:rsid w:val="000B166A"/>
    <w:rsid w:val="000E794E"/>
    <w:rsid w:val="00107945"/>
    <w:rsid w:val="00131A35"/>
    <w:rsid w:val="00174A08"/>
    <w:rsid w:val="00184D11"/>
    <w:rsid w:val="0018725D"/>
    <w:rsid w:val="001C5E1C"/>
    <w:rsid w:val="00263BA4"/>
    <w:rsid w:val="002A139C"/>
    <w:rsid w:val="002A6E2E"/>
    <w:rsid w:val="002B55FD"/>
    <w:rsid w:val="002E3DA3"/>
    <w:rsid w:val="002F76AF"/>
    <w:rsid w:val="00316370"/>
    <w:rsid w:val="003536E0"/>
    <w:rsid w:val="003C4466"/>
    <w:rsid w:val="003F0F20"/>
    <w:rsid w:val="003F48E9"/>
    <w:rsid w:val="00422509"/>
    <w:rsid w:val="004366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76080"/>
    <w:rsid w:val="006E15C6"/>
    <w:rsid w:val="006F34BE"/>
    <w:rsid w:val="006F38B8"/>
    <w:rsid w:val="006F4510"/>
    <w:rsid w:val="0070156D"/>
    <w:rsid w:val="007177D7"/>
    <w:rsid w:val="00727B9A"/>
    <w:rsid w:val="00740A11"/>
    <w:rsid w:val="007510EB"/>
    <w:rsid w:val="00762AF1"/>
    <w:rsid w:val="007A2A5E"/>
    <w:rsid w:val="007A726E"/>
    <w:rsid w:val="007C0B44"/>
    <w:rsid w:val="00804B8A"/>
    <w:rsid w:val="00807DBD"/>
    <w:rsid w:val="00810DB1"/>
    <w:rsid w:val="008711D2"/>
    <w:rsid w:val="0087733B"/>
    <w:rsid w:val="00893C7F"/>
    <w:rsid w:val="008D1188"/>
    <w:rsid w:val="008D7BF7"/>
    <w:rsid w:val="00916066"/>
    <w:rsid w:val="00927D89"/>
    <w:rsid w:val="00943F2F"/>
    <w:rsid w:val="0098725B"/>
    <w:rsid w:val="00A075E8"/>
    <w:rsid w:val="00A44E58"/>
    <w:rsid w:val="00A47F4F"/>
    <w:rsid w:val="00A57989"/>
    <w:rsid w:val="00A614F8"/>
    <w:rsid w:val="00B1647C"/>
    <w:rsid w:val="00C203FA"/>
    <w:rsid w:val="00C443CF"/>
    <w:rsid w:val="00C519BF"/>
    <w:rsid w:val="00C52754"/>
    <w:rsid w:val="00C74D3D"/>
    <w:rsid w:val="00C965AC"/>
    <w:rsid w:val="00CA2C9D"/>
    <w:rsid w:val="00CB7B50"/>
    <w:rsid w:val="00CF22BF"/>
    <w:rsid w:val="00D24256"/>
    <w:rsid w:val="00D62B22"/>
    <w:rsid w:val="00D752E2"/>
    <w:rsid w:val="00E20723"/>
    <w:rsid w:val="00E65C90"/>
    <w:rsid w:val="00EA65C1"/>
    <w:rsid w:val="00F031F1"/>
    <w:rsid w:val="00F36515"/>
    <w:rsid w:val="00F95545"/>
    <w:rsid w:val="00FC5C51"/>
    <w:rsid w:val="00FC70BF"/>
    <w:rsid w:val="00FD654C"/>
    <w:rsid w:val="00FF594C"/>
    <w:rsid w:val="1438074F"/>
    <w:rsid w:val="15631434"/>
    <w:rsid w:val="17751B8E"/>
    <w:rsid w:val="38700B55"/>
    <w:rsid w:val="3CD959B1"/>
    <w:rsid w:val="3F1B0BAF"/>
    <w:rsid w:val="4EB50C3A"/>
    <w:rsid w:val="50A7688F"/>
    <w:rsid w:val="52260B3F"/>
    <w:rsid w:val="54D07982"/>
    <w:rsid w:val="6525617E"/>
    <w:rsid w:val="669F1C94"/>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Char"/>
    <w:basedOn w:val="7"/>
    <w:link w:val="5"/>
    <w:qFormat/>
    <w:uiPriority w:val="99"/>
    <w:rPr>
      <w:rFonts w:ascii="Times New Roman" w:hAnsi="Times New Roman" w:eastAsia="仿宋_GB2312" w:cs="Times New Roman"/>
      <w:kern w:val="2"/>
      <w:sz w:val="18"/>
      <w:szCs w:val="18"/>
    </w:rPr>
  </w:style>
  <w:style w:type="character" w:customStyle="1" w:styleId="10">
    <w:name w:val="纯文本 Char"/>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125</Words>
  <Characters>716</Characters>
  <Lines>5</Lines>
  <Paragraphs>1</Paragraphs>
  <TotalTime>0</TotalTime>
  <ScaleCrop>false</ScaleCrop>
  <LinksUpToDate>false</LinksUpToDate>
  <CharactersWithSpaces>840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2024-06-27T03:04:51Z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