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rPr>
        <w:t>中山市</w:t>
      </w:r>
      <w:r>
        <w:rPr>
          <w:rFonts w:hint="eastAsia" w:eastAsia="方正小标宋简体" w:cs="方正小标宋简体"/>
          <w:bCs/>
          <w:sz w:val="44"/>
          <w:szCs w:val="44"/>
        </w:rPr>
        <w:t>玩</w:t>
      </w:r>
      <w:r>
        <w:rPr>
          <w:rFonts w:eastAsia="方正小标宋简体"/>
          <w:spacing w:val="-1"/>
          <w:position w:val="1"/>
          <w:sz w:val="44"/>
          <w:szCs w:val="44"/>
        </w:rPr>
        <w:t>具产品质量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w:t>
      </w:r>
      <w:r>
        <w:rPr>
          <w:szCs w:val="21"/>
        </w:rPr>
        <w:t>样生产者、销售者</w:t>
      </w:r>
      <w:bookmarkStart w:id="0" w:name="_GoBack"/>
      <w:bookmarkEnd w:id="0"/>
      <w:r>
        <w:rPr>
          <w:kern w:val="0"/>
          <w:szCs w:val="32"/>
        </w:rPr>
        <w:t>的待销产品中抽取。</w:t>
      </w:r>
    </w:p>
    <w:p>
      <w:pPr>
        <w:widowControl/>
        <w:ind w:firstLine="640" w:firstLineChars="200"/>
        <w:rPr>
          <w:szCs w:val="32"/>
        </w:rPr>
      </w:pPr>
      <w:r>
        <w:rPr>
          <w:color w:val="333333"/>
          <w:kern w:val="0"/>
          <w:szCs w:val="32"/>
        </w:rPr>
        <w:t>随机数一般可使用随机数表等方法产生。</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1组抽取样品3个，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sz w:val="24"/>
              </w:rPr>
              <w:t>正常使用</w:t>
            </w:r>
          </w:p>
        </w:tc>
        <w:tc>
          <w:tcPr>
            <w:tcW w:w="1909" w:type="dxa"/>
            <w:vMerge w:val="restart"/>
            <w:shd w:val="clear" w:color="auto" w:fill="auto"/>
            <w:vAlign w:val="center"/>
          </w:tcPr>
          <w:p>
            <w:pPr>
              <w:jc w:val="center"/>
              <w:rPr>
                <w:sz w:val="24"/>
              </w:rPr>
            </w:pPr>
            <w:r>
              <w:rPr>
                <w:rFonts w:hint="eastAsia"/>
                <w:sz w:val="24"/>
              </w:rPr>
              <w:t>GB 6675.2-2014</w:t>
            </w:r>
          </w:p>
        </w:tc>
        <w:tc>
          <w:tcPr>
            <w:tcW w:w="746" w:type="dxa"/>
            <w:shd w:val="clear" w:color="auto" w:fill="auto"/>
            <w:vAlign w:val="center"/>
          </w:tcPr>
          <w:p>
            <w:pPr>
              <w:spacing w:before="63"/>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jc w:val="center"/>
              <w:rPr>
                <w:sz w:val="24"/>
              </w:rPr>
            </w:pPr>
            <w:r>
              <w:rPr>
                <w:sz w:val="24"/>
              </w:rPr>
              <w:t>●</w:t>
            </w:r>
          </w:p>
        </w:tc>
        <w:tc>
          <w:tcPr>
            <w:tcW w:w="709" w:type="dxa"/>
            <w:shd w:val="clear" w:color="auto" w:fill="auto"/>
            <w:vAlign w:val="center"/>
          </w:tcPr>
          <w:p>
            <w:pPr>
              <w:spacing w:before="63"/>
              <w:ind w:left="8"/>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jc w:val="center"/>
              <w:rPr>
                <w:sz w:val="24"/>
              </w:rPr>
            </w:pPr>
            <w:r>
              <w:rPr>
                <w:rFonts w:hint="eastAsia"/>
                <w:sz w:val="24"/>
              </w:rPr>
              <w:t>可预见的合理滥用</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63"/>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jc w:val="center"/>
              <w:rPr>
                <w:sz w:val="24"/>
              </w:rPr>
            </w:pPr>
            <w:r>
              <w:rPr>
                <w:sz w:val="24"/>
              </w:rPr>
              <w:t>●</w:t>
            </w:r>
          </w:p>
        </w:tc>
        <w:tc>
          <w:tcPr>
            <w:tcW w:w="709" w:type="dxa"/>
            <w:shd w:val="clear" w:color="auto" w:fill="auto"/>
            <w:vAlign w:val="center"/>
          </w:tcPr>
          <w:p>
            <w:pPr>
              <w:spacing w:before="63"/>
              <w:ind w:left="8"/>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3</w:t>
            </w:r>
          </w:p>
        </w:tc>
        <w:tc>
          <w:tcPr>
            <w:tcW w:w="1913" w:type="dxa"/>
            <w:shd w:val="clear" w:color="auto" w:fill="auto"/>
            <w:vAlign w:val="center"/>
          </w:tcPr>
          <w:p>
            <w:pPr>
              <w:jc w:val="center"/>
              <w:rPr>
                <w:sz w:val="24"/>
              </w:rPr>
            </w:pPr>
            <w:r>
              <w:rPr>
                <w:rFonts w:hint="eastAsia"/>
                <w:sz w:val="24"/>
              </w:rPr>
              <w:t>材料</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63"/>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63"/>
              <w:ind w:left="7"/>
              <w:jc w:val="center"/>
              <w:rPr>
                <w:sz w:val="24"/>
              </w:rPr>
            </w:pPr>
          </w:p>
        </w:tc>
        <w:tc>
          <w:tcPr>
            <w:tcW w:w="709" w:type="dxa"/>
            <w:shd w:val="clear" w:color="auto" w:fill="auto"/>
            <w:vAlign w:val="center"/>
          </w:tcPr>
          <w:p>
            <w:pPr>
              <w:jc w:val="center"/>
              <w:rPr>
                <w:sz w:val="24"/>
              </w:rPr>
            </w:pPr>
            <w:r>
              <w:rPr>
                <w:sz w:val="24"/>
              </w:rPr>
              <w:t>●</w:t>
            </w: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79" w:hRule="atLeast"/>
        </w:trPr>
        <w:tc>
          <w:tcPr>
            <w:tcW w:w="682" w:type="dxa"/>
            <w:shd w:val="clear" w:color="auto" w:fill="auto"/>
            <w:vAlign w:val="center"/>
          </w:tcPr>
          <w:p>
            <w:pPr>
              <w:jc w:val="center"/>
              <w:rPr>
                <w:sz w:val="24"/>
              </w:rPr>
            </w:pPr>
            <w:r>
              <w:rPr>
                <w:sz w:val="24"/>
              </w:rPr>
              <w:t>4</w:t>
            </w:r>
          </w:p>
        </w:tc>
        <w:tc>
          <w:tcPr>
            <w:tcW w:w="1913" w:type="dxa"/>
            <w:shd w:val="clear" w:color="auto" w:fill="auto"/>
            <w:vAlign w:val="center"/>
          </w:tcPr>
          <w:p>
            <w:pPr>
              <w:jc w:val="center"/>
              <w:rPr>
                <w:sz w:val="24"/>
              </w:rPr>
            </w:pPr>
            <w:r>
              <w:rPr>
                <w:rFonts w:hint="eastAsia"/>
                <w:sz w:val="24"/>
              </w:rPr>
              <w:t>小零件</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63"/>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63"/>
              <w:ind w:left="7"/>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1" w:hRule="atLeast"/>
        </w:trPr>
        <w:tc>
          <w:tcPr>
            <w:tcW w:w="682" w:type="dxa"/>
            <w:shd w:val="clear" w:color="auto" w:fill="auto"/>
            <w:vAlign w:val="center"/>
          </w:tcPr>
          <w:p>
            <w:pPr>
              <w:jc w:val="center"/>
              <w:rPr>
                <w:sz w:val="24"/>
              </w:rPr>
            </w:pPr>
            <w:r>
              <w:rPr>
                <w:sz w:val="24"/>
              </w:rPr>
              <w:t>5</w:t>
            </w:r>
          </w:p>
        </w:tc>
        <w:tc>
          <w:tcPr>
            <w:tcW w:w="1913" w:type="dxa"/>
            <w:shd w:val="clear" w:color="auto" w:fill="auto"/>
            <w:vAlign w:val="center"/>
          </w:tcPr>
          <w:p>
            <w:pPr>
              <w:jc w:val="center"/>
              <w:rPr>
                <w:sz w:val="24"/>
              </w:rPr>
            </w:pPr>
            <w:r>
              <w:rPr>
                <w:rFonts w:hint="eastAsia"/>
                <w:sz w:val="24"/>
              </w:rPr>
              <w:t>某些特定玩具的形状、尺寸及强度</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65"/>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65"/>
              <w:ind w:left="7"/>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6</w:t>
            </w:r>
          </w:p>
        </w:tc>
        <w:tc>
          <w:tcPr>
            <w:tcW w:w="1913" w:type="dxa"/>
            <w:shd w:val="clear" w:color="auto" w:fill="auto"/>
            <w:vAlign w:val="center"/>
          </w:tcPr>
          <w:p>
            <w:pPr>
              <w:jc w:val="center"/>
              <w:rPr>
                <w:sz w:val="24"/>
              </w:rPr>
            </w:pPr>
            <w:r>
              <w:rPr>
                <w:rFonts w:hint="eastAsia"/>
                <w:sz w:val="24"/>
              </w:rPr>
              <w:t>边缘</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63"/>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63"/>
              <w:ind w:left="7"/>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79" w:hRule="atLeast"/>
        </w:trPr>
        <w:tc>
          <w:tcPr>
            <w:tcW w:w="682" w:type="dxa"/>
            <w:shd w:val="clear" w:color="auto" w:fill="auto"/>
            <w:vAlign w:val="center"/>
          </w:tcPr>
          <w:p>
            <w:pPr>
              <w:jc w:val="center"/>
              <w:rPr>
                <w:sz w:val="24"/>
              </w:rPr>
            </w:pPr>
            <w:r>
              <w:rPr>
                <w:sz w:val="24"/>
              </w:rPr>
              <w:t>7</w:t>
            </w:r>
          </w:p>
        </w:tc>
        <w:tc>
          <w:tcPr>
            <w:tcW w:w="1913" w:type="dxa"/>
            <w:shd w:val="clear" w:color="auto" w:fill="auto"/>
            <w:vAlign w:val="center"/>
          </w:tcPr>
          <w:p>
            <w:pPr>
              <w:jc w:val="center"/>
              <w:rPr>
                <w:sz w:val="24"/>
              </w:rPr>
            </w:pPr>
            <w:r>
              <w:rPr>
                <w:rFonts w:hint="eastAsia"/>
                <w:sz w:val="24"/>
              </w:rPr>
              <w:t>尖端</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63"/>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63"/>
              <w:ind w:left="7"/>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8</w:t>
            </w:r>
          </w:p>
        </w:tc>
        <w:tc>
          <w:tcPr>
            <w:tcW w:w="1913" w:type="dxa"/>
            <w:shd w:val="clear" w:color="auto" w:fill="auto"/>
            <w:vAlign w:val="center"/>
          </w:tcPr>
          <w:p>
            <w:pPr>
              <w:jc w:val="center"/>
              <w:rPr>
                <w:sz w:val="24"/>
              </w:rPr>
            </w:pPr>
            <w:r>
              <w:rPr>
                <w:rFonts w:hint="eastAsia"/>
                <w:sz w:val="24"/>
              </w:rPr>
              <w:t>突出部件</w:t>
            </w:r>
          </w:p>
        </w:tc>
        <w:tc>
          <w:tcPr>
            <w:tcW w:w="1909" w:type="dxa"/>
            <w:vMerge w:val="restart"/>
            <w:shd w:val="clear" w:color="auto" w:fill="auto"/>
            <w:vAlign w:val="center"/>
          </w:tcPr>
          <w:p>
            <w:pPr>
              <w:jc w:val="center"/>
              <w:rPr>
                <w:sz w:val="24"/>
              </w:rPr>
            </w:pPr>
            <w:r>
              <w:rPr>
                <w:rFonts w:hint="eastAsia"/>
                <w:sz w:val="24"/>
              </w:rPr>
              <w:t>GB 6675.2-2014</w:t>
            </w:r>
          </w:p>
        </w:tc>
        <w:tc>
          <w:tcPr>
            <w:tcW w:w="746" w:type="dxa"/>
            <w:shd w:val="clear" w:color="auto" w:fill="auto"/>
            <w:vAlign w:val="center"/>
          </w:tcPr>
          <w:p>
            <w:pPr>
              <w:spacing w:before="63"/>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63"/>
              <w:ind w:left="7"/>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9</w:t>
            </w:r>
          </w:p>
        </w:tc>
        <w:tc>
          <w:tcPr>
            <w:tcW w:w="1913" w:type="dxa"/>
            <w:shd w:val="clear" w:color="auto" w:fill="auto"/>
            <w:vAlign w:val="center"/>
          </w:tcPr>
          <w:p>
            <w:pPr>
              <w:jc w:val="center"/>
              <w:rPr>
                <w:sz w:val="24"/>
              </w:rPr>
            </w:pPr>
            <w:r>
              <w:rPr>
                <w:rFonts w:hint="eastAsia"/>
                <w:sz w:val="24"/>
              </w:rPr>
              <w:t>金属丝和杆件</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63"/>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63"/>
              <w:ind w:left="7"/>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10</w:t>
            </w:r>
          </w:p>
        </w:tc>
        <w:tc>
          <w:tcPr>
            <w:tcW w:w="1913" w:type="dxa"/>
            <w:shd w:val="clear" w:color="auto" w:fill="auto"/>
            <w:vAlign w:val="center"/>
          </w:tcPr>
          <w:p>
            <w:pPr>
              <w:jc w:val="center"/>
              <w:rPr>
                <w:sz w:val="24"/>
              </w:rPr>
            </w:pPr>
            <w:r>
              <w:rPr>
                <w:rFonts w:hint="eastAsia"/>
                <w:sz w:val="24"/>
              </w:rPr>
              <w:t>用于包装或玩具中的塑料袋或塑料薄膜</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63"/>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63"/>
              <w:ind w:left="7"/>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2" w:hRule="atLeast"/>
        </w:trPr>
        <w:tc>
          <w:tcPr>
            <w:tcW w:w="682" w:type="dxa"/>
            <w:shd w:val="clear" w:color="auto" w:fill="auto"/>
            <w:vAlign w:val="center"/>
          </w:tcPr>
          <w:p>
            <w:pPr>
              <w:jc w:val="center"/>
              <w:rPr>
                <w:sz w:val="24"/>
              </w:rPr>
            </w:pPr>
            <w:r>
              <w:rPr>
                <w:sz w:val="24"/>
              </w:rPr>
              <w:t>11</w:t>
            </w:r>
          </w:p>
        </w:tc>
        <w:tc>
          <w:tcPr>
            <w:tcW w:w="1913" w:type="dxa"/>
            <w:shd w:val="clear" w:color="auto" w:fill="auto"/>
            <w:vAlign w:val="center"/>
          </w:tcPr>
          <w:p>
            <w:pPr>
              <w:jc w:val="center"/>
              <w:rPr>
                <w:sz w:val="24"/>
              </w:rPr>
            </w:pPr>
            <w:r>
              <w:rPr>
                <w:rFonts w:hint="eastAsia"/>
                <w:sz w:val="24"/>
              </w:rPr>
              <w:t>绳索和弹性绳</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65"/>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65"/>
              <w:ind w:left="7"/>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12</w:t>
            </w:r>
          </w:p>
        </w:tc>
        <w:tc>
          <w:tcPr>
            <w:tcW w:w="1913" w:type="dxa"/>
            <w:shd w:val="clear" w:color="auto" w:fill="auto"/>
            <w:vAlign w:val="center"/>
          </w:tcPr>
          <w:p>
            <w:pPr>
              <w:jc w:val="center"/>
              <w:rPr>
                <w:sz w:val="24"/>
              </w:rPr>
            </w:pPr>
            <w:r>
              <w:rPr>
                <w:rFonts w:hint="eastAsia"/>
                <w:sz w:val="24"/>
              </w:rPr>
              <w:t>折叠机构</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63"/>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63"/>
              <w:ind w:left="7"/>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13</w:t>
            </w:r>
          </w:p>
        </w:tc>
        <w:tc>
          <w:tcPr>
            <w:tcW w:w="1913" w:type="dxa"/>
            <w:shd w:val="clear" w:color="auto" w:fill="auto"/>
            <w:vAlign w:val="center"/>
          </w:tcPr>
          <w:p>
            <w:pPr>
              <w:jc w:val="center"/>
              <w:rPr>
                <w:sz w:val="24"/>
              </w:rPr>
            </w:pPr>
            <w:r>
              <w:rPr>
                <w:rFonts w:hint="eastAsia"/>
                <w:sz w:val="24"/>
              </w:rPr>
              <w:t>孔、间隙、机械装置的可触及性</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63"/>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63"/>
              <w:ind w:left="7"/>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14</w:t>
            </w:r>
          </w:p>
        </w:tc>
        <w:tc>
          <w:tcPr>
            <w:tcW w:w="1913" w:type="dxa"/>
            <w:shd w:val="clear" w:color="auto" w:fill="auto"/>
            <w:vAlign w:val="center"/>
          </w:tcPr>
          <w:p>
            <w:pPr>
              <w:jc w:val="center"/>
              <w:rPr>
                <w:sz w:val="24"/>
              </w:rPr>
            </w:pPr>
            <w:r>
              <w:rPr>
                <w:rFonts w:hint="eastAsia"/>
                <w:sz w:val="24"/>
              </w:rPr>
              <w:t>弹簧</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p>
          <w:p>
            <w:pPr>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p>
          <w:p>
            <w:pPr>
              <w:ind w:left="7"/>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15</w:t>
            </w:r>
          </w:p>
        </w:tc>
        <w:tc>
          <w:tcPr>
            <w:tcW w:w="1913" w:type="dxa"/>
            <w:shd w:val="clear" w:color="auto" w:fill="auto"/>
            <w:vAlign w:val="center"/>
          </w:tcPr>
          <w:p>
            <w:pPr>
              <w:jc w:val="center"/>
              <w:rPr>
                <w:sz w:val="24"/>
              </w:rPr>
            </w:pPr>
            <w:r>
              <w:rPr>
                <w:rFonts w:hint="eastAsia"/>
                <w:sz w:val="24"/>
              </w:rPr>
              <w:t>乘骑玩具及座位稳定性</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16</w:t>
            </w:r>
          </w:p>
        </w:tc>
        <w:tc>
          <w:tcPr>
            <w:tcW w:w="1913" w:type="dxa"/>
            <w:shd w:val="clear" w:color="auto" w:fill="auto"/>
            <w:vAlign w:val="center"/>
          </w:tcPr>
          <w:p>
            <w:pPr>
              <w:jc w:val="center"/>
              <w:rPr>
                <w:sz w:val="24"/>
              </w:rPr>
            </w:pPr>
            <w:r>
              <w:rPr>
                <w:rFonts w:hint="eastAsia"/>
                <w:sz w:val="24"/>
              </w:rPr>
              <w:t>乘骑玩具及座位的超载性能</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17</w:t>
            </w:r>
          </w:p>
        </w:tc>
        <w:tc>
          <w:tcPr>
            <w:tcW w:w="1913" w:type="dxa"/>
            <w:shd w:val="clear" w:color="auto" w:fill="auto"/>
            <w:vAlign w:val="center"/>
          </w:tcPr>
          <w:p>
            <w:pPr>
              <w:jc w:val="center"/>
              <w:rPr>
                <w:sz w:val="24"/>
              </w:rPr>
            </w:pPr>
            <w:r>
              <w:rPr>
                <w:rFonts w:hint="eastAsia"/>
                <w:sz w:val="24"/>
              </w:rPr>
              <w:t>静止在地面上的玩具的稳定性</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sz w:val="24"/>
              </w:rPr>
              <w:t>通风装置</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p>
          <w:p>
            <w:pPr>
              <w:ind w:left="3"/>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p>
          <w:p>
            <w:pPr>
              <w:ind w:left="7"/>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19</w:t>
            </w:r>
          </w:p>
        </w:tc>
        <w:tc>
          <w:tcPr>
            <w:tcW w:w="1913" w:type="dxa"/>
            <w:shd w:val="clear" w:color="auto" w:fill="auto"/>
            <w:vAlign w:val="center"/>
          </w:tcPr>
          <w:p>
            <w:pPr>
              <w:jc w:val="center"/>
              <w:rPr>
                <w:sz w:val="24"/>
              </w:rPr>
            </w:pPr>
            <w:r>
              <w:rPr>
                <w:rFonts w:hint="eastAsia"/>
                <w:sz w:val="24"/>
              </w:rPr>
              <w:t>关闭件</w:t>
            </w:r>
          </w:p>
        </w:tc>
        <w:tc>
          <w:tcPr>
            <w:tcW w:w="1909" w:type="dxa"/>
            <w:vMerge w:val="continue"/>
            <w:shd w:val="clear" w:color="auto" w:fill="auto"/>
            <w:vAlign w:val="center"/>
          </w:tcPr>
          <w:p>
            <w:pPr>
              <w:pStyle w:val="2"/>
              <w:rPr>
                <w:rFonts w:ascii="Times New Roman"/>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20</w:t>
            </w:r>
          </w:p>
        </w:tc>
        <w:tc>
          <w:tcPr>
            <w:tcW w:w="1913" w:type="dxa"/>
            <w:shd w:val="clear" w:color="auto" w:fill="auto"/>
            <w:vAlign w:val="center"/>
          </w:tcPr>
          <w:p>
            <w:pPr>
              <w:jc w:val="center"/>
              <w:rPr>
                <w:sz w:val="24"/>
              </w:rPr>
            </w:pPr>
            <w:r>
              <w:rPr>
                <w:rFonts w:hint="eastAsia"/>
                <w:sz w:val="24"/>
              </w:rPr>
              <w:t>封闭头部的玩具</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21</w:t>
            </w:r>
          </w:p>
        </w:tc>
        <w:tc>
          <w:tcPr>
            <w:tcW w:w="1913" w:type="dxa"/>
            <w:shd w:val="clear" w:color="auto" w:fill="auto"/>
            <w:vAlign w:val="center"/>
          </w:tcPr>
          <w:p>
            <w:pPr>
              <w:jc w:val="center"/>
              <w:rPr>
                <w:sz w:val="24"/>
              </w:rPr>
            </w:pPr>
            <w:r>
              <w:rPr>
                <w:rFonts w:hint="eastAsia"/>
                <w:sz w:val="24"/>
              </w:rPr>
              <w:t>仿制防护玩具（头盔、帽子、护目镜）</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22</w:t>
            </w:r>
          </w:p>
        </w:tc>
        <w:tc>
          <w:tcPr>
            <w:tcW w:w="1913" w:type="dxa"/>
            <w:shd w:val="clear" w:color="auto" w:fill="auto"/>
            <w:vAlign w:val="center"/>
          </w:tcPr>
          <w:p>
            <w:pPr>
              <w:jc w:val="center"/>
              <w:rPr>
                <w:sz w:val="24"/>
              </w:rPr>
            </w:pPr>
            <w:r>
              <w:rPr>
                <w:rFonts w:hint="eastAsia"/>
                <w:sz w:val="24"/>
              </w:rPr>
              <w:t>弹射玩具</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23</w:t>
            </w:r>
          </w:p>
        </w:tc>
        <w:tc>
          <w:tcPr>
            <w:tcW w:w="1913" w:type="dxa"/>
            <w:shd w:val="clear" w:color="auto" w:fill="auto"/>
            <w:vAlign w:val="center"/>
          </w:tcPr>
          <w:p>
            <w:pPr>
              <w:jc w:val="center"/>
              <w:rPr>
                <w:sz w:val="24"/>
              </w:rPr>
            </w:pPr>
            <w:r>
              <w:rPr>
                <w:rFonts w:hint="eastAsia"/>
                <w:sz w:val="24"/>
              </w:rPr>
              <w:t>水上玩具</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24</w:t>
            </w:r>
          </w:p>
        </w:tc>
        <w:tc>
          <w:tcPr>
            <w:tcW w:w="1913" w:type="dxa"/>
            <w:shd w:val="clear" w:color="auto" w:fill="auto"/>
            <w:vAlign w:val="center"/>
          </w:tcPr>
          <w:p>
            <w:pPr>
              <w:jc w:val="center"/>
              <w:rPr>
                <w:sz w:val="24"/>
              </w:rPr>
            </w:pPr>
            <w:r>
              <w:rPr>
                <w:rFonts w:hint="eastAsia"/>
                <w:sz w:val="24"/>
              </w:rPr>
              <w:t>制动装置</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25</w:t>
            </w:r>
          </w:p>
        </w:tc>
        <w:tc>
          <w:tcPr>
            <w:tcW w:w="1913" w:type="dxa"/>
            <w:shd w:val="clear" w:color="auto" w:fill="auto"/>
            <w:vAlign w:val="center"/>
          </w:tcPr>
          <w:p>
            <w:pPr>
              <w:jc w:val="center"/>
              <w:rPr>
                <w:sz w:val="24"/>
              </w:rPr>
            </w:pPr>
            <w:r>
              <w:rPr>
                <w:rFonts w:hint="eastAsia"/>
                <w:sz w:val="24"/>
              </w:rPr>
              <w:t>鞍座最大高度</w:t>
            </w:r>
          </w:p>
        </w:tc>
        <w:tc>
          <w:tcPr>
            <w:tcW w:w="1909" w:type="dxa"/>
            <w:vMerge w:val="restart"/>
            <w:shd w:val="clear" w:color="auto" w:fill="auto"/>
            <w:vAlign w:val="center"/>
          </w:tcPr>
          <w:p>
            <w:pPr>
              <w:jc w:val="center"/>
              <w:rPr>
                <w:sz w:val="24"/>
              </w:rPr>
            </w:pPr>
            <w:r>
              <w:rPr>
                <w:rFonts w:hint="eastAsia"/>
                <w:sz w:val="24"/>
              </w:rPr>
              <w:t>GB 6675.2-2014</w:t>
            </w: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p>
        </w:tc>
        <w:tc>
          <w:tcPr>
            <w:tcW w:w="709" w:type="dxa"/>
            <w:shd w:val="clear" w:color="auto" w:fill="auto"/>
            <w:vAlign w:val="center"/>
          </w:tcPr>
          <w:p>
            <w:pPr>
              <w:jc w:val="center"/>
              <w:rPr>
                <w:sz w:val="24"/>
              </w:rPr>
            </w:pPr>
            <w:r>
              <w:rPr>
                <w:sz w:val="24"/>
              </w:rPr>
              <w:t>●</w:t>
            </w: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26</w:t>
            </w:r>
          </w:p>
        </w:tc>
        <w:tc>
          <w:tcPr>
            <w:tcW w:w="1913" w:type="dxa"/>
            <w:shd w:val="clear" w:color="auto" w:fill="auto"/>
            <w:vAlign w:val="center"/>
          </w:tcPr>
          <w:p>
            <w:pPr>
              <w:jc w:val="center"/>
              <w:rPr>
                <w:sz w:val="24"/>
              </w:rPr>
            </w:pPr>
            <w:r>
              <w:rPr>
                <w:rFonts w:hint="eastAsia"/>
                <w:sz w:val="24"/>
              </w:rPr>
              <w:t>制动要求</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27</w:t>
            </w:r>
          </w:p>
        </w:tc>
        <w:tc>
          <w:tcPr>
            <w:tcW w:w="1913" w:type="dxa"/>
            <w:shd w:val="clear" w:color="auto" w:fill="auto"/>
            <w:vAlign w:val="center"/>
          </w:tcPr>
          <w:p>
            <w:pPr>
              <w:jc w:val="center"/>
              <w:rPr>
                <w:sz w:val="24"/>
              </w:rPr>
            </w:pPr>
            <w:r>
              <w:rPr>
                <w:rFonts w:hint="eastAsia"/>
                <w:sz w:val="24"/>
              </w:rPr>
              <w:t>电动童车的速度要求</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28</w:t>
            </w:r>
          </w:p>
        </w:tc>
        <w:tc>
          <w:tcPr>
            <w:tcW w:w="1913" w:type="dxa"/>
            <w:shd w:val="clear" w:color="auto" w:fill="auto"/>
            <w:vAlign w:val="center"/>
          </w:tcPr>
          <w:p>
            <w:pPr>
              <w:jc w:val="center"/>
              <w:rPr>
                <w:sz w:val="24"/>
              </w:rPr>
            </w:pPr>
            <w:r>
              <w:rPr>
                <w:rFonts w:hint="eastAsia"/>
                <w:sz w:val="24"/>
              </w:rPr>
              <w:t>液体填充玩具</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29</w:t>
            </w:r>
          </w:p>
        </w:tc>
        <w:tc>
          <w:tcPr>
            <w:tcW w:w="1913" w:type="dxa"/>
            <w:shd w:val="clear" w:color="auto" w:fill="auto"/>
            <w:vAlign w:val="center"/>
          </w:tcPr>
          <w:p>
            <w:pPr>
              <w:jc w:val="center"/>
              <w:rPr>
                <w:sz w:val="24"/>
              </w:rPr>
            </w:pPr>
            <w:r>
              <w:rPr>
                <w:rFonts w:hint="eastAsia"/>
                <w:sz w:val="24"/>
              </w:rPr>
              <w:t>口动玩具</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30</w:t>
            </w:r>
          </w:p>
        </w:tc>
        <w:tc>
          <w:tcPr>
            <w:tcW w:w="1913" w:type="dxa"/>
            <w:shd w:val="clear" w:color="auto" w:fill="auto"/>
            <w:vAlign w:val="center"/>
          </w:tcPr>
          <w:p>
            <w:pPr>
              <w:jc w:val="center"/>
              <w:rPr>
                <w:sz w:val="24"/>
              </w:rPr>
            </w:pPr>
            <w:r>
              <w:rPr>
                <w:rFonts w:hint="eastAsia"/>
                <w:sz w:val="24"/>
              </w:rPr>
              <w:t>玩具滚轴溜冰鞋、单排滚轴溜冰鞋及玩具滑板</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31</w:t>
            </w:r>
          </w:p>
        </w:tc>
        <w:tc>
          <w:tcPr>
            <w:tcW w:w="1913" w:type="dxa"/>
            <w:shd w:val="clear" w:color="auto" w:fill="auto"/>
            <w:vAlign w:val="center"/>
          </w:tcPr>
          <w:p>
            <w:pPr>
              <w:jc w:val="center"/>
              <w:rPr>
                <w:sz w:val="24"/>
              </w:rPr>
            </w:pPr>
            <w:r>
              <w:rPr>
                <w:rFonts w:hint="eastAsia"/>
                <w:sz w:val="24"/>
              </w:rPr>
              <w:t>玩具火药帽</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32</w:t>
            </w:r>
          </w:p>
        </w:tc>
        <w:tc>
          <w:tcPr>
            <w:tcW w:w="1913" w:type="dxa"/>
            <w:shd w:val="clear" w:color="auto" w:fill="auto"/>
            <w:vAlign w:val="center"/>
          </w:tcPr>
          <w:p>
            <w:pPr>
              <w:jc w:val="center"/>
              <w:rPr>
                <w:sz w:val="24"/>
              </w:rPr>
            </w:pPr>
            <w:r>
              <w:rPr>
                <w:rFonts w:hint="eastAsia"/>
                <w:sz w:val="24"/>
              </w:rPr>
              <w:t>声响要求</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33</w:t>
            </w:r>
          </w:p>
        </w:tc>
        <w:tc>
          <w:tcPr>
            <w:tcW w:w="1913" w:type="dxa"/>
            <w:shd w:val="clear" w:color="auto" w:fill="auto"/>
            <w:vAlign w:val="center"/>
          </w:tcPr>
          <w:p>
            <w:pPr>
              <w:jc w:val="center"/>
              <w:rPr>
                <w:sz w:val="24"/>
              </w:rPr>
            </w:pPr>
            <w:r>
              <w:rPr>
                <w:rFonts w:hint="eastAsia"/>
                <w:sz w:val="24"/>
              </w:rPr>
              <w:t>磁体和磁性部件</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34</w:t>
            </w:r>
          </w:p>
        </w:tc>
        <w:tc>
          <w:tcPr>
            <w:tcW w:w="1913" w:type="dxa"/>
            <w:shd w:val="clear" w:color="auto" w:fill="auto"/>
            <w:vAlign w:val="center"/>
          </w:tcPr>
          <w:p>
            <w:pPr>
              <w:jc w:val="center"/>
              <w:rPr>
                <w:sz w:val="24"/>
              </w:rPr>
            </w:pPr>
            <w:r>
              <w:rPr>
                <w:rFonts w:hint="eastAsia"/>
                <w:sz w:val="24"/>
              </w:rPr>
              <w:t>易燃性能：一般要求</w:t>
            </w:r>
          </w:p>
        </w:tc>
        <w:tc>
          <w:tcPr>
            <w:tcW w:w="1909" w:type="dxa"/>
            <w:shd w:val="clear" w:color="auto" w:fill="auto"/>
            <w:vAlign w:val="center"/>
          </w:tcPr>
          <w:p>
            <w:pPr>
              <w:jc w:val="center"/>
              <w:rPr>
                <w:sz w:val="24"/>
              </w:rPr>
            </w:pPr>
            <w:r>
              <w:rPr>
                <w:rFonts w:hint="eastAsia"/>
                <w:sz w:val="24"/>
              </w:rPr>
              <w:t>GB 6675.3-2014</w:t>
            </w: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35</w:t>
            </w:r>
          </w:p>
        </w:tc>
        <w:tc>
          <w:tcPr>
            <w:tcW w:w="1913" w:type="dxa"/>
            <w:shd w:val="clear" w:color="auto" w:fill="auto"/>
            <w:vAlign w:val="center"/>
          </w:tcPr>
          <w:p>
            <w:pPr>
              <w:jc w:val="center"/>
              <w:rPr>
                <w:sz w:val="24"/>
              </w:rPr>
            </w:pPr>
            <w:r>
              <w:rPr>
                <w:rFonts w:hint="eastAsia"/>
                <w:sz w:val="24"/>
              </w:rPr>
              <w:t>易燃性能：头戴玩具</w:t>
            </w:r>
          </w:p>
        </w:tc>
        <w:tc>
          <w:tcPr>
            <w:tcW w:w="1909" w:type="dxa"/>
            <w:shd w:val="clear" w:color="auto" w:fill="auto"/>
            <w:vAlign w:val="center"/>
          </w:tcPr>
          <w:p>
            <w:pPr>
              <w:jc w:val="center"/>
              <w:rPr>
                <w:sz w:val="24"/>
              </w:rPr>
            </w:pPr>
            <w:r>
              <w:rPr>
                <w:rFonts w:hint="eastAsia"/>
                <w:sz w:val="24"/>
              </w:rPr>
              <w:t>GB 6675.3-2014</w:t>
            </w: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36</w:t>
            </w:r>
          </w:p>
        </w:tc>
        <w:tc>
          <w:tcPr>
            <w:tcW w:w="1913" w:type="dxa"/>
            <w:shd w:val="clear" w:color="auto" w:fill="auto"/>
            <w:vAlign w:val="center"/>
          </w:tcPr>
          <w:p>
            <w:pPr>
              <w:jc w:val="center"/>
              <w:rPr>
                <w:sz w:val="24"/>
              </w:rPr>
            </w:pPr>
            <w:r>
              <w:rPr>
                <w:rFonts w:hint="eastAsia"/>
                <w:sz w:val="24"/>
              </w:rPr>
              <w:t>易燃性能：化妆服饰</w:t>
            </w:r>
          </w:p>
        </w:tc>
        <w:tc>
          <w:tcPr>
            <w:tcW w:w="1909" w:type="dxa"/>
            <w:shd w:val="clear" w:color="auto" w:fill="auto"/>
            <w:vAlign w:val="center"/>
          </w:tcPr>
          <w:p>
            <w:pPr>
              <w:jc w:val="center"/>
              <w:rPr>
                <w:sz w:val="24"/>
              </w:rPr>
            </w:pPr>
            <w:r>
              <w:rPr>
                <w:rFonts w:hint="eastAsia"/>
                <w:sz w:val="24"/>
              </w:rPr>
              <w:t>GB 6675.3-2014</w:t>
            </w: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37</w:t>
            </w:r>
          </w:p>
        </w:tc>
        <w:tc>
          <w:tcPr>
            <w:tcW w:w="1913" w:type="dxa"/>
            <w:shd w:val="clear" w:color="auto" w:fill="auto"/>
            <w:vAlign w:val="center"/>
          </w:tcPr>
          <w:p>
            <w:pPr>
              <w:jc w:val="center"/>
              <w:rPr>
                <w:sz w:val="24"/>
              </w:rPr>
            </w:pPr>
            <w:r>
              <w:rPr>
                <w:rFonts w:hint="eastAsia"/>
                <w:sz w:val="24"/>
              </w:rPr>
              <w:t>易燃性能：供儿童进入的玩具</w:t>
            </w:r>
          </w:p>
        </w:tc>
        <w:tc>
          <w:tcPr>
            <w:tcW w:w="1909" w:type="dxa"/>
            <w:shd w:val="clear" w:color="auto" w:fill="auto"/>
            <w:vAlign w:val="center"/>
          </w:tcPr>
          <w:p>
            <w:pPr>
              <w:jc w:val="center"/>
              <w:rPr>
                <w:sz w:val="24"/>
              </w:rPr>
            </w:pPr>
            <w:r>
              <w:rPr>
                <w:rFonts w:hint="eastAsia"/>
                <w:sz w:val="24"/>
              </w:rPr>
              <w:t>GB 6675.3-2014</w:t>
            </w: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38</w:t>
            </w:r>
          </w:p>
        </w:tc>
        <w:tc>
          <w:tcPr>
            <w:tcW w:w="1913" w:type="dxa"/>
            <w:shd w:val="clear" w:color="auto" w:fill="auto"/>
            <w:vAlign w:val="center"/>
          </w:tcPr>
          <w:p>
            <w:pPr>
              <w:jc w:val="center"/>
              <w:rPr>
                <w:sz w:val="24"/>
              </w:rPr>
            </w:pPr>
            <w:r>
              <w:rPr>
                <w:rFonts w:hint="eastAsia"/>
                <w:sz w:val="24"/>
              </w:rPr>
              <w:t>易燃性能：具有毛绒或纺织表面的软体填充玩具（动物和娃娃等）</w:t>
            </w:r>
          </w:p>
        </w:tc>
        <w:tc>
          <w:tcPr>
            <w:tcW w:w="1909" w:type="dxa"/>
            <w:shd w:val="clear" w:color="auto" w:fill="auto"/>
            <w:vAlign w:val="center"/>
          </w:tcPr>
          <w:p>
            <w:pPr>
              <w:jc w:val="center"/>
              <w:rPr>
                <w:sz w:val="24"/>
              </w:rPr>
            </w:pPr>
            <w:r>
              <w:rPr>
                <w:rFonts w:hint="eastAsia"/>
                <w:sz w:val="24"/>
              </w:rPr>
              <w:t>GB 6675.3-2014</w:t>
            </w: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39</w:t>
            </w:r>
          </w:p>
        </w:tc>
        <w:tc>
          <w:tcPr>
            <w:tcW w:w="1913" w:type="dxa"/>
            <w:shd w:val="clear" w:color="auto" w:fill="auto"/>
            <w:vAlign w:val="center"/>
          </w:tcPr>
          <w:p>
            <w:pPr>
              <w:jc w:val="center"/>
              <w:rPr>
                <w:sz w:val="24"/>
              </w:rPr>
            </w:pPr>
            <w:r>
              <w:rPr>
                <w:rFonts w:hint="eastAsia"/>
                <w:sz w:val="24"/>
              </w:rPr>
              <w:t>可迁移元素最大限量</w:t>
            </w:r>
          </w:p>
        </w:tc>
        <w:tc>
          <w:tcPr>
            <w:tcW w:w="1909" w:type="dxa"/>
            <w:shd w:val="clear" w:color="auto" w:fill="auto"/>
            <w:vAlign w:val="center"/>
          </w:tcPr>
          <w:p>
            <w:pPr>
              <w:jc w:val="center"/>
              <w:rPr>
                <w:sz w:val="24"/>
              </w:rPr>
            </w:pPr>
            <w:r>
              <w:rPr>
                <w:rFonts w:hint="eastAsia"/>
                <w:sz w:val="24"/>
              </w:rPr>
              <w:t>GB 6675.4-2014</w:t>
            </w: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40</w:t>
            </w:r>
          </w:p>
        </w:tc>
        <w:tc>
          <w:tcPr>
            <w:tcW w:w="1913" w:type="dxa"/>
            <w:shd w:val="clear" w:color="auto" w:fill="auto"/>
            <w:vAlign w:val="center"/>
          </w:tcPr>
          <w:p>
            <w:pPr>
              <w:jc w:val="center"/>
              <w:rPr>
                <w:sz w:val="24"/>
              </w:rPr>
            </w:pPr>
            <w:r>
              <w:rPr>
                <w:rFonts w:hint="eastAsia"/>
                <w:sz w:val="24"/>
              </w:rPr>
              <w:t>邻苯二甲酸酯含量</w:t>
            </w:r>
          </w:p>
        </w:tc>
        <w:tc>
          <w:tcPr>
            <w:tcW w:w="1909" w:type="dxa"/>
            <w:shd w:val="clear" w:color="auto" w:fill="auto"/>
            <w:vAlign w:val="center"/>
          </w:tcPr>
          <w:p>
            <w:pPr>
              <w:jc w:val="center"/>
              <w:rPr>
                <w:rFonts w:hint="eastAsia" w:eastAsia="仿宋_GB2312"/>
                <w:sz w:val="24"/>
                <w:lang w:eastAsia="zh-CN"/>
              </w:rPr>
            </w:pPr>
            <w:r>
              <w:rPr>
                <w:sz w:val="24"/>
              </w:rPr>
              <w:t xml:space="preserve">GB/T </w:t>
            </w:r>
            <w:r>
              <w:rPr>
                <w:rFonts w:hint="eastAsia"/>
                <w:sz w:val="24"/>
                <w:lang w:eastAsia="zh-CN"/>
              </w:rPr>
              <w:t>22048-2022</w:t>
            </w: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41</w:t>
            </w:r>
          </w:p>
        </w:tc>
        <w:tc>
          <w:tcPr>
            <w:tcW w:w="1913" w:type="dxa"/>
            <w:shd w:val="clear" w:color="auto" w:fill="auto"/>
            <w:vAlign w:val="center"/>
          </w:tcPr>
          <w:p>
            <w:pPr>
              <w:jc w:val="center"/>
              <w:rPr>
                <w:sz w:val="24"/>
              </w:rPr>
            </w:pPr>
            <w:r>
              <w:rPr>
                <w:rFonts w:hint="eastAsia"/>
                <w:sz w:val="24"/>
              </w:rPr>
              <w:t>输入功率</w:t>
            </w:r>
          </w:p>
        </w:tc>
        <w:tc>
          <w:tcPr>
            <w:tcW w:w="1909" w:type="dxa"/>
            <w:shd w:val="clear" w:color="auto" w:fill="auto"/>
            <w:vAlign w:val="center"/>
          </w:tcPr>
          <w:p>
            <w:pPr>
              <w:jc w:val="center"/>
              <w:rPr>
                <w:sz w:val="24"/>
              </w:rPr>
            </w:pPr>
            <w:r>
              <w:rPr>
                <w:rFonts w:hint="eastAsia"/>
                <w:sz w:val="24"/>
              </w:rPr>
              <w:t>GB 19865-2005</w:t>
            </w: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p>
        </w:tc>
        <w:tc>
          <w:tcPr>
            <w:tcW w:w="709" w:type="dxa"/>
            <w:shd w:val="clear" w:color="auto" w:fill="auto"/>
            <w:vAlign w:val="center"/>
          </w:tcPr>
          <w:p>
            <w:pPr>
              <w:jc w:val="center"/>
              <w:rPr>
                <w:sz w:val="24"/>
              </w:rPr>
            </w:pPr>
            <w:r>
              <w:rPr>
                <w:sz w:val="24"/>
              </w:rPr>
              <w:t>●</w:t>
            </w: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42</w:t>
            </w:r>
          </w:p>
        </w:tc>
        <w:tc>
          <w:tcPr>
            <w:tcW w:w="1913" w:type="dxa"/>
            <w:shd w:val="clear" w:color="auto" w:fill="auto"/>
            <w:vAlign w:val="center"/>
          </w:tcPr>
          <w:p>
            <w:pPr>
              <w:jc w:val="center"/>
              <w:rPr>
                <w:sz w:val="24"/>
              </w:rPr>
            </w:pPr>
            <w:r>
              <w:rPr>
                <w:rFonts w:hint="eastAsia"/>
                <w:sz w:val="24"/>
              </w:rPr>
              <w:t>发热和非正常工作</w:t>
            </w:r>
          </w:p>
        </w:tc>
        <w:tc>
          <w:tcPr>
            <w:tcW w:w="1909" w:type="dxa"/>
            <w:vMerge w:val="restart"/>
            <w:shd w:val="clear" w:color="auto" w:fill="auto"/>
            <w:vAlign w:val="center"/>
          </w:tcPr>
          <w:p>
            <w:pPr>
              <w:jc w:val="center"/>
              <w:rPr>
                <w:sz w:val="24"/>
              </w:rPr>
            </w:pPr>
            <w:r>
              <w:rPr>
                <w:rFonts w:hint="eastAsia"/>
                <w:sz w:val="24"/>
              </w:rPr>
              <w:t>GB 19865-2005</w:t>
            </w: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43</w:t>
            </w:r>
          </w:p>
        </w:tc>
        <w:tc>
          <w:tcPr>
            <w:tcW w:w="1913" w:type="dxa"/>
            <w:shd w:val="clear" w:color="auto" w:fill="auto"/>
            <w:vAlign w:val="center"/>
          </w:tcPr>
          <w:p>
            <w:pPr>
              <w:jc w:val="center"/>
              <w:rPr>
                <w:sz w:val="24"/>
              </w:rPr>
            </w:pPr>
            <w:r>
              <w:rPr>
                <w:rFonts w:hint="eastAsia"/>
                <w:sz w:val="24"/>
              </w:rPr>
              <w:t>耐潮湿</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44</w:t>
            </w:r>
          </w:p>
        </w:tc>
        <w:tc>
          <w:tcPr>
            <w:tcW w:w="1913" w:type="dxa"/>
            <w:shd w:val="clear" w:color="auto" w:fill="auto"/>
            <w:vAlign w:val="center"/>
          </w:tcPr>
          <w:p>
            <w:pPr>
              <w:jc w:val="center"/>
              <w:rPr>
                <w:sz w:val="24"/>
              </w:rPr>
            </w:pPr>
            <w:r>
              <w:rPr>
                <w:rFonts w:hint="eastAsia"/>
                <w:sz w:val="24"/>
              </w:rPr>
              <w:t>室温下的电气强度</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p>
        </w:tc>
        <w:tc>
          <w:tcPr>
            <w:tcW w:w="709" w:type="dxa"/>
            <w:shd w:val="clear" w:color="auto" w:fill="auto"/>
            <w:vAlign w:val="center"/>
          </w:tcPr>
          <w:p>
            <w:pPr>
              <w:jc w:val="center"/>
              <w:rPr>
                <w:sz w:val="24"/>
              </w:rPr>
            </w:pPr>
            <w:r>
              <w:rPr>
                <w:sz w:val="24"/>
              </w:rPr>
              <w:t>●</w:t>
            </w: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45</w:t>
            </w:r>
          </w:p>
        </w:tc>
        <w:tc>
          <w:tcPr>
            <w:tcW w:w="1913" w:type="dxa"/>
            <w:shd w:val="clear" w:color="auto" w:fill="auto"/>
            <w:vAlign w:val="center"/>
          </w:tcPr>
          <w:p>
            <w:pPr>
              <w:jc w:val="center"/>
              <w:rPr>
                <w:sz w:val="24"/>
              </w:rPr>
            </w:pPr>
            <w:r>
              <w:rPr>
                <w:rFonts w:hint="eastAsia"/>
                <w:sz w:val="24"/>
              </w:rPr>
              <w:t>机械强度</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46</w:t>
            </w:r>
          </w:p>
        </w:tc>
        <w:tc>
          <w:tcPr>
            <w:tcW w:w="1913" w:type="dxa"/>
            <w:shd w:val="clear" w:color="auto" w:fill="auto"/>
            <w:vAlign w:val="center"/>
          </w:tcPr>
          <w:p>
            <w:pPr>
              <w:jc w:val="center"/>
              <w:rPr>
                <w:sz w:val="24"/>
              </w:rPr>
            </w:pPr>
            <w:r>
              <w:rPr>
                <w:rFonts w:hint="eastAsia"/>
                <w:sz w:val="24"/>
              </w:rPr>
              <w:t>结构</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47</w:t>
            </w:r>
          </w:p>
        </w:tc>
        <w:tc>
          <w:tcPr>
            <w:tcW w:w="1913" w:type="dxa"/>
            <w:shd w:val="clear" w:color="auto" w:fill="auto"/>
            <w:vAlign w:val="center"/>
          </w:tcPr>
          <w:p>
            <w:pPr>
              <w:jc w:val="center"/>
              <w:rPr>
                <w:sz w:val="24"/>
              </w:rPr>
            </w:pPr>
            <w:r>
              <w:rPr>
                <w:rFonts w:hint="eastAsia"/>
                <w:sz w:val="24"/>
              </w:rPr>
              <w:t>软线和电线的保护</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p>
        </w:tc>
        <w:tc>
          <w:tcPr>
            <w:tcW w:w="709" w:type="dxa"/>
            <w:shd w:val="clear" w:color="auto" w:fill="auto"/>
            <w:vAlign w:val="center"/>
          </w:tcPr>
          <w:p>
            <w:pPr>
              <w:jc w:val="center"/>
              <w:rPr>
                <w:sz w:val="24"/>
              </w:rPr>
            </w:pPr>
            <w:r>
              <w:rPr>
                <w:sz w:val="24"/>
              </w:rPr>
              <w:t>●</w:t>
            </w: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48</w:t>
            </w:r>
          </w:p>
        </w:tc>
        <w:tc>
          <w:tcPr>
            <w:tcW w:w="1913" w:type="dxa"/>
            <w:shd w:val="clear" w:color="auto" w:fill="auto"/>
            <w:vAlign w:val="center"/>
          </w:tcPr>
          <w:p>
            <w:pPr>
              <w:jc w:val="center"/>
              <w:rPr>
                <w:sz w:val="24"/>
              </w:rPr>
            </w:pPr>
            <w:r>
              <w:rPr>
                <w:rFonts w:hint="eastAsia"/>
                <w:sz w:val="24"/>
              </w:rPr>
              <w:t>元件</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p>
        </w:tc>
        <w:tc>
          <w:tcPr>
            <w:tcW w:w="709" w:type="dxa"/>
            <w:shd w:val="clear" w:color="auto" w:fill="auto"/>
            <w:vAlign w:val="center"/>
          </w:tcPr>
          <w:p>
            <w:pPr>
              <w:jc w:val="center"/>
              <w:rPr>
                <w:sz w:val="24"/>
              </w:rPr>
            </w:pPr>
            <w:r>
              <w:rPr>
                <w:sz w:val="24"/>
              </w:rPr>
              <w:t>●</w:t>
            </w: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49</w:t>
            </w:r>
          </w:p>
        </w:tc>
        <w:tc>
          <w:tcPr>
            <w:tcW w:w="1913" w:type="dxa"/>
            <w:shd w:val="clear" w:color="auto" w:fill="auto"/>
            <w:vAlign w:val="center"/>
          </w:tcPr>
          <w:p>
            <w:pPr>
              <w:jc w:val="center"/>
              <w:rPr>
                <w:sz w:val="24"/>
              </w:rPr>
            </w:pPr>
            <w:r>
              <w:rPr>
                <w:rFonts w:hint="eastAsia"/>
                <w:sz w:val="24"/>
              </w:rPr>
              <w:t>螺钉和连接</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50</w:t>
            </w:r>
          </w:p>
        </w:tc>
        <w:tc>
          <w:tcPr>
            <w:tcW w:w="1913" w:type="dxa"/>
            <w:shd w:val="clear" w:color="auto" w:fill="auto"/>
            <w:vAlign w:val="center"/>
          </w:tcPr>
          <w:p>
            <w:pPr>
              <w:jc w:val="center"/>
              <w:rPr>
                <w:sz w:val="24"/>
              </w:rPr>
            </w:pPr>
            <w:r>
              <w:rPr>
                <w:rFonts w:hint="eastAsia"/>
                <w:sz w:val="24"/>
              </w:rPr>
              <w:t>爬电距离和电气间隙</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p>
        </w:tc>
        <w:tc>
          <w:tcPr>
            <w:tcW w:w="709" w:type="dxa"/>
            <w:shd w:val="clear" w:color="auto" w:fill="auto"/>
            <w:vAlign w:val="center"/>
          </w:tcPr>
          <w:p>
            <w:pPr>
              <w:jc w:val="center"/>
              <w:rPr>
                <w:sz w:val="24"/>
              </w:rPr>
            </w:pPr>
            <w:r>
              <w:rPr>
                <w:sz w:val="24"/>
              </w:rPr>
              <w:t>●</w:t>
            </w:r>
          </w:p>
        </w:tc>
        <w:tc>
          <w:tcPr>
            <w:tcW w:w="851" w:type="dxa"/>
            <w:shd w:val="clear" w:color="auto" w:fill="auto"/>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rFonts w:hint="eastAsia"/>
                <w:sz w:val="24"/>
              </w:rPr>
              <w:t>51</w:t>
            </w:r>
          </w:p>
        </w:tc>
        <w:tc>
          <w:tcPr>
            <w:tcW w:w="1913" w:type="dxa"/>
            <w:shd w:val="clear" w:color="auto" w:fill="auto"/>
            <w:vAlign w:val="center"/>
          </w:tcPr>
          <w:p>
            <w:pPr>
              <w:jc w:val="center"/>
              <w:rPr>
                <w:sz w:val="24"/>
              </w:rPr>
            </w:pPr>
            <w:r>
              <w:rPr>
                <w:rFonts w:hint="eastAsia"/>
                <w:sz w:val="24"/>
              </w:rPr>
              <w:t>耐热和耐燃</w:t>
            </w:r>
          </w:p>
        </w:tc>
        <w:tc>
          <w:tcPr>
            <w:tcW w:w="1909" w:type="dxa"/>
            <w:vMerge w:val="continue"/>
            <w:shd w:val="clear" w:color="auto" w:fill="auto"/>
            <w:vAlign w:val="center"/>
          </w:tcPr>
          <w:p>
            <w:pPr>
              <w:jc w:val="center"/>
              <w:rPr>
                <w:sz w:val="24"/>
              </w:rPr>
            </w:pPr>
          </w:p>
        </w:tc>
        <w:tc>
          <w:tcPr>
            <w:tcW w:w="746"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0" w:type="dxa"/>
            <w:shd w:val="clear" w:color="auto" w:fill="auto"/>
            <w:vAlign w:val="center"/>
          </w:tcPr>
          <w:p>
            <w:pPr>
              <w:spacing w:before="2"/>
              <w:jc w:val="center"/>
              <w:rPr>
                <w:sz w:val="24"/>
              </w:rPr>
            </w:pPr>
            <w:r>
              <w:rPr>
                <w:sz w:val="24"/>
              </w:rPr>
              <w:t>●</w:t>
            </w:r>
          </w:p>
        </w:tc>
        <w:tc>
          <w:tcPr>
            <w:tcW w:w="709" w:type="dxa"/>
            <w:shd w:val="clear" w:color="auto" w:fill="auto"/>
            <w:vAlign w:val="center"/>
          </w:tcPr>
          <w:p>
            <w:pPr>
              <w:jc w:val="center"/>
              <w:rPr>
                <w:sz w:val="24"/>
              </w:rPr>
            </w:pPr>
          </w:p>
        </w:tc>
        <w:tc>
          <w:tcPr>
            <w:tcW w:w="851" w:type="dxa"/>
            <w:shd w:val="clear" w:color="auto" w:fill="auto"/>
            <w:vAlign w:val="center"/>
          </w:tcPr>
          <w:p>
            <w:pPr>
              <w:jc w:val="center"/>
              <w:rPr>
                <w:sz w:val="24"/>
              </w:rPr>
            </w:pPr>
          </w:p>
        </w:tc>
      </w:tr>
    </w:tbl>
    <w:p>
      <w:pPr>
        <w:adjustRightInd w:val="0"/>
        <w:snapToGrid w:val="0"/>
        <w:ind w:firstLine="600" w:firstLineChars="200"/>
        <w:jc w:val="left"/>
        <w:rPr>
          <w:rFonts w:eastAsia="仿宋"/>
          <w:color w:val="000000"/>
          <w:sz w:val="30"/>
          <w:szCs w:val="30"/>
        </w:rPr>
      </w:pPr>
      <w:r>
        <w:rPr>
          <w:rFonts w:hint="eastAsia" w:eastAsia="仿宋"/>
          <w:color w:val="000000"/>
          <w:sz w:val="30"/>
          <w:szCs w:val="30"/>
        </w:rPr>
        <w:t>注：</w:t>
      </w:r>
      <w:r>
        <w:rPr>
          <w:rFonts w:eastAsia="仿宋"/>
          <w:color w:val="000000"/>
          <w:sz w:val="30"/>
          <w:szCs w:val="30"/>
        </w:rPr>
        <w:t>执行企业标准、团体标准、地方标准的产品，检验项目参照上述内容执行。</w:t>
      </w:r>
    </w:p>
    <w:p>
      <w:pPr>
        <w:adjustRightInd w:val="0"/>
        <w:snapToGrid w:val="0"/>
        <w:ind w:firstLine="600" w:firstLineChars="200"/>
        <w:jc w:val="left"/>
        <w:rPr>
          <w:rFonts w:eastAsia="仿宋"/>
          <w:color w:val="000000"/>
          <w:sz w:val="30"/>
          <w:szCs w:val="30"/>
        </w:rPr>
      </w:pPr>
      <w:r>
        <w:rPr>
          <w:rFonts w:eastAsia="仿宋"/>
          <w:color w:val="000000"/>
          <w:sz w:val="30"/>
          <w:szCs w:val="30"/>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rPr>
          <w:rFonts w:hint="eastAsia"/>
        </w:rPr>
        <w:t>GB 6675.1-2014 《玩具安全第1部分：基本规范》</w:t>
      </w:r>
    </w:p>
    <w:p>
      <w:pPr>
        <w:ind w:left="640" w:leftChars="200" w:firstLine="0" w:firstLineChars="0"/>
      </w:pPr>
      <w:r>
        <w:t xml:space="preserve">GB 6675.2-2014 </w:t>
      </w:r>
      <w:r>
        <w:rPr>
          <w:rFonts w:hint="eastAsia"/>
        </w:rPr>
        <w:t>《玩具安全第</w:t>
      </w:r>
      <w:r>
        <w:t>2部分：机械与物理性能》</w:t>
      </w:r>
      <w:r>
        <w:rPr>
          <w:rFonts w:hint="eastAsia"/>
          <w:lang w:val="en-US" w:eastAsia="zh-CN"/>
        </w:rPr>
        <w:t xml:space="preserve"> </w:t>
      </w:r>
      <w:r>
        <w:rPr>
          <w:color w:val="000000"/>
          <w:kern w:val="0"/>
          <w:szCs w:val="21"/>
        </w:rPr>
        <w:t>（含第1号修改单）</w:t>
      </w:r>
    </w:p>
    <w:p>
      <w:pPr>
        <w:ind w:firstLine="640" w:firstLineChars="200"/>
      </w:pPr>
      <w:r>
        <w:t xml:space="preserve">GB 6675.3-2014 </w:t>
      </w:r>
      <w:r>
        <w:rPr>
          <w:rFonts w:hint="eastAsia"/>
        </w:rPr>
        <w:t>《玩具安全第</w:t>
      </w:r>
      <w:r>
        <w:t>3部分：易燃性能》</w:t>
      </w:r>
    </w:p>
    <w:p>
      <w:pPr>
        <w:ind w:firstLine="640" w:firstLineChars="200"/>
      </w:pPr>
      <w:r>
        <w:t xml:space="preserve">GB 6675.4-2014 </w:t>
      </w:r>
      <w:r>
        <w:rPr>
          <w:rFonts w:hint="eastAsia"/>
        </w:rPr>
        <w:t>《玩具安全第</w:t>
      </w:r>
      <w:r>
        <w:t>4部分：特定元素的迁移》</w:t>
      </w:r>
    </w:p>
    <w:p>
      <w:pPr>
        <w:adjustRightInd w:val="0"/>
        <w:snapToGrid w:val="0"/>
        <w:spacing w:line="590" w:lineRule="exact"/>
        <w:ind w:firstLine="640" w:firstLineChars="200"/>
        <w:rPr>
          <w:rFonts w:ascii="仿宋_GB2312" w:hAnsi="Calibri" w:cs="楷体_GB2312"/>
          <w:szCs w:val="32"/>
        </w:rPr>
      </w:pPr>
      <w:r>
        <w:rPr>
          <w:rFonts w:hint="eastAsia"/>
        </w:rPr>
        <w:t>GB 19865-2005</w:t>
      </w:r>
      <w:r>
        <w:rPr>
          <w:rFonts w:hint="eastAsia" w:ascii="仿宋_GB2312" w:hAnsi="Calibri" w:cs="楷体_GB2312"/>
          <w:szCs w:val="32"/>
        </w:rPr>
        <w:t>《电玩具的安全》</w:t>
      </w:r>
      <w:r>
        <w:rPr>
          <w:color w:val="000000"/>
          <w:kern w:val="0"/>
          <w:szCs w:val="21"/>
        </w:rPr>
        <w:t>（含第1号修改单）</w:t>
      </w:r>
    </w:p>
    <w:p>
      <w:pPr>
        <w:adjustRightInd w:val="0"/>
        <w:snapToGrid w:val="0"/>
        <w:spacing w:line="590" w:lineRule="exact"/>
        <w:ind w:firstLine="640" w:firstLineChars="200"/>
        <w:rPr>
          <w:rFonts w:ascii="仿宋_GB2312" w:hAnsi="Calibri" w:cs="楷体_GB2312"/>
          <w:szCs w:val="32"/>
        </w:rPr>
      </w:pPr>
      <w:r>
        <w:t xml:space="preserve">GB/T </w:t>
      </w:r>
      <w:r>
        <w:rPr>
          <w:rFonts w:hint="eastAsia"/>
          <w:lang w:eastAsia="zh-CN"/>
        </w:rPr>
        <w:t>22048-2022</w:t>
      </w:r>
      <w:r>
        <w:rPr>
          <w:rFonts w:hint="eastAsia"/>
        </w:rPr>
        <w:t>《</w:t>
      </w:r>
      <w:r>
        <w:rPr>
          <w:rFonts w:ascii="仿宋_GB2312" w:hAnsi="Calibri" w:cs="楷体_GB2312"/>
          <w:szCs w:val="32"/>
        </w:rPr>
        <w:t>玩具及儿童用品中特定邻苯二甲酸酯增塑剂的测定</w:t>
      </w:r>
      <w:r>
        <w:rPr>
          <w:rFonts w:hint="eastAsia" w:ascii="仿宋_GB2312" w:hAnsi="Calibri" w:cs="楷体_GB2312"/>
          <w:szCs w:val="32"/>
        </w:rPr>
        <w:t>》</w:t>
      </w:r>
    </w:p>
    <w:p>
      <w:pPr>
        <w:adjustRightInd w:val="0"/>
        <w:snapToGrid w:val="0"/>
        <w:spacing w:line="590" w:lineRule="exact"/>
        <w:ind w:firstLine="640" w:firstLineChars="200"/>
        <w:rPr>
          <w:rFonts w:ascii="仿宋_GB2312" w:hAnsi="Calibri" w:cs="楷体_GB2312"/>
          <w:szCs w:val="32"/>
        </w:rPr>
      </w:pPr>
      <w:r>
        <w:rPr>
          <w:rFonts w:ascii="仿宋_GB2312" w:hAnsi="Calibri" w:cs="楷体_GB2312"/>
          <w:szCs w:val="32"/>
        </w:rP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1、重要质量指标不合格判定所检样本不合格程度类型为：严重不合格，较重要质量指标不合格判定为所检样本不合格类型为：不合格。</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2、监督总体不合格类型与所检样本不合格类型一一对应，即若所检样本出现严重不合格，判定为监督总体严重不合格；若所检样本未出现严重不合格，则判定为监督总体不合格。</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3、若样本所检质量指标均合格，判定为样本所检质量指标未发现不合格。</w:t>
      </w:r>
    </w:p>
    <w:p>
      <w:pPr>
        <w:pStyle w:val="8"/>
        <w:tabs>
          <w:tab w:val="clear" w:pos="4201"/>
          <w:tab w:val="clear" w:pos="9298"/>
        </w:tabs>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rPr>
        <w:t>。</w:t>
      </w:r>
    </w:p>
    <w:p>
      <w:pPr>
        <w:pStyle w:val="8"/>
        <w:tabs>
          <w:tab w:val="clear" w:pos="4201"/>
          <w:tab w:val="clear" w:pos="9298"/>
        </w:tabs>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F76AF"/>
    <w:rsid w:val="00001959"/>
    <w:rsid w:val="000020E7"/>
    <w:rsid w:val="00010000"/>
    <w:rsid w:val="00022EBF"/>
    <w:rsid w:val="00034D8C"/>
    <w:rsid w:val="000A14BC"/>
    <w:rsid w:val="000A40B0"/>
    <w:rsid w:val="000A6F8B"/>
    <w:rsid w:val="000B0C04"/>
    <w:rsid w:val="000B166A"/>
    <w:rsid w:val="00107083"/>
    <w:rsid w:val="00107945"/>
    <w:rsid w:val="00174A08"/>
    <w:rsid w:val="00184D11"/>
    <w:rsid w:val="0018725D"/>
    <w:rsid w:val="001934F4"/>
    <w:rsid w:val="001C5E1C"/>
    <w:rsid w:val="001F3175"/>
    <w:rsid w:val="00263BA4"/>
    <w:rsid w:val="002A6E2E"/>
    <w:rsid w:val="002D2371"/>
    <w:rsid w:val="002E3DA3"/>
    <w:rsid w:val="002F76AF"/>
    <w:rsid w:val="00302335"/>
    <w:rsid w:val="00316370"/>
    <w:rsid w:val="003536E0"/>
    <w:rsid w:val="00395782"/>
    <w:rsid w:val="003C4466"/>
    <w:rsid w:val="003E20CF"/>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50FB1"/>
    <w:rsid w:val="00560847"/>
    <w:rsid w:val="00561C57"/>
    <w:rsid w:val="0058550D"/>
    <w:rsid w:val="005A2490"/>
    <w:rsid w:val="005B0519"/>
    <w:rsid w:val="005C543E"/>
    <w:rsid w:val="005E6358"/>
    <w:rsid w:val="005E7A94"/>
    <w:rsid w:val="0061530D"/>
    <w:rsid w:val="00664AD9"/>
    <w:rsid w:val="006E15C6"/>
    <w:rsid w:val="006F34BE"/>
    <w:rsid w:val="006F4510"/>
    <w:rsid w:val="0070156D"/>
    <w:rsid w:val="00707869"/>
    <w:rsid w:val="007177D7"/>
    <w:rsid w:val="00740A11"/>
    <w:rsid w:val="007510EB"/>
    <w:rsid w:val="007A726E"/>
    <w:rsid w:val="007C6BAC"/>
    <w:rsid w:val="00804B8A"/>
    <w:rsid w:val="00807DBD"/>
    <w:rsid w:val="008166EB"/>
    <w:rsid w:val="008711D2"/>
    <w:rsid w:val="0087733B"/>
    <w:rsid w:val="00893C7F"/>
    <w:rsid w:val="008A1593"/>
    <w:rsid w:val="008D1188"/>
    <w:rsid w:val="008D7BF7"/>
    <w:rsid w:val="008E15AF"/>
    <w:rsid w:val="00916066"/>
    <w:rsid w:val="00943F2F"/>
    <w:rsid w:val="00945BC0"/>
    <w:rsid w:val="0097139C"/>
    <w:rsid w:val="0098725B"/>
    <w:rsid w:val="00A075E8"/>
    <w:rsid w:val="00A44E58"/>
    <w:rsid w:val="00A614F8"/>
    <w:rsid w:val="00B1647C"/>
    <w:rsid w:val="00C203FA"/>
    <w:rsid w:val="00C443CF"/>
    <w:rsid w:val="00C519BF"/>
    <w:rsid w:val="00C52754"/>
    <w:rsid w:val="00C965AC"/>
    <w:rsid w:val="00CB2001"/>
    <w:rsid w:val="00CB7B50"/>
    <w:rsid w:val="00CF22BF"/>
    <w:rsid w:val="00D24256"/>
    <w:rsid w:val="00D36DB4"/>
    <w:rsid w:val="00D42EBB"/>
    <w:rsid w:val="00D62B22"/>
    <w:rsid w:val="00D752E2"/>
    <w:rsid w:val="00E20723"/>
    <w:rsid w:val="00E452A7"/>
    <w:rsid w:val="00E63C49"/>
    <w:rsid w:val="00E65C90"/>
    <w:rsid w:val="00E72601"/>
    <w:rsid w:val="00EA65C1"/>
    <w:rsid w:val="00EB746D"/>
    <w:rsid w:val="00F031F1"/>
    <w:rsid w:val="00F36515"/>
    <w:rsid w:val="00FB0477"/>
    <w:rsid w:val="00FC70BF"/>
    <w:rsid w:val="00FD654C"/>
    <w:rsid w:val="1438074F"/>
    <w:rsid w:val="15631434"/>
    <w:rsid w:val="17751B8E"/>
    <w:rsid w:val="1F157B5F"/>
    <w:rsid w:val="2CD1480B"/>
    <w:rsid w:val="38700B55"/>
    <w:rsid w:val="3F1B0BAF"/>
    <w:rsid w:val="4EB50C3A"/>
    <w:rsid w:val="4FAE379B"/>
    <w:rsid w:val="50A7688F"/>
    <w:rsid w:val="52260B3F"/>
    <w:rsid w:val="54D07982"/>
    <w:rsid w:val="6525617E"/>
    <w:rsid w:val="669F1C94"/>
    <w:rsid w:val="6FDB4A8B"/>
    <w:rsid w:val="719A2C70"/>
    <w:rsid w:val="74E470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Char"/>
    <w:basedOn w:val="7"/>
    <w:link w:val="5"/>
    <w:qFormat/>
    <w:uiPriority w:val="99"/>
    <w:rPr>
      <w:rFonts w:ascii="Times New Roman" w:hAnsi="Times New Roman" w:eastAsia="仿宋_GB2312" w:cs="Times New Roman"/>
      <w:kern w:val="2"/>
      <w:sz w:val="18"/>
      <w:szCs w:val="18"/>
    </w:rPr>
  </w:style>
  <w:style w:type="character" w:customStyle="1" w:styleId="10">
    <w:name w:val="纯文本 Char"/>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5</Pages>
  <Words>298</Words>
  <Characters>1703</Characters>
  <Lines>14</Lines>
  <Paragraphs>3</Paragraphs>
  <TotalTime>0</TotalTime>
  <ScaleCrop>false</ScaleCrop>
  <LinksUpToDate>false</LinksUpToDate>
  <CharactersWithSpaces>1998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2024-06-27T03:04:10Z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2557874D3FC346119D8B2F0F683B7294</vt:lpwstr>
  </property>
</Properties>
</file>