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lang w:eastAsia="zh-CN"/>
        </w:rPr>
        <w:t>中山市</w:t>
      </w:r>
      <w:r>
        <w:rPr>
          <w:rFonts w:hint="eastAsia" w:ascii="方正小标宋简体" w:hAnsi="方正小标宋简体" w:eastAsia="方正小标宋简体" w:cs="方正小标宋简体"/>
          <w:color w:val="000000"/>
          <w:sz w:val="44"/>
          <w:szCs w:val="44"/>
        </w:rPr>
        <w:t>灭火器箱产品质量</w:t>
      </w:r>
    </w:p>
    <w:p>
      <w:pPr>
        <w:keepNext w:val="0"/>
        <w:keepLines w:val="0"/>
        <w:pageBreakBefore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color w:val="000000"/>
          <w:sz w:val="44"/>
          <w:szCs w:val="44"/>
        </w:rPr>
      </w:pPr>
      <w:bookmarkStart w:id="0" w:name="_GoBack"/>
      <w:bookmarkEnd w:id="0"/>
      <w:r>
        <w:rPr>
          <w:rFonts w:hint="eastAsia" w:ascii="方正小标宋简体" w:hAnsi="方正小标宋简体" w:eastAsia="方正小标宋简体" w:cs="方正小标宋简体"/>
          <w:color w:val="000000"/>
          <w:sz w:val="44"/>
          <w:szCs w:val="44"/>
        </w:rPr>
        <w:t>监督抽查实施细则</w:t>
      </w:r>
    </w:p>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楷体_GB2312" w:cs="Times New Roman"/>
          <w:color w:val="000000"/>
          <w:sz w:val="32"/>
          <w:szCs w:val="32"/>
        </w:rPr>
      </w:pPr>
    </w:p>
    <w:p>
      <w:pPr>
        <w:keepNext w:val="0"/>
        <w:keepLines w:val="0"/>
        <w:pageBreakBefore w:val="0"/>
        <w:kinsoku/>
        <w:wordWrap/>
        <w:overflowPunct/>
        <w:topLinePunct w:val="0"/>
        <w:bidi w:val="0"/>
        <w:adjustRightInd/>
        <w:snapToGrid/>
        <w:spacing w:line="560" w:lineRule="exact"/>
        <w:ind w:firstLine="547" w:firstLineChars="171"/>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1 抽样方法</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每批次产品抽取样品2只，其中1只为检验样品，1只为备用样品。</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2 检验依据</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4"/>
        <w:gridCol w:w="5599"/>
        <w:gridCol w:w="2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tblHeader/>
          <w:jc w:val="center"/>
        </w:trPr>
        <w:tc>
          <w:tcPr>
            <w:tcW w:w="10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snapToGrid/>
              <w:spacing w:line="560" w:lineRule="exact"/>
              <w:ind w:left="-80" w:leftChars="-25" w:right="-106" w:rightChars="-33"/>
              <w:jc w:val="center"/>
              <w:textAlignment w:val="auto"/>
              <w:rPr>
                <w:rFonts w:hint="default" w:ascii="Times New Roman" w:hAnsi="Times New Roman" w:eastAsia="仿宋_GB2312" w:cs="Times New Roman"/>
                <w:b w:val="0"/>
                <w:bCs/>
                <w:kern w:val="0"/>
                <w:sz w:val="32"/>
                <w:szCs w:val="32"/>
              </w:rPr>
            </w:pPr>
            <w:r>
              <w:rPr>
                <w:rFonts w:hint="default" w:ascii="Times New Roman" w:hAnsi="Times New Roman" w:eastAsia="仿宋_GB2312" w:cs="Times New Roman"/>
                <w:b w:val="0"/>
                <w:bCs/>
                <w:kern w:val="0"/>
                <w:sz w:val="32"/>
                <w:szCs w:val="32"/>
              </w:rPr>
              <w:t>序号</w:t>
            </w:r>
          </w:p>
        </w:tc>
        <w:tc>
          <w:tcPr>
            <w:tcW w:w="55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snapToGrid/>
              <w:spacing w:line="560" w:lineRule="exact"/>
              <w:ind w:left="-109" w:leftChars="-34" w:right="-106" w:rightChars="-33"/>
              <w:jc w:val="center"/>
              <w:textAlignment w:val="auto"/>
              <w:rPr>
                <w:rFonts w:hint="default" w:ascii="Times New Roman" w:hAnsi="Times New Roman" w:eastAsia="仿宋_GB2312" w:cs="Times New Roman"/>
                <w:b w:val="0"/>
                <w:bCs/>
                <w:kern w:val="0"/>
                <w:sz w:val="32"/>
                <w:szCs w:val="32"/>
              </w:rPr>
            </w:pPr>
            <w:r>
              <w:rPr>
                <w:rFonts w:hint="default" w:ascii="Times New Roman" w:hAnsi="Times New Roman" w:eastAsia="仿宋_GB2312" w:cs="Times New Roman"/>
                <w:b w:val="0"/>
                <w:bCs/>
                <w:kern w:val="0"/>
                <w:sz w:val="32"/>
                <w:szCs w:val="32"/>
              </w:rPr>
              <w:t>检验项目</w:t>
            </w:r>
          </w:p>
        </w:tc>
        <w:tc>
          <w:tcPr>
            <w:tcW w:w="25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snapToGrid/>
              <w:spacing w:line="560" w:lineRule="exact"/>
              <w:ind w:left="-106" w:leftChars="-33"/>
              <w:jc w:val="center"/>
              <w:textAlignment w:val="auto"/>
              <w:rPr>
                <w:rFonts w:hint="default" w:ascii="Times New Roman" w:hAnsi="Times New Roman" w:eastAsia="仿宋_GB2312" w:cs="Times New Roman"/>
                <w:b w:val="0"/>
                <w:bCs/>
                <w:kern w:val="0"/>
                <w:sz w:val="32"/>
                <w:szCs w:val="32"/>
              </w:rPr>
            </w:pPr>
            <w:r>
              <w:rPr>
                <w:rFonts w:hint="default" w:ascii="Times New Roman" w:hAnsi="Times New Roman" w:eastAsia="仿宋_GB2312" w:cs="Times New Roman"/>
                <w:b w:val="0"/>
                <w:bCs/>
                <w:kern w:val="0"/>
                <w:sz w:val="32"/>
                <w:szCs w:val="32"/>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5" w:hRule="atLeast"/>
          <w:jc w:val="center"/>
        </w:trPr>
        <w:tc>
          <w:tcPr>
            <w:tcW w:w="1054"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p>
        </w:tc>
        <w:tc>
          <w:tcPr>
            <w:tcW w:w="5599"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材料</w:t>
            </w:r>
          </w:p>
        </w:tc>
        <w:tc>
          <w:tcPr>
            <w:tcW w:w="2517"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XF 139-2009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jc w:val="center"/>
        </w:trPr>
        <w:tc>
          <w:tcPr>
            <w:tcW w:w="1054"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p>
        </w:tc>
        <w:tc>
          <w:tcPr>
            <w:tcW w:w="5599"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外形尺寸和极限偏差</w:t>
            </w:r>
          </w:p>
        </w:tc>
        <w:tc>
          <w:tcPr>
            <w:tcW w:w="2517"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XF 139-2009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5" w:hRule="atLeast"/>
          <w:jc w:val="center"/>
        </w:trPr>
        <w:tc>
          <w:tcPr>
            <w:tcW w:w="1054"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p>
        </w:tc>
        <w:tc>
          <w:tcPr>
            <w:tcW w:w="5599"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箱门（箱盖）性能</w:t>
            </w:r>
          </w:p>
        </w:tc>
        <w:tc>
          <w:tcPr>
            <w:tcW w:w="2517"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XF 139-2009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5" w:hRule="atLeast"/>
          <w:jc w:val="center"/>
        </w:trPr>
        <w:tc>
          <w:tcPr>
            <w:tcW w:w="1054"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p>
        </w:tc>
        <w:tc>
          <w:tcPr>
            <w:tcW w:w="5599"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箱体结构</w:t>
            </w:r>
          </w:p>
        </w:tc>
        <w:tc>
          <w:tcPr>
            <w:tcW w:w="2517"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XF 139-2009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5" w:hRule="atLeast"/>
          <w:jc w:val="center"/>
        </w:trPr>
        <w:tc>
          <w:tcPr>
            <w:tcW w:w="1054"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p>
        </w:tc>
        <w:tc>
          <w:tcPr>
            <w:tcW w:w="5599"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刚度性能</w:t>
            </w:r>
          </w:p>
        </w:tc>
        <w:tc>
          <w:tcPr>
            <w:tcW w:w="2517"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XF 139-2009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5" w:hRule="atLeast"/>
          <w:jc w:val="center"/>
        </w:trPr>
        <w:tc>
          <w:tcPr>
            <w:tcW w:w="1054"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p>
        </w:tc>
        <w:tc>
          <w:tcPr>
            <w:tcW w:w="5599"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承重性能</w:t>
            </w:r>
          </w:p>
        </w:tc>
        <w:tc>
          <w:tcPr>
            <w:tcW w:w="2517" w:type="dxa"/>
            <w:noWrap w:val="0"/>
            <w:vAlign w:val="center"/>
          </w:tcPr>
          <w:p>
            <w:pPr>
              <w:keepNext w:val="0"/>
              <w:keepLines w:val="0"/>
              <w:pageBreakBefore w:val="0"/>
              <w:kinsoku/>
              <w:wordWrap/>
              <w:overflowPunct/>
              <w:topLinePunct w:val="0"/>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XF 139-2009</w:t>
            </w:r>
          </w:p>
        </w:tc>
      </w:tr>
    </w:tbl>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执行企业标准、团体标准、地方标准的产品，检验项目参照上述内容执行。</w:t>
      </w:r>
    </w:p>
    <w:p>
      <w:pPr>
        <w:keepNext w:val="0"/>
        <w:keepLines w:val="0"/>
        <w:pageBreakBefore w:val="0"/>
        <w:kinsoku/>
        <w:wordWrap/>
        <w:overflowPunct/>
        <w:topLinePunct w:val="0"/>
        <w:bidi w:val="0"/>
        <w:adjustRightInd/>
        <w:snapToGrid/>
        <w:spacing w:line="560" w:lineRule="exact"/>
        <w:ind w:firstLine="547" w:firstLineChars="171"/>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凡是注日期的引用文件，其随后所有的修改单（不包括勘误的内容）或修订版均不适用于本标准。凡是不注日期的文件，其最新版本适用于本标准。</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3 判定规则</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3.1依据标准</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XF 139-2009《</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"https://gf.1190119.com/list-166.htm"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color w:val="000000"/>
          <w:sz w:val="32"/>
          <w:szCs w:val="32"/>
        </w:rPr>
        <w:t xml:space="preserve">灭火器箱》 </w:t>
      </w:r>
      <w:r>
        <w:rPr>
          <w:rFonts w:hint="default" w:ascii="Times New Roman" w:hAnsi="Times New Roman" w:eastAsia="仿宋_GB2312" w:cs="Times New Roman"/>
          <w:color w:val="000000"/>
          <w:sz w:val="32"/>
          <w:szCs w:val="32"/>
        </w:rPr>
        <w:fldChar w:fldCharType="end"/>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现行有效的企业标准、团体标准、地方标准及产品明示质量要求。</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3.2判定原则</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经检验，检验项目全部合格，判定为被抽查产品所检项目未发现不合格；检验项目中任一项或一项以上不合格，判定为被抽查产品不合格。</w:t>
      </w:r>
    </w:p>
    <w:p>
      <w:pPr>
        <w:keepNext w:val="0"/>
        <w:keepLines w:val="0"/>
        <w:pageBreakBefore w:val="0"/>
        <w:kinsoku/>
        <w:wordWrap/>
        <w:overflowPunct/>
        <w:topLinePunct w:val="0"/>
        <w:bidi w:val="0"/>
        <w:adjustRightInd/>
        <w:snapToGrid/>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若被检产品明示的质量要求高于本细则中检验项目依据的标准要求时，应按被检产品明示的质量要求判定。</w:t>
      </w:r>
    </w:p>
    <w:p>
      <w:pPr>
        <w:keepNext w:val="0"/>
        <w:keepLines w:val="0"/>
        <w:pageBreakBefore w:val="0"/>
        <w:kinsoku/>
        <w:wordWrap/>
        <w:overflowPunct/>
        <w:topLinePunct w:val="0"/>
        <w:bidi w:val="0"/>
        <w:adjustRightInd/>
        <w:snapToGrid/>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若被检产品明示的质量要求低于本细则中检验项目依据的强制性标准要求时，应按照强制性标准要求判定。</w:t>
      </w:r>
    </w:p>
    <w:p>
      <w:pPr>
        <w:keepNext w:val="0"/>
        <w:keepLines w:val="0"/>
        <w:pageBreakBefore w:val="0"/>
        <w:kinsoku/>
        <w:wordWrap/>
        <w:overflowPunct/>
        <w:topLinePunct w:val="0"/>
        <w:bidi w:val="0"/>
        <w:adjustRightInd/>
        <w:snapToGrid/>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若被检产品明示的质量要求低于或包含本细则中检验项目依据的推荐性标准要求时，应以被检产品明示的质量要求判定。</w:t>
      </w:r>
    </w:p>
    <w:p>
      <w:pPr>
        <w:keepNext w:val="0"/>
        <w:keepLines w:val="0"/>
        <w:pageBreakBefore w:val="0"/>
        <w:kinsoku/>
        <w:wordWrap/>
        <w:overflowPunct/>
        <w:topLinePunct w:val="0"/>
        <w:bidi w:val="0"/>
        <w:adjustRightInd/>
        <w:snapToGrid/>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若被检产品明示的质量要求缺少本细则中检验项目依据的强制性标准要求时，应按照强制性标准要求判定。</w:t>
      </w:r>
    </w:p>
    <w:p>
      <w:pPr>
        <w:keepNext w:val="0"/>
        <w:keepLines w:val="0"/>
        <w:pageBreakBefore w:val="0"/>
        <w:kinsoku/>
        <w:wordWrap/>
        <w:overflowPunct/>
        <w:topLinePunct w:val="0"/>
        <w:bidi w:val="0"/>
        <w:adjustRightInd/>
        <w:snapToGrid/>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0305EE"/>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305EE"/>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2024-07-09T03:41:00Z</dcterms:created>
  <dc:creator>Administrator</dc:creator>
  <cp:lastModifiedBy>Administrator</cp:lastModifiedBy>
  <dcterms:modified xsi:type="dcterms:W3CDTF">2024-07-09T03:41:23Z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50CDF1084C1840619B2090FCC71A18AC</vt:lpwstr>
  </property>
</Properties>
</file>