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94" w:lineRule="exact"/>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val="en-US" w:eastAsia="zh-CN"/>
        </w:rPr>
        <w:t>中山市电动自行车电池</w:t>
      </w:r>
      <w:r>
        <w:rPr>
          <w:rFonts w:hint="eastAsia" w:ascii="方正小标宋简体" w:hAnsi="方正小标宋简体" w:eastAsia="方正小标宋简体" w:cs="方正小标宋简体"/>
          <w:color w:val="auto"/>
          <w:sz w:val="44"/>
          <w:szCs w:val="44"/>
          <w:highlight w:val="none"/>
        </w:rPr>
        <w:t>产品质量</w:t>
      </w:r>
    </w:p>
    <w:p>
      <w:pPr>
        <w:keepNext w:val="0"/>
        <w:keepLines w:val="0"/>
        <w:pageBreakBefore w:val="0"/>
        <w:widowControl w:val="0"/>
        <w:kinsoku/>
        <w:wordWrap/>
        <w:overflowPunct/>
        <w:topLinePunct w:val="0"/>
        <w:autoSpaceDE/>
        <w:autoSpaceDN/>
        <w:bidi w:val="0"/>
        <w:adjustRightInd/>
        <w:snapToGrid w:val="0"/>
        <w:spacing w:line="594" w:lineRule="exact"/>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监督抽查实施细则</w:t>
      </w:r>
    </w:p>
    <w:p>
      <w:pPr>
        <w:spacing w:line="440" w:lineRule="exact"/>
        <w:jc w:val="center"/>
        <w:rPr>
          <w:rFonts w:hint="default" w:ascii="Times New Roman" w:hAnsi="Times New Roman" w:eastAsia="楷体_GB2312" w:cs="Times New Roman"/>
          <w:color w:val="auto"/>
          <w:sz w:val="32"/>
          <w:szCs w:val="32"/>
          <w:highlight w:val="none"/>
        </w:rPr>
      </w:pPr>
    </w:p>
    <w:p>
      <w:pPr>
        <w:snapToGrid w:val="0"/>
        <w:spacing w:line="440" w:lineRule="exact"/>
        <w:ind w:firstLine="420" w:firstLineChars="200"/>
        <w:rPr>
          <w:rFonts w:hint="eastAsia" w:ascii="Times New Roman" w:hAnsi="Times New Roman" w:eastAsia="宋体" w:cs="Times New Roman"/>
          <w:color w:val="auto"/>
          <w:sz w:val="21"/>
          <w:szCs w:val="21"/>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1 抽样方法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每</w:t>
      </w:r>
      <w:r>
        <w:rPr>
          <w:rFonts w:hint="eastAsia" w:ascii="Times New Roman" w:hAnsi="Times New Roman" w:cs="Times New Roman"/>
          <w:color w:val="auto"/>
          <w:sz w:val="32"/>
          <w:szCs w:val="32"/>
          <w:highlight w:val="none"/>
          <w:lang w:val="en-US" w:eastAsia="zh-CN"/>
        </w:rPr>
        <w:t>批次</w:t>
      </w:r>
      <w:r>
        <w:rPr>
          <w:rFonts w:hint="default" w:ascii="Times New Roman" w:hAnsi="Times New Roman" w:eastAsia="仿宋_GB2312" w:cs="Times New Roman"/>
          <w:color w:val="auto"/>
          <w:sz w:val="32"/>
          <w:szCs w:val="32"/>
          <w:highlight w:val="none"/>
        </w:rPr>
        <w:t>产品抽取2组样本，第1组用于检验，第2组用于备样。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每组样本需抽取样品数量如下表所示：</w:t>
      </w:r>
    </w:p>
    <w:tbl>
      <w:tblPr>
        <w:tblStyle w:val="2"/>
        <w:tblW w:w="917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246"/>
        <w:gridCol w:w="2053"/>
        <w:gridCol w:w="1930"/>
        <w:gridCol w:w="194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3246" w:type="dxa"/>
            <w:noWrap w:val="0"/>
            <w:vAlign w:val="center"/>
          </w:tcPr>
          <w:p>
            <w:pPr>
              <w:adjustRightInd w:val="0"/>
              <w:snapToGrid w:val="0"/>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2053" w:type="dxa"/>
            <w:noWrap w:val="0"/>
            <w:vAlign w:val="center"/>
          </w:tcPr>
          <w:p>
            <w:pPr>
              <w:adjustRightInd w:val="0"/>
              <w:snapToGrid w:val="0"/>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产品明示执行标准</w:t>
            </w:r>
          </w:p>
        </w:tc>
        <w:tc>
          <w:tcPr>
            <w:tcW w:w="1930" w:type="dxa"/>
            <w:noWrap w:val="0"/>
            <w:vAlign w:val="center"/>
          </w:tcPr>
          <w:p>
            <w:pPr>
              <w:adjustRightInd w:val="0"/>
              <w:snapToGrid w:val="0"/>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第1组数量</w:t>
            </w:r>
          </w:p>
        </w:tc>
        <w:tc>
          <w:tcPr>
            <w:tcW w:w="1941" w:type="dxa"/>
            <w:noWrap w:val="0"/>
            <w:vAlign w:val="center"/>
          </w:tcPr>
          <w:p>
            <w:pPr>
              <w:adjustRightInd w:val="0"/>
              <w:snapToGrid w:val="0"/>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第2组数量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3246" w:type="dxa"/>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电动助力车用阀控式铅酸蓄电池</w:t>
            </w:r>
          </w:p>
        </w:tc>
        <w:tc>
          <w:tcPr>
            <w:tcW w:w="2053" w:type="dxa"/>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22199.1-2017</w:t>
            </w:r>
          </w:p>
        </w:tc>
        <w:tc>
          <w:tcPr>
            <w:tcW w:w="1930" w:type="dxa"/>
            <w:noWrap w:val="0"/>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941" w:type="dxa"/>
            <w:noWrap w:val="0"/>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3246" w:type="dxa"/>
            <w:vMerge w:val="restar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电动自行车用锂离子蓄电池</w:t>
            </w:r>
          </w:p>
        </w:tc>
        <w:tc>
          <w:tcPr>
            <w:tcW w:w="2053" w:type="dxa"/>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36972-2018</w:t>
            </w:r>
          </w:p>
        </w:tc>
        <w:tc>
          <w:tcPr>
            <w:tcW w:w="1930" w:type="dxa"/>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2</w:t>
            </w:r>
          </w:p>
        </w:tc>
        <w:tc>
          <w:tcPr>
            <w:tcW w:w="1941" w:type="dxa"/>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3246" w:type="dxa"/>
            <w:vMerge w:val="continue"/>
            <w:noWrap w:val="0"/>
            <w:vAlign w:val="center"/>
          </w:tcPr>
          <w:p>
            <w:pPr>
              <w:adjustRightInd w:val="0"/>
              <w:snapToGrid w:val="0"/>
              <w:jc w:val="center"/>
              <w:rPr>
                <w:rFonts w:hint="eastAsia" w:ascii="宋体" w:hAnsi="宋体" w:eastAsia="宋体" w:cs="宋体"/>
                <w:sz w:val="21"/>
                <w:szCs w:val="21"/>
              </w:rPr>
            </w:pPr>
          </w:p>
        </w:tc>
        <w:tc>
          <w:tcPr>
            <w:tcW w:w="2053" w:type="dxa"/>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QB/T 2947.3-2008</w:t>
            </w:r>
          </w:p>
        </w:tc>
        <w:tc>
          <w:tcPr>
            <w:tcW w:w="1930" w:type="dxa"/>
            <w:noWrap w:val="0"/>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941" w:type="dxa"/>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2</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注：电动自行车用锂离子蓄电池抽样时，如有样品适配的专用充电器，应购买1~2只。</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2 检验依据</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电动助力车用阀控式铅酸蓄电池检验项目及检验项目属</w:t>
      </w:r>
      <w:r>
        <w:rPr>
          <w:rFonts w:hint="eastAsia" w:ascii="仿宋_GB2312" w:hAnsi="仿宋_GB2312" w:eastAsia="仿宋_GB2312" w:cs="仿宋_GB2312"/>
          <w:color w:val="auto"/>
          <w:sz w:val="32"/>
          <w:szCs w:val="32"/>
          <w:highlight w:val="none"/>
        </w:rPr>
        <w:t>性划分如下：</w:t>
      </w:r>
    </w:p>
    <w:tbl>
      <w:tblPr>
        <w:tblStyle w:val="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3035"/>
        <w:gridCol w:w="4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序号</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2hr容量</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22199.1-2017第5.5条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2</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大电流放电</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22199.1-2017第5.6条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3</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能量密度</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22199.1-2017第5.8条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4</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低温容量</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22199.1-2017第5.9条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5</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快速充电能力</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22199.1-2017第5.10条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6</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防爆能力</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22199.1-2017</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第5.16条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000" w:type="pct"/>
            <w:gridSpan w:val="3"/>
            <w:noWrap w:val="0"/>
            <w:vAlign w:val="center"/>
          </w:tcPr>
          <w:p>
            <w:pPr>
              <w:adjustRightInd w:val="0"/>
              <w:snapToGrid w:val="0"/>
              <w:jc w:val="left"/>
              <w:rPr>
                <w:rFonts w:hint="eastAsia" w:ascii="宋体" w:hAnsi="宋体" w:eastAsia="宋体" w:cs="宋体"/>
                <w:sz w:val="21"/>
                <w:szCs w:val="21"/>
              </w:rPr>
            </w:pPr>
            <w:r>
              <w:rPr>
                <w:rFonts w:hint="eastAsia" w:ascii="宋体" w:hAnsi="宋体" w:eastAsia="宋体" w:cs="宋体"/>
                <w:sz w:val="21"/>
                <w:szCs w:val="21"/>
              </w:rPr>
              <w:t>试验样品和项目：</w:t>
            </w:r>
          </w:p>
          <w:p>
            <w:pPr>
              <w:adjustRightInd w:val="0"/>
              <w:snapToGrid w:val="0"/>
              <w:jc w:val="left"/>
              <w:rPr>
                <w:rFonts w:hint="eastAsia" w:ascii="宋体" w:hAnsi="宋体" w:eastAsia="宋体" w:cs="宋体"/>
                <w:sz w:val="21"/>
                <w:szCs w:val="21"/>
              </w:rPr>
            </w:pPr>
            <w:r>
              <w:rPr>
                <w:rFonts w:hint="eastAsia" w:ascii="宋体" w:hAnsi="宋体" w:eastAsia="宋体" w:cs="宋体"/>
                <w:sz w:val="21"/>
                <w:szCs w:val="21"/>
              </w:rPr>
              <w:t>1号样品：2hr容量→低温容量→快速充电能力；</w:t>
            </w:r>
          </w:p>
          <w:p>
            <w:pPr>
              <w:adjustRightInd w:val="0"/>
              <w:snapToGrid w:val="0"/>
              <w:jc w:val="left"/>
              <w:rPr>
                <w:rFonts w:hint="eastAsia" w:ascii="宋体" w:hAnsi="宋体" w:eastAsia="宋体" w:cs="宋体"/>
                <w:sz w:val="21"/>
                <w:szCs w:val="21"/>
                <w:lang w:eastAsia="zh-CN"/>
              </w:rPr>
            </w:pPr>
            <w:r>
              <w:rPr>
                <w:rFonts w:hint="eastAsia" w:ascii="宋体" w:hAnsi="宋体" w:eastAsia="宋体" w:cs="宋体"/>
                <w:sz w:val="21"/>
                <w:szCs w:val="21"/>
              </w:rPr>
              <w:t>2号样品：2hr容量→低温容量→大电流放电</w:t>
            </w:r>
            <w:r>
              <w:rPr>
                <w:rFonts w:hint="eastAsia" w:ascii="宋体" w:hAnsi="宋体" w:eastAsia="宋体" w:cs="宋体"/>
                <w:sz w:val="21"/>
                <w:szCs w:val="21"/>
                <w:lang w:eastAsia="zh-CN"/>
              </w:rPr>
              <w:t>；</w:t>
            </w:r>
          </w:p>
          <w:p>
            <w:pPr>
              <w:adjustRightInd w:val="0"/>
              <w:snapToGrid w:val="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号样品：2hr容量→低温容量→能量密度</w:t>
            </w:r>
            <w:r>
              <w:rPr>
                <w:rFonts w:hint="eastAsia" w:ascii="宋体" w:hAnsi="宋体" w:eastAsia="宋体" w:cs="宋体"/>
                <w:sz w:val="21"/>
                <w:szCs w:val="21"/>
                <w:lang w:eastAsia="zh-CN"/>
              </w:rPr>
              <w:t>；</w:t>
            </w:r>
          </w:p>
          <w:p>
            <w:pPr>
              <w:adjustRightInd w:val="0"/>
              <w:snapToGrid w:val="0"/>
              <w:jc w:val="both"/>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号样品：2hr容量→低温容量→防爆能力。</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2.2对于产品明示执行标准为GB/T 36972-2018的电动自行车用锂离子蓄电池产品，检验项目及检验项目属性划分如下：</w:t>
      </w:r>
    </w:p>
    <w:tbl>
      <w:tblPr>
        <w:tblStyle w:val="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3035"/>
        <w:gridCol w:w="4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tblHeader/>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序号</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I2(A)放电</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36972-2018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第6.2.1条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2</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低温放电</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36972-2018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第6.2.3条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3</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过充电</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36972-2018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第6.3.2条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4</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过充电保护</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36972-2018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第6.4.2条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5</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过放电保护</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36972-2018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第6.4.3条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6</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短路保护</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36972-2018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第6.4.4条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7</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放电过流保护</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36972-2018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第6.4.5条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5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8</w:t>
            </w:r>
          </w:p>
        </w:tc>
        <w:tc>
          <w:tcPr>
            <w:tcW w:w="178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壳体阻燃性</w:t>
            </w:r>
          </w:p>
        </w:tc>
        <w:tc>
          <w:tcPr>
            <w:tcW w:w="2362"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36972-2018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第6.5.3条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5000" w:type="pct"/>
            <w:gridSpan w:val="3"/>
            <w:noWrap w:val="0"/>
            <w:vAlign w:val="center"/>
          </w:tcPr>
          <w:p>
            <w:pPr>
              <w:adjustRightInd w:val="0"/>
              <w:snapToGrid w:val="0"/>
              <w:jc w:val="left"/>
              <w:rPr>
                <w:rFonts w:hint="eastAsia" w:ascii="宋体" w:hAnsi="宋体" w:eastAsia="宋体" w:cs="宋体"/>
                <w:sz w:val="21"/>
                <w:szCs w:val="21"/>
              </w:rPr>
            </w:pPr>
            <w:r>
              <w:rPr>
                <w:rFonts w:hint="eastAsia" w:ascii="宋体" w:hAnsi="宋体" w:eastAsia="宋体" w:cs="宋体"/>
                <w:sz w:val="21"/>
                <w:szCs w:val="21"/>
              </w:rPr>
              <w:t>试验样品和项目：</w:t>
            </w:r>
          </w:p>
          <w:p>
            <w:pPr>
              <w:adjustRightInd w:val="0"/>
              <w:snapToGrid w:val="0"/>
              <w:jc w:val="left"/>
              <w:rPr>
                <w:rFonts w:hint="eastAsia" w:ascii="宋体" w:hAnsi="宋体" w:eastAsia="宋体" w:cs="宋体"/>
                <w:sz w:val="21"/>
                <w:szCs w:val="21"/>
                <w:lang w:val="en-US" w:eastAsia="zh-CN"/>
              </w:rPr>
            </w:pPr>
            <w:r>
              <w:rPr>
                <w:rFonts w:hint="eastAsia" w:ascii="宋体" w:hAnsi="宋体" w:eastAsia="宋体" w:cs="宋体"/>
                <w:sz w:val="21"/>
                <w:szCs w:val="21"/>
              </w:rPr>
              <w:t>1号样品：I2(A)放电→低温放电→</w:t>
            </w:r>
            <w:r>
              <w:rPr>
                <w:rFonts w:hint="eastAsia" w:ascii="宋体" w:hAnsi="宋体" w:eastAsia="宋体" w:cs="宋体"/>
                <w:sz w:val="21"/>
                <w:szCs w:val="21"/>
                <w:lang w:val="en-US" w:eastAsia="zh-CN"/>
              </w:rPr>
              <w:t>过充电</w:t>
            </w:r>
            <w:r>
              <w:rPr>
                <w:rFonts w:hint="eastAsia" w:ascii="宋体" w:hAnsi="宋体" w:eastAsia="宋体" w:cs="宋体"/>
                <w:sz w:val="21"/>
                <w:szCs w:val="21"/>
              </w:rPr>
              <w:t>→</w:t>
            </w:r>
            <w:r>
              <w:rPr>
                <w:rFonts w:hint="eastAsia" w:ascii="宋体" w:hAnsi="宋体" w:eastAsia="宋体" w:cs="宋体"/>
                <w:sz w:val="21"/>
                <w:szCs w:val="21"/>
                <w:lang w:val="en-US" w:eastAsia="zh-CN"/>
              </w:rPr>
              <w:t>壳体阻燃性；</w:t>
            </w:r>
          </w:p>
          <w:p>
            <w:pPr>
              <w:adjustRightInd w:val="0"/>
              <w:snapToGrid w:val="0"/>
              <w:jc w:val="both"/>
              <w:rPr>
                <w:rFonts w:hint="eastAsia" w:ascii="宋体" w:hAnsi="宋体" w:eastAsia="宋体" w:cs="宋体"/>
                <w:sz w:val="21"/>
                <w:szCs w:val="21"/>
              </w:rPr>
            </w:pPr>
            <w:r>
              <w:rPr>
                <w:rFonts w:hint="eastAsia" w:ascii="宋体" w:hAnsi="宋体" w:eastAsia="宋体" w:cs="宋体"/>
                <w:sz w:val="21"/>
                <w:szCs w:val="21"/>
              </w:rPr>
              <w:t>2号样品：I2(A)放电→过充电保护→过放电保护→短路保护→放电过流保护</w:t>
            </w:r>
            <w:r>
              <w:rPr>
                <w:rFonts w:hint="eastAsia" w:ascii="宋体" w:hAnsi="宋体" w:eastAsia="宋体" w:cs="宋体"/>
                <w:sz w:val="21"/>
                <w:szCs w:val="21"/>
                <w:lang w:eastAsia="zh-CN"/>
              </w:rPr>
              <w:t>。</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注：对于具有GB 42295-2022中有低温保护的锂离子蓄电池，低温放电项目不作判定，结论为不适用。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2.3对于产品明示执行标准为QB/T 2947.3-2008的电动自行车用锂离子蓄电池产品，检验项目及检验项目属性划分如下：</w:t>
      </w:r>
    </w:p>
    <w:tbl>
      <w:tblPr>
        <w:tblStyle w:val="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7"/>
        <w:gridCol w:w="2955"/>
        <w:gridCol w:w="4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tblHeader/>
          <w:jc w:val="center"/>
        </w:trPr>
        <w:tc>
          <w:tcPr>
            <w:tcW w:w="81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序号</w:t>
            </w:r>
          </w:p>
        </w:tc>
        <w:tc>
          <w:tcPr>
            <w:tcW w:w="1735"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449"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14"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w:t>
            </w:r>
          </w:p>
        </w:tc>
        <w:tc>
          <w:tcPr>
            <w:tcW w:w="1735"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常温容量</w:t>
            </w:r>
          </w:p>
        </w:tc>
        <w:tc>
          <w:tcPr>
            <w:tcW w:w="2449"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QB/T 2947.3-2008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第6.1.2.3.1条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14" w:type="pct"/>
            <w:noWrap w:val="0"/>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35" w:type="pct"/>
            <w:noWrap w:val="0"/>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rPr>
              <w:t>I2(A)放电</w:t>
            </w:r>
            <w:r>
              <w:rPr>
                <w:rFonts w:hint="eastAsia" w:ascii="宋体" w:hAnsi="宋体" w:eastAsia="宋体" w:cs="宋体"/>
                <w:sz w:val="21"/>
                <w:szCs w:val="21"/>
                <w:lang w:val="en-US" w:eastAsia="zh-CN"/>
              </w:rPr>
              <w:t>容量</w:t>
            </w:r>
          </w:p>
        </w:tc>
        <w:tc>
          <w:tcPr>
            <w:tcW w:w="2449" w:type="pct"/>
            <w:noWrap w:val="0"/>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rPr>
              <w:t>QB/T 2947.3</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2008 </w:t>
            </w:r>
            <w:r>
              <w:rPr>
                <w:rFonts w:hint="eastAsia" w:ascii="宋体" w:hAnsi="宋体" w:eastAsia="宋体" w:cs="宋体"/>
                <w:sz w:val="21"/>
                <w:szCs w:val="21"/>
                <w:lang w:val="en-US" w:eastAsia="zh-CN"/>
              </w:rPr>
              <w:t>第</w:t>
            </w:r>
            <w:r>
              <w:rPr>
                <w:rFonts w:hint="eastAsia" w:ascii="宋体" w:hAnsi="宋体" w:eastAsia="宋体" w:cs="宋体"/>
                <w:sz w:val="21"/>
                <w:szCs w:val="21"/>
              </w:rPr>
              <w:t>6.1.2.3.4</w:t>
            </w:r>
            <w:r>
              <w:rPr>
                <w:rFonts w:hint="eastAsia" w:ascii="宋体" w:hAnsi="宋体" w:eastAsia="宋体" w:cs="宋体"/>
                <w:sz w:val="21"/>
                <w:szCs w:val="21"/>
                <w:lang w:val="en-US" w:eastAsia="zh-CN"/>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14" w:type="pct"/>
            <w:noWrap w:val="0"/>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735"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低温（-10℃）容量</w:t>
            </w:r>
          </w:p>
        </w:tc>
        <w:tc>
          <w:tcPr>
            <w:tcW w:w="2449" w:type="pct"/>
            <w:noWrap w:val="0"/>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rPr>
              <w:t>QB/T 2947.3</w:t>
            </w:r>
            <w:r>
              <w:rPr>
                <w:rFonts w:hint="eastAsia" w:ascii="宋体" w:hAnsi="宋体" w:eastAsia="宋体" w:cs="宋体"/>
                <w:sz w:val="21"/>
                <w:szCs w:val="21"/>
                <w:lang w:val="en-US" w:eastAsia="zh-CN"/>
              </w:rPr>
              <w:t>-</w:t>
            </w:r>
            <w:r>
              <w:rPr>
                <w:rFonts w:hint="eastAsia" w:ascii="宋体" w:hAnsi="宋体" w:eastAsia="宋体" w:cs="宋体"/>
                <w:sz w:val="21"/>
                <w:szCs w:val="21"/>
              </w:rPr>
              <w:t>2008 6.1.2.3.2</w:t>
            </w:r>
            <w:r>
              <w:rPr>
                <w:rFonts w:hint="eastAsia" w:ascii="宋体" w:hAnsi="宋体" w:eastAsia="宋体" w:cs="宋体"/>
                <w:sz w:val="21"/>
                <w:szCs w:val="21"/>
                <w:lang w:val="en-US" w:eastAsia="zh-CN"/>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14" w:type="pct"/>
            <w:noWrap w:val="0"/>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1735"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短路</w:t>
            </w:r>
          </w:p>
        </w:tc>
        <w:tc>
          <w:tcPr>
            <w:tcW w:w="2449"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QB/T 2947.3-2008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第6.1.6.1条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14" w:type="pct"/>
            <w:noWrap w:val="0"/>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1735"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过充电</w:t>
            </w:r>
          </w:p>
        </w:tc>
        <w:tc>
          <w:tcPr>
            <w:tcW w:w="2449"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QB/T 2947.3-2008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第6.1.6.2条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814" w:type="pct"/>
            <w:noWrap w:val="0"/>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1735"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过放电</w:t>
            </w:r>
          </w:p>
        </w:tc>
        <w:tc>
          <w:tcPr>
            <w:tcW w:w="2449" w:type="pct"/>
            <w:noWrap w:val="0"/>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QB/T 2947.3-2008</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第6.1.6.3条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5000" w:type="pct"/>
            <w:gridSpan w:val="3"/>
            <w:noWrap w:val="0"/>
            <w:vAlign w:val="center"/>
          </w:tcPr>
          <w:p>
            <w:pPr>
              <w:adjustRightInd w:val="0"/>
              <w:snapToGrid w:val="0"/>
              <w:jc w:val="left"/>
              <w:rPr>
                <w:rFonts w:hint="eastAsia" w:ascii="宋体" w:hAnsi="宋体" w:eastAsia="宋体" w:cs="宋体"/>
                <w:sz w:val="21"/>
                <w:szCs w:val="21"/>
              </w:rPr>
            </w:pPr>
            <w:r>
              <w:rPr>
                <w:rFonts w:hint="eastAsia" w:ascii="宋体" w:hAnsi="宋体" w:eastAsia="宋体" w:cs="宋体"/>
                <w:sz w:val="21"/>
                <w:szCs w:val="21"/>
              </w:rPr>
              <w:t>试验样品和项目：</w:t>
            </w:r>
          </w:p>
          <w:p>
            <w:pPr>
              <w:adjustRightInd w:val="0"/>
              <w:snapToGrid w:val="0"/>
              <w:jc w:val="left"/>
              <w:rPr>
                <w:rFonts w:hint="eastAsia" w:ascii="宋体" w:hAnsi="宋体" w:eastAsia="宋体" w:cs="宋体"/>
                <w:sz w:val="21"/>
                <w:szCs w:val="21"/>
                <w:lang w:val="en-US" w:eastAsia="zh-CN"/>
              </w:rPr>
            </w:pPr>
            <w:r>
              <w:rPr>
                <w:rFonts w:hint="eastAsia" w:ascii="宋体" w:hAnsi="宋体" w:eastAsia="宋体" w:cs="宋体"/>
                <w:sz w:val="21"/>
                <w:szCs w:val="21"/>
              </w:rPr>
              <w:t>1号样品：低温（-10℃）容量→I2(A)放电</w:t>
            </w:r>
            <w:r>
              <w:rPr>
                <w:rFonts w:hint="eastAsia" w:ascii="宋体" w:hAnsi="宋体" w:eastAsia="宋体" w:cs="宋体"/>
                <w:sz w:val="21"/>
                <w:szCs w:val="21"/>
                <w:lang w:val="en-US" w:eastAsia="zh-CN"/>
              </w:rPr>
              <w:t>容量；</w:t>
            </w:r>
          </w:p>
          <w:p>
            <w:pPr>
              <w:adjustRightInd w:val="0"/>
              <w:snapToGrid w:val="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号样品：低温（-10℃）容量→I2(A)放电</w:t>
            </w:r>
            <w:r>
              <w:rPr>
                <w:rFonts w:hint="eastAsia" w:ascii="宋体" w:hAnsi="宋体" w:eastAsia="宋体" w:cs="宋体"/>
                <w:sz w:val="21"/>
                <w:szCs w:val="21"/>
                <w:lang w:val="en-US" w:eastAsia="zh-CN"/>
              </w:rPr>
              <w:t>容量；</w:t>
            </w:r>
          </w:p>
          <w:p>
            <w:pPr>
              <w:adjustRightInd w:val="0"/>
              <w:snapToGrid w:val="0"/>
              <w:jc w:val="left"/>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号样品：常温容量→</w:t>
            </w:r>
            <w:r>
              <w:rPr>
                <w:rFonts w:hint="eastAsia" w:ascii="宋体" w:hAnsi="宋体" w:eastAsia="宋体" w:cs="宋体"/>
                <w:sz w:val="21"/>
                <w:szCs w:val="21"/>
                <w:lang w:val="en-US" w:eastAsia="zh-CN"/>
              </w:rPr>
              <w:t>短路</w:t>
            </w:r>
            <w:r>
              <w:rPr>
                <w:rFonts w:hint="eastAsia" w:ascii="宋体" w:hAnsi="宋体" w:eastAsia="宋体" w:cs="宋体"/>
                <w:sz w:val="21"/>
                <w:szCs w:val="21"/>
              </w:rPr>
              <w:t>；</w:t>
            </w:r>
          </w:p>
          <w:p>
            <w:pPr>
              <w:adjustRightInd w:val="0"/>
              <w:snapToGrid w:val="0"/>
              <w:jc w:val="both"/>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号样品：常温容量→</w:t>
            </w:r>
            <w:r>
              <w:rPr>
                <w:rFonts w:hint="eastAsia" w:ascii="宋体" w:hAnsi="宋体" w:eastAsia="宋体" w:cs="宋体"/>
                <w:sz w:val="21"/>
                <w:szCs w:val="21"/>
                <w:lang w:val="en-US" w:eastAsia="zh-CN"/>
              </w:rPr>
              <w:t>过充电</w:t>
            </w:r>
            <w:r>
              <w:rPr>
                <w:rFonts w:hint="eastAsia" w:ascii="宋体" w:hAnsi="宋体" w:eastAsia="宋体" w:cs="宋体"/>
                <w:sz w:val="21"/>
                <w:szCs w:val="21"/>
              </w:rPr>
              <w:t>→过放电。</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注：对于具有GB 42295-2022中有低温保护的锂离子蓄电池，低温放电项目不作判定，结论为不适用。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3 判定规则</w:t>
      </w: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3.1依据标准</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22199.1-2017 《电动助力车用阀控式铅酸蓄电池 第1部分：技术条件》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36972-2018《电动自行车用锂离子蓄电池》</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QB/T 2947.3-2008《电动自行车用蓄电池及充电器 第3部分：锂离子蓄电池及充电器》</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3.2判定原则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spacing w:line="500" w:lineRule="exact"/>
        <w:jc w:val="left"/>
        <w:rPr>
          <w:rFonts w:hint="eastAsia" w:ascii="宋体" w:hAnsi="宋体" w:cs="方正小标宋简体"/>
          <w:color w:val="000000"/>
          <w:sz w:val="21"/>
          <w:szCs w:val="21"/>
        </w:rPr>
      </w:pPr>
    </w:p>
    <w:p>
      <w:pPr>
        <w:rPr>
          <w:rFonts w:hint="default" w:ascii="Times New Roman" w:hAnsi="Times New Roman" w:eastAsia="黑体" w:cs="Times New Roman"/>
          <w:bCs/>
          <w:color w:val="auto"/>
          <w:spacing w:val="-6"/>
          <w:sz w:val="32"/>
          <w:szCs w:val="32"/>
        </w:rPr>
      </w:pPr>
      <w:r>
        <w:rPr>
          <w:rFonts w:hint="eastAsia" w:ascii="Times New Roman" w:hAnsi="Times New Roman" w:eastAsia="黑体" w:cs="Times New Roman"/>
          <w:bCs/>
          <w:color w:val="auto"/>
          <w:spacing w:val="-6"/>
          <w:sz w:val="32"/>
          <w:szCs w:val="32"/>
        </w:rPr>
        <w:t>附件</w:t>
      </w:r>
    </w:p>
    <w:p>
      <w:pPr>
        <w:spacing w:line="500" w:lineRule="exact"/>
        <w:jc w:val="center"/>
        <w:rPr>
          <w:rFonts w:ascii="方正小标宋简体" w:hAnsi="方正小标宋简体" w:eastAsia="方正小标宋简体" w:cs="方正小标宋简体"/>
          <w:color w:val="000000"/>
          <w:sz w:val="36"/>
          <w:szCs w:val="36"/>
        </w:rPr>
      </w:pPr>
    </w:p>
    <w:p>
      <w:pPr>
        <w:keepNext w:val="0"/>
        <w:keepLines w:val="0"/>
        <w:pageBreakBefore w:val="0"/>
        <w:widowControl w:val="0"/>
        <w:kinsoku/>
        <w:wordWrap/>
        <w:overflowPunct/>
        <w:topLinePunct w:val="0"/>
        <w:autoSpaceDE/>
        <w:autoSpaceDN/>
        <w:bidi w:val="0"/>
        <w:adjustRightInd/>
        <w:snapToGrid w:val="0"/>
        <w:spacing w:line="594"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2024年中山市电动自行车电池产品监督</w:t>
      </w:r>
    </w:p>
    <w:p>
      <w:pPr>
        <w:keepNext w:val="0"/>
        <w:keepLines w:val="0"/>
        <w:pageBreakBefore w:val="0"/>
        <w:widowControl w:val="0"/>
        <w:kinsoku/>
        <w:wordWrap/>
        <w:overflowPunct/>
        <w:topLinePunct w:val="0"/>
        <w:autoSpaceDE/>
        <w:autoSpaceDN/>
        <w:bidi w:val="0"/>
        <w:adjustRightInd/>
        <w:snapToGrid w:val="0"/>
        <w:spacing w:line="594" w:lineRule="exact"/>
        <w:jc w:val="center"/>
        <w:textAlignment w:val="auto"/>
        <w:rPr>
          <w:rFonts w:hint="eastAsia" w:ascii="Times New Roman" w:hAnsi="Times New Roman" w:eastAsia="方正小标宋简体" w:cs="Times New Roman"/>
          <w:color w:val="auto"/>
          <w:sz w:val="32"/>
          <w:szCs w:val="32"/>
          <w:highlight w:val="none"/>
          <w:lang w:val="en-US" w:eastAsia="zh-CN"/>
        </w:rPr>
      </w:pPr>
      <w:bookmarkStart w:id="0" w:name="_GoBack"/>
      <w:bookmarkEnd w:id="0"/>
      <w:r>
        <w:rPr>
          <w:rFonts w:hint="eastAsia" w:ascii="方正小标宋简体" w:hAnsi="方正小标宋简体" w:eastAsia="方正小标宋简体" w:cs="方正小标宋简体"/>
          <w:color w:val="auto"/>
          <w:sz w:val="44"/>
          <w:szCs w:val="44"/>
          <w:highlight w:val="none"/>
          <w:lang w:val="en-US" w:eastAsia="zh-CN"/>
        </w:rPr>
        <w:t>抽查产品参数信息表</w:t>
      </w:r>
    </w:p>
    <w:p>
      <w:pPr>
        <w:spacing w:line="500" w:lineRule="exact"/>
        <w:jc w:val="center"/>
        <w:rPr>
          <w:rFonts w:ascii="方正仿宋简体" w:hAnsi="方正仿宋简体" w:eastAsia="方正仿宋简体" w:cs="方正仿宋简体"/>
          <w:color w:val="000000"/>
          <w:sz w:val="36"/>
          <w:szCs w:val="36"/>
        </w:rPr>
      </w:pPr>
    </w:p>
    <w:tbl>
      <w:tblPr>
        <w:tblStyle w:val="2"/>
        <w:tblW w:w="0" w:type="auto"/>
        <w:tblInd w:w="-2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1390"/>
        <w:gridCol w:w="878"/>
        <w:gridCol w:w="1701"/>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受检单位名称</w:t>
            </w:r>
          </w:p>
        </w:tc>
        <w:tc>
          <w:tcPr>
            <w:tcW w:w="6703" w:type="dxa"/>
            <w:gridSpan w:val="4"/>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2518" w:type="dxa"/>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抽样单编号</w:t>
            </w:r>
          </w:p>
        </w:tc>
        <w:tc>
          <w:tcPr>
            <w:tcW w:w="226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p>
        </w:tc>
        <w:tc>
          <w:tcPr>
            <w:tcW w:w="1701" w:type="dxa"/>
            <w:noWrap w:val="0"/>
            <w:vAlign w:val="center"/>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产品详细名称</w:t>
            </w:r>
          </w:p>
        </w:tc>
        <w:tc>
          <w:tcPr>
            <w:tcW w:w="2734" w:type="dxa"/>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电动自行车用锂离子蓄电池/电动自行车用铅酸蓄电池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1" w:type="dxa"/>
            <w:gridSpan w:val="5"/>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参数信息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90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标称电压、标称容量</w:t>
            </w:r>
          </w:p>
        </w:tc>
        <w:tc>
          <w:tcPr>
            <w:tcW w:w="5313" w:type="dxa"/>
            <w:gridSpan w:val="3"/>
            <w:noWrap w:val="0"/>
            <w:vAlign w:val="center"/>
          </w:tcPr>
          <w:p>
            <w:pPr>
              <w:pStyle w:val="4"/>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48V，20Ah（示例）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充电限制电压、充电终止电流</w:t>
            </w:r>
          </w:p>
        </w:tc>
        <w:tc>
          <w:tcPr>
            <w:tcW w:w="5313" w:type="dxa"/>
            <w:gridSpan w:val="3"/>
            <w:noWrap w:val="0"/>
            <w:vAlign w:val="center"/>
          </w:tcPr>
          <w:p>
            <w:pPr>
              <w:pStyle w:val="4"/>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55V,0.4A（示例）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center"/>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放电终止电压</w:t>
            </w:r>
          </w:p>
        </w:tc>
        <w:tc>
          <w:tcPr>
            <w:tcW w:w="5313" w:type="dxa"/>
            <w:gridSpan w:val="3"/>
            <w:noWrap w:val="0"/>
            <w:vAlign w:val="center"/>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37.5V（示例）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center"/>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最大放电电流</w:t>
            </w:r>
          </w:p>
        </w:tc>
        <w:tc>
          <w:tcPr>
            <w:tcW w:w="5313" w:type="dxa"/>
            <w:gridSpan w:val="3"/>
            <w:noWrap w:val="0"/>
            <w:vAlign w:val="center"/>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25A（示例）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top"/>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n（电池组内单体电池或单体电池并联块的串联级数）</w:t>
            </w:r>
          </w:p>
        </w:tc>
        <w:tc>
          <w:tcPr>
            <w:tcW w:w="5313" w:type="dxa"/>
            <w:gridSpan w:val="3"/>
            <w:noWrap w:val="0"/>
            <w:vAlign w:val="center"/>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15（示例）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top"/>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产品执行标准</w:t>
            </w:r>
          </w:p>
        </w:tc>
        <w:tc>
          <w:tcPr>
            <w:tcW w:w="5313" w:type="dxa"/>
            <w:gridSpan w:val="3"/>
            <w:noWrap w:val="0"/>
            <w:vAlign w:val="center"/>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36972（示例）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908" w:type="dxa"/>
            <w:gridSpan w:val="2"/>
            <w:noWrap w:val="0"/>
            <w:vAlign w:val="top"/>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产品符合执行标准的判定要求</w:t>
            </w:r>
          </w:p>
        </w:tc>
        <w:tc>
          <w:tcPr>
            <w:tcW w:w="5313" w:type="dxa"/>
            <w:gridSpan w:val="3"/>
            <w:noWrap w:val="0"/>
            <w:vAlign w:val="center"/>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□是           □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7" w:hRule="atLeast"/>
        </w:trPr>
        <w:tc>
          <w:tcPr>
            <w:tcW w:w="9221" w:type="dxa"/>
            <w:gridSpan w:val="5"/>
            <w:noWrap w:val="0"/>
            <w:vAlign w:val="top"/>
          </w:tcPr>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受检单位签字（盖章）：</w:t>
            </w:r>
          </w:p>
          <w:p>
            <w:pPr>
              <w:rPr>
                <w:rFonts w:hint="default" w:ascii="Times New Roman" w:hAnsi="Times New Roman" w:eastAsia="宋体" w:cs="Times New Roman"/>
                <w:color w:val="000000"/>
                <w:sz w:val="21"/>
                <w:szCs w:val="21"/>
              </w:rPr>
            </w:pPr>
          </w:p>
          <w:p>
            <w:pPr>
              <w:rPr>
                <w:rFonts w:hint="default" w:ascii="Times New Roman" w:hAnsi="Times New Roman" w:eastAsia="宋体" w:cs="Times New Roman"/>
                <w:color w:val="000000"/>
                <w:sz w:val="21"/>
                <w:szCs w:val="21"/>
              </w:rPr>
            </w:pPr>
          </w:p>
          <w:p>
            <w:pPr>
              <w:rPr>
                <w:rFonts w:hint="default" w:ascii="Times New Roman" w:hAnsi="Times New Roman" w:eastAsia="宋体" w:cs="Times New Roman"/>
                <w:color w:val="000000"/>
                <w:sz w:val="21"/>
                <w:szCs w:val="21"/>
              </w:rPr>
            </w:pPr>
          </w:p>
          <w:p>
            <w:pPr>
              <w:rPr>
                <w:rFonts w:hint="default" w:ascii="Times New Roman" w:hAnsi="Times New Roman" w:eastAsia="宋体" w:cs="Times New Roman"/>
                <w:color w:val="000000"/>
                <w:sz w:val="21"/>
                <w:szCs w:val="21"/>
              </w:rPr>
            </w:pPr>
          </w:p>
          <w:p>
            <w:pPr>
              <w:rPr>
                <w:rFonts w:hint="default" w:ascii="Times New Roman" w:hAnsi="Times New Roman" w:eastAsia="宋体" w:cs="Times New Roman"/>
                <w:color w:val="000000"/>
                <w:sz w:val="21"/>
                <w:szCs w:val="21"/>
              </w:rPr>
            </w:pPr>
          </w:p>
          <w:p>
            <w:pPr>
              <w:rPr>
                <w:rFonts w:hint="default" w:ascii="Times New Roman" w:hAnsi="Times New Roman" w:eastAsia="宋体" w:cs="Times New Roman"/>
                <w:color w:val="000000"/>
                <w:sz w:val="21"/>
                <w:szCs w:val="21"/>
              </w:rPr>
            </w:pPr>
          </w:p>
          <w:p>
            <w:pP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简体">
    <w:altName w:val="Arial Unicode MS"/>
    <w:panose1 w:val="02010601030101010101"/>
    <w:charset w:val="86"/>
    <w:family w:val="roma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391393"/>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391393"/>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2024-07-09T06:46:00Z</dcterms:created>
  <dc:creator>Administrator</dc:creator>
  <cp:lastModifiedBy>Administrator</cp:lastModifiedBy>
  <dcterms:modified xsi:type="dcterms:W3CDTF">2024-07-09T06:47:16Z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2F963379E3264FDF868CCB6E1189214C</vt:lpwstr>
  </property>
</Properties>
</file>