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中山市</w:t>
      </w:r>
      <w:r>
        <w:rPr>
          <w:rFonts w:hint="eastAsia" w:ascii="方正小标宋简体" w:hAnsi="方正小标宋简体" w:eastAsia="方正小标宋简体" w:cs="方正小标宋简体"/>
          <w:sz w:val="44"/>
          <w:szCs w:val="44"/>
          <w:lang w:val="en-US" w:eastAsia="zh-CN"/>
        </w:rPr>
        <w:t>空气清新剂</w:t>
      </w:r>
      <w:r>
        <w:rPr>
          <w:rFonts w:hint="eastAsia" w:ascii="方正小标宋简体" w:hAnsi="方正小标宋简体" w:eastAsia="方正小标宋简体" w:cs="方正小标宋简体"/>
          <w:sz w:val="44"/>
          <w:szCs w:val="44"/>
        </w:rPr>
        <w:t>产品质量</w:t>
      </w:r>
    </w:p>
    <w:p>
      <w:pPr>
        <w:keepNext w:val="0"/>
        <w:keepLines w:val="0"/>
        <w:pageBreakBefore w:val="0"/>
        <w:widowControl/>
        <w:kinsoku/>
        <w:wordWrap/>
        <w:overflowPunct/>
        <w:topLinePunct w:val="0"/>
        <w:autoSpaceDE/>
        <w:autoSpaceDN/>
        <w:bidi w:val="0"/>
        <w:adjustRightInd w:val="0"/>
        <w:snapToGrid w:val="0"/>
        <w:spacing w:after="0"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监督抽查实施细则</w:t>
      </w:r>
    </w:p>
    <w:p>
      <w:pPr>
        <w:widowControl w:val="0"/>
        <w:adjustRightInd/>
        <w:snapToGrid/>
        <w:spacing w:after="0" w:line="580" w:lineRule="exact"/>
        <w:jc w:val="center"/>
        <w:rPr>
          <w:rFonts w:ascii="Times New Roman" w:hAnsi="Times New Roman" w:eastAsia="方正小标宋简体"/>
          <w:sz w:val="44"/>
          <w:szCs w:val="44"/>
        </w:rPr>
      </w:pPr>
    </w:p>
    <w:p>
      <w:pPr>
        <w:widowControl w:val="0"/>
        <w:adjustRightInd/>
        <w:snapToGrid/>
        <w:spacing w:before="217" w:beforeLines="50" w:after="217" w:afterLines="50" w:line="560" w:lineRule="exact"/>
        <w:ind w:firstLine="640" w:firstLineChars="200"/>
        <w:jc w:val="both"/>
        <w:rPr>
          <w:rFonts w:hint="eastAsia" w:ascii="Calibri" w:hAnsi="Calibri" w:eastAsia="黑体" w:cs="黑体"/>
          <w:color w:val="000000"/>
          <w:kern w:val="2"/>
          <w:sz w:val="32"/>
          <w:szCs w:val="32"/>
        </w:rPr>
      </w:pPr>
      <w:r>
        <w:rPr>
          <w:rFonts w:hint="eastAsia" w:ascii="Calibri" w:hAnsi="Calibri" w:eastAsia="黑体" w:cs="黑体"/>
          <w:color w:val="000000"/>
          <w:kern w:val="2"/>
          <w:sz w:val="32"/>
          <w:szCs w:val="32"/>
          <w:lang w:val="en-US" w:eastAsia="zh-CN"/>
        </w:rPr>
        <w:t>一</w:t>
      </w:r>
      <w:r>
        <w:rPr>
          <w:rFonts w:hint="eastAsia" w:ascii="Calibri" w:hAnsi="Calibri" w:eastAsia="黑体" w:cs="黑体"/>
          <w:color w:val="000000"/>
          <w:kern w:val="2"/>
          <w:sz w:val="32"/>
          <w:szCs w:val="32"/>
        </w:rPr>
        <w:t>、抽样方案</w:t>
      </w:r>
    </w:p>
    <w:p>
      <w:pPr>
        <w:widowControl w:val="0"/>
        <w:adjustRightInd/>
        <w:snapToGrid/>
        <w:spacing w:after="0" w:line="560" w:lineRule="exact"/>
        <w:ind w:firstLine="480" w:firstLineChars="150"/>
        <w:jc w:val="both"/>
        <w:rPr>
          <w:rFonts w:hint="eastAsia" w:ascii="Calibri" w:hAnsi="Calibri" w:eastAsia="仿宋_GB2312"/>
          <w:kern w:val="2"/>
          <w:sz w:val="32"/>
          <w:szCs w:val="32"/>
        </w:rPr>
      </w:pPr>
      <w:r>
        <w:rPr>
          <w:rFonts w:hint="eastAsia" w:ascii="Calibri" w:hAnsi="Calibri" w:eastAsia="仿宋_GB2312"/>
          <w:kern w:val="2"/>
          <w:sz w:val="32"/>
          <w:szCs w:val="32"/>
        </w:rPr>
        <w:t>以随机抽样的方式在被抽查市场主体的待销产品中抽取。</w:t>
      </w:r>
    </w:p>
    <w:p>
      <w:pPr>
        <w:widowControl w:val="0"/>
        <w:adjustRightInd/>
        <w:snapToGrid/>
        <w:spacing w:after="0" w:line="560" w:lineRule="exact"/>
        <w:ind w:firstLine="480" w:firstLineChars="150"/>
        <w:jc w:val="both"/>
        <w:rPr>
          <w:rFonts w:hint="eastAsia" w:ascii="Calibri" w:hAnsi="Calibri" w:eastAsia="仿宋_GB2312"/>
          <w:kern w:val="2"/>
          <w:sz w:val="32"/>
          <w:szCs w:val="32"/>
        </w:rPr>
      </w:pPr>
      <w:r>
        <w:rPr>
          <w:rFonts w:hint="eastAsia" w:ascii="Calibri" w:hAnsi="Calibri" w:eastAsia="仿宋_GB2312"/>
          <w:kern w:val="2"/>
          <w:sz w:val="32"/>
          <w:szCs w:val="32"/>
        </w:rPr>
        <w:t>随机数一般可使用随机数表等方法产生。</w:t>
      </w:r>
    </w:p>
    <w:p>
      <w:pPr>
        <w:widowControl w:val="0"/>
        <w:adjustRightInd/>
        <w:snapToGrid/>
        <w:spacing w:after="0" w:line="560" w:lineRule="exact"/>
        <w:ind w:firstLine="480" w:firstLineChars="150"/>
        <w:jc w:val="both"/>
        <w:rPr>
          <w:rFonts w:hint="eastAsia" w:ascii="Calibri" w:hAnsi="Calibri" w:eastAsia="仿宋_GB2312"/>
          <w:kern w:val="2"/>
          <w:sz w:val="32"/>
          <w:szCs w:val="32"/>
        </w:rPr>
      </w:pPr>
      <w:r>
        <w:rPr>
          <w:rFonts w:hint="eastAsia" w:ascii="Calibri" w:hAnsi="Calibri" w:eastAsia="仿宋_GB2312"/>
          <w:kern w:val="2"/>
          <w:sz w:val="32"/>
          <w:szCs w:val="32"/>
        </w:rPr>
        <w:t>样品数量。每款产品抽取2组样本，第1组用于检验，第2组用于备样。具体抽样数量如下：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888"/>
        <w:gridCol w:w="2190"/>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6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rPr>
            </w:pPr>
            <w:r>
              <w:rPr>
                <w:rFonts w:hint="eastAsia" w:ascii="Times New Roman" w:hAnsi="Times New Roman" w:eastAsia="仿宋_GB2312" w:cs="仿宋_GB2312"/>
                <w:kern w:val="2"/>
                <w:sz w:val="24"/>
                <w:szCs w:val="24"/>
              </w:rPr>
              <w:t>序号</w:t>
            </w:r>
          </w:p>
        </w:tc>
        <w:tc>
          <w:tcPr>
            <w:tcW w:w="2888"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rPr>
            </w:pPr>
            <w:r>
              <w:rPr>
                <w:rFonts w:hint="eastAsia" w:ascii="Times New Roman" w:hAnsi="Times New Roman" w:eastAsia="仿宋_GB2312" w:cs="仿宋_GB2312"/>
                <w:kern w:val="2"/>
                <w:sz w:val="24"/>
                <w:szCs w:val="24"/>
              </w:rPr>
              <w:t>产品名称</w:t>
            </w:r>
          </w:p>
        </w:tc>
        <w:tc>
          <w:tcPr>
            <w:tcW w:w="2190"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rPr>
            </w:pPr>
            <w:r>
              <w:rPr>
                <w:rFonts w:hint="eastAsia" w:ascii="Times New Roman" w:hAnsi="Times New Roman" w:eastAsia="仿宋_GB2312" w:cs="仿宋_GB2312"/>
                <w:kern w:val="2"/>
                <w:sz w:val="24"/>
                <w:szCs w:val="24"/>
              </w:rPr>
              <w:t>第1组数量</w:t>
            </w:r>
          </w:p>
        </w:tc>
        <w:tc>
          <w:tcPr>
            <w:tcW w:w="2235"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rPr>
            </w:pPr>
            <w:r>
              <w:rPr>
                <w:rFonts w:hint="eastAsia" w:ascii="Times New Roman" w:hAnsi="Times New Roman" w:eastAsia="仿宋_GB2312" w:cs="仿宋_GB2312"/>
                <w:kern w:val="2"/>
                <w:sz w:val="24"/>
                <w:szCs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6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rPr>
            </w:pPr>
            <w:r>
              <w:rPr>
                <w:rFonts w:hint="eastAsia" w:ascii="Times New Roman" w:hAnsi="Times New Roman" w:eastAsia="仿宋_GB2312" w:cs="仿宋_GB2312"/>
                <w:kern w:val="2"/>
                <w:sz w:val="24"/>
                <w:szCs w:val="24"/>
              </w:rPr>
              <w:t>1</w:t>
            </w:r>
          </w:p>
        </w:tc>
        <w:tc>
          <w:tcPr>
            <w:tcW w:w="288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固体空气清新剂</w:t>
            </w:r>
          </w:p>
        </w:tc>
        <w:tc>
          <w:tcPr>
            <w:tcW w:w="2190"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rPr>
            </w:pPr>
            <w:r>
              <w:rPr>
                <w:rFonts w:hint="eastAsia" w:ascii="Times New Roman" w:hAnsi="Times New Roman" w:eastAsia="仿宋_GB2312" w:cs="仿宋_GB2312"/>
                <w:kern w:val="2"/>
                <w:sz w:val="24"/>
                <w:szCs w:val="24"/>
              </w:rPr>
              <w:t>6</w:t>
            </w:r>
          </w:p>
        </w:tc>
        <w:tc>
          <w:tcPr>
            <w:tcW w:w="2235"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rPr>
            </w:pPr>
            <w:r>
              <w:rPr>
                <w:rFonts w:hint="eastAsia" w:ascii="Times New Roman" w:hAnsi="Times New Roman" w:eastAsia="仿宋_GB2312" w:cs="仿宋_GB2312"/>
                <w:kern w:val="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6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2</w:t>
            </w:r>
          </w:p>
        </w:tc>
        <w:tc>
          <w:tcPr>
            <w:tcW w:w="288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空气清新气雾剂</w:t>
            </w:r>
          </w:p>
        </w:tc>
        <w:tc>
          <w:tcPr>
            <w:tcW w:w="2190"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rPr>
              <w:t>6</w:t>
            </w:r>
          </w:p>
        </w:tc>
        <w:tc>
          <w:tcPr>
            <w:tcW w:w="2235"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rPr>
              <w:t>3</w:t>
            </w:r>
          </w:p>
        </w:tc>
      </w:tr>
    </w:tbl>
    <w:p>
      <w:pPr>
        <w:widowControl w:val="0"/>
        <w:adjustRightInd/>
        <w:snapToGrid/>
        <w:spacing w:before="217" w:beforeLines="50" w:after="217" w:afterLines="50" w:line="560" w:lineRule="exact"/>
        <w:ind w:firstLine="640" w:firstLineChars="200"/>
        <w:jc w:val="both"/>
        <w:rPr>
          <w:rFonts w:hint="eastAsia" w:ascii="Calibri" w:hAnsi="Calibri" w:eastAsia="黑体" w:cs="黑体"/>
          <w:color w:val="000000"/>
          <w:kern w:val="2"/>
          <w:sz w:val="32"/>
          <w:szCs w:val="32"/>
          <w:lang w:val="en-US" w:eastAsia="zh-CN"/>
        </w:rPr>
      </w:pPr>
    </w:p>
    <w:p>
      <w:pPr>
        <w:widowControl w:val="0"/>
        <w:adjustRightInd/>
        <w:snapToGrid/>
        <w:spacing w:before="217" w:beforeLines="50" w:after="217" w:afterLines="50" w:line="560" w:lineRule="exact"/>
        <w:ind w:firstLine="640" w:firstLineChars="200"/>
        <w:jc w:val="both"/>
        <w:rPr>
          <w:rFonts w:hint="eastAsia" w:ascii="Calibri" w:hAnsi="Calibri" w:eastAsia="黑体" w:cs="黑体"/>
          <w:color w:val="000000"/>
          <w:kern w:val="2"/>
          <w:sz w:val="32"/>
          <w:szCs w:val="32"/>
        </w:rPr>
      </w:pPr>
      <w:r>
        <w:rPr>
          <w:rFonts w:hint="eastAsia" w:ascii="Calibri" w:hAnsi="Calibri" w:eastAsia="黑体" w:cs="黑体"/>
          <w:color w:val="000000"/>
          <w:kern w:val="2"/>
          <w:sz w:val="32"/>
          <w:szCs w:val="32"/>
          <w:lang w:val="en-US" w:eastAsia="zh-CN"/>
        </w:rPr>
        <w:t>二</w:t>
      </w:r>
      <w:r>
        <w:rPr>
          <w:rFonts w:hint="eastAsia" w:ascii="Calibri" w:hAnsi="Calibri" w:eastAsia="黑体" w:cs="黑体"/>
          <w:color w:val="000000"/>
          <w:kern w:val="2"/>
          <w:sz w:val="32"/>
          <w:szCs w:val="32"/>
        </w:rPr>
        <w:t>、主要检验项目及检验项目属性划分</w:t>
      </w:r>
    </w:p>
    <w:p>
      <w:pPr>
        <w:widowControl w:val="0"/>
        <w:adjustRightInd/>
        <w:snapToGrid/>
        <w:spacing w:after="0" w:line="560" w:lineRule="exact"/>
        <w:ind w:firstLine="640" w:firstLineChars="200"/>
        <w:jc w:val="both"/>
        <w:rPr>
          <w:rFonts w:hint="eastAsia" w:ascii="Times New Roman" w:hAnsi="Times New Roman" w:eastAsia="黑体"/>
          <w:kern w:val="2"/>
          <w:sz w:val="32"/>
          <w:szCs w:val="32"/>
        </w:rPr>
      </w:pPr>
      <w:r>
        <w:rPr>
          <w:rFonts w:hint="eastAsia" w:ascii="Times New Roman" w:hAnsi="Times New Roman" w:eastAsia="黑体"/>
          <w:kern w:val="2"/>
          <w:sz w:val="32"/>
          <w:szCs w:val="32"/>
        </w:rPr>
        <w:t>（一）固体空气清新剂</w:t>
      </w:r>
    </w:p>
    <w:tbl>
      <w:tblPr>
        <w:tblStyle w:val="9"/>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58"/>
        <w:gridCol w:w="2084"/>
        <w:gridCol w:w="867"/>
        <w:gridCol w:w="867"/>
        <w:gridCol w:w="867"/>
        <w:gridCol w:w="867"/>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jc w:val="center"/>
        </w:trPr>
        <w:tc>
          <w:tcPr>
            <w:tcW w:w="596"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序号</w:t>
            </w:r>
          </w:p>
        </w:tc>
        <w:tc>
          <w:tcPr>
            <w:tcW w:w="2158"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检验项目</w:t>
            </w:r>
          </w:p>
        </w:tc>
        <w:tc>
          <w:tcPr>
            <w:tcW w:w="2084"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依据法律法规或标准条款</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强制性</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非强制性</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重要项</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较重要项</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1</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外观和感官</w:t>
            </w:r>
          </w:p>
        </w:tc>
        <w:tc>
          <w:tcPr>
            <w:tcW w:w="2084"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4956-2016</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2</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耐热稳定性</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4956-2016</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3</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耐寒稳定性</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4956-2016</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4</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不挥发物含量</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4956-2016</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5</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包装密封性</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4956-2016</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6</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净含量</w:t>
            </w:r>
          </w:p>
        </w:tc>
        <w:tc>
          <w:tcPr>
            <w:tcW w:w="2084"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JJF 1070-2000</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7</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标志</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4956-2016</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bl>
    <w:p>
      <w:pPr>
        <w:widowControl w:val="0"/>
        <w:adjustRightInd/>
        <w:snapToGrid/>
        <w:spacing w:after="0" w:line="560" w:lineRule="exact"/>
        <w:ind w:firstLine="640" w:firstLineChars="200"/>
        <w:jc w:val="both"/>
        <w:rPr>
          <w:rFonts w:hint="eastAsia" w:ascii="Times New Roman" w:hAnsi="Times New Roman" w:eastAsia="黑体"/>
          <w:kern w:val="2"/>
          <w:sz w:val="32"/>
          <w:szCs w:val="32"/>
        </w:rPr>
      </w:pPr>
    </w:p>
    <w:p>
      <w:pPr>
        <w:widowControl w:val="0"/>
        <w:adjustRightInd/>
        <w:snapToGrid/>
        <w:spacing w:after="0" w:line="560" w:lineRule="exact"/>
        <w:ind w:firstLine="640" w:firstLineChars="200"/>
        <w:jc w:val="both"/>
        <w:rPr>
          <w:rFonts w:hint="eastAsia" w:ascii="Times New Roman" w:hAnsi="Times New Roman" w:eastAsia="黑体"/>
          <w:kern w:val="2"/>
          <w:sz w:val="32"/>
          <w:szCs w:val="32"/>
        </w:rPr>
      </w:pPr>
    </w:p>
    <w:p>
      <w:pPr>
        <w:widowControl w:val="0"/>
        <w:adjustRightInd/>
        <w:snapToGrid/>
        <w:spacing w:after="0" w:line="560" w:lineRule="exact"/>
        <w:ind w:firstLine="640" w:firstLineChars="200"/>
        <w:jc w:val="both"/>
        <w:rPr>
          <w:rFonts w:hint="eastAsia" w:ascii="Times New Roman" w:hAnsi="Times New Roman" w:eastAsia="黑体"/>
          <w:kern w:val="2"/>
          <w:sz w:val="32"/>
          <w:szCs w:val="32"/>
        </w:rPr>
      </w:pPr>
      <w:bookmarkStart w:id="0" w:name="_GoBack"/>
      <w:bookmarkEnd w:id="0"/>
      <w:r>
        <w:rPr>
          <w:rFonts w:hint="eastAsia" w:ascii="Times New Roman" w:hAnsi="Times New Roman" w:eastAsia="黑体"/>
          <w:kern w:val="2"/>
          <w:sz w:val="32"/>
          <w:szCs w:val="32"/>
        </w:rPr>
        <w:t>（</w:t>
      </w:r>
      <w:r>
        <w:rPr>
          <w:rFonts w:hint="eastAsia" w:ascii="Times New Roman" w:hAnsi="Times New Roman" w:eastAsia="黑体"/>
          <w:kern w:val="2"/>
          <w:sz w:val="32"/>
          <w:szCs w:val="32"/>
          <w:lang w:val="en-US" w:eastAsia="zh-CN"/>
        </w:rPr>
        <w:t>二</w:t>
      </w:r>
      <w:r>
        <w:rPr>
          <w:rFonts w:hint="eastAsia" w:ascii="Times New Roman" w:hAnsi="Times New Roman" w:eastAsia="黑体"/>
          <w:kern w:val="2"/>
          <w:sz w:val="32"/>
          <w:szCs w:val="32"/>
        </w:rPr>
        <w:t>）空气清新</w:t>
      </w:r>
      <w:r>
        <w:rPr>
          <w:rFonts w:hint="eastAsia" w:ascii="Times New Roman" w:hAnsi="Times New Roman" w:eastAsia="黑体"/>
          <w:kern w:val="2"/>
          <w:sz w:val="32"/>
          <w:szCs w:val="32"/>
          <w:lang w:val="en-US" w:eastAsia="zh-CN"/>
        </w:rPr>
        <w:t>气雾</w:t>
      </w:r>
      <w:r>
        <w:rPr>
          <w:rFonts w:hint="eastAsia" w:ascii="Times New Roman" w:hAnsi="Times New Roman" w:eastAsia="黑体"/>
          <w:kern w:val="2"/>
          <w:sz w:val="32"/>
          <w:szCs w:val="32"/>
        </w:rPr>
        <w:t>剂</w:t>
      </w:r>
    </w:p>
    <w:tbl>
      <w:tblPr>
        <w:tblStyle w:val="9"/>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58"/>
        <w:gridCol w:w="2084"/>
        <w:gridCol w:w="867"/>
        <w:gridCol w:w="867"/>
        <w:gridCol w:w="867"/>
        <w:gridCol w:w="867"/>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blHeader/>
          <w:jc w:val="center"/>
        </w:trPr>
        <w:tc>
          <w:tcPr>
            <w:tcW w:w="596"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序号</w:t>
            </w:r>
          </w:p>
        </w:tc>
        <w:tc>
          <w:tcPr>
            <w:tcW w:w="2158"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检验项目</w:t>
            </w:r>
          </w:p>
        </w:tc>
        <w:tc>
          <w:tcPr>
            <w:tcW w:w="2084"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依据法律法规或标准条款</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强制性</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非强制性</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重要项</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较重要项</w:t>
            </w:r>
          </w:p>
        </w:tc>
        <w:tc>
          <w:tcPr>
            <w:tcW w:w="867" w:type="dxa"/>
            <w:tcBorders>
              <w:top w:val="single" w:color="auto" w:sz="4" w:space="0"/>
              <w:left w:val="single" w:color="auto" w:sz="4" w:space="0"/>
              <w:right w:val="single" w:color="auto" w:sz="4" w:space="0"/>
            </w:tcBorders>
            <w:shd w:val="clear" w:color="auto" w:fill="D7D7D7"/>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1</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内容物色泽</w:t>
            </w:r>
          </w:p>
        </w:tc>
        <w:tc>
          <w:tcPr>
            <w:tcW w:w="2084"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2548-2002</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2</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香型</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2548-2002</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3</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喷雾形态</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2548-2002</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4</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耐热</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2548-2002</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5</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耐寒</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2548-2002</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6</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喷出率</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GB/T 14449-1993</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7</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内压力</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GB/T 14449-1993</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8</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泄漏试验</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2548-2002</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9</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火焰延伸长度</w:t>
            </w:r>
          </w:p>
        </w:tc>
        <w:tc>
          <w:tcPr>
            <w:tcW w:w="2084"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GB/T 14449-1993</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10</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pH</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QB/T 2548-2002</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11</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甲醇</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GB/T 7917.4-1987</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96"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12</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净含量</w:t>
            </w:r>
          </w:p>
        </w:tc>
        <w:tc>
          <w:tcPr>
            <w:tcW w:w="2084"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JJF 1070-2000</w:t>
            </w:r>
          </w:p>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GB/T 14449-1993</w:t>
            </w:r>
          </w:p>
        </w:tc>
        <w:tc>
          <w:tcPr>
            <w:tcW w:w="867"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96"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13</w:t>
            </w:r>
          </w:p>
        </w:tc>
        <w:tc>
          <w:tcPr>
            <w:tcW w:w="2158"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标志</w:t>
            </w:r>
          </w:p>
        </w:tc>
        <w:tc>
          <w:tcPr>
            <w:tcW w:w="2084"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BB/T 0005-2010</w:t>
            </w:r>
          </w:p>
        </w:tc>
        <w:tc>
          <w:tcPr>
            <w:tcW w:w="867"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default" w:ascii="Times New Roman" w:hAnsi="Times New Roman" w:eastAsia="仿宋_GB2312" w:cs="仿宋_GB2312"/>
                <w:kern w:val="2"/>
                <w:sz w:val="24"/>
                <w:szCs w:val="24"/>
                <w:lang w:val="en-US" w:eastAsia="zh-CN"/>
              </w:rPr>
            </w:pP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r>
              <w:rPr>
                <w:rFonts w:hint="eastAsia" w:ascii="Times New Roman" w:hAnsi="Times New Roman" w:eastAsia="仿宋_GB2312" w:cs="仿宋_GB2312"/>
                <w:kern w:val="2"/>
                <w:sz w:val="24"/>
                <w:szCs w:val="24"/>
                <w:lang w:val="en-US" w:eastAsia="zh-CN"/>
              </w:rPr>
              <w:t>●</w:t>
            </w:r>
          </w:p>
        </w:tc>
        <w:tc>
          <w:tcPr>
            <w:tcW w:w="867" w:type="dxa"/>
            <w:noWrap w:val="0"/>
            <w:vAlign w:val="center"/>
          </w:tcPr>
          <w:p>
            <w:pPr>
              <w:widowControl w:val="0"/>
              <w:adjustRightInd/>
              <w:snapToGrid/>
              <w:spacing w:after="0"/>
              <w:jc w:val="center"/>
              <w:rPr>
                <w:rFonts w:hint="eastAsia" w:ascii="Times New Roman" w:hAnsi="Times New Roman" w:eastAsia="仿宋_GB2312" w:cs="仿宋_GB2312"/>
                <w:kern w:val="2"/>
                <w:sz w:val="24"/>
                <w:szCs w:val="24"/>
                <w:lang w:val="en-US" w:eastAsia="zh-CN"/>
              </w:rPr>
            </w:pPr>
          </w:p>
        </w:tc>
      </w:tr>
    </w:tbl>
    <w:p>
      <w:pPr>
        <w:spacing w:line="590" w:lineRule="exact"/>
        <w:ind w:firstLine="640" w:firstLineChars="200"/>
        <w:jc w:val="both"/>
        <w:rPr>
          <w:rFonts w:hint="eastAsia" w:ascii="仿宋" w:hAnsi="仿宋" w:eastAsia="仿宋" w:cs="仿宋"/>
          <w:color w:val="000000"/>
          <w:kern w:val="2"/>
          <w:sz w:val="32"/>
          <w:szCs w:val="32"/>
        </w:rPr>
      </w:pPr>
      <w:r>
        <w:rPr>
          <w:rFonts w:hint="eastAsia" w:ascii="仿宋" w:hAnsi="仿宋" w:eastAsia="仿宋" w:cs="仿宋"/>
          <w:color w:val="000000"/>
          <w:kern w:val="2"/>
          <w:sz w:val="32"/>
          <w:szCs w:val="32"/>
        </w:rPr>
        <w:t>执行企业标准、团体标准、地方标准的产品，检验项目参照上述内容执行。</w:t>
      </w:r>
    </w:p>
    <w:p>
      <w:pPr>
        <w:spacing w:line="590" w:lineRule="exact"/>
        <w:ind w:firstLine="640" w:firstLineChars="200"/>
        <w:jc w:val="both"/>
        <w:rPr>
          <w:rFonts w:hint="eastAsia" w:ascii="仿宋" w:hAnsi="仿宋" w:eastAsia="仿宋" w:cs="仿宋"/>
          <w:color w:val="000000"/>
          <w:kern w:val="2"/>
          <w:sz w:val="32"/>
          <w:szCs w:val="32"/>
        </w:rPr>
      </w:pPr>
      <w:r>
        <w:rPr>
          <w:rFonts w:hint="eastAsia" w:ascii="仿宋" w:hAnsi="仿宋" w:eastAsia="仿宋" w:cs="仿宋"/>
          <w:color w:val="000000"/>
          <w:kern w:val="2"/>
          <w:sz w:val="32"/>
          <w:szCs w:val="32"/>
        </w:rPr>
        <w:t>凡是注日期的文件，其随后所有的修改单（不包括勘误的内容）或修订版不适用于本细则。凡是不注日期的文件，其最新版本适用于本细则。</w:t>
      </w:r>
    </w:p>
    <w:p>
      <w:pPr>
        <w:spacing w:line="590" w:lineRule="exact"/>
        <w:ind w:firstLine="640" w:firstLineChars="200"/>
        <w:jc w:val="both"/>
        <w:rPr>
          <w:rFonts w:hint="eastAsia" w:ascii="黑体" w:hAnsi="黑体" w:eastAsia="黑体" w:cs="黑体"/>
          <w:sz w:val="32"/>
          <w:szCs w:val="32"/>
        </w:rPr>
      </w:pPr>
      <w:r>
        <w:rPr>
          <w:rFonts w:hint="eastAsia" w:ascii="Calibri" w:hAnsi="Calibri" w:eastAsia="黑体" w:cs="黑体"/>
          <w:color w:val="000000"/>
          <w:kern w:val="2"/>
          <w:sz w:val="32"/>
          <w:szCs w:val="32"/>
        </w:rPr>
        <w:t>三、判定规则</w:t>
      </w:r>
    </w:p>
    <w:p>
      <w:pPr>
        <w:widowControl w:val="0"/>
        <w:adjustRightInd/>
        <w:snapToGrid/>
        <w:spacing w:after="0" w:line="560" w:lineRule="exact"/>
        <w:ind w:firstLine="480" w:firstLineChars="150"/>
        <w:jc w:val="both"/>
        <w:rPr>
          <w:rFonts w:hint="eastAsia" w:ascii="Calibri" w:hAnsi="Calibri" w:eastAsia="仿宋_GB2312"/>
          <w:kern w:val="2"/>
          <w:sz w:val="32"/>
          <w:szCs w:val="32"/>
        </w:rPr>
      </w:pPr>
      <w:r>
        <w:rPr>
          <w:rFonts w:hint="eastAsia" w:ascii="Calibri" w:hAnsi="Calibri" w:eastAsia="仿宋_GB2312"/>
          <w:kern w:val="2"/>
          <w:sz w:val="32"/>
          <w:szCs w:val="32"/>
        </w:rPr>
        <w:t>（一）依据标准</w:t>
      </w:r>
    </w:p>
    <w:p>
      <w:pPr>
        <w:widowControl w:val="0"/>
        <w:adjustRightInd/>
        <w:snapToGrid/>
        <w:spacing w:after="0" w:line="560" w:lineRule="exact"/>
        <w:ind w:firstLine="480" w:firstLineChars="150"/>
        <w:jc w:val="both"/>
        <w:rPr>
          <w:rFonts w:hint="eastAsia" w:ascii="Calibri" w:hAnsi="Calibri" w:eastAsia="仿宋_GB2312"/>
          <w:kern w:val="2"/>
          <w:sz w:val="32"/>
          <w:szCs w:val="32"/>
          <w:lang w:val="en-US" w:eastAsia="zh-CN"/>
        </w:rPr>
      </w:pPr>
      <w:r>
        <w:rPr>
          <w:rFonts w:hint="eastAsia" w:ascii="Calibri" w:hAnsi="Calibri" w:eastAsia="仿宋_GB2312"/>
          <w:kern w:val="2"/>
          <w:sz w:val="32"/>
          <w:szCs w:val="32"/>
          <w:lang w:val="en-US" w:eastAsia="zh-CN"/>
        </w:rPr>
        <w:t>QB/T 2548-2002《空气清新气雾剂》</w:t>
      </w:r>
    </w:p>
    <w:p>
      <w:pPr>
        <w:widowControl w:val="0"/>
        <w:adjustRightInd/>
        <w:snapToGrid/>
        <w:spacing w:after="0" w:line="560" w:lineRule="exact"/>
        <w:ind w:firstLine="480" w:firstLineChars="150"/>
        <w:jc w:val="both"/>
        <w:rPr>
          <w:rFonts w:hint="eastAsia" w:ascii="Calibri" w:hAnsi="Calibri" w:eastAsia="仿宋_GB2312"/>
          <w:kern w:val="2"/>
          <w:sz w:val="32"/>
          <w:szCs w:val="32"/>
          <w:lang w:val="en-US" w:eastAsia="zh-CN"/>
        </w:rPr>
      </w:pPr>
      <w:r>
        <w:rPr>
          <w:rFonts w:hint="eastAsia" w:ascii="Calibri" w:hAnsi="Calibri" w:eastAsia="仿宋_GB2312"/>
          <w:kern w:val="2"/>
          <w:sz w:val="32"/>
          <w:szCs w:val="32"/>
          <w:lang w:val="en-US" w:eastAsia="zh-CN"/>
        </w:rPr>
        <w:t>QB/T 4956-2016《固体空气清新剂》</w:t>
      </w:r>
    </w:p>
    <w:p>
      <w:pPr>
        <w:widowControl w:val="0"/>
        <w:adjustRightInd/>
        <w:snapToGrid/>
        <w:spacing w:after="0" w:line="560" w:lineRule="exact"/>
        <w:ind w:firstLine="480"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（二）判定原则</w:t>
      </w:r>
    </w:p>
    <w:p>
      <w:pPr>
        <w:widowControl w:val="0"/>
        <w:adjustRightInd/>
        <w:snapToGrid/>
        <w:spacing w:after="0" w:line="560" w:lineRule="exact"/>
        <w:ind w:firstLine="480"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经检验，检验项目全部合格，判定为抽取的样本所检项目未检出不合格；检验项目中任一项或一项以上不合格，判定为被抽查产品不合格。</w:t>
      </w:r>
    </w:p>
    <w:p>
      <w:pPr>
        <w:widowControl w:val="0"/>
        <w:adjustRightInd/>
        <w:snapToGrid/>
        <w:spacing w:after="0" w:line="560" w:lineRule="exact"/>
        <w:ind w:firstLine="480"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当被检样品明示的质量要求优于监督抽查实施细则中依据的标准要求时，应按被检样品明示的质量要求判定；</w:t>
      </w:r>
    </w:p>
    <w:p>
      <w:pPr>
        <w:widowControl w:val="0"/>
        <w:adjustRightInd/>
        <w:snapToGrid/>
        <w:spacing w:after="0" w:line="560" w:lineRule="exact"/>
        <w:ind w:firstLine="480"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当被检样品明示的质量要求劣于或不包含监督抽查实施细则中依据的强制性标准要求时，应按照强制性标准要求判定；</w:t>
      </w:r>
    </w:p>
    <w:p>
      <w:pPr>
        <w:widowControl w:val="0"/>
        <w:adjustRightInd/>
        <w:snapToGrid/>
        <w:spacing w:after="0" w:line="560" w:lineRule="exact"/>
        <w:ind w:firstLine="480"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当被检样品明示的质量要求劣于或包含监督抽查实施细则中依据的推荐性标准要求时，应以被检样品明示的质量要求判定，如相应检验结果不符合相关推荐性标准要求时，应在检验报告中予以说明；</w:t>
      </w:r>
    </w:p>
    <w:p>
      <w:pPr>
        <w:widowControl w:val="0"/>
        <w:adjustRightInd/>
        <w:snapToGrid/>
        <w:spacing w:after="0" w:line="560" w:lineRule="exact"/>
        <w:ind w:firstLine="480"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当被检样品明示的质量要求不包含监督抽查实施细则中依据的推荐性标准要求时，该指标不参与判定，但应在检验报告中作出说明；</w:t>
      </w:r>
    </w:p>
    <w:p>
      <w:pPr>
        <w:widowControl w:val="0"/>
        <w:adjustRightInd/>
        <w:snapToGrid/>
        <w:spacing w:after="0" w:line="560" w:lineRule="exact"/>
        <w:ind w:firstLine="480"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当被检样品未能提供有效的企业标准时，按相关国家或行业标准进行判定；</w:t>
      </w:r>
    </w:p>
    <w:p>
      <w:pPr>
        <w:widowControl w:val="0"/>
        <w:adjustRightInd/>
        <w:snapToGrid/>
        <w:spacing w:after="0" w:line="560" w:lineRule="exact"/>
        <w:ind w:firstLine="480"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widowControl w:val="0"/>
        <w:adjustRightInd/>
        <w:snapToGrid/>
        <w:spacing w:after="0" w:line="560" w:lineRule="exact"/>
        <w:ind w:firstLine="480"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按照产品质量相关法律法规的规定判定。</w:t>
      </w:r>
    </w:p>
    <w:p>
      <w:pPr>
        <w:widowControl w:val="0"/>
        <w:adjustRightInd/>
        <w:snapToGrid/>
        <w:spacing w:after="0" w:line="560" w:lineRule="exact"/>
        <w:ind w:firstLine="480" w:firstLineChars="150"/>
        <w:jc w:val="both"/>
        <w:rPr>
          <w:rFonts w:hint="default" w:ascii="Calibri" w:hAnsi="Calibri" w:eastAsia="仿宋_GB2312"/>
          <w:kern w:val="2"/>
          <w:sz w:val="32"/>
          <w:szCs w:val="32"/>
          <w:lang w:val="en-US" w:eastAsia="zh-CN"/>
        </w:rPr>
      </w:pPr>
      <w:r>
        <w:rPr>
          <w:rFonts w:hint="default" w:ascii="Calibri" w:hAnsi="Calibri" w:eastAsia="仿宋_GB2312"/>
          <w:kern w:val="2"/>
          <w:sz w:val="32"/>
          <w:szCs w:val="32"/>
          <w:lang w:val="en-US" w:eastAsia="zh-CN"/>
        </w:rPr>
        <w:t>检验中发现因样品失效或者其他原因致使检验无法进行的，检验人员应如实记录，并提供相关证明材料，报送组织监督抽查的市场监管部门。</w:t>
      </w:r>
    </w:p>
    <w:sectPr>
      <w:headerReference r:id="rId4" w:type="default"/>
      <w:footerReference r:id="rId6" w:type="default"/>
      <w:headerReference r:id="rId5" w:type="even"/>
      <w:footerReference r:id="rId7" w:type="even"/>
      <w:pgSz w:w="11906" w:h="16838"/>
      <w:pgMar w:top="2098" w:right="1417" w:bottom="1531" w:left="1587" w:header="708" w:footer="709" w:gutter="0"/>
      <w:pgBorders>
        <w:top w:val="none" w:sz="0" w:space="0"/>
        <w:left w:val="none" w:sz="0" w:space="0"/>
        <w:bottom w:val="none" w:sz="0" w:space="0"/>
        <w:right w:val="none" w:sz="0" w:space="0"/>
      </w:pgBorders>
      <w:cols w:space="72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方正中等线简体">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2"/>
      <w:spacing w:line="300" w:lineRule="exact"/>
      <w:ind w:right="257" w:rightChars="117"/>
      <w:jc w:val="center"/>
      <w:rPr>
        <w:rStyle w:val="11"/>
        <w:rFonts w:hint="eastAsia"/>
        <w:spacing w:val="40"/>
      </w:rPr>
    </w:pPr>
    <w:r>
      <w:rPr>
        <w:rStyle w:val="11"/>
        <w:rFonts w:hint="eastAsia" w:eastAsia="方正中等线简体"/>
        <w:spacing w:val="40"/>
        <w:sz w:val="28"/>
      </w:rPr>
      <w:t>一</w:t>
    </w:r>
    <w:r>
      <w:rPr>
        <w:rFonts w:hint="eastAsia" w:eastAsia="方正中等线简体"/>
        <w:spacing w:val="40"/>
        <w:sz w:val="28"/>
      </w:rPr>
      <w:fldChar w:fldCharType="begin"/>
    </w:r>
    <w:r>
      <w:rPr>
        <w:rStyle w:val="11"/>
        <w:spacing w:val="40"/>
        <w:sz w:val="28"/>
      </w:rPr>
      <w:instrText xml:space="preserve">PAGE  </w:instrText>
    </w:r>
    <w:r>
      <w:rPr>
        <w:spacing w:val="40"/>
        <w:sz w:val="28"/>
      </w:rPr>
      <w:fldChar w:fldCharType="separate"/>
    </w:r>
    <w:r>
      <w:rPr>
        <w:rStyle w:val="11"/>
        <w:spacing w:val="40"/>
        <w:sz w:val="28"/>
      </w:rPr>
      <w:t>3</w:t>
    </w:r>
    <w:r>
      <w:rPr>
        <w:spacing w:val="40"/>
        <w:sz w:val="28"/>
      </w:rPr>
      <w:fldChar w:fldCharType="end"/>
    </w:r>
    <w:r>
      <w:rPr>
        <w:rStyle w:val="11"/>
        <w:rFonts w:hint="eastAsia" w:eastAsia="方正中等线简体"/>
        <w:spacing w:val="40"/>
        <w:sz w:val="28"/>
      </w:rPr>
      <w:t>一</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2"/>
      <w:spacing w:line="300" w:lineRule="exact"/>
      <w:ind w:right="257" w:rightChars="117"/>
      <w:jc w:val="both"/>
      <w:rPr>
        <w:rStyle w:val="11"/>
        <w:rFonts w:hint="eastAsia"/>
        <w:spacing w:val="40"/>
      </w:rPr>
    </w:pPr>
    <w:r>
      <w:rPr>
        <w:rStyle w:val="11"/>
        <w:rFonts w:hint="eastAsia" w:eastAsia="方正中等线简体"/>
        <w:spacing w:val="40"/>
        <w:sz w:val="28"/>
      </w:rPr>
      <w:t>一</w:t>
    </w:r>
    <w:r>
      <w:rPr>
        <w:rFonts w:hint="eastAsia" w:eastAsia="方正中等线简体"/>
        <w:spacing w:val="40"/>
        <w:sz w:val="28"/>
      </w:rPr>
      <w:fldChar w:fldCharType="begin"/>
    </w:r>
    <w:r>
      <w:rPr>
        <w:rStyle w:val="11"/>
        <w:spacing w:val="40"/>
        <w:sz w:val="28"/>
      </w:rPr>
      <w:instrText xml:space="preserve">PAGE  </w:instrText>
    </w:r>
    <w:r>
      <w:rPr>
        <w:spacing w:val="40"/>
        <w:sz w:val="28"/>
      </w:rPr>
      <w:fldChar w:fldCharType="separate"/>
    </w:r>
    <w:r>
      <w:rPr>
        <w:rStyle w:val="11"/>
        <w:spacing w:val="40"/>
        <w:sz w:val="28"/>
      </w:rPr>
      <w:t>54</w:t>
    </w:r>
    <w:r>
      <w:rPr>
        <w:spacing w:val="40"/>
        <w:sz w:val="28"/>
      </w:rPr>
      <w:fldChar w:fldCharType="end"/>
    </w:r>
    <w:r>
      <w:rPr>
        <w:rStyle w:val="11"/>
        <w:rFonts w:hint="eastAsia" w:eastAsia="方正中等线简体"/>
        <w:spacing w:val="40"/>
        <w:sz w:val="28"/>
      </w:rPr>
      <w:t>一</w:t>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isplayHorizontalDrawingGridEvery w:val="1"/>
  <w:displayVerticalDrawingGridEvery w:val="1"/>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N2U2YjdlYmYxNmEwYTZhNDAyOTA0NzdhOGY0YTAifQ=="/>
  </w:docVars>
  <w:rsids>
    <w:rsidRoot w:val="00CE2A90"/>
    <w:rsid w:val="000346CB"/>
    <w:rsid w:val="0006382F"/>
    <w:rsid w:val="0009528F"/>
    <w:rsid w:val="000F23C1"/>
    <w:rsid w:val="001E57F0"/>
    <w:rsid w:val="002479C7"/>
    <w:rsid w:val="002808A7"/>
    <w:rsid w:val="002B031B"/>
    <w:rsid w:val="00323B43"/>
    <w:rsid w:val="003361C9"/>
    <w:rsid w:val="00373E2F"/>
    <w:rsid w:val="00392325"/>
    <w:rsid w:val="003D37D8"/>
    <w:rsid w:val="00423D80"/>
    <w:rsid w:val="004358AB"/>
    <w:rsid w:val="004955AC"/>
    <w:rsid w:val="004F5B7E"/>
    <w:rsid w:val="00542CF6"/>
    <w:rsid w:val="00574F3A"/>
    <w:rsid w:val="005A2468"/>
    <w:rsid w:val="005D5720"/>
    <w:rsid w:val="00674C52"/>
    <w:rsid w:val="006757E9"/>
    <w:rsid w:val="006842E0"/>
    <w:rsid w:val="006A2AAA"/>
    <w:rsid w:val="006C4BC0"/>
    <w:rsid w:val="006E4B39"/>
    <w:rsid w:val="007031BC"/>
    <w:rsid w:val="00751C96"/>
    <w:rsid w:val="007543FD"/>
    <w:rsid w:val="007664D0"/>
    <w:rsid w:val="00796071"/>
    <w:rsid w:val="008115D1"/>
    <w:rsid w:val="008B7726"/>
    <w:rsid w:val="00904A71"/>
    <w:rsid w:val="00930584"/>
    <w:rsid w:val="00962B38"/>
    <w:rsid w:val="009B355F"/>
    <w:rsid w:val="009B3C1D"/>
    <w:rsid w:val="009C3548"/>
    <w:rsid w:val="00A106D5"/>
    <w:rsid w:val="00A24FB6"/>
    <w:rsid w:val="00A4085B"/>
    <w:rsid w:val="00AA431B"/>
    <w:rsid w:val="00B229F1"/>
    <w:rsid w:val="00B85C77"/>
    <w:rsid w:val="00B8797E"/>
    <w:rsid w:val="00BF4ED4"/>
    <w:rsid w:val="00C5091E"/>
    <w:rsid w:val="00C82381"/>
    <w:rsid w:val="00CA3448"/>
    <w:rsid w:val="00CE2A90"/>
    <w:rsid w:val="00CE59C5"/>
    <w:rsid w:val="00D0424A"/>
    <w:rsid w:val="00D619DD"/>
    <w:rsid w:val="00D64496"/>
    <w:rsid w:val="00DC1765"/>
    <w:rsid w:val="00E20725"/>
    <w:rsid w:val="00ED25F7"/>
    <w:rsid w:val="00EF220C"/>
    <w:rsid w:val="00F81040"/>
    <w:rsid w:val="00FA401C"/>
    <w:rsid w:val="00FD1A6F"/>
    <w:rsid w:val="00FE54BF"/>
    <w:rsid w:val="00FF6273"/>
    <w:rsid w:val="01DD05E2"/>
    <w:rsid w:val="0B9E7219"/>
    <w:rsid w:val="12616A35"/>
    <w:rsid w:val="1782689D"/>
    <w:rsid w:val="1A4F6B29"/>
    <w:rsid w:val="234930FB"/>
    <w:rsid w:val="2D6E6621"/>
    <w:rsid w:val="30607673"/>
    <w:rsid w:val="30CE04B1"/>
    <w:rsid w:val="317B01B2"/>
    <w:rsid w:val="31895BAF"/>
    <w:rsid w:val="39A41699"/>
    <w:rsid w:val="3C6A6652"/>
    <w:rsid w:val="464C48B4"/>
    <w:rsid w:val="4C5E38B6"/>
    <w:rsid w:val="4F0B1C74"/>
    <w:rsid w:val="582D0FFC"/>
    <w:rsid w:val="6120535E"/>
    <w:rsid w:val="61F303D0"/>
    <w:rsid w:val="6A4D1E6A"/>
    <w:rsid w:val="6BF32A32"/>
    <w:rsid w:val="733D7497"/>
    <w:rsid w:val="7CBF410C"/>
    <w:rsid w:val="7EC6563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Plain Text"/>
    <w:basedOn w:val="1"/>
    <w:link w:val="13"/>
    <w:qFormat/>
    <w:uiPriority w:val="99"/>
    <w:pPr>
      <w:widowControl w:val="0"/>
      <w:adjustRightInd/>
      <w:snapToGrid/>
      <w:spacing w:after="0"/>
      <w:jc w:val="both"/>
    </w:pPr>
    <w:rPr>
      <w:rFonts w:ascii="宋体" w:hAnsi="Courier New" w:eastAsia="仿宋_GB2312"/>
      <w:kern w:val="2"/>
      <w:sz w:val="30"/>
      <w:szCs w:val="24"/>
    </w:rPr>
  </w:style>
  <w:style w:type="paragraph" w:styleId="4">
    <w:name w:val="Balloon Text"/>
    <w:basedOn w:val="1"/>
    <w:link w:val="14"/>
    <w:semiHidden/>
    <w:qFormat/>
    <w:uiPriority w:val="0"/>
    <w:pPr>
      <w:widowControl w:val="0"/>
      <w:adjustRightInd/>
      <w:snapToGrid/>
      <w:spacing w:after="0"/>
      <w:jc w:val="both"/>
    </w:pPr>
    <w:rPr>
      <w:rFonts w:ascii="Calibri" w:hAnsi="Calibri"/>
      <w:sz w:val="18"/>
      <w:szCs w:val="18"/>
    </w:rPr>
  </w:style>
  <w:style w:type="paragraph" w:styleId="5">
    <w:name w:val="footer"/>
    <w:basedOn w:val="1"/>
    <w:link w:val="15"/>
    <w:qFormat/>
    <w:uiPriority w:val="99"/>
    <w:pPr>
      <w:widowControl w:val="0"/>
      <w:tabs>
        <w:tab w:val="center" w:pos="4153"/>
        <w:tab w:val="right" w:pos="8306"/>
      </w:tabs>
      <w:adjustRightInd/>
      <w:spacing w:after="0"/>
    </w:pPr>
    <w:rPr>
      <w:rFonts w:ascii="Times New Roman" w:hAnsi="Times New Roman" w:eastAsia="仿宋_GB2312"/>
      <w:kern w:val="2"/>
      <w:sz w:val="18"/>
      <w:szCs w:val="18"/>
    </w:rPr>
  </w:style>
  <w:style w:type="paragraph" w:styleId="6">
    <w:name w:val="header"/>
    <w:basedOn w:val="1"/>
    <w:link w:val="16"/>
    <w:qFormat/>
    <w:uiPriority w:val="99"/>
    <w:pPr>
      <w:widowControl w:val="0"/>
      <w:pBdr>
        <w:bottom w:val="single" w:color="auto" w:sz="6" w:space="1"/>
      </w:pBdr>
      <w:tabs>
        <w:tab w:val="center" w:pos="4153"/>
        <w:tab w:val="right" w:pos="8306"/>
      </w:tabs>
      <w:adjustRightInd/>
      <w:spacing w:after="0"/>
      <w:jc w:val="center"/>
    </w:pPr>
    <w:rPr>
      <w:rFonts w:ascii="Times New Roman" w:hAnsi="Times New Roman" w:eastAsia="仿宋_GB2312"/>
      <w:kern w:val="2"/>
      <w:sz w:val="18"/>
      <w:szCs w:val="18"/>
    </w:rPr>
  </w:style>
  <w:style w:type="paragraph" w:styleId="7">
    <w:name w:val="Body Text Indent 3"/>
    <w:basedOn w:val="1"/>
    <w:link w:val="17"/>
    <w:qFormat/>
    <w:uiPriority w:val="99"/>
    <w:pPr>
      <w:autoSpaceDE w:val="0"/>
      <w:autoSpaceDN w:val="0"/>
      <w:spacing w:after="0" w:line="600" w:lineRule="exact"/>
      <w:ind w:left="646" w:leftChars="323" w:firstLine="643" w:firstLineChars="201"/>
      <w:jc w:val="both"/>
    </w:pPr>
    <w:rPr>
      <w:rFonts w:ascii="仿宋_GB2312" w:hAnsi="Calibri" w:eastAsia="仿宋_GB2312" w:cs="仿宋_GB2312"/>
      <w:sz w:val="32"/>
      <w:szCs w:val="32"/>
    </w:rPr>
  </w:style>
  <w:style w:type="paragraph" w:styleId="8">
    <w:name w:val="Normal (Web)"/>
    <w:basedOn w:val="1"/>
    <w:qFormat/>
    <w:uiPriority w:val="99"/>
    <w:pPr>
      <w:widowControl w:val="0"/>
      <w:adjustRightInd/>
      <w:snapToGrid/>
      <w:spacing w:beforeAutospacing="1" w:after="100" w:afterAutospacing="1"/>
    </w:pPr>
    <w:rPr>
      <w:rFonts w:ascii="Calibri" w:hAnsi="Calibri" w:eastAsia="宋体" w:cs="Calibri"/>
      <w:sz w:val="24"/>
      <w:szCs w:val="24"/>
    </w:rPr>
  </w:style>
  <w:style w:type="character" w:styleId="11">
    <w:name w:val="page number"/>
    <w:basedOn w:val="10"/>
    <w:qFormat/>
    <w:uiPriority w:val="0"/>
  </w:style>
  <w:style w:type="character" w:styleId="12">
    <w:name w:val="Hyperlink"/>
    <w:basedOn w:val="10"/>
    <w:qFormat/>
    <w:uiPriority w:val="99"/>
    <w:rPr>
      <w:color w:val="0000FF"/>
      <w:u w:val="single"/>
    </w:rPr>
  </w:style>
  <w:style w:type="character" w:customStyle="1" w:styleId="13">
    <w:name w:val="纯文本 Char"/>
    <w:basedOn w:val="10"/>
    <w:link w:val="3"/>
    <w:qFormat/>
    <w:uiPriority w:val="99"/>
    <w:rPr>
      <w:rFonts w:ascii="宋体" w:hAnsi="Courier New" w:eastAsia="仿宋_GB2312"/>
      <w:kern w:val="2"/>
      <w:sz w:val="30"/>
      <w:szCs w:val="24"/>
    </w:rPr>
  </w:style>
  <w:style w:type="character" w:customStyle="1" w:styleId="14">
    <w:name w:val="批注框文本 Char1"/>
    <w:basedOn w:val="10"/>
    <w:link w:val="4"/>
    <w:semiHidden/>
    <w:qFormat/>
    <w:uiPriority w:val="99"/>
    <w:rPr>
      <w:rFonts w:ascii="Tahoma" w:hAnsi="Tahoma"/>
      <w:sz w:val="18"/>
      <w:szCs w:val="18"/>
    </w:rPr>
  </w:style>
  <w:style w:type="character" w:customStyle="1" w:styleId="15">
    <w:name w:val="页脚 Char"/>
    <w:basedOn w:val="10"/>
    <w:link w:val="5"/>
    <w:qFormat/>
    <w:uiPriority w:val="99"/>
    <w:rPr>
      <w:rFonts w:ascii="Times New Roman" w:hAnsi="Times New Roman" w:eastAsia="仿宋_GB2312"/>
      <w:kern w:val="2"/>
      <w:sz w:val="18"/>
      <w:szCs w:val="18"/>
    </w:rPr>
  </w:style>
  <w:style w:type="character" w:customStyle="1" w:styleId="16">
    <w:name w:val="页眉 Char"/>
    <w:basedOn w:val="10"/>
    <w:link w:val="6"/>
    <w:qFormat/>
    <w:uiPriority w:val="99"/>
    <w:rPr>
      <w:rFonts w:ascii="Times New Roman" w:hAnsi="Times New Roman" w:eastAsia="仿宋_GB2312"/>
      <w:kern w:val="2"/>
      <w:sz w:val="18"/>
      <w:szCs w:val="18"/>
    </w:rPr>
  </w:style>
  <w:style w:type="character" w:customStyle="1" w:styleId="17">
    <w:name w:val="正文文本缩进 3 Char"/>
    <w:basedOn w:val="10"/>
    <w:link w:val="7"/>
    <w:uiPriority w:val="99"/>
    <w:rPr>
      <w:rFonts w:ascii="仿宋_GB2312" w:eastAsia="仿宋_GB2312" w:cs="仿宋_GB2312"/>
      <w:sz w:val="32"/>
      <w:szCs w:val="32"/>
    </w:rPr>
  </w:style>
  <w:style w:type="character" w:customStyle="1" w:styleId="18">
    <w:name w:val="font71"/>
    <w:basedOn w:val="10"/>
    <w:qFormat/>
    <w:uiPriority w:val="99"/>
    <w:rPr>
      <w:rFonts w:ascii="宋体" w:hAnsi="宋体" w:eastAsia="宋体" w:cs="宋体"/>
      <w:color w:val="auto"/>
      <w:sz w:val="20"/>
      <w:szCs w:val="20"/>
      <w:u w:val="none"/>
    </w:rPr>
  </w:style>
  <w:style w:type="character" w:customStyle="1" w:styleId="19">
    <w:name w:val="font21"/>
    <w:basedOn w:val="10"/>
    <w:uiPriority w:val="99"/>
    <w:rPr>
      <w:rFonts w:ascii="宋体" w:hAnsi="宋体" w:eastAsia="宋体" w:cs="宋体"/>
      <w:color w:val="auto"/>
      <w:sz w:val="20"/>
      <w:szCs w:val="20"/>
      <w:u w:val="none"/>
    </w:rPr>
  </w:style>
  <w:style w:type="character" w:customStyle="1" w:styleId="20">
    <w:name w:val="font11"/>
    <w:basedOn w:val="10"/>
    <w:qFormat/>
    <w:uiPriority w:val="99"/>
    <w:rPr>
      <w:rFonts w:ascii="宋体" w:hAnsi="宋体" w:eastAsia="宋体" w:cs="宋体"/>
      <w:color w:val="000000"/>
      <w:sz w:val="24"/>
      <w:szCs w:val="24"/>
      <w:u w:val="none"/>
    </w:rPr>
  </w:style>
  <w:style w:type="character" w:customStyle="1" w:styleId="21">
    <w:name w:val="批注框文本 Char"/>
    <w:basedOn w:val="10"/>
    <w:semiHidden/>
    <w:qFormat/>
    <w:uiPriority w:val="0"/>
    <w:rPr>
      <w:sz w:val="18"/>
      <w:szCs w:val="18"/>
    </w:rPr>
  </w:style>
  <w:style w:type="character" w:customStyle="1" w:styleId="22">
    <w:name w:val="font01"/>
    <w:basedOn w:val="10"/>
    <w:uiPriority w:val="99"/>
    <w:rPr>
      <w:rFonts w:hint="eastAsia" w:ascii="微软雅黑" w:hAnsi="微软雅黑" w:eastAsia="微软雅黑" w:cs="微软雅黑"/>
      <w:color w:val="FF0000"/>
      <w:sz w:val="22"/>
      <w:szCs w:val="22"/>
      <w:u w:val="none"/>
    </w:rPr>
  </w:style>
  <w:style w:type="character" w:customStyle="1" w:styleId="23">
    <w:name w:val="font31"/>
    <w:basedOn w:val="10"/>
    <w:qFormat/>
    <w:uiPriority w:val="99"/>
    <w:rPr>
      <w:rFonts w:hint="eastAsia" w:ascii="微软雅黑" w:hAnsi="微软雅黑" w:eastAsia="微软雅黑" w:cs="微软雅黑"/>
      <w:color w:val="000000"/>
      <w:sz w:val="22"/>
      <w:szCs w:val="22"/>
      <w:u w:val="none"/>
    </w:rPr>
  </w:style>
  <w:style w:type="character" w:customStyle="1" w:styleId="24">
    <w:name w:val="NormalCharacter"/>
    <w:qFormat/>
    <w:uiPriority w:val="0"/>
    <w:rPr>
      <w:rFonts w:ascii="Times New Roman" w:hAnsi="Times New Roman" w:eastAsia="宋体" w:cs="Times New Roman"/>
    </w:rPr>
  </w:style>
  <w:style w:type="character" w:customStyle="1" w:styleId="25">
    <w:name w:val="font131"/>
    <w:basedOn w:val="10"/>
    <w:qFormat/>
    <w:uiPriority w:val="99"/>
    <w:rPr>
      <w:rFonts w:ascii="宋体" w:hAnsi="宋体" w:eastAsia="宋体" w:cs="宋体"/>
      <w:color w:val="000000"/>
      <w:sz w:val="20"/>
      <w:szCs w:val="20"/>
      <w:u w:val="none"/>
    </w:rPr>
  </w:style>
  <w:style w:type="character" w:customStyle="1" w:styleId="26">
    <w:name w:val="font61"/>
    <w:basedOn w:val="10"/>
    <w:qFormat/>
    <w:uiPriority w:val="99"/>
    <w:rPr>
      <w:rFonts w:ascii="宋体" w:hAnsi="宋体" w:eastAsia="宋体" w:cs="宋体"/>
      <w:color w:val="000000"/>
      <w:sz w:val="20"/>
      <w:szCs w:val="20"/>
      <w:u w:val="none"/>
    </w:rPr>
  </w:style>
  <w:style w:type="character" w:customStyle="1" w:styleId="27">
    <w:name w:val="纯文本 Char1"/>
    <w:basedOn w:val="10"/>
    <w:semiHidden/>
    <w:qFormat/>
    <w:uiPriority w:val="99"/>
    <w:rPr>
      <w:rFonts w:ascii="宋体" w:hAnsi="Courier New" w:cs="Courier New"/>
      <w:szCs w:val="21"/>
    </w:rPr>
  </w:style>
  <w:style w:type="paragraph" w:customStyle="1" w:styleId="28">
    <w:name w:val="主题词"/>
    <w:basedOn w:val="1"/>
    <w:qFormat/>
    <w:uiPriority w:val="0"/>
    <w:pPr>
      <w:widowControl w:val="0"/>
      <w:adjustRightInd/>
      <w:snapToGrid/>
      <w:spacing w:after="156" w:afterLines="50" w:line="600" w:lineRule="exact"/>
      <w:jc w:val="both"/>
    </w:pPr>
    <w:rPr>
      <w:rFonts w:ascii="Times New Roman" w:hAnsi="Times New Roman" w:eastAsia="方正小标宋简体"/>
      <w:kern w:val="2"/>
      <w:sz w:val="30"/>
      <w:szCs w:val="20"/>
    </w:rPr>
  </w:style>
  <w:style w:type="paragraph" w:customStyle="1" w:styleId="29">
    <w:name w:val="p0"/>
    <w:basedOn w:val="1"/>
    <w:qFormat/>
    <w:uiPriority w:val="0"/>
    <w:pPr>
      <w:adjustRightInd/>
      <w:snapToGrid/>
      <w:spacing w:after="0"/>
      <w:jc w:val="both"/>
    </w:pPr>
    <w:rPr>
      <w:rFonts w:ascii="Times New Roman" w:hAnsi="Times New Roman" w:eastAsia="仿宋_GB2312"/>
      <w:sz w:val="30"/>
      <w:szCs w:val="21"/>
    </w:rPr>
  </w:style>
  <w:style w:type="paragraph" w:customStyle="1" w:styleId="30">
    <w:name w:val="Table Paragraph"/>
    <w:basedOn w:val="1"/>
    <w:qFormat/>
    <w:uiPriority w:val="0"/>
    <w:pPr>
      <w:widowControl w:val="0"/>
      <w:adjustRightInd/>
      <w:snapToGrid/>
      <w:spacing w:after="0"/>
    </w:pPr>
    <w:rPr>
      <w:rFonts w:ascii="Calibri" w:hAnsi="Calibri" w:eastAsia="仿宋_GB2312"/>
      <w:lang w:eastAsia="en-US"/>
    </w:rPr>
  </w:style>
  <w:style w:type="paragraph" w:customStyle="1" w:styleId="31">
    <w:name w:val="二级无标题条"/>
    <w:basedOn w:val="1"/>
    <w:qFormat/>
    <w:uiPriority w:val="0"/>
    <w:pPr>
      <w:widowControl w:val="0"/>
      <w:adjustRightInd/>
      <w:snapToGrid/>
      <w:spacing w:after="0"/>
      <w:jc w:val="both"/>
    </w:pPr>
    <w:rPr>
      <w:rFonts w:ascii="Times New Roman" w:hAnsi="Times New Roman" w:eastAsia="宋体"/>
      <w:kern w:val="2"/>
      <w:sz w:val="21"/>
      <w:szCs w:val="24"/>
    </w:rPr>
  </w:style>
  <w:style w:type="paragraph" w:customStyle="1" w:styleId="32">
    <w:name w:val="Char Char Char Char"/>
    <w:basedOn w:val="1"/>
    <w:qFormat/>
    <w:uiPriority w:val="0"/>
    <w:pPr>
      <w:adjustRightInd/>
      <w:snapToGrid/>
      <w:spacing w:after="160" w:line="240" w:lineRule="exact"/>
    </w:pPr>
    <w:rPr>
      <w:rFonts w:ascii="Times New Roman" w:hAnsi="Times New Roman" w:eastAsia="宋体"/>
      <w:kern w:val="2"/>
      <w:sz w:val="21"/>
      <w:szCs w:val="24"/>
    </w:rPr>
  </w:style>
  <w:style w:type="paragraph" w:customStyle="1" w:styleId="33">
    <w:name w:val="List Paragraph"/>
    <w:basedOn w:val="1"/>
    <w:qFormat/>
    <w:uiPriority w:val="0"/>
    <w:pPr>
      <w:widowControl w:val="0"/>
      <w:adjustRightInd/>
      <w:snapToGrid/>
      <w:spacing w:after="0"/>
      <w:ind w:firstLine="420" w:firstLineChars="200"/>
      <w:jc w:val="both"/>
    </w:pPr>
    <w:rPr>
      <w:rFonts w:ascii="Times New Roman" w:hAnsi="Times New Roman" w:eastAsia="仿宋_GB2312"/>
      <w:kern w:val="2"/>
      <w:sz w:val="30"/>
      <w:szCs w:val="24"/>
    </w:rPr>
  </w:style>
  <w:style w:type="paragraph" w:customStyle="1" w:styleId="34">
    <w:name w:val="Char Char Char Char Char Char Char Char Char"/>
    <w:basedOn w:val="1"/>
    <w:qFormat/>
    <w:uiPriority w:val="0"/>
    <w:pPr>
      <w:adjustRightInd/>
      <w:snapToGrid/>
      <w:spacing w:after="160" w:line="240" w:lineRule="exact"/>
    </w:pPr>
    <w:rPr>
      <w:rFonts w:ascii="Verdana" w:hAnsi="Verdana" w:eastAsia="仿宋_GB2312"/>
      <w:sz w:val="24"/>
      <w:szCs w:val="20"/>
      <w:lang w:eastAsia="en-US"/>
    </w:rPr>
  </w:style>
  <w:style w:type="paragraph" w:customStyle="1" w:styleId="35">
    <w:name w:val="char"/>
    <w:basedOn w:val="7"/>
    <w:qFormat/>
    <w:uiPriority w:val="99"/>
    <w:pPr>
      <w:ind w:left="0" w:leftChars="0" w:firstLine="0" w:firstLineChars="0"/>
    </w:pPr>
    <w:rPr>
      <w:rFonts w:ascii="黑体" w:eastAsia="黑体" w:cs="黑体"/>
    </w:rPr>
  </w:style>
  <w:style w:type="paragraph" w:customStyle="1" w:styleId="36">
    <w:name w:val="二级条标题"/>
    <w:basedOn w:val="1"/>
    <w:next w:val="1"/>
    <w:uiPriority w:val="0"/>
    <w:pPr>
      <w:tabs>
        <w:tab w:val="left" w:pos="1680"/>
      </w:tabs>
      <w:adjustRightInd/>
      <w:snapToGrid/>
      <w:spacing w:after="0"/>
      <w:ind w:left="1680" w:hanging="420"/>
      <w:jc w:val="both"/>
      <w:outlineLvl w:val="3"/>
    </w:pPr>
    <w:rPr>
      <w:rFonts w:ascii="黑体" w:hAnsi="Times New Roman" w:eastAsia="黑体"/>
      <w:sz w:val="21"/>
      <w:szCs w:val="20"/>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975</Words>
  <Characters>1237</Characters>
  <Lines>10</Lines>
  <Paragraphs>3</Paragraphs>
  <TotalTime>13</TotalTime>
  <ScaleCrop>false</ScaleCrop>
  <LinksUpToDate>false</LinksUpToDate>
  <CharactersWithSpaces>1260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2020-09-22T01:28:00Z</dcterms:created>
  <dc:creator>冼志华</dc:creator>
  <cp:lastModifiedBy>Administrator</cp:lastModifiedBy>
  <cp:lastPrinted>2020-09-22T01:28:00Z</cp:lastPrinted>
  <dcterms:modified xsi:type="dcterms:W3CDTF">2024-07-08T02:15:44Z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7DA40A4AEEDB45B5A1845DB17626A262</vt:lpwstr>
  </property>
</Properties>
</file>