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40" w:lineRule="exact"/>
        <w:jc w:val="center"/>
        <w:rPr>
          <w:rFonts w:hint="eastAsia" w:eastAsia="方正小标宋简体" w:cs="方正小标宋简体"/>
          <w:bCs/>
          <w:sz w:val="44"/>
          <w:szCs w:val="44"/>
        </w:rPr>
      </w:pPr>
      <w:r>
        <w:rPr>
          <w:rFonts w:hint="eastAsia" w:eastAsia="方正小标宋简体" w:cs="方正小标宋简体"/>
          <w:bCs/>
          <w:sz w:val="44"/>
          <w:szCs w:val="44"/>
        </w:rPr>
        <w:t>中山市</w:t>
      </w:r>
      <w:r>
        <w:rPr>
          <w:rFonts w:hint="eastAsia" w:eastAsia="方正小标宋简体" w:cs="方正小标宋简体"/>
          <w:bCs/>
          <w:sz w:val="44"/>
          <w:szCs w:val="44"/>
          <w:lang w:val="en-US" w:eastAsia="zh-CN"/>
        </w:rPr>
        <w:t>饲料</w:t>
      </w:r>
      <w:r>
        <w:rPr>
          <w:rFonts w:hint="eastAsia" w:eastAsia="方正小标宋简体" w:cs="方正小标宋简体"/>
          <w:bCs/>
          <w:sz w:val="44"/>
          <w:szCs w:val="44"/>
        </w:rPr>
        <w:t>产品质量</w:t>
      </w:r>
    </w:p>
    <w:p>
      <w:pPr>
        <w:widowControl/>
        <w:spacing w:line="640" w:lineRule="exact"/>
        <w:jc w:val="center"/>
        <w:rPr>
          <w:rFonts w:eastAsia="方正小标宋简体" w:cs="方正小标宋简体"/>
          <w:bCs/>
          <w:sz w:val="44"/>
          <w:szCs w:val="44"/>
        </w:rPr>
      </w:pPr>
      <w:r>
        <w:rPr>
          <w:rFonts w:hint="eastAsia" w:eastAsia="方正小标宋简体" w:cs="方正小标宋简体"/>
          <w:bCs/>
          <w:sz w:val="44"/>
          <w:szCs w:val="44"/>
        </w:rPr>
        <w:t>监督抽查实施细则</w:t>
      </w:r>
    </w:p>
    <w:p>
      <w:pPr>
        <w:spacing w:line="590" w:lineRule="exact"/>
        <w:ind w:firstLine="872" w:firstLineChars="200"/>
        <w:rPr>
          <w:rFonts w:eastAsia="方正小标宋简体" w:cs="方正小标宋简体"/>
          <w:sz w:val="44"/>
          <w:szCs w:val="44"/>
        </w:rPr>
      </w:pPr>
    </w:p>
    <w:p>
      <w:pPr>
        <w:widowControl w:val="0"/>
        <w:adjustRightInd/>
        <w:snapToGrid/>
        <w:spacing w:before="217" w:beforeLines="50" w:after="217" w:afterLines="50" w:line="560" w:lineRule="exact"/>
        <w:ind w:firstLine="632" w:firstLineChars="200"/>
        <w:jc w:val="both"/>
        <w:rPr>
          <w:rFonts w:hint="eastAsia" w:ascii="Calibri" w:hAnsi="Calibri" w:eastAsia="黑体" w:cs="黑体"/>
          <w:color w:val="000000"/>
          <w:kern w:val="2"/>
          <w:sz w:val="32"/>
          <w:szCs w:val="32"/>
        </w:rPr>
      </w:pPr>
      <w:r>
        <w:rPr>
          <w:rFonts w:ascii="Calibri" w:hAnsi="Calibri" w:eastAsia="黑体" w:cs="黑体"/>
          <w:color w:val="000000"/>
          <w:kern w:val="2"/>
          <w:sz w:val="32"/>
          <w:szCs w:val="32"/>
        </w:rPr>
        <w:t>一</w:t>
      </w:r>
      <w:r>
        <w:rPr>
          <w:rFonts w:hint="eastAsia" w:ascii="Calibri" w:hAnsi="Calibri" w:eastAsia="黑体" w:cs="黑体"/>
          <w:color w:val="000000"/>
          <w:kern w:val="2"/>
          <w:sz w:val="32"/>
          <w:szCs w:val="32"/>
          <w:lang w:eastAsia="zh-CN"/>
        </w:rPr>
        <w:t>、</w:t>
      </w:r>
      <w:r>
        <w:rPr>
          <w:rFonts w:hint="eastAsia" w:ascii="Calibri" w:hAnsi="Calibri" w:eastAsia="黑体" w:cs="黑体"/>
          <w:color w:val="000000"/>
          <w:kern w:val="2"/>
          <w:sz w:val="32"/>
          <w:szCs w:val="32"/>
        </w:rPr>
        <w:t>抽样方案</w:t>
      </w:r>
    </w:p>
    <w:p>
      <w:pPr>
        <w:widowControl w:val="0"/>
        <w:adjustRightInd/>
        <w:snapToGrid/>
        <w:spacing w:after="0" w:line="560" w:lineRule="exact"/>
        <w:ind w:firstLine="474" w:firstLineChars="150"/>
        <w:jc w:val="both"/>
        <w:rPr>
          <w:rFonts w:hint="eastAsia" w:ascii="Calibri" w:hAnsi="Calibri" w:eastAsia="仿宋_GB2312"/>
          <w:kern w:val="2"/>
          <w:sz w:val="32"/>
          <w:szCs w:val="32"/>
        </w:rPr>
      </w:pPr>
      <w:r>
        <w:rPr>
          <w:rFonts w:hint="eastAsia" w:ascii="Calibri" w:hAnsi="Calibri" w:eastAsia="仿宋_GB2312"/>
          <w:kern w:val="2"/>
          <w:sz w:val="32"/>
          <w:szCs w:val="32"/>
        </w:rPr>
        <w:t>以随机抽样的方式在被抽查市场主体的待销产品中抽取。</w:t>
      </w:r>
    </w:p>
    <w:p>
      <w:pPr>
        <w:widowControl w:val="0"/>
        <w:adjustRightInd/>
        <w:snapToGrid/>
        <w:spacing w:after="0" w:line="560" w:lineRule="exact"/>
        <w:ind w:firstLine="474" w:firstLineChars="150"/>
        <w:jc w:val="both"/>
        <w:rPr>
          <w:rFonts w:hint="eastAsia" w:ascii="Calibri" w:hAnsi="Calibri" w:eastAsia="黑体" w:cs="黑体"/>
          <w:color w:val="000000"/>
          <w:kern w:val="2"/>
          <w:sz w:val="32"/>
          <w:szCs w:val="32"/>
        </w:rPr>
      </w:pPr>
      <w:r>
        <w:rPr>
          <w:rFonts w:hint="eastAsia" w:ascii="Calibri" w:hAnsi="Calibri" w:eastAsia="仿宋_GB2312"/>
          <w:kern w:val="2"/>
          <w:sz w:val="32"/>
          <w:szCs w:val="32"/>
        </w:rPr>
        <w:t>随机数一般可使用随机数表等方法产生。</w:t>
      </w:r>
    </w:p>
    <w:p>
      <w:pPr>
        <w:widowControl w:val="0"/>
        <w:adjustRightInd/>
        <w:snapToGrid/>
        <w:spacing w:after="0" w:line="560" w:lineRule="exact"/>
        <w:ind w:firstLine="474" w:firstLineChars="150"/>
        <w:jc w:val="both"/>
        <w:rPr>
          <w:rFonts w:hint="eastAsia" w:ascii="Calibri" w:hAnsi="Calibri" w:eastAsia="仿宋_GB2312"/>
          <w:kern w:val="2"/>
          <w:sz w:val="32"/>
          <w:szCs w:val="32"/>
        </w:rPr>
      </w:pPr>
      <w:r>
        <w:rPr>
          <w:rFonts w:hint="eastAsia" w:ascii="Calibri" w:hAnsi="Calibri" w:eastAsia="仿宋_GB2312"/>
          <w:kern w:val="2"/>
          <w:sz w:val="32"/>
          <w:szCs w:val="32"/>
        </w:rPr>
        <w:t>（一）样品数量。每款产品抽取2组样本，第1组用于检验，第2组用于备样。</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888"/>
        <w:gridCol w:w="2190"/>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64"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序号</w:t>
            </w:r>
          </w:p>
        </w:tc>
        <w:tc>
          <w:tcPr>
            <w:tcW w:w="2888"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产品名称</w:t>
            </w:r>
          </w:p>
        </w:tc>
        <w:tc>
          <w:tcPr>
            <w:tcW w:w="2190"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第1组数量</w:t>
            </w:r>
          </w:p>
        </w:tc>
        <w:tc>
          <w:tcPr>
            <w:tcW w:w="2235"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64"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1</w:t>
            </w:r>
          </w:p>
        </w:tc>
        <w:tc>
          <w:tcPr>
            <w:tcW w:w="2888"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rPr>
            </w:pPr>
            <w:r>
              <w:rPr>
                <w:rFonts w:hint="eastAsia" w:ascii="Calibri" w:hAnsi="Calibri"/>
                <w:kern w:val="2"/>
                <w:sz w:val="24"/>
                <w:szCs w:val="24"/>
                <w:lang w:val="en-US" w:eastAsia="zh-CN"/>
              </w:rPr>
              <w:t>奶牛饲料</w:t>
            </w:r>
          </w:p>
        </w:tc>
        <w:tc>
          <w:tcPr>
            <w:tcW w:w="2190"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rPr>
            </w:pPr>
            <w:r>
              <w:rPr>
                <w:rFonts w:hint="eastAsia" w:ascii="Calibri" w:hAnsi="Calibri"/>
                <w:kern w:val="2"/>
                <w:sz w:val="24"/>
                <w:szCs w:val="24"/>
                <w:lang w:val="en-US" w:eastAsia="zh-CN"/>
              </w:rPr>
              <w:t>2kg</w:t>
            </w:r>
          </w:p>
        </w:tc>
        <w:tc>
          <w:tcPr>
            <w:tcW w:w="2235"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eastAsia="zh-CN"/>
              </w:rPr>
            </w:pPr>
            <w:r>
              <w:rPr>
                <w:rFonts w:hint="eastAsia" w:ascii="Calibri" w:hAnsi="Calibri"/>
                <w:kern w:val="2"/>
                <w:sz w:val="24"/>
                <w:szCs w:val="24"/>
                <w:lang w:val="en-US" w:eastAsia="zh-CN"/>
              </w:rPr>
              <w:t>2kg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64"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kern w:val="2"/>
                <w:sz w:val="24"/>
                <w:szCs w:val="24"/>
                <w:lang w:val="en-US" w:eastAsia="zh-CN"/>
              </w:rPr>
              <w:t>2</w:t>
            </w:r>
          </w:p>
        </w:tc>
        <w:tc>
          <w:tcPr>
            <w:tcW w:w="2888" w:type="dxa"/>
            <w:noWrap w:val="0"/>
            <w:vAlign w:val="center"/>
          </w:tcPr>
          <w:p>
            <w:pPr>
              <w:widowControl w:val="0"/>
              <w:adjustRightInd/>
              <w:snapToGrid/>
              <w:spacing w:after="0" w:line="360" w:lineRule="exact"/>
              <w:jc w:val="center"/>
              <w:rPr>
                <w:rFonts w:hint="eastAsia" w:ascii="Calibri" w:hAnsi="Calibri"/>
                <w:kern w:val="2"/>
                <w:sz w:val="24"/>
                <w:szCs w:val="24"/>
                <w:lang w:val="en-US" w:eastAsia="zh-CN"/>
              </w:rPr>
            </w:pPr>
            <w:r>
              <w:rPr>
                <w:rFonts w:hint="eastAsia" w:ascii="Calibri" w:hAnsi="Calibri"/>
                <w:kern w:val="2"/>
                <w:sz w:val="24"/>
                <w:szCs w:val="24"/>
                <w:lang w:val="en-US" w:eastAsia="zh-CN"/>
              </w:rPr>
              <w:t>猪饲料</w:t>
            </w:r>
          </w:p>
        </w:tc>
        <w:tc>
          <w:tcPr>
            <w:tcW w:w="2190" w:type="dxa"/>
            <w:noWrap w:val="0"/>
            <w:vAlign w:val="center"/>
          </w:tcPr>
          <w:p>
            <w:pPr>
              <w:widowControl w:val="0"/>
              <w:adjustRightInd/>
              <w:snapToGrid/>
              <w:spacing w:after="0" w:line="360" w:lineRule="exact"/>
              <w:jc w:val="center"/>
              <w:rPr>
                <w:rFonts w:hint="eastAsia" w:ascii="Calibri" w:hAnsi="Calibri"/>
                <w:kern w:val="2"/>
                <w:sz w:val="24"/>
                <w:szCs w:val="24"/>
                <w:lang w:val="en-US" w:eastAsia="zh-CN"/>
              </w:rPr>
            </w:pPr>
            <w:r>
              <w:rPr>
                <w:rFonts w:hint="eastAsia" w:ascii="Calibri" w:hAnsi="Calibri"/>
                <w:kern w:val="2"/>
                <w:sz w:val="24"/>
                <w:szCs w:val="24"/>
                <w:lang w:val="en-US" w:eastAsia="zh-CN"/>
              </w:rPr>
              <w:t>2kg</w:t>
            </w:r>
          </w:p>
        </w:tc>
        <w:tc>
          <w:tcPr>
            <w:tcW w:w="2235" w:type="dxa"/>
            <w:noWrap w:val="0"/>
            <w:vAlign w:val="center"/>
          </w:tcPr>
          <w:p>
            <w:pPr>
              <w:widowControl w:val="0"/>
              <w:adjustRightInd/>
              <w:snapToGrid/>
              <w:spacing w:after="0" w:line="360" w:lineRule="exact"/>
              <w:jc w:val="center"/>
              <w:rPr>
                <w:rFonts w:hint="eastAsia" w:ascii="Calibri" w:hAnsi="Calibri"/>
                <w:kern w:val="2"/>
                <w:sz w:val="24"/>
                <w:szCs w:val="24"/>
                <w:lang w:val="en-US" w:eastAsia="zh-CN"/>
              </w:rPr>
            </w:pPr>
            <w:r>
              <w:rPr>
                <w:rFonts w:hint="eastAsia" w:ascii="Calibri" w:hAnsi="Calibri"/>
                <w:kern w:val="2"/>
                <w:sz w:val="24"/>
                <w:szCs w:val="24"/>
                <w:lang w:val="en-US" w:eastAsia="zh-CN"/>
              </w:rPr>
              <w:t>2kg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64"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kern w:val="2"/>
                <w:sz w:val="24"/>
                <w:szCs w:val="24"/>
                <w:lang w:val="en-US" w:eastAsia="zh-CN"/>
              </w:rPr>
              <w:t>3</w:t>
            </w:r>
          </w:p>
        </w:tc>
        <w:tc>
          <w:tcPr>
            <w:tcW w:w="2888" w:type="dxa"/>
            <w:noWrap w:val="0"/>
            <w:vAlign w:val="center"/>
          </w:tcPr>
          <w:p>
            <w:pPr>
              <w:widowControl w:val="0"/>
              <w:adjustRightInd/>
              <w:snapToGrid/>
              <w:spacing w:after="0" w:line="360" w:lineRule="exact"/>
              <w:jc w:val="center"/>
              <w:rPr>
                <w:rFonts w:hint="eastAsia" w:ascii="Calibri" w:hAnsi="Calibri"/>
                <w:kern w:val="2"/>
                <w:sz w:val="24"/>
                <w:szCs w:val="24"/>
                <w:lang w:val="en-US" w:eastAsia="zh-CN"/>
              </w:rPr>
            </w:pPr>
            <w:r>
              <w:rPr>
                <w:rFonts w:hint="eastAsia" w:ascii="Calibri" w:hAnsi="Calibri"/>
                <w:kern w:val="2"/>
                <w:sz w:val="24"/>
                <w:szCs w:val="24"/>
                <w:lang w:val="en-US" w:eastAsia="zh-CN"/>
              </w:rPr>
              <w:t>鸡饲料</w:t>
            </w:r>
          </w:p>
        </w:tc>
        <w:tc>
          <w:tcPr>
            <w:tcW w:w="2190" w:type="dxa"/>
            <w:noWrap w:val="0"/>
            <w:vAlign w:val="center"/>
          </w:tcPr>
          <w:p>
            <w:pPr>
              <w:widowControl w:val="0"/>
              <w:adjustRightInd/>
              <w:snapToGrid/>
              <w:spacing w:after="0" w:line="360" w:lineRule="exact"/>
              <w:jc w:val="center"/>
              <w:rPr>
                <w:rFonts w:hint="eastAsia" w:ascii="Calibri" w:hAnsi="Calibri"/>
                <w:kern w:val="2"/>
                <w:sz w:val="24"/>
                <w:szCs w:val="24"/>
                <w:lang w:val="en-US" w:eastAsia="zh-CN"/>
              </w:rPr>
            </w:pPr>
            <w:r>
              <w:rPr>
                <w:rFonts w:hint="eastAsia" w:ascii="Calibri" w:hAnsi="Calibri"/>
                <w:kern w:val="2"/>
                <w:sz w:val="24"/>
                <w:szCs w:val="24"/>
                <w:lang w:val="en-US" w:eastAsia="zh-CN"/>
              </w:rPr>
              <w:t>2kg</w:t>
            </w:r>
          </w:p>
        </w:tc>
        <w:tc>
          <w:tcPr>
            <w:tcW w:w="2235" w:type="dxa"/>
            <w:noWrap w:val="0"/>
            <w:vAlign w:val="center"/>
          </w:tcPr>
          <w:p>
            <w:pPr>
              <w:widowControl w:val="0"/>
              <w:adjustRightInd/>
              <w:snapToGrid/>
              <w:spacing w:after="0" w:line="360" w:lineRule="exact"/>
              <w:jc w:val="center"/>
              <w:rPr>
                <w:rFonts w:hint="eastAsia" w:ascii="Calibri" w:hAnsi="Calibri"/>
                <w:kern w:val="2"/>
                <w:sz w:val="24"/>
                <w:szCs w:val="24"/>
                <w:lang w:val="en-US" w:eastAsia="zh-CN"/>
              </w:rPr>
            </w:pPr>
            <w:r>
              <w:rPr>
                <w:rFonts w:hint="eastAsia" w:ascii="Calibri" w:hAnsi="Calibri"/>
                <w:kern w:val="2"/>
                <w:sz w:val="24"/>
                <w:szCs w:val="24"/>
                <w:lang w:val="en-US" w:eastAsia="zh-CN"/>
              </w:rPr>
              <w:t>2kg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64"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kern w:val="2"/>
                <w:sz w:val="24"/>
                <w:szCs w:val="24"/>
                <w:lang w:val="en-US" w:eastAsia="zh-CN"/>
              </w:rPr>
              <w:t>4</w:t>
            </w:r>
          </w:p>
        </w:tc>
        <w:tc>
          <w:tcPr>
            <w:tcW w:w="2888" w:type="dxa"/>
            <w:noWrap w:val="0"/>
            <w:vAlign w:val="center"/>
          </w:tcPr>
          <w:p>
            <w:pPr>
              <w:widowControl w:val="0"/>
              <w:adjustRightInd/>
              <w:snapToGrid/>
              <w:spacing w:after="0" w:line="360" w:lineRule="exact"/>
              <w:jc w:val="center"/>
              <w:rPr>
                <w:rFonts w:hint="eastAsia" w:ascii="Calibri" w:hAnsi="Calibri"/>
                <w:kern w:val="2"/>
                <w:sz w:val="24"/>
                <w:szCs w:val="24"/>
                <w:lang w:val="en-US" w:eastAsia="zh-CN"/>
              </w:rPr>
            </w:pPr>
            <w:r>
              <w:rPr>
                <w:rFonts w:hint="eastAsia" w:ascii="Calibri" w:hAnsi="Calibri"/>
                <w:kern w:val="2"/>
                <w:sz w:val="24"/>
                <w:szCs w:val="24"/>
                <w:lang w:val="en-US" w:eastAsia="zh-CN"/>
              </w:rPr>
              <w:t>鱼饲料</w:t>
            </w:r>
          </w:p>
        </w:tc>
        <w:tc>
          <w:tcPr>
            <w:tcW w:w="2190" w:type="dxa"/>
            <w:noWrap w:val="0"/>
            <w:vAlign w:val="center"/>
          </w:tcPr>
          <w:p>
            <w:pPr>
              <w:widowControl w:val="0"/>
              <w:adjustRightInd/>
              <w:snapToGrid/>
              <w:spacing w:after="0" w:line="360" w:lineRule="exact"/>
              <w:jc w:val="center"/>
              <w:rPr>
                <w:rFonts w:hint="eastAsia" w:ascii="Calibri" w:hAnsi="Calibri"/>
                <w:kern w:val="2"/>
                <w:sz w:val="24"/>
                <w:szCs w:val="24"/>
                <w:lang w:val="en-US" w:eastAsia="zh-CN"/>
              </w:rPr>
            </w:pPr>
            <w:r>
              <w:rPr>
                <w:rFonts w:hint="eastAsia" w:ascii="Calibri" w:hAnsi="Calibri"/>
                <w:kern w:val="2"/>
                <w:sz w:val="24"/>
                <w:szCs w:val="24"/>
                <w:lang w:val="en-US" w:eastAsia="zh-CN"/>
              </w:rPr>
              <w:t>2kg</w:t>
            </w:r>
          </w:p>
        </w:tc>
        <w:tc>
          <w:tcPr>
            <w:tcW w:w="2235" w:type="dxa"/>
            <w:noWrap w:val="0"/>
            <w:vAlign w:val="center"/>
          </w:tcPr>
          <w:p>
            <w:pPr>
              <w:widowControl w:val="0"/>
              <w:adjustRightInd/>
              <w:snapToGrid/>
              <w:spacing w:after="0" w:line="360" w:lineRule="exact"/>
              <w:jc w:val="center"/>
              <w:rPr>
                <w:rFonts w:hint="eastAsia" w:ascii="Calibri" w:hAnsi="Calibri"/>
                <w:kern w:val="2"/>
                <w:sz w:val="24"/>
                <w:szCs w:val="24"/>
                <w:lang w:val="en-US" w:eastAsia="zh-CN"/>
              </w:rPr>
            </w:pPr>
            <w:r>
              <w:rPr>
                <w:rFonts w:hint="eastAsia" w:ascii="Calibri" w:hAnsi="Calibri"/>
                <w:kern w:val="2"/>
                <w:sz w:val="24"/>
                <w:szCs w:val="24"/>
                <w:lang w:val="en-US" w:eastAsia="zh-CN"/>
              </w:rPr>
              <w:t>2kg</w:t>
            </w:r>
          </w:p>
        </w:tc>
      </w:tr>
    </w:tbl>
    <w:p>
      <w:pPr>
        <w:spacing w:line="590" w:lineRule="exact"/>
        <w:ind w:firstLine="632" w:firstLineChars="200"/>
        <w:rPr>
          <w:rFonts w:eastAsia="黑体" w:cs="黑体"/>
          <w:szCs w:val="32"/>
        </w:rPr>
      </w:pPr>
      <w:r>
        <w:rPr>
          <w:rFonts w:hint="eastAsia" w:eastAsia="黑体" w:cs="黑体"/>
          <w:szCs w:val="32"/>
          <w:lang w:val="en-US" w:eastAsia="zh-CN"/>
        </w:rPr>
        <w:t>二</w:t>
      </w:r>
      <w:r>
        <w:rPr>
          <w:rFonts w:hint="eastAsia" w:eastAsia="黑体" w:cs="黑体"/>
          <w:szCs w:val="32"/>
        </w:rPr>
        <w:t>、</w:t>
      </w:r>
      <w:r>
        <w:rPr>
          <w:rFonts w:hint="eastAsia" w:ascii="Calibri" w:hAnsi="Calibri" w:eastAsia="黑体" w:cs="黑体"/>
          <w:color w:val="000000"/>
          <w:kern w:val="2"/>
          <w:sz w:val="32"/>
          <w:szCs w:val="32"/>
        </w:rPr>
        <w:t>检验项目及判定原则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65"/>
        <w:gridCol w:w="2096"/>
        <w:gridCol w:w="730"/>
        <w:gridCol w:w="810"/>
        <w:gridCol w:w="682"/>
        <w:gridCol w:w="768"/>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79" w:leftChars="-25" w:right="-104" w:rightChars="-33"/>
              <w:jc w:val="center"/>
              <w:rPr>
                <w:bCs/>
                <w:kern w:val="0"/>
                <w:sz w:val="24"/>
              </w:rPr>
            </w:pPr>
            <w:r>
              <w:rPr>
                <w:bCs/>
                <w:kern w:val="0"/>
                <w:sz w:val="24"/>
              </w:rPr>
              <w:t>序号</w:t>
            </w:r>
          </w:p>
        </w:tc>
        <w:tc>
          <w:tcPr>
            <w:tcW w:w="2165"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7" w:leftChars="-34" w:right="-104" w:rightChars="-33"/>
              <w:jc w:val="center"/>
              <w:rPr>
                <w:bCs/>
                <w:kern w:val="0"/>
                <w:sz w:val="24"/>
              </w:rPr>
            </w:pPr>
            <w:r>
              <w:rPr>
                <w:bCs/>
                <w:kern w:val="0"/>
                <w:sz w:val="24"/>
              </w:rPr>
              <w:t>检验项目</w:t>
            </w:r>
          </w:p>
        </w:tc>
        <w:tc>
          <w:tcPr>
            <w:tcW w:w="2096"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4" w:leftChars="-33"/>
              <w:jc w:val="center"/>
              <w:rPr>
                <w:bCs/>
                <w:kern w:val="0"/>
                <w:sz w:val="24"/>
              </w:rPr>
            </w:pPr>
            <w:r>
              <w:rPr>
                <w:bCs/>
                <w:kern w:val="0"/>
                <w:sz w:val="24"/>
              </w:rPr>
              <w:t>依据法律法规</w:t>
            </w:r>
          </w:p>
          <w:p>
            <w:pPr>
              <w:adjustRightInd w:val="0"/>
              <w:snapToGrid w:val="0"/>
              <w:ind w:left="-104" w:leftChars="-33"/>
              <w:jc w:val="center"/>
              <w:rPr>
                <w:bCs/>
                <w:kern w:val="0"/>
                <w:sz w:val="24"/>
              </w:rPr>
            </w:pPr>
            <w:r>
              <w:rPr>
                <w:bCs/>
                <w:kern w:val="0"/>
                <w:sz w:val="24"/>
              </w:rPr>
              <w:t>或标准</w:t>
            </w:r>
          </w:p>
        </w:tc>
        <w:tc>
          <w:tcPr>
            <w:tcW w:w="730"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7" w:leftChars="-34" w:right="-104" w:rightChars="-33"/>
              <w:jc w:val="center"/>
              <w:rPr>
                <w:bCs/>
                <w:kern w:val="0"/>
                <w:sz w:val="24"/>
              </w:rPr>
            </w:pPr>
            <w:r>
              <w:rPr>
                <w:bCs/>
                <w:kern w:val="0"/>
                <w:sz w:val="24"/>
              </w:rPr>
              <w:t>强制性</w:t>
            </w:r>
          </w:p>
        </w:tc>
        <w:tc>
          <w:tcPr>
            <w:tcW w:w="810"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7" w:leftChars="-34" w:right="-104" w:rightChars="-33"/>
              <w:jc w:val="center"/>
              <w:rPr>
                <w:bCs/>
                <w:kern w:val="0"/>
                <w:sz w:val="24"/>
              </w:rPr>
            </w:pPr>
            <w:r>
              <w:rPr>
                <w:bCs/>
                <w:kern w:val="0"/>
                <w:sz w:val="24"/>
              </w:rPr>
              <w:t>非强</w:t>
            </w:r>
          </w:p>
          <w:p>
            <w:pPr>
              <w:adjustRightInd w:val="0"/>
              <w:snapToGrid w:val="0"/>
              <w:ind w:left="-107" w:leftChars="-34" w:right="-104" w:rightChars="-33"/>
              <w:jc w:val="center"/>
              <w:rPr>
                <w:bCs/>
                <w:kern w:val="0"/>
                <w:sz w:val="24"/>
              </w:rPr>
            </w:pPr>
            <w:r>
              <w:rPr>
                <w:bCs/>
                <w:kern w:val="0"/>
                <w:sz w:val="24"/>
              </w:rPr>
              <w:t>制性</w:t>
            </w:r>
          </w:p>
        </w:tc>
        <w:tc>
          <w:tcPr>
            <w:tcW w:w="682"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7" w:leftChars="-34" w:right="-104" w:rightChars="-33"/>
              <w:jc w:val="center"/>
              <w:rPr>
                <w:bCs/>
                <w:kern w:val="0"/>
                <w:sz w:val="24"/>
              </w:rPr>
            </w:pPr>
            <w:r>
              <w:rPr>
                <w:bCs/>
                <w:kern w:val="0"/>
                <w:sz w:val="24"/>
              </w:rPr>
              <w:t>重要项</w:t>
            </w:r>
          </w:p>
        </w:tc>
        <w:tc>
          <w:tcPr>
            <w:tcW w:w="768"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7" w:leftChars="-34" w:right="-104" w:rightChars="-33"/>
              <w:jc w:val="center"/>
              <w:rPr>
                <w:bCs/>
                <w:kern w:val="0"/>
                <w:sz w:val="24"/>
              </w:rPr>
            </w:pPr>
            <w:r>
              <w:rPr>
                <w:bCs/>
                <w:kern w:val="0"/>
                <w:sz w:val="24"/>
              </w:rPr>
              <w:t>较重要项</w:t>
            </w:r>
          </w:p>
        </w:tc>
        <w:tc>
          <w:tcPr>
            <w:tcW w:w="567" w:type="dxa"/>
            <w:tcBorders>
              <w:top w:val="single" w:color="auto" w:sz="4" w:space="0"/>
              <w:left w:val="single" w:color="auto" w:sz="4" w:space="0"/>
              <w:right w:val="single" w:color="auto" w:sz="4" w:space="0"/>
            </w:tcBorders>
            <w:shd w:val="clear" w:color="auto" w:fill="EEECE1"/>
            <w:vAlign w:val="center"/>
          </w:tcPr>
          <w:p>
            <w:pPr>
              <w:adjustRightInd w:val="0"/>
              <w:snapToGrid w:val="0"/>
              <w:ind w:left="-104" w:leftChars="-33" w:right="-104" w:rightChars="-33"/>
              <w:jc w:val="center"/>
              <w:rPr>
                <w:bCs/>
                <w:kern w:val="0"/>
                <w:sz w:val="24"/>
              </w:rPr>
            </w:pPr>
            <w:r>
              <w:rPr>
                <w:bCs/>
                <w:kern w:val="0"/>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1</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总砷</w:t>
            </w:r>
          </w:p>
        </w:tc>
        <w:tc>
          <w:tcPr>
            <w:tcW w:w="2096" w:type="dxa"/>
            <w:vAlign w:val="center"/>
          </w:tcPr>
          <w:p>
            <w:pPr>
              <w:widowControl/>
              <w:snapToGrid w:val="0"/>
              <w:jc w:val="center"/>
              <w:rPr>
                <w:rFonts w:hint="default" w:ascii="仿宋_GB2312" w:hAnsi="宋体" w:eastAsia="仿宋_GB2312" w:cs="宋体"/>
                <w:bCs/>
                <w:color w:val="000000"/>
                <w:sz w:val="24"/>
                <w:lang w:val="en-US" w:eastAsia="zh-CN"/>
              </w:rPr>
            </w:pPr>
            <w:r>
              <w:rPr>
                <w:rFonts w:hint="eastAsia" w:ascii="仿宋_GB2312" w:hAnsi="宋体" w:cs="宋体"/>
                <w:bCs/>
                <w:color w:val="000000"/>
                <w:sz w:val="24"/>
                <w:lang w:val="en-US" w:eastAsia="zh-CN"/>
              </w:rPr>
              <w:t>GB/T 13079</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2</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铅</w:t>
            </w:r>
          </w:p>
        </w:tc>
        <w:tc>
          <w:tcPr>
            <w:tcW w:w="2096" w:type="dxa"/>
            <w:vAlign w:val="center"/>
          </w:tcPr>
          <w:p>
            <w:pPr>
              <w:widowControl/>
              <w:snapToGrid w:val="0"/>
              <w:jc w:val="center"/>
              <w:rPr>
                <w:rFonts w:hint="default" w:ascii="仿宋_GB2312" w:hAnsi="宋体" w:cs="宋体"/>
                <w:bCs/>
                <w:color w:val="000000"/>
                <w:sz w:val="24"/>
                <w:lang w:val="en-US"/>
              </w:rPr>
            </w:pPr>
            <w:r>
              <w:rPr>
                <w:rFonts w:hint="eastAsia" w:ascii="仿宋_GB2312" w:hAnsi="宋体" w:cs="宋体"/>
                <w:bCs/>
                <w:color w:val="000000"/>
                <w:sz w:val="24"/>
                <w:lang w:val="en-US" w:eastAsia="zh-CN"/>
              </w:rPr>
              <w:t>GB/T 13080</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3</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汞</w:t>
            </w:r>
          </w:p>
        </w:tc>
        <w:tc>
          <w:tcPr>
            <w:tcW w:w="2096" w:type="dxa"/>
            <w:vAlign w:val="center"/>
          </w:tcPr>
          <w:p>
            <w:pPr>
              <w:widowControl/>
              <w:snapToGrid w:val="0"/>
              <w:jc w:val="center"/>
              <w:rPr>
                <w:rFonts w:hint="default" w:ascii="仿宋_GB2312" w:hAnsi="宋体" w:cs="宋体"/>
                <w:bCs/>
                <w:color w:val="000000"/>
                <w:sz w:val="24"/>
                <w:lang w:val="en-US"/>
              </w:rPr>
            </w:pPr>
            <w:r>
              <w:rPr>
                <w:rFonts w:hint="eastAsia" w:ascii="仿宋_GB2312" w:hAnsi="宋体" w:cs="宋体"/>
                <w:bCs/>
                <w:color w:val="000000"/>
                <w:sz w:val="24"/>
                <w:lang w:val="en-US" w:eastAsia="zh-CN"/>
              </w:rPr>
              <w:t>GB/T 13081</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4</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镉</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lang w:val="en-US" w:eastAsia="zh-CN"/>
              </w:rPr>
              <w:t>GB/T 13082</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5</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铬</w:t>
            </w:r>
          </w:p>
        </w:tc>
        <w:tc>
          <w:tcPr>
            <w:tcW w:w="2096" w:type="dxa"/>
            <w:vAlign w:val="center"/>
          </w:tcPr>
          <w:p>
            <w:pPr>
              <w:widowControl/>
              <w:snapToGrid w:val="0"/>
              <w:jc w:val="center"/>
              <w:rPr>
                <w:rFonts w:hint="default" w:ascii="仿宋_GB2312" w:hAnsi="宋体" w:cs="宋体"/>
                <w:bCs/>
                <w:color w:val="000000"/>
                <w:sz w:val="24"/>
                <w:lang w:val="en-US"/>
              </w:rPr>
            </w:pPr>
            <w:r>
              <w:rPr>
                <w:rFonts w:hint="eastAsia" w:ascii="仿宋_GB2312" w:hAnsi="宋体" w:cs="宋体"/>
                <w:bCs/>
                <w:color w:val="000000"/>
                <w:sz w:val="24"/>
                <w:lang w:val="en-US" w:eastAsia="zh-CN"/>
              </w:rPr>
              <w:t>GB/T 13088-2006（原子吸收光谱法）</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6</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黄曲霉毒素B1</w:t>
            </w:r>
          </w:p>
        </w:tc>
        <w:tc>
          <w:tcPr>
            <w:tcW w:w="2096" w:type="dxa"/>
            <w:vAlign w:val="center"/>
          </w:tcPr>
          <w:p>
            <w:pPr>
              <w:widowControl/>
              <w:snapToGrid w:val="0"/>
              <w:jc w:val="center"/>
              <w:rPr>
                <w:rFonts w:hint="default" w:ascii="仿宋_GB2312" w:hAnsi="宋体" w:eastAsia="仿宋_GB2312" w:cs="宋体"/>
                <w:bCs/>
                <w:color w:val="000000"/>
                <w:sz w:val="24"/>
                <w:lang w:val="en-US" w:eastAsia="zh-CN"/>
              </w:rPr>
            </w:pPr>
            <w:r>
              <w:rPr>
                <w:rFonts w:hint="eastAsia" w:ascii="仿宋_GB2312" w:hAnsi="宋体" w:cs="宋体"/>
                <w:bCs/>
                <w:color w:val="000000"/>
                <w:sz w:val="24"/>
                <w:lang w:val="en-US" w:eastAsia="zh-CN"/>
              </w:rPr>
              <w:t>NY/T 2071</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7</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玉米赤霉烯酮</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lang w:val="en-US" w:eastAsia="zh-CN"/>
              </w:rPr>
              <w:t>NY/T 2071</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bookmarkStart w:id="0" w:name="_GoBack"/>
            <w:bookmarkEnd w:id="0"/>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8</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赫曲霉毒素A</w:t>
            </w:r>
          </w:p>
        </w:tc>
        <w:tc>
          <w:tcPr>
            <w:tcW w:w="2096" w:type="dxa"/>
            <w:vAlign w:val="center"/>
          </w:tcPr>
          <w:p>
            <w:pPr>
              <w:widowControl/>
              <w:snapToGrid w:val="0"/>
              <w:jc w:val="center"/>
              <w:rPr>
                <w:rFonts w:hint="default" w:ascii="仿宋_GB2312" w:hAnsi="宋体" w:eastAsia="仿宋_GB2312" w:cs="宋体"/>
                <w:bCs/>
                <w:color w:val="000000"/>
                <w:sz w:val="24"/>
                <w:lang w:val="en-US" w:eastAsia="zh-CN"/>
              </w:rPr>
            </w:pPr>
            <w:r>
              <w:rPr>
                <w:rFonts w:hint="eastAsia" w:ascii="仿宋_GB2312" w:hAnsi="宋体" w:cs="宋体"/>
                <w:bCs/>
                <w:color w:val="000000"/>
                <w:sz w:val="24"/>
                <w:lang w:val="en-US" w:eastAsia="zh-CN"/>
              </w:rPr>
              <w:t>GB/T 30957</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9</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脱氧雪腐镰刀烯醇</w:t>
            </w:r>
          </w:p>
        </w:tc>
        <w:tc>
          <w:tcPr>
            <w:tcW w:w="2096" w:type="dxa"/>
            <w:vAlign w:val="center"/>
          </w:tcPr>
          <w:p>
            <w:pPr>
              <w:widowControl/>
              <w:snapToGrid w:val="0"/>
              <w:jc w:val="center"/>
              <w:rPr>
                <w:rFonts w:hint="default" w:ascii="仿宋_GB2312" w:hAnsi="宋体" w:cs="宋体"/>
                <w:bCs/>
                <w:color w:val="000000"/>
                <w:sz w:val="24"/>
                <w:lang w:val="en-US"/>
              </w:rPr>
            </w:pPr>
            <w:r>
              <w:rPr>
                <w:rFonts w:hint="eastAsia" w:ascii="仿宋_GB2312" w:hAnsi="宋体" w:cs="宋体"/>
                <w:bCs/>
                <w:color w:val="000000"/>
                <w:sz w:val="24"/>
                <w:lang w:val="en-US" w:eastAsia="zh-CN"/>
              </w:rPr>
              <w:t>GB/T 30956</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10</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粗蛋白</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 xml:space="preserve">GB/T 6432-2018 </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11</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水分</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GB/T 6435-2014</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12</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钙</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GB/T 13885-2017</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04" w:type="dxa"/>
            <w:vAlign w:val="center"/>
          </w:tcPr>
          <w:p>
            <w:pPr>
              <w:keepNext w:val="0"/>
              <w:keepLines w:val="0"/>
              <w:pageBreakBefore w:val="0"/>
              <w:widowControl/>
              <w:kinsoku/>
              <w:wordWrap/>
              <w:overflowPunct/>
              <w:topLinePunct w:val="0"/>
              <w:autoSpaceDE/>
              <w:autoSpaceDN/>
              <w:bidi w:val="0"/>
              <w:adjustRightInd/>
              <w:snapToGrid/>
              <w:jc w:val="center"/>
              <w:rPr>
                <w:rFonts w:ascii="仿宋_GB2312" w:hAnsi="宋体" w:cs="宋体"/>
                <w:bCs/>
                <w:color w:val="000000"/>
                <w:sz w:val="24"/>
              </w:rPr>
            </w:pPr>
            <w:r>
              <w:rPr>
                <w:rFonts w:hint="eastAsia" w:ascii="仿宋_GB2312" w:hAnsi="宋体" w:cs="宋体"/>
                <w:bCs/>
                <w:color w:val="000000"/>
                <w:sz w:val="24"/>
              </w:rPr>
              <w:t>13</w:t>
            </w:r>
          </w:p>
        </w:tc>
        <w:tc>
          <w:tcPr>
            <w:tcW w:w="216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eastAsia" w:ascii="仿宋" w:hAnsi="仿宋" w:eastAsia="仿宋" w:cs="仿宋"/>
                <w:bCs/>
                <w:color w:val="000000"/>
                <w:sz w:val="24"/>
                <w:szCs w:val="24"/>
              </w:rPr>
            </w:pPr>
            <w:r>
              <w:rPr>
                <w:rFonts w:hint="eastAsia" w:ascii="仿宋" w:hAnsi="仿宋" w:eastAsia="仿宋" w:cs="仿宋"/>
                <w:i w:val="0"/>
                <w:iCs w:val="0"/>
                <w:color w:val="000000"/>
                <w:kern w:val="0"/>
                <w:sz w:val="24"/>
                <w:szCs w:val="24"/>
                <w:u w:val="none"/>
                <w:lang w:val="en-US" w:eastAsia="zh-CN" w:bidi="ar"/>
              </w:rPr>
              <w:t>总磷</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GB/T 6437-2018</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bl>
    <w:p>
      <w:pPr>
        <w:spacing w:line="590" w:lineRule="exact"/>
        <w:ind w:firstLine="632" w:firstLineChars="200"/>
        <w:jc w:val="both"/>
        <w:rPr>
          <w:rFonts w:hint="eastAsia" w:ascii="仿宋" w:hAnsi="仿宋" w:eastAsia="仿宋" w:cs="仿宋"/>
          <w:color w:val="000000"/>
          <w:kern w:val="2"/>
          <w:sz w:val="32"/>
          <w:szCs w:val="32"/>
        </w:rPr>
      </w:pPr>
      <w:r>
        <w:rPr>
          <w:rFonts w:hint="eastAsia" w:ascii="仿宋" w:hAnsi="仿宋" w:eastAsia="仿宋" w:cs="仿宋"/>
          <w:color w:val="000000"/>
          <w:kern w:val="2"/>
          <w:sz w:val="32"/>
          <w:szCs w:val="32"/>
        </w:rPr>
        <w:t>执行企业标准、团体标准、地方标准的产品，检验项目参照上述内容执行。</w:t>
      </w:r>
    </w:p>
    <w:p>
      <w:pPr>
        <w:spacing w:line="590" w:lineRule="exact"/>
        <w:ind w:firstLine="632" w:firstLineChars="200"/>
        <w:jc w:val="both"/>
        <w:rPr>
          <w:rFonts w:hint="eastAsia" w:ascii="Calibri" w:hAnsi="Calibri" w:eastAsia="黑体" w:cs="黑体"/>
          <w:color w:val="000000"/>
          <w:kern w:val="2"/>
          <w:sz w:val="32"/>
          <w:szCs w:val="32"/>
        </w:rPr>
      </w:pPr>
      <w:r>
        <w:rPr>
          <w:rFonts w:hint="eastAsia" w:ascii="仿宋" w:hAnsi="仿宋" w:eastAsia="仿宋" w:cs="仿宋"/>
          <w:color w:val="000000"/>
          <w:kern w:val="2"/>
          <w:sz w:val="32"/>
          <w:szCs w:val="32"/>
        </w:rPr>
        <w:t>凡是注日期的文件，其随后所有的修改单（不包括勘误的内容）或修订版不适用于本细则。凡是不注日期的文件，其最新版本适用于本细则。</w:t>
      </w:r>
    </w:p>
    <w:p>
      <w:pPr>
        <w:spacing w:line="590" w:lineRule="exact"/>
        <w:ind w:firstLine="632" w:firstLineChars="200"/>
        <w:jc w:val="both"/>
        <w:rPr>
          <w:rFonts w:hint="eastAsia" w:ascii="黑体" w:hAnsi="黑体" w:eastAsia="黑体" w:cs="黑体"/>
          <w:sz w:val="32"/>
          <w:szCs w:val="32"/>
        </w:rPr>
      </w:pPr>
      <w:r>
        <w:rPr>
          <w:rFonts w:hint="eastAsia" w:ascii="Calibri" w:hAnsi="Calibri" w:eastAsia="黑体" w:cs="黑体"/>
          <w:color w:val="000000"/>
          <w:kern w:val="2"/>
          <w:sz w:val="32"/>
          <w:szCs w:val="32"/>
        </w:rPr>
        <w:t>三、判定规则</w:t>
      </w:r>
    </w:p>
    <w:p>
      <w:pPr>
        <w:ind w:firstLine="632" w:firstLineChars="200"/>
        <w:rPr>
          <w:rFonts w:hint="eastAsia" w:ascii="Calibri" w:hAnsi="Calibri" w:eastAsia="仿宋_GB2312"/>
          <w:kern w:val="2"/>
          <w:sz w:val="32"/>
          <w:szCs w:val="32"/>
        </w:rPr>
      </w:pPr>
      <w:r>
        <w:rPr>
          <w:rFonts w:hint="eastAsia" w:ascii="Calibri" w:hAnsi="Calibri" w:eastAsia="仿宋_GB2312"/>
          <w:kern w:val="2"/>
          <w:sz w:val="32"/>
          <w:szCs w:val="32"/>
        </w:rPr>
        <w:t>（一）依据标准</w:t>
      </w:r>
    </w:p>
    <w:p>
      <w:pPr>
        <w:widowControl/>
        <w:autoSpaceDN w:val="0"/>
        <w:spacing w:line="590" w:lineRule="exact"/>
        <w:ind w:firstLine="632" w:firstLineChars="200"/>
        <w:jc w:val="left"/>
        <w:rPr>
          <w:rFonts w:cs="仿宋_GB2312"/>
          <w:kern w:val="0"/>
          <w:szCs w:val="32"/>
        </w:rPr>
      </w:pPr>
      <w:r>
        <w:rPr>
          <w:rFonts w:hint="eastAsia" w:cs="仿宋_GB2312"/>
          <w:kern w:val="0"/>
          <w:szCs w:val="32"/>
        </w:rPr>
        <w:t>1.强制性标准:</w:t>
      </w:r>
    </w:p>
    <w:p>
      <w:pPr>
        <w:adjustRightInd w:val="0"/>
        <w:snapToGrid w:val="0"/>
        <w:spacing w:line="590" w:lineRule="exact"/>
        <w:ind w:firstLine="632" w:firstLineChars="200"/>
        <w:rPr>
          <w:rFonts w:cs="仿宋_GB2312"/>
          <w:szCs w:val="32"/>
        </w:rPr>
      </w:pPr>
      <w:r>
        <w:rPr>
          <w:rFonts w:hint="eastAsia" w:cs="仿宋_GB2312"/>
          <w:szCs w:val="32"/>
        </w:rPr>
        <w:t xml:space="preserve">GB </w:t>
      </w:r>
      <w:r>
        <w:rPr>
          <w:rFonts w:hint="eastAsia" w:cs="仿宋_GB2312"/>
          <w:szCs w:val="32"/>
          <w:lang w:val="en-US" w:eastAsia="zh-CN"/>
        </w:rPr>
        <w:t>13078</w:t>
      </w:r>
      <w:r>
        <w:rPr>
          <w:rFonts w:hint="eastAsia" w:cs="仿宋_GB2312"/>
          <w:szCs w:val="32"/>
        </w:rPr>
        <w:t>-20</w:t>
      </w:r>
      <w:r>
        <w:rPr>
          <w:rFonts w:hint="eastAsia" w:cs="仿宋_GB2312"/>
          <w:szCs w:val="32"/>
          <w:lang w:val="en-US" w:eastAsia="zh-CN"/>
        </w:rPr>
        <w:t>17</w:t>
      </w:r>
      <w:r>
        <w:rPr>
          <w:rFonts w:hint="eastAsia" w:cs="仿宋_GB2312"/>
          <w:szCs w:val="32"/>
        </w:rPr>
        <w:t xml:space="preserve"> 《</w:t>
      </w:r>
      <w:r>
        <w:rPr>
          <w:rFonts w:hint="eastAsia" w:cs="仿宋_GB2312"/>
          <w:szCs w:val="32"/>
          <w:lang w:val="en-US" w:eastAsia="zh-CN"/>
        </w:rPr>
        <w:t>饲料卫生标准</w:t>
      </w:r>
      <w:r>
        <w:rPr>
          <w:rFonts w:hint="eastAsia" w:cs="仿宋_GB2312"/>
          <w:szCs w:val="32"/>
        </w:rPr>
        <w:t>》</w:t>
      </w:r>
    </w:p>
    <w:p>
      <w:pPr>
        <w:widowControl/>
        <w:autoSpaceDN w:val="0"/>
        <w:spacing w:line="590" w:lineRule="exact"/>
        <w:ind w:firstLine="632" w:firstLineChars="200"/>
        <w:jc w:val="left"/>
        <w:rPr>
          <w:rFonts w:cs="仿宋_GB2312"/>
          <w:kern w:val="0"/>
          <w:szCs w:val="32"/>
        </w:rPr>
      </w:pPr>
      <w:r>
        <w:rPr>
          <w:rFonts w:hint="eastAsia" w:cs="仿宋_GB2312"/>
          <w:kern w:val="0"/>
          <w:szCs w:val="32"/>
        </w:rPr>
        <w:t>2.推荐性标准:</w:t>
      </w:r>
    </w:p>
    <w:p>
      <w:pPr>
        <w:adjustRightInd w:val="0"/>
        <w:snapToGrid w:val="0"/>
        <w:spacing w:line="590" w:lineRule="exact"/>
        <w:ind w:firstLine="632" w:firstLineChars="200"/>
        <w:rPr>
          <w:rFonts w:hint="eastAsia" w:cs="仿宋_GB2312"/>
          <w:szCs w:val="32"/>
        </w:rPr>
      </w:pPr>
      <w:r>
        <w:rPr>
          <w:rFonts w:hint="eastAsia" w:cs="仿宋_GB2312"/>
          <w:szCs w:val="32"/>
        </w:rPr>
        <w:t>GB/T 18823-2010 《饲料检测结果判定的允许误差》</w:t>
      </w:r>
    </w:p>
    <w:p>
      <w:pPr>
        <w:widowControl w:val="0"/>
        <w:adjustRightInd/>
        <w:snapToGrid/>
        <w:spacing w:after="0" w:line="560" w:lineRule="exact"/>
        <w:ind w:firstLine="474"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（二）判定原则</w:t>
      </w:r>
    </w:p>
    <w:p>
      <w:pPr>
        <w:widowControl w:val="0"/>
        <w:adjustRightInd/>
        <w:snapToGrid/>
        <w:spacing w:after="0" w:line="560" w:lineRule="exact"/>
        <w:ind w:firstLine="474"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经检验，检验项目全部合格，判定为抽取的样本所检项目未检出不合格；检验项目中任一项或一项以上不合格，判定为被抽查产品不合格。</w:t>
      </w:r>
    </w:p>
    <w:p>
      <w:pPr>
        <w:widowControl w:val="0"/>
        <w:adjustRightInd/>
        <w:snapToGrid/>
        <w:spacing w:after="0" w:line="560" w:lineRule="exact"/>
        <w:ind w:firstLine="474"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当被检样品明示的质量要求优于监督抽查实施细则中依据的标准要求时，应按被检样品明示的质量要求判定；</w:t>
      </w:r>
    </w:p>
    <w:p>
      <w:pPr>
        <w:widowControl w:val="0"/>
        <w:adjustRightInd/>
        <w:snapToGrid/>
        <w:spacing w:after="0" w:line="560" w:lineRule="exact"/>
        <w:ind w:firstLine="474"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当被检样品明示的质量要求劣于或不包含监督抽查实施细则中依据的强制性标准要求时，应按照强制性标准要求判定；</w:t>
      </w:r>
    </w:p>
    <w:p>
      <w:pPr>
        <w:widowControl w:val="0"/>
        <w:adjustRightInd/>
        <w:snapToGrid/>
        <w:spacing w:after="0" w:line="560" w:lineRule="exact"/>
        <w:ind w:firstLine="474"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当被检样品明示的质量要求劣于或包含监督抽查实施细则中依据的推荐性标准要求时，应以被检样品明示的质量要求判定，如相应检验结果不符合相关推荐性标准要求时，应在检验报告中予以说明；</w:t>
      </w:r>
    </w:p>
    <w:p>
      <w:pPr>
        <w:widowControl w:val="0"/>
        <w:adjustRightInd/>
        <w:snapToGrid/>
        <w:spacing w:after="0" w:line="560" w:lineRule="exact"/>
        <w:ind w:firstLine="474"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当被检样品明示的质量要求不包含监督抽查实施细则中依据的推荐性标准要求时，该指标不参与判定，但应在检验报告中作出说明；</w:t>
      </w:r>
    </w:p>
    <w:p>
      <w:pPr>
        <w:widowControl w:val="0"/>
        <w:adjustRightInd/>
        <w:snapToGrid/>
        <w:spacing w:after="0" w:line="560" w:lineRule="exact"/>
        <w:ind w:firstLine="474"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当被检样品未能提供有效的企业标准时，按相关国家或行业标准进行判定；</w:t>
      </w:r>
    </w:p>
    <w:p>
      <w:pPr>
        <w:widowControl w:val="0"/>
        <w:adjustRightInd/>
        <w:snapToGrid/>
        <w:spacing w:after="0" w:line="560" w:lineRule="exact"/>
        <w:ind w:firstLine="474"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widowControl w:val="0"/>
        <w:adjustRightInd/>
        <w:snapToGrid/>
        <w:spacing w:after="0" w:line="560" w:lineRule="exact"/>
        <w:ind w:firstLine="474"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按照产品质量相关法律法规的规定判定。</w:t>
      </w:r>
    </w:p>
    <w:p>
      <w:pPr>
        <w:widowControl w:val="0"/>
        <w:adjustRightInd/>
        <w:snapToGrid/>
        <w:spacing w:after="0" w:line="560" w:lineRule="exact"/>
        <w:ind w:firstLine="474"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检验中发现因样品失效或者其他原因致使检验无法进行的，检验人员应如实记录，并提供相关证明材料，报送组织监督抽查的市场监管部门。</w:t>
      </w:r>
    </w:p>
    <w:p>
      <w:pPr>
        <w:rPr>
          <w:rFonts w:hint="eastAsia" w:ascii="Calibri" w:hAnsi="Calibri" w:eastAsia="仿宋_GB2312"/>
          <w:kern w:val="2"/>
          <w:sz w:val="32"/>
          <w:szCs w:val="32"/>
        </w:rPr>
      </w:pPr>
    </w:p>
    <w:sectPr>
      <w:footerReference r:id="rId3" w:type="default"/>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8520"/>
        <w:tab w:val="left" w:pos="8820"/>
        <w:tab w:val="clear" w:pos="8306"/>
      </w:tabs>
      <w:spacing w:line="300" w:lineRule="exact"/>
      <w:ind w:right="374" w:rightChars="117" w:firstLine="298" w:firstLineChars="166"/>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148" w:firstLine="0"/>
      </w:pPr>
      <w:rPr>
        <w:rFonts w:hint="default" w:ascii="Times New Roman" w:hAnsi="Times New Roman"/>
        <w:b/>
        <w:i w:val="0"/>
        <w:sz w:val="21"/>
      </w:rPr>
    </w:lvl>
    <w:lvl w:ilvl="1" w:tentative="0">
      <w:start w:val="1"/>
      <w:numFmt w:val="decimal"/>
      <w:suff w:val="nothing"/>
      <w:lvlText w:val="%1%2　"/>
      <w:lvlJc w:val="left"/>
      <w:pPr>
        <w:ind w:left="1708" w:firstLine="0"/>
      </w:pPr>
      <w:rPr>
        <w:rFonts w:hint="eastAsia" w:ascii="黑体" w:hAnsi="Times New Roman" w:eastAsia="黑体"/>
        <w:b w:val="0"/>
        <w:i w:val="0"/>
        <w:sz w:val="21"/>
      </w:rPr>
    </w:lvl>
    <w:lvl w:ilvl="2" w:tentative="0">
      <w:start w:val="1"/>
      <w:numFmt w:val="decimal"/>
      <w:pStyle w:val="10"/>
      <w:suff w:val="nothing"/>
      <w:lvlText w:val="%1%2.%3　"/>
      <w:lvlJc w:val="left"/>
      <w:pPr>
        <w:ind w:left="716" w:firstLine="0"/>
      </w:pPr>
      <w:rPr>
        <w:rFonts w:hint="eastAsia" w:ascii="黑体" w:hAnsi="Times New Roman" w:eastAsia="黑体" w:cs="Times New Roman"/>
        <w:b w:val="0"/>
      </w:rPr>
    </w:lvl>
    <w:lvl w:ilvl="3" w:tentative="0">
      <w:start w:val="1"/>
      <w:numFmt w:val="decimal"/>
      <w:isLgl/>
      <w:suff w:val="nothing"/>
      <w:lvlText w:val="%2%1.%3.%4　"/>
      <w:lvlJc w:val="left"/>
      <w:pPr>
        <w:ind w:left="2269" w:firstLine="0"/>
      </w:pPr>
      <w:rPr>
        <w:rFonts w:hint="eastAsia" w:ascii="黑体" w:hAnsi="Times New Roman" w:eastAsia="黑体"/>
        <w:b w:val="0"/>
        <w:i w:val="0"/>
        <w:sz w:val="21"/>
      </w:rPr>
    </w:lvl>
    <w:lvl w:ilvl="4" w:tentative="0">
      <w:start w:val="1"/>
      <w:numFmt w:val="decimal"/>
      <w:suff w:val="nothing"/>
      <w:lvlText w:val="%1%2.%3.%4.%5　"/>
      <w:lvlJc w:val="left"/>
      <w:pPr>
        <w:ind w:left="1141" w:firstLine="0"/>
      </w:pPr>
      <w:rPr>
        <w:rFonts w:hint="eastAsia" w:ascii="黑体" w:hAnsi="Times New Roman" w:eastAsia="黑体"/>
        <w:b w:val="0"/>
        <w:i w:val="0"/>
        <w:sz w:val="21"/>
      </w:rPr>
    </w:lvl>
    <w:lvl w:ilvl="5" w:tentative="0">
      <w:start w:val="1"/>
      <w:numFmt w:val="decimal"/>
      <w:suff w:val="nothing"/>
      <w:lvlText w:val="%1%2.%3.%4.%5.%6　"/>
      <w:lvlJc w:val="left"/>
      <w:pPr>
        <w:ind w:left="148" w:firstLine="0"/>
      </w:pPr>
      <w:rPr>
        <w:rFonts w:hint="eastAsia" w:ascii="黑体" w:hAnsi="Times New Roman" w:eastAsia="黑体"/>
        <w:b w:val="0"/>
        <w:i w:val="0"/>
        <w:sz w:val="21"/>
      </w:rPr>
    </w:lvl>
    <w:lvl w:ilvl="6" w:tentative="0">
      <w:start w:val="1"/>
      <w:numFmt w:val="decimal"/>
      <w:suff w:val="nothing"/>
      <w:lvlText w:val="%1%2.%3.%4.%5.%6.%7　"/>
      <w:lvlJc w:val="left"/>
      <w:pPr>
        <w:ind w:left="148" w:firstLine="0"/>
      </w:pPr>
      <w:rPr>
        <w:rFonts w:hint="eastAsia" w:ascii="黑体" w:hAnsi="Times New Roman" w:eastAsia="黑体"/>
        <w:b w:val="0"/>
        <w:i w:val="0"/>
        <w:sz w:val="21"/>
      </w:rPr>
    </w:lvl>
    <w:lvl w:ilvl="7" w:tentative="0">
      <w:start w:val="1"/>
      <w:numFmt w:val="decimal"/>
      <w:lvlText w:val="%1.%2.%3.%4.%5.%6.%7.%8"/>
      <w:lvlJc w:val="left"/>
      <w:pPr>
        <w:tabs>
          <w:tab w:val="left" w:pos="4499"/>
        </w:tabs>
        <w:ind w:left="4117" w:hanging="1418"/>
      </w:pPr>
      <w:rPr>
        <w:rFonts w:hint="eastAsia"/>
      </w:rPr>
    </w:lvl>
    <w:lvl w:ilvl="8" w:tentative="0">
      <w:start w:val="1"/>
      <w:numFmt w:val="decimal"/>
      <w:lvlText w:val="%1.%2.%3.%4.%5.%6.%7.%8.%9"/>
      <w:lvlJc w:val="left"/>
      <w:pPr>
        <w:tabs>
          <w:tab w:val="left" w:pos="4925"/>
        </w:tabs>
        <w:ind w:left="4825"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N2U2YjdlYmYxNmEwYTZhNDAyOTA0NzdhOGY0YTAifQ=="/>
  </w:docVars>
  <w:rsids>
    <w:rsidRoot w:val="57797362"/>
    <w:rsid w:val="00025731"/>
    <w:rsid w:val="00145668"/>
    <w:rsid w:val="00254602"/>
    <w:rsid w:val="00297D5D"/>
    <w:rsid w:val="002B1E96"/>
    <w:rsid w:val="00342E2A"/>
    <w:rsid w:val="0034740F"/>
    <w:rsid w:val="004462D8"/>
    <w:rsid w:val="004B46D6"/>
    <w:rsid w:val="006A043C"/>
    <w:rsid w:val="007F2982"/>
    <w:rsid w:val="00952C8F"/>
    <w:rsid w:val="009909D8"/>
    <w:rsid w:val="00A22C72"/>
    <w:rsid w:val="00B50304"/>
    <w:rsid w:val="00CB5656"/>
    <w:rsid w:val="00CC1355"/>
    <w:rsid w:val="00CE3D2B"/>
    <w:rsid w:val="00ED72C5"/>
    <w:rsid w:val="00EE5BCD"/>
    <w:rsid w:val="00F32AE8"/>
    <w:rsid w:val="08EC6279"/>
    <w:rsid w:val="11131E86"/>
    <w:rsid w:val="396B30B3"/>
    <w:rsid w:val="3DB73FDF"/>
    <w:rsid w:val="3EE304C6"/>
    <w:rsid w:val="57797362"/>
    <w:rsid w:val="591533C5"/>
    <w:rsid w:val="5F9B66C4"/>
    <w:rsid w:val="613C6411"/>
    <w:rsid w:val="682525AE"/>
    <w:rsid w:val="72151CB4"/>
    <w:rsid w:val="76161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6"/>
    <w:qFormat/>
    <w:uiPriority w:val="0"/>
    <w:pPr>
      <w:jc w:val="center"/>
      <w:outlineLvl w:val="0"/>
    </w:pPr>
    <w:rPr>
      <w:rFonts w:ascii="方正小标宋简体" w:eastAsia="方正小标宋简体"/>
      <w:kern w:val="44"/>
      <w:sz w:val="3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paragraph" w:customStyle="1" w:styleId="10">
    <w:name w:val="一级条标题"/>
    <w:next w:val="9"/>
    <w:qFormat/>
    <w:uiPriority w:val="0"/>
    <w:pPr>
      <w:numPr>
        <w:ilvl w:val="2"/>
        <w:numId w:val="1"/>
      </w:numPr>
      <w:spacing w:beforeLines="50" w:afterLines="50"/>
      <w:outlineLvl w:val="2"/>
    </w:pPr>
    <w:rPr>
      <w:rFonts w:ascii="黑体" w:hAnsi="Calibri" w:eastAsia="黑体" w:cs="Times New Roman"/>
      <w:sz w:val="21"/>
      <w:szCs w:val="21"/>
      <w:lang w:val="en-US" w:eastAsia="zh-CN" w:bidi="ar-SA"/>
    </w:rPr>
  </w:style>
  <w:style w:type="paragraph" w:customStyle="1" w:styleId="11">
    <w:name w:val="二级条标题"/>
    <w:basedOn w:val="10"/>
    <w:next w:val="9"/>
    <w:qFormat/>
    <w:uiPriority w:val="0"/>
    <w:pPr>
      <w:spacing w:before="50" w:after="50"/>
      <w:outlineLvl w:val="3"/>
    </w:pPr>
  </w:style>
  <w:style w:type="paragraph" w:customStyle="1" w:styleId="12">
    <w:name w:val="列出段落2"/>
    <w:basedOn w:val="1"/>
    <w:unhideWhenUsed/>
    <w:qFormat/>
    <w:uiPriority w:val="99"/>
    <w:pPr>
      <w:ind w:firstLine="420" w:firstLineChars="200"/>
    </w:pPr>
    <w:rPr>
      <w:sz w:val="30"/>
    </w:rPr>
  </w:style>
  <w:style w:type="paragraph" w:customStyle="1" w:styleId="13">
    <w:name w:val="Table Paragraph"/>
    <w:basedOn w:val="1"/>
    <w:qFormat/>
    <w:uiPriority w:val="0"/>
    <w:pPr>
      <w:jc w:val="left"/>
    </w:pPr>
    <w:rPr>
      <w:rFonts w:ascii="Calibri" w:hAnsi="Calibri"/>
      <w:kern w:val="0"/>
      <w:sz w:val="22"/>
      <w:szCs w:val="22"/>
      <w:lang w:eastAsia="en-US"/>
    </w:rPr>
  </w:style>
  <w:style w:type="character" w:customStyle="1" w:styleId="14">
    <w:name w:val="页眉 Char"/>
    <w:basedOn w:val="8"/>
    <w:link w:val="5"/>
    <w:qFormat/>
    <w:uiPriority w:val="0"/>
    <w:rPr>
      <w:rFonts w:ascii="Times New Roman" w:hAnsi="Times New Roman" w:eastAsia="仿宋_GB2312" w:cs="Times New Roman"/>
      <w:kern w:val="2"/>
      <w:sz w:val="18"/>
      <w:szCs w:val="18"/>
    </w:rPr>
  </w:style>
  <w:style w:type="character" w:customStyle="1" w:styleId="15">
    <w:name w:val="批注框文本 Char"/>
    <w:basedOn w:val="8"/>
    <w:link w:val="3"/>
    <w:qFormat/>
    <w:uiPriority w:val="0"/>
    <w:rPr>
      <w:rFonts w:ascii="Times New Roman" w:hAnsi="Times New Roman" w:eastAsia="仿宋_GB2312" w:cs="Times New Roman"/>
      <w:kern w:val="2"/>
      <w:sz w:val="18"/>
      <w:szCs w:val="18"/>
    </w:rPr>
  </w:style>
  <w:style w:type="character" w:customStyle="1" w:styleId="16">
    <w:name w:val="标题 1 Char"/>
    <w:basedOn w:val="8"/>
    <w:link w:val="2"/>
    <w:qFormat/>
    <w:uiPriority w:val="0"/>
    <w:rPr>
      <w:rFonts w:ascii="方正小标宋简体" w:hAnsi="Times New Roman" w:eastAsia="方正小标宋简体" w:cs="Times New Roman"/>
      <w:kern w:val="44"/>
      <w:sz w:val="38"/>
      <w:szCs w:val="24"/>
    </w:rPr>
  </w:style>
  <w:style w:type="paragraph" w:customStyle="1" w:styleId="17">
    <w:name w:val="表格"/>
    <w:basedOn w:val="1"/>
    <w:qFormat/>
    <w:uiPriority w:val="0"/>
    <w:pPr>
      <w:adjustRightInd w:val="0"/>
      <w:snapToGrid w:val="0"/>
      <w:jc w:val="center"/>
    </w:pPr>
    <w:rPr>
      <w:rFonts w:ascii="仿宋_GB2312" w:eastAsia="宋体"/>
      <w:color w:val="000000"/>
      <w:kern w:val="0"/>
      <w:sz w:val="21"/>
    </w:rPr>
  </w:style>
  <w:style w:type="paragraph" w:customStyle="1" w:styleId="18">
    <w:name w:val="二级无标题条"/>
    <w:basedOn w:val="1"/>
    <w:qFormat/>
    <w:uiPriority w:val="0"/>
    <w:rPr>
      <w:rFonts w:eastAsia="宋体"/>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965</Words>
  <Characters>1121</Characters>
  <Lines>30</Lines>
  <Paragraphs>8</Paragraphs>
  <TotalTime>0</TotalTime>
  <ScaleCrop>false</ScaleCrop>
  <LinksUpToDate>false</LinksUpToDate>
  <CharactersWithSpaces>1139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2020-04-03T10:07:00Z</dcterms:created>
  <dc:creator>刘晓丽</dc:creator>
  <cp:lastModifiedBy>Lee</cp:lastModifiedBy>
  <dcterms:modified xsi:type="dcterms:W3CDTF">2022-08-31T02:41:21Z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C9A477452A8547A7A394EC9BDC14BEFB</vt:lpwstr>
  </property>
</Properties>
</file>