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Times New Roman" w:hAnsi="Times New Roman" w:eastAsia="方正小标宋简体" w:cs="Times New Roman"/>
          <w:color w:val="auto"/>
          <w:sz w:val="44"/>
          <w:szCs w:val="44"/>
          <w:highlight w:val="none"/>
        </w:rPr>
      </w:pPr>
      <w:bookmarkStart w:id="0" w:name="_GoBack"/>
      <w:r>
        <w:rPr>
          <w:rFonts w:hint="eastAsia" w:ascii="Times New Roman" w:hAnsi="Times New Roman" w:eastAsia="方正小标宋简体" w:cs="Times New Roman"/>
          <w:color w:val="auto"/>
          <w:sz w:val="44"/>
          <w:szCs w:val="44"/>
          <w:highlight w:val="none"/>
          <w:lang w:val="en-US" w:eastAsia="zh-CN"/>
        </w:rPr>
        <w:t>中山市电动自行车</w:t>
      </w:r>
      <w:r>
        <w:rPr>
          <w:rFonts w:hint="eastAsia" w:ascii="Times New Roman" w:hAnsi="Times New Roman" w:eastAsia="方正小标宋简体" w:cs="Times New Roman"/>
          <w:color w:val="auto"/>
          <w:sz w:val="44"/>
          <w:szCs w:val="44"/>
          <w:highlight w:val="none"/>
        </w:rPr>
        <w:t>产品质量</w:t>
      </w:r>
    </w:p>
    <w:p>
      <w:pPr>
        <w:snapToGrid w:val="0"/>
        <w:spacing w:line="594" w:lineRule="exact"/>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rPr>
        <w:t>监督抽查实施细则</w:t>
      </w:r>
    </w:p>
    <w:bookmarkEnd w:id="0"/>
    <w:p>
      <w:pPr>
        <w:spacing w:line="440" w:lineRule="exact"/>
        <w:jc w:val="center"/>
        <w:rPr>
          <w:rFonts w:hint="default" w:ascii="Times New Roman" w:hAnsi="Times New Roman" w:eastAsia="楷体_GB2312" w:cs="Times New Roman"/>
          <w:b w:val="0"/>
          <w:bCs w:val="0"/>
          <w:color w:val="auto"/>
          <w:sz w:val="32"/>
          <w:szCs w:val="32"/>
          <w:highlight w:val="none"/>
        </w:rPr>
      </w:pPr>
    </w:p>
    <w:p>
      <w:pPr>
        <w:snapToGrid w:val="0"/>
        <w:spacing w:line="440" w:lineRule="exact"/>
        <w:ind w:firstLine="420" w:firstLineChars="200"/>
        <w:rPr>
          <w:rFonts w:hint="eastAsia" w:ascii="Times New Roman" w:hAnsi="Times New Roman" w:eastAsia="宋体" w:cs="Times New Roman"/>
          <w:color w:val="auto"/>
          <w:sz w:val="21"/>
          <w:szCs w:val="21"/>
          <w:highlight w:val="none"/>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 xml:space="preserve">    </w:t>
      </w:r>
      <w:r>
        <w:rPr>
          <w:rFonts w:hint="eastAsia" w:ascii="黑体" w:hAnsi="黑体" w:eastAsia="黑体" w:cs="黑体"/>
          <w:color w:val="auto"/>
          <w:sz w:val="32"/>
          <w:szCs w:val="32"/>
          <w:highlight w:val="none"/>
        </w:rPr>
        <w:t>1 抽样方法</w:t>
      </w:r>
    </w:p>
    <w:p>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pacing w:val="-6"/>
          <w:sz w:val="32"/>
          <w:szCs w:val="32"/>
          <w:highlight w:val="none"/>
        </w:rPr>
        <w:t>以随机抽样的方式在被抽样生产者、销售者的待销产品中抽</w:t>
      </w:r>
      <w:r>
        <w:rPr>
          <w:rFonts w:hint="default" w:ascii="Times New Roman" w:hAnsi="Times New Roman" w:eastAsia="仿宋_GB2312" w:cs="Times New Roman"/>
          <w:color w:val="auto"/>
          <w:sz w:val="32"/>
          <w:szCs w:val="32"/>
          <w:highlight w:val="none"/>
        </w:rPr>
        <w:t>取。</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每批次产品抽取样品2辆，其中1辆作为检验样品，1辆作为备用样品。</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2 检验依据</w:t>
      </w:r>
    </w:p>
    <w:p>
      <w:pPr>
        <w:snapToGrid w:val="0"/>
        <w:spacing w:line="56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cs="Times New Roman"/>
          <w:color w:val="auto"/>
          <w:sz w:val="32"/>
          <w:szCs w:val="32"/>
          <w:highlight w:val="none"/>
          <w:lang w:val="en-US" w:eastAsia="zh-CN"/>
        </w:rPr>
        <w:t>2.1</w:t>
      </w:r>
      <w:r>
        <w:rPr>
          <w:rFonts w:hint="eastAsia" w:ascii="Times New Roman" w:hAnsi="Times New Roman" w:eastAsia="仿宋_GB2312" w:cs="Times New Roman"/>
          <w:color w:val="auto"/>
          <w:sz w:val="32"/>
          <w:szCs w:val="32"/>
          <w:highlight w:val="none"/>
          <w:lang w:val="en-US" w:eastAsia="zh-CN"/>
        </w:rPr>
        <w:t>车载充电器型电动自行车（GB 17761-2018）</w:t>
      </w:r>
    </w:p>
    <w:tbl>
      <w:tblPr>
        <w:tblStyle w:val="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8"/>
        <w:gridCol w:w="3351"/>
        <w:gridCol w:w="3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序号</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检验项目</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1</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车速限值</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2</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制动性能(干态)</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3</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整车质量</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4</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结构</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5</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车速提示音</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6</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电气装置</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7</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充电器与蓄电池</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8</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淋水涉水性能</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9</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反射器、照明和鸣号装置</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10</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防火性能</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17761-2018</w:t>
            </w:r>
          </w:p>
        </w:tc>
      </w:tr>
    </w:tbl>
    <w:p>
      <w:pPr>
        <w:snapToGrid w:val="0"/>
        <w:spacing w:line="56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cs="Times New Roman"/>
          <w:color w:val="auto"/>
          <w:sz w:val="32"/>
          <w:szCs w:val="32"/>
          <w:highlight w:val="none"/>
          <w:lang w:val="en-US" w:eastAsia="zh-CN"/>
        </w:rPr>
        <w:t>2.2</w:t>
      </w:r>
      <w:r>
        <w:rPr>
          <w:rFonts w:hint="eastAsia" w:ascii="Times New Roman" w:hAnsi="Times New Roman" w:eastAsia="仿宋_GB2312" w:cs="Times New Roman"/>
          <w:color w:val="auto"/>
          <w:sz w:val="32"/>
          <w:szCs w:val="32"/>
          <w:highlight w:val="none"/>
          <w:lang w:val="en-US" w:eastAsia="zh-CN"/>
        </w:rPr>
        <w:t>非车载充电器型电动自行车（GB 17761-2018、GB 42295-2022）</w:t>
      </w:r>
    </w:p>
    <w:tbl>
      <w:tblPr>
        <w:tblStyle w:val="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8"/>
        <w:gridCol w:w="3351"/>
        <w:gridCol w:w="3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序号</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检验项目</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1</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标识与警示语</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42295-2022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2</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车速限值</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3</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制动性能(干态)</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4</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整车质量</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5</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结构</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6</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车速提示音</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7</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充电状态主回路保护</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42295-2022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8</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互认协同充电</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42295-2022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9</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布线</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42295-2022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10</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电气装置</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lang w:val="en-US" w:eastAsia="zh-CN"/>
              </w:rPr>
              <w:t>11</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充电器与蓄电池</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lang w:val="en-US" w:eastAsia="zh-CN"/>
              </w:rPr>
              <w:t>12</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淋水涉水性能</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lang w:val="en-US" w:eastAsia="zh-CN"/>
              </w:rPr>
              <w:t>13</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对触及带电部分的防护</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42295-2022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lang w:val="en-US" w:eastAsia="zh-CN"/>
              </w:rPr>
              <w:t>14</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连接</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42295-2022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15</w:t>
            </w:r>
          </w:p>
        </w:tc>
        <w:tc>
          <w:tcPr>
            <w:tcW w:w="1966"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反射器、照明和鸣号装置</w:t>
            </w:r>
          </w:p>
        </w:tc>
        <w:tc>
          <w:tcPr>
            <w:tcW w:w="2312" w:type="pct"/>
            <w:noWrap w:val="0"/>
            <w:vAlign w:val="center"/>
          </w:tcPr>
          <w:p>
            <w:pPr>
              <w:adjustRightInd w:val="0"/>
              <w:snapToGrid w:val="0"/>
              <w:jc w:val="center"/>
              <w:rPr>
                <w:rFonts w:hint="eastAsia" w:ascii="宋体" w:hAnsi="宋体" w:eastAsia="宋体" w:cs="宋体"/>
                <w:b w:val="0"/>
                <w:bCs/>
                <w:sz w:val="21"/>
                <w:szCs w:val="21"/>
              </w:rPr>
            </w:pPr>
            <w:r>
              <w:rPr>
                <w:rFonts w:hint="eastAsia" w:ascii="宋体" w:hAnsi="宋体" w:eastAsia="宋体" w:cs="宋体"/>
                <w:b w:val="0"/>
                <w:bCs/>
                <w:sz w:val="21"/>
                <w:szCs w:val="21"/>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1" w:type="pct"/>
            <w:noWrap w:val="0"/>
            <w:vAlign w:val="center"/>
          </w:tcPr>
          <w:p>
            <w:pPr>
              <w:adjustRightInd w:val="0"/>
              <w:snapToGrid w:val="0"/>
              <w:jc w:val="center"/>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16</w:t>
            </w:r>
          </w:p>
        </w:tc>
        <w:tc>
          <w:tcPr>
            <w:tcW w:w="1966"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防火性能</w:t>
            </w:r>
          </w:p>
        </w:tc>
        <w:tc>
          <w:tcPr>
            <w:tcW w:w="2312" w:type="pct"/>
            <w:noWrap w:val="0"/>
            <w:vAlign w:val="center"/>
          </w:tcPr>
          <w:p>
            <w:pPr>
              <w:adjustRightInd w:val="0"/>
              <w:snapToGrid w:val="0"/>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t>GB 17761-2018</w:t>
            </w:r>
          </w:p>
        </w:tc>
      </w:tr>
    </w:tbl>
    <w:p>
      <w:pPr>
        <w:adjustRightInd w:val="0"/>
        <w:snapToGrid w:val="0"/>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注：1.</w:t>
      </w:r>
      <w:r>
        <w:rPr>
          <w:rFonts w:hint="default" w:ascii="Times New Roman" w:hAnsi="Times New Roman" w:eastAsia="仿宋_GB2312" w:cs="Times New Roman"/>
          <w:color w:val="auto"/>
          <w:sz w:val="32"/>
          <w:szCs w:val="32"/>
          <w:highlight w:val="none"/>
        </w:rPr>
        <w:t>防火性能要求：750℃灼热丝试验重点检测主回路接插件。主回路指传输蓄电池系统输出端动力电能驱动电动机的电路。</w:t>
      </w:r>
    </w:p>
    <w:p>
      <w:pPr>
        <w:adjustRightInd w:val="0"/>
        <w:snapToGrid w:val="0"/>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检验项目</w:t>
      </w:r>
      <w:r>
        <w:rPr>
          <w:rFonts w:hint="default" w:ascii="Times New Roman" w:hAnsi="Times New Roman" w:eastAsia="仿宋_GB2312" w:cs="Times New Roman"/>
          <w:color w:val="auto"/>
          <w:sz w:val="32"/>
          <w:szCs w:val="32"/>
          <w:highlight w:val="none"/>
          <w:lang w:val="en-US" w:eastAsia="zh-CN"/>
        </w:rPr>
        <w:t>按</w:t>
      </w:r>
      <w:r>
        <w:rPr>
          <w:rFonts w:hint="default" w:ascii="Times New Roman" w:hAnsi="Times New Roman" w:eastAsia="仿宋_GB2312" w:cs="Times New Roman"/>
          <w:color w:val="auto"/>
          <w:sz w:val="32"/>
          <w:szCs w:val="32"/>
          <w:highlight w:val="none"/>
        </w:rPr>
        <w:t>顺序进行检验。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3 判定规则</w:t>
      </w: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3.1依据标准</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 17761-2018 电动自行车安全技术规范</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 42295—2022 电动自行车电气安全要求</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560" w:lineRule="exact"/>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3.2判定原则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pPr>
        <w:rPr>
          <w:rFonts w:hint="eastAsia" w:ascii="Times New Roman" w:hAnsi="Times New Roman" w:eastAsia="宋体" w:cs="Times New Roman"/>
          <w:sz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2244E"/>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22244E"/>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2C7B87"/>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84321"/>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2024-07-09T01:51:00Z</dcterms:created>
  <dc:creator>Administrator</dc:creator>
  <cp:lastModifiedBy>Administrator</cp:lastModifiedBy>
  <dcterms:modified xsi:type="dcterms:W3CDTF">2024-07-09T02:01:15Z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D7232A43FB2C47BD9B28560B29D74B63</vt:lpwstr>
  </property>
</Properties>
</file>