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eastAsia="方正小标宋简体"/>
          <w:spacing w:val="-1"/>
          <w:position w:val="1"/>
          <w:sz w:val="44"/>
          <w:szCs w:val="44"/>
        </w:rPr>
      </w:pPr>
      <w:r>
        <w:rPr>
          <w:rFonts w:hint="eastAsia" w:eastAsia="方正小标宋简体"/>
          <w:spacing w:val="-1"/>
          <w:position w:val="1"/>
          <w:sz w:val="44"/>
          <w:szCs w:val="44"/>
          <w:lang w:eastAsia="zh-CN"/>
        </w:rPr>
        <w:t>中山市厨房机械</w:t>
      </w:r>
      <w:r>
        <w:rPr>
          <w:rFonts w:eastAsia="方正小标宋简体"/>
          <w:spacing w:val="-1"/>
          <w:position w:val="1"/>
          <w:sz w:val="44"/>
          <w:szCs w:val="44"/>
        </w:rPr>
        <w:t>产品质量</w:t>
      </w:r>
    </w:p>
    <w:p>
      <w:pPr>
        <w:spacing w:line="590" w:lineRule="exact"/>
        <w:jc w:val="center"/>
        <w:rPr>
          <w:rFonts w:eastAsia="方正小标宋简体"/>
          <w:spacing w:val="-1"/>
          <w:position w:val="1"/>
          <w:sz w:val="44"/>
          <w:szCs w:val="44"/>
        </w:rPr>
      </w:pPr>
      <w:r>
        <w:rPr>
          <w:rFonts w:eastAsia="方正小标宋简体"/>
          <w:spacing w:val="-1"/>
          <w:position w:val="1"/>
          <w:sz w:val="44"/>
          <w:szCs w:val="44"/>
        </w:rPr>
        <w:t>监督抽查实施细则</w:t>
      </w:r>
    </w:p>
    <w:p>
      <w:pPr>
        <w:pStyle w:val="2"/>
        <w:jc w:val="both"/>
        <w:rPr>
          <w:rFonts w:ascii="Times New Roman"/>
        </w:rPr>
      </w:pPr>
    </w:p>
    <w:p>
      <w:pPr>
        <w:ind w:firstLine="640" w:firstLineChars="200"/>
        <w:rPr>
          <w:rFonts w:eastAsia="黑体"/>
          <w:color w:val="000000"/>
          <w:szCs w:val="32"/>
        </w:rPr>
      </w:pPr>
      <w:r>
        <w:rPr>
          <w:rFonts w:eastAsia="黑体"/>
          <w:color w:val="000000"/>
          <w:szCs w:val="32"/>
        </w:rPr>
        <w:t>一、抽样方法</w:t>
      </w:r>
    </w:p>
    <w:p>
      <w:pPr>
        <w:widowControl/>
        <w:ind w:firstLine="640" w:firstLineChars="200"/>
        <w:rPr>
          <w:szCs w:val="32"/>
        </w:rPr>
      </w:pPr>
      <w:r>
        <w:rPr>
          <w:kern w:val="0"/>
          <w:szCs w:val="32"/>
        </w:rPr>
        <w:t>以随机抽样的方式在被抽查市场主体的待销产品中抽取。</w:t>
      </w:r>
    </w:p>
    <w:p>
      <w:pPr>
        <w:widowControl/>
        <w:ind w:firstLine="640" w:firstLineChars="200"/>
        <w:rPr>
          <w:color w:val="333333"/>
          <w:kern w:val="0"/>
          <w:szCs w:val="32"/>
        </w:rPr>
      </w:pPr>
      <w:r>
        <w:rPr>
          <w:color w:val="333333"/>
          <w:kern w:val="0"/>
          <w:szCs w:val="32"/>
        </w:rPr>
        <w:t>随机数一般可使用随机数表等方法产生。</w:t>
      </w:r>
    </w:p>
    <w:p>
      <w:pPr>
        <w:pStyle w:val="2"/>
        <w:ind w:left="320" w:leftChars="100" w:firstLine="320" w:firstLineChars="100"/>
        <w:jc w:val="left"/>
        <w:rPr>
          <w:rFonts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抽查产品：咖啡机、料理机、榨汁机、原汁机、豆浆机、电动绞肉机、破壁机等厨房机械产品。</w:t>
      </w:r>
    </w:p>
    <w:p>
      <w:pPr>
        <w:ind w:firstLine="640" w:firstLineChars="200"/>
        <w:rPr>
          <w:rFonts w:cs="仿宋_GB2312"/>
          <w:color w:val="000000"/>
          <w:szCs w:val="32"/>
        </w:rPr>
      </w:pPr>
      <w:r>
        <w:rPr>
          <w:color w:val="000000"/>
          <w:szCs w:val="32"/>
        </w:rPr>
        <w:t>抽查数量：每款产品抽取2组样本，第1组用于检验，第2组用于备样。其中第</w:t>
      </w:r>
      <w:r>
        <w:rPr>
          <w:rFonts w:hint="eastAsia"/>
          <w:color w:val="000000"/>
          <w:szCs w:val="32"/>
        </w:rPr>
        <w:t>1组抽取样品2个，</w:t>
      </w:r>
      <w:r>
        <w:rPr>
          <w:rFonts w:hint="eastAsia" w:cs="仿宋_GB2312"/>
          <w:color w:val="000000"/>
          <w:szCs w:val="32"/>
        </w:rPr>
        <w:t>第2组抽取样品1个。</w:t>
      </w:r>
    </w:p>
    <w:p>
      <w:pPr>
        <w:ind w:firstLine="640" w:firstLineChars="200"/>
        <w:rPr>
          <w:rFonts w:eastAsia="黑体"/>
          <w:color w:val="000000"/>
          <w:szCs w:val="32"/>
        </w:rPr>
      </w:pPr>
      <w:r>
        <w:rPr>
          <w:rFonts w:eastAsia="黑体"/>
          <w:color w:val="000000"/>
          <w:szCs w:val="32"/>
        </w:rPr>
        <w:t>二、主要检验项目及检验项目属性划分</w:t>
      </w:r>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w:t>
            </w:r>
          </w:p>
        </w:tc>
        <w:tc>
          <w:tcPr>
            <w:tcW w:w="1913" w:type="dxa"/>
            <w:shd w:val="clear" w:color="auto" w:fill="auto"/>
            <w:vAlign w:val="center"/>
          </w:tcPr>
          <w:p>
            <w:pPr>
              <w:jc w:val="center"/>
              <w:rPr>
                <w:sz w:val="24"/>
              </w:rPr>
            </w:pPr>
            <w:r>
              <w:rPr>
                <w:rFonts w:hint="eastAsia" w:cs="仿宋_GB2312"/>
                <w:sz w:val="24"/>
              </w:rPr>
              <w:t>标志和说明</w:t>
            </w:r>
          </w:p>
        </w:tc>
        <w:tc>
          <w:tcPr>
            <w:tcW w:w="1909" w:type="dxa"/>
            <w:vMerge w:val="restart"/>
            <w:shd w:val="clear" w:color="auto" w:fill="auto"/>
            <w:vAlign w:val="center"/>
          </w:tcPr>
          <w:p>
            <w:pPr>
              <w:jc w:val="center"/>
              <w:rPr>
                <w:rFonts w:hint="eastAsia"/>
                <w:sz w:val="24"/>
                <w:lang w:eastAsia="zh-CN"/>
              </w:rPr>
            </w:pPr>
            <w:r>
              <w:rPr>
                <w:sz w:val="24"/>
              </w:rPr>
              <w:t>GB 4706.1-2005</w:t>
            </w:r>
            <w:r>
              <w:rPr>
                <w:rFonts w:hint="eastAsia"/>
                <w:sz w:val="24"/>
                <w:lang w:eastAsia="zh-CN"/>
              </w:rPr>
              <w:t>、</w:t>
            </w:r>
          </w:p>
          <w:p>
            <w:pPr>
              <w:jc w:val="center"/>
              <w:rPr>
                <w:rFonts w:hint="eastAsia"/>
                <w:sz w:val="24"/>
                <w:lang w:eastAsia="zh-CN"/>
              </w:rPr>
            </w:pPr>
            <w:r>
              <w:rPr>
                <w:sz w:val="24"/>
              </w:rPr>
              <w:t>GB 4706.</w:t>
            </w:r>
            <w:r>
              <w:rPr>
                <w:rFonts w:hint="eastAsia"/>
                <w:sz w:val="24"/>
                <w:lang w:val="en-US" w:eastAsia="zh-CN"/>
              </w:rPr>
              <w:t>30</w:t>
            </w:r>
            <w:r>
              <w:rPr>
                <w:sz w:val="24"/>
              </w:rPr>
              <w:t>-2008</w:t>
            </w:r>
            <w:r>
              <w:rPr>
                <w:rFonts w:hint="eastAsia"/>
                <w:sz w:val="24"/>
                <w:lang w:eastAsia="zh-CN"/>
              </w:rPr>
              <w:t>、</w:t>
            </w:r>
          </w:p>
          <w:p>
            <w:pPr>
              <w:jc w:val="center"/>
              <w:rPr>
                <w:rFonts w:hint="default"/>
                <w:lang w:val="en-US" w:eastAsia="zh-CN"/>
              </w:rPr>
            </w:pPr>
            <w:r>
              <w:rPr>
                <w:rFonts w:hint="eastAsia"/>
                <w:sz w:val="24"/>
                <w:lang w:val="en-US" w:eastAsia="zh-CN"/>
              </w:rPr>
              <w:t>GB4706.19-2</w:t>
            </w:r>
            <w:bookmarkStart w:id="0" w:name="_GoBack"/>
            <w:bookmarkEnd w:id="0"/>
            <w:r>
              <w:rPr>
                <w:rFonts w:hint="eastAsia"/>
                <w:sz w:val="24"/>
                <w:lang w:val="en-US" w:eastAsia="zh-CN"/>
              </w:rPr>
              <w:t>008</w:t>
            </w: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jc w:val="center"/>
              <w:rPr>
                <w:sz w:val="18"/>
                <w:szCs w:val="18"/>
              </w:rPr>
            </w:pPr>
          </w:p>
        </w:tc>
        <w:tc>
          <w:tcPr>
            <w:tcW w:w="709" w:type="dxa"/>
            <w:shd w:val="clear" w:color="auto" w:fill="auto"/>
            <w:vAlign w:val="center"/>
          </w:tcPr>
          <w:p>
            <w:pPr>
              <w:spacing w:before="63"/>
              <w:ind w:left="8"/>
              <w:jc w:val="center"/>
              <w:rPr>
                <w:sz w:val="18"/>
                <w:szCs w:val="18"/>
              </w:rPr>
            </w:pPr>
            <w:r>
              <w:rPr>
                <w:sz w:val="18"/>
                <w:szCs w:val="18"/>
              </w:rPr>
              <w:t>●</w:t>
            </w: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2</w:t>
            </w:r>
          </w:p>
        </w:tc>
        <w:tc>
          <w:tcPr>
            <w:tcW w:w="1913" w:type="dxa"/>
            <w:shd w:val="clear" w:color="auto" w:fill="auto"/>
            <w:vAlign w:val="center"/>
          </w:tcPr>
          <w:p>
            <w:pPr>
              <w:jc w:val="center"/>
              <w:rPr>
                <w:sz w:val="24"/>
              </w:rPr>
            </w:pPr>
            <w:r>
              <w:rPr>
                <w:sz w:val="24"/>
              </w:rPr>
              <w:t>对触及带电部件的防护</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spacing w:before="63"/>
              <w:ind w:left="8"/>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3</w:t>
            </w:r>
          </w:p>
        </w:tc>
        <w:tc>
          <w:tcPr>
            <w:tcW w:w="1913" w:type="dxa"/>
            <w:shd w:val="clear" w:color="auto" w:fill="auto"/>
            <w:vAlign w:val="center"/>
          </w:tcPr>
          <w:p>
            <w:pPr>
              <w:jc w:val="center"/>
              <w:rPr>
                <w:sz w:val="24"/>
              </w:rPr>
            </w:pPr>
            <w:r>
              <w:rPr>
                <w:sz w:val="24"/>
              </w:rPr>
              <w:t>输入功率和电流</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4</w:t>
            </w:r>
          </w:p>
        </w:tc>
        <w:tc>
          <w:tcPr>
            <w:tcW w:w="1913" w:type="dxa"/>
            <w:shd w:val="clear" w:color="auto" w:fill="auto"/>
            <w:vAlign w:val="center"/>
          </w:tcPr>
          <w:p>
            <w:pPr>
              <w:jc w:val="center"/>
              <w:rPr>
                <w:sz w:val="24"/>
              </w:rPr>
            </w:pPr>
            <w:r>
              <w:rPr>
                <w:sz w:val="24"/>
              </w:rPr>
              <w:t>发热</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1"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5</w:t>
            </w:r>
          </w:p>
        </w:tc>
        <w:tc>
          <w:tcPr>
            <w:tcW w:w="1913" w:type="dxa"/>
            <w:shd w:val="clear" w:color="auto" w:fill="auto"/>
            <w:vAlign w:val="center"/>
          </w:tcPr>
          <w:p>
            <w:pPr>
              <w:jc w:val="center"/>
              <w:rPr>
                <w:sz w:val="24"/>
              </w:rPr>
            </w:pPr>
            <w:r>
              <w:rPr>
                <w:sz w:val="24"/>
              </w:rPr>
              <w:t>工作温度下的泄漏电流和电气强度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6</w:t>
            </w:r>
          </w:p>
        </w:tc>
        <w:tc>
          <w:tcPr>
            <w:tcW w:w="1913" w:type="dxa"/>
            <w:shd w:val="clear" w:color="auto" w:fill="auto"/>
            <w:vAlign w:val="center"/>
          </w:tcPr>
          <w:p>
            <w:pPr>
              <w:jc w:val="center"/>
              <w:rPr>
                <w:sz w:val="24"/>
              </w:rPr>
            </w:pPr>
            <w:r>
              <w:rPr>
                <w:sz w:val="24"/>
              </w:rPr>
              <w:t>耐潮湿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7</w:t>
            </w:r>
          </w:p>
        </w:tc>
        <w:tc>
          <w:tcPr>
            <w:tcW w:w="1913" w:type="dxa"/>
            <w:shd w:val="clear" w:color="auto" w:fill="auto"/>
            <w:vAlign w:val="center"/>
          </w:tcPr>
          <w:p>
            <w:pPr>
              <w:jc w:val="center"/>
              <w:rPr>
                <w:sz w:val="24"/>
              </w:rPr>
            </w:pPr>
            <w:r>
              <w:rPr>
                <w:sz w:val="24"/>
              </w:rPr>
              <w:t>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8</w:t>
            </w:r>
          </w:p>
        </w:tc>
        <w:tc>
          <w:tcPr>
            <w:tcW w:w="1913" w:type="dxa"/>
            <w:shd w:val="clear" w:color="auto" w:fill="auto"/>
            <w:vAlign w:val="center"/>
          </w:tcPr>
          <w:p>
            <w:pPr>
              <w:jc w:val="center"/>
              <w:rPr>
                <w:sz w:val="24"/>
              </w:rPr>
            </w:pPr>
            <w:r>
              <w:rPr>
                <w:sz w:val="24"/>
              </w:rPr>
              <w:t>非正常工作（不包括第19.11.4条的试验）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9</w:t>
            </w:r>
          </w:p>
        </w:tc>
        <w:tc>
          <w:tcPr>
            <w:tcW w:w="1913" w:type="dxa"/>
            <w:shd w:val="clear" w:color="auto" w:fill="auto"/>
            <w:vAlign w:val="center"/>
          </w:tcPr>
          <w:p>
            <w:pPr>
              <w:jc w:val="center"/>
              <w:rPr>
                <w:sz w:val="24"/>
              </w:rPr>
            </w:pPr>
            <w:r>
              <w:rPr>
                <w:sz w:val="24"/>
              </w:rPr>
              <w:t>稳定性和机械危险</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10</w:t>
            </w:r>
          </w:p>
        </w:tc>
        <w:tc>
          <w:tcPr>
            <w:tcW w:w="1913" w:type="dxa"/>
            <w:shd w:val="clear" w:color="auto" w:fill="auto"/>
            <w:vAlign w:val="center"/>
          </w:tcPr>
          <w:p>
            <w:pPr>
              <w:jc w:val="center"/>
              <w:rPr>
                <w:sz w:val="24"/>
              </w:rPr>
            </w:pPr>
            <w:r>
              <w:rPr>
                <w:sz w:val="24"/>
              </w:rPr>
              <w:t>机械强度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2"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11</w:t>
            </w:r>
          </w:p>
        </w:tc>
        <w:tc>
          <w:tcPr>
            <w:tcW w:w="1913" w:type="dxa"/>
            <w:shd w:val="clear" w:color="auto" w:fill="auto"/>
            <w:vAlign w:val="center"/>
          </w:tcPr>
          <w:p>
            <w:pPr>
              <w:jc w:val="center"/>
              <w:rPr>
                <w:sz w:val="24"/>
              </w:rPr>
            </w:pPr>
            <w:r>
              <w:rPr>
                <w:sz w:val="24"/>
              </w:rPr>
              <w:t>结构（不包括第22.46条的试验）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12</w:t>
            </w:r>
          </w:p>
        </w:tc>
        <w:tc>
          <w:tcPr>
            <w:tcW w:w="1913" w:type="dxa"/>
            <w:shd w:val="clear" w:color="auto" w:fill="auto"/>
            <w:vAlign w:val="center"/>
          </w:tcPr>
          <w:p>
            <w:pPr>
              <w:jc w:val="center"/>
              <w:rPr>
                <w:sz w:val="24"/>
              </w:rPr>
            </w:pPr>
            <w:r>
              <w:rPr>
                <w:sz w:val="24"/>
              </w:rPr>
              <w:t>内部布线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13</w:t>
            </w:r>
          </w:p>
        </w:tc>
        <w:tc>
          <w:tcPr>
            <w:tcW w:w="1913" w:type="dxa"/>
            <w:shd w:val="clear" w:color="auto" w:fill="auto"/>
            <w:vAlign w:val="center"/>
          </w:tcPr>
          <w:p>
            <w:pPr>
              <w:jc w:val="center"/>
              <w:rPr>
                <w:sz w:val="24"/>
              </w:rPr>
            </w:pPr>
            <w:r>
              <w:rPr>
                <w:sz w:val="24"/>
              </w:rPr>
              <w:t>电源连接和外部软线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14</w:t>
            </w:r>
          </w:p>
        </w:tc>
        <w:tc>
          <w:tcPr>
            <w:tcW w:w="1913" w:type="dxa"/>
            <w:shd w:val="clear" w:color="auto" w:fill="auto"/>
            <w:vAlign w:val="center"/>
          </w:tcPr>
          <w:p>
            <w:pPr>
              <w:jc w:val="center"/>
              <w:rPr>
                <w:sz w:val="24"/>
              </w:rPr>
            </w:pPr>
            <w:r>
              <w:rPr>
                <w:sz w:val="24"/>
              </w:rPr>
              <w:t>外部导线用接线端子</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p>
          <w:p>
            <w:pPr>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15</w:t>
            </w:r>
          </w:p>
        </w:tc>
        <w:tc>
          <w:tcPr>
            <w:tcW w:w="1913" w:type="dxa"/>
            <w:shd w:val="clear" w:color="auto" w:fill="auto"/>
            <w:vAlign w:val="center"/>
          </w:tcPr>
          <w:p>
            <w:pPr>
              <w:jc w:val="center"/>
              <w:rPr>
                <w:sz w:val="24"/>
              </w:rPr>
            </w:pPr>
            <w:r>
              <w:rPr>
                <w:sz w:val="24"/>
              </w:rPr>
              <w:t>接地措施</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16</w:t>
            </w:r>
          </w:p>
        </w:tc>
        <w:tc>
          <w:tcPr>
            <w:tcW w:w="1913" w:type="dxa"/>
            <w:shd w:val="clear" w:color="auto" w:fill="auto"/>
            <w:vAlign w:val="center"/>
          </w:tcPr>
          <w:p>
            <w:pPr>
              <w:jc w:val="center"/>
              <w:rPr>
                <w:sz w:val="24"/>
              </w:rPr>
            </w:pPr>
            <w:r>
              <w:rPr>
                <w:sz w:val="24"/>
              </w:rPr>
              <w:t>螺钉和连接</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17</w:t>
            </w:r>
          </w:p>
        </w:tc>
        <w:tc>
          <w:tcPr>
            <w:tcW w:w="1913" w:type="dxa"/>
            <w:shd w:val="clear" w:color="auto" w:fill="auto"/>
            <w:vAlign w:val="center"/>
          </w:tcPr>
          <w:p>
            <w:pPr>
              <w:jc w:val="center"/>
              <w:rPr>
                <w:sz w:val="24"/>
              </w:rPr>
            </w:pPr>
            <w:r>
              <w:rPr>
                <w:sz w:val="24"/>
              </w:rPr>
              <w:t>电气间隙、爬电距离和固体绝缘</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18</w:t>
            </w:r>
          </w:p>
        </w:tc>
        <w:tc>
          <w:tcPr>
            <w:tcW w:w="1913" w:type="dxa"/>
            <w:shd w:val="clear" w:color="auto" w:fill="auto"/>
            <w:vAlign w:val="center"/>
          </w:tcPr>
          <w:p>
            <w:pPr>
              <w:jc w:val="center"/>
              <w:rPr>
                <w:sz w:val="24"/>
              </w:rPr>
            </w:pPr>
            <w:r>
              <w:rPr>
                <w:rFonts w:hint="eastAsia" w:cs="仿宋_GB2312"/>
                <w:sz w:val="24"/>
              </w:rPr>
              <w:t>耐热和耐燃</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spacing w:before="2"/>
              <w:jc w:val="center"/>
              <w:rPr>
                <w:sz w:val="18"/>
                <w:szCs w:val="18"/>
              </w:rPr>
            </w:pPr>
          </w:p>
          <w:p>
            <w:pPr>
              <w:ind w:left="7"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bl>
    <w:p>
      <w:pPr>
        <w:adjustRightInd w:val="0"/>
        <w:snapToGrid w:val="0"/>
        <w:ind w:firstLine="480" w:firstLineChars="200"/>
        <w:jc w:val="left"/>
        <w:rPr>
          <w:rFonts w:eastAsia="仿宋"/>
          <w:color w:val="000000"/>
          <w:sz w:val="24"/>
        </w:rPr>
      </w:pPr>
      <w:r>
        <w:rPr>
          <w:rFonts w:eastAsia="仿宋"/>
          <w:color w:val="000000"/>
          <w:sz w:val="24"/>
        </w:rPr>
        <w:t>注：执行企业标准、团体标准、地方标准的产品，检验项目参照上述内容执行。</w:t>
      </w:r>
    </w:p>
    <w:p>
      <w:pPr>
        <w:adjustRightInd w:val="0"/>
        <w:snapToGrid w:val="0"/>
        <w:ind w:firstLine="480" w:firstLineChars="200"/>
        <w:jc w:val="left"/>
        <w:rPr>
          <w:rFonts w:eastAsia="仿宋"/>
          <w:color w:val="000000"/>
          <w:sz w:val="24"/>
        </w:rPr>
      </w:pPr>
      <w:r>
        <w:rPr>
          <w:rFonts w:eastAsia="仿宋"/>
          <w:color w:val="000000"/>
          <w:sz w:val="24"/>
        </w:rPr>
        <w:t>凡是注日期的文件，其随后所有的修改单（不包括勘误的内容）或修订版不适用于本细则。凡是不注日期的文件，其最新版本适用于本细则。</w:t>
      </w:r>
    </w:p>
    <w:p>
      <w:pPr>
        <w:ind w:firstLine="640" w:firstLineChars="200"/>
        <w:rPr>
          <w:rFonts w:eastAsia="黑体"/>
          <w:szCs w:val="32"/>
        </w:rPr>
      </w:pPr>
      <w:r>
        <w:rPr>
          <w:rFonts w:eastAsia="黑体"/>
          <w:szCs w:val="32"/>
        </w:rPr>
        <w:t>三、判定规则</w:t>
      </w:r>
    </w:p>
    <w:p>
      <w:pPr>
        <w:ind w:firstLine="640" w:firstLineChars="200"/>
        <w:jc w:val="left"/>
        <w:rPr>
          <w:rFonts w:eastAsia="楷体_GB2312"/>
          <w:kern w:val="0"/>
          <w:szCs w:val="32"/>
        </w:rPr>
      </w:pPr>
      <w:r>
        <w:rPr>
          <w:rFonts w:eastAsia="楷体_GB2312"/>
          <w:szCs w:val="32"/>
        </w:rPr>
        <w:t>（一）</w:t>
      </w:r>
      <w:r>
        <w:rPr>
          <w:rFonts w:eastAsia="楷体_GB2312"/>
          <w:kern w:val="0"/>
          <w:szCs w:val="32"/>
        </w:rPr>
        <w:t>依据标准</w:t>
      </w:r>
    </w:p>
    <w:p>
      <w:pPr>
        <w:spacing w:line="560" w:lineRule="exact"/>
        <w:ind w:firstLine="640" w:firstLineChars="200"/>
        <w:rPr>
          <w:rFonts w:cs="仿宋_GB2312"/>
          <w:szCs w:val="32"/>
        </w:rPr>
      </w:pPr>
      <w:r>
        <w:rPr>
          <w:rFonts w:cs="仿宋_GB2312"/>
          <w:szCs w:val="32"/>
        </w:rPr>
        <w:t>GB 4706.1-2005《家用和类似用途电器的安全第</w:t>
      </w:r>
      <w:r>
        <w:rPr>
          <w:rFonts w:hint="eastAsia" w:cs="仿宋_GB2312"/>
          <w:szCs w:val="32"/>
        </w:rPr>
        <w:t>1</w:t>
      </w:r>
      <w:r>
        <w:rPr>
          <w:rFonts w:cs="仿宋_GB2312"/>
          <w:szCs w:val="32"/>
        </w:rPr>
        <w:t>部分：通用要求》</w:t>
      </w:r>
    </w:p>
    <w:p>
      <w:pPr>
        <w:spacing w:line="560" w:lineRule="exact"/>
        <w:ind w:firstLine="640" w:firstLineChars="200"/>
        <w:rPr>
          <w:rFonts w:hint="eastAsia" w:cs="仿宋_GB2312"/>
          <w:szCs w:val="32"/>
        </w:rPr>
      </w:pPr>
      <w:r>
        <w:rPr>
          <w:rFonts w:hint="eastAsia" w:cs="仿宋_GB2312"/>
          <w:szCs w:val="32"/>
        </w:rPr>
        <w:t>GB 4706.30-2008《家用和类似用途电器的安全 厨房机械的特殊要求》</w:t>
      </w:r>
    </w:p>
    <w:p>
      <w:pPr>
        <w:spacing w:line="560" w:lineRule="exact"/>
        <w:ind w:firstLine="640" w:firstLineChars="200"/>
        <w:rPr>
          <w:rFonts w:hint="eastAsia" w:cs="仿宋_GB2312"/>
          <w:szCs w:val="32"/>
        </w:rPr>
      </w:pPr>
      <w:r>
        <w:rPr>
          <w:rFonts w:hint="eastAsia" w:cs="仿宋_GB2312"/>
          <w:szCs w:val="32"/>
        </w:rPr>
        <w:t>GB 4706.19-2008《家用和类似用途电器的安全 液体加热器的特殊要求》</w:t>
      </w:r>
    </w:p>
    <w:p>
      <w:pPr>
        <w:ind w:firstLine="640" w:firstLineChars="200"/>
      </w:pPr>
      <w:r>
        <w:t>现行有效的企业标准、团体标准、地方标准及产品明示质量要求。</w:t>
      </w:r>
    </w:p>
    <w:p>
      <w:pPr>
        <w:widowControl/>
        <w:ind w:firstLine="640" w:firstLineChars="200"/>
        <w:rPr>
          <w:rFonts w:eastAsia="楷体_GB2312"/>
          <w:bCs/>
          <w:kern w:val="0"/>
          <w:szCs w:val="32"/>
        </w:rPr>
      </w:pPr>
      <w:r>
        <w:rPr>
          <w:rFonts w:eastAsia="楷体_GB2312"/>
          <w:bCs/>
          <w:kern w:val="0"/>
          <w:szCs w:val="32"/>
        </w:rPr>
        <w:t>（二）判定原则</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1、重要质量指标不合格判定所检样本不合格程度类型为：严重不合格，较重要质量指标不合格判定所检样本不合格类型为：不合格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2、监督总体不合格类型与所检样本不合格类型一一对应，即若所检样本出现严重不合格，判定为监督总体严重不合格；若所检样本未出现严重不合格，则判定为监督总体不合格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rPr>
      </w:pPr>
      <w:r>
        <w:rPr>
          <w:rFonts w:hint="eastAsia" w:ascii="仿宋_GB2312" w:hAnsi="Calibri" w:eastAsia="仿宋_GB2312" w:cs="楷体_GB2312"/>
          <w:sz w:val="32"/>
          <w:szCs w:val="32"/>
        </w:rPr>
        <w:t>3、若样本所检质量指标均合格，判定为样本所检质量指标未发现不合格。</w:t>
      </w:r>
    </w:p>
    <w:p>
      <w:pPr>
        <w:pStyle w:val="8"/>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当被检样品明示的质量要求优于监督抽查实施细则中依据的标准要求时，应按被检样品明示的质量要求判定</w:t>
      </w:r>
      <w:r>
        <w:rPr>
          <w:rFonts w:hint="eastAsia" w:ascii="Times New Roman" w:hAnsi="Times New Roman" w:eastAsia="仿宋_GB2312" w:cs="Times New Roman"/>
          <w:sz w:val="32"/>
          <w:szCs w:val="32"/>
          <w:lang w:eastAsia="zh-CN"/>
        </w:rPr>
        <w:t>。</w:t>
      </w:r>
    </w:p>
    <w:p>
      <w:pPr>
        <w:pStyle w:val="8"/>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5、</w:t>
      </w:r>
      <w:r>
        <w:rPr>
          <w:rFonts w:ascii="Times New Roman" w:hAnsi="Times New Roman" w:eastAsia="仿宋_GB2312" w:cs="Times New Roman"/>
          <w:sz w:val="32"/>
          <w:szCs w:val="32"/>
        </w:rPr>
        <w:t>当被检样品明示的质量要求劣于或不包含监督抽查实施细则中依据的标准要求时，应按照标准要求判定</w:t>
      </w:r>
      <w:r>
        <w:rPr>
          <w:rFonts w:hint="eastAsia" w:ascii="Times New Roman" w:hAnsi="Times New Roman" w:eastAsia="仿宋_GB2312" w:cs="Times New Roman"/>
          <w:sz w:val="32"/>
          <w:szCs w:val="32"/>
          <w:lang w:eastAsia="zh-CN"/>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6AF"/>
    <w:rsid w:val="00022EBF"/>
    <w:rsid w:val="00034D8C"/>
    <w:rsid w:val="000A14BC"/>
    <w:rsid w:val="000A40B0"/>
    <w:rsid w:val="000A6F8B"/>
    <w:rsid w:val="000B0C04"/>
    <w:rsid w:val="000B166A"/>
    <w:rsid w:val="00107945"/>
    <w:rsid w:val="00174A08"/>
    <w:rsid w:val="00184D11"/>
    <w:rsid w:val="0018725D"/>
    <w:rsid w:val="001C5E1C"/>
    <w:rsid w:val="00263BA4"/>
    <w:rsid w:val="002A6E2E"/>
    <w:rsid w:val="002E3DA3"/>
    <w:rsid w:val="002F76AF"/>
    <w:rsid w:val="00316370"/>
    <w:rsid w:val="003536E0"/>
    <w:rsid w:val="003C4466"/>
    <w:rsid w:val="003F0F20"/>
    <w:rsid w:val="003F48E9"/>
    <w:rsid w:val="00422509"/>
    <w:rsid w:val="00460DD5"/>
    <w:rsid w:val="00465E3C"/>
    <w:rsid w:val="00467A03"/>
    <w:rsid w:val="00476464"/>
    <w:rsid w:val="00480BFD"/>
    <w:rsid w:val="0048735A"/>
    <w:rsid w:val="004B3672"/>
    <w:rsid w:val="004B606C"/>
    <w:rsid w:val="004D14FD"/>
    <w:rsid w:val="004E09FF"/>
    <w:rsid w:val="004F6FAB"/>
    <w:rsid w:val="00530081"/>
    <w:rsid w:val="00535A67"/>
    <w:rsid w:val="00540723"/>
    <w:rsid w:val="00561C57"/>
    <w:rsid w:val="0058550D"/>
    <w:rsid w:val="005A2490"/>
    <w:rsid w:val="005C543E"/>
    <w:rsid w:val="005E6358"/>
    <w:rsid w:val="005E7A94"/>
    <w:rsid w:val="0061530D"/>
    <w:rsid w:val="00664AD9"/>
    <w:rsid w:val="006E15C6"/>
    <w:rsid w:val="006F34BE"/>
    <w:rsid w:val="006F4510"/>
    <w:rsid w:val="0070156D"/>
    <w:rsid w:val="007177D7"/>
    <w:rsid w:val="00740A11"/>
    <w:rsid w:val="007510EB"/>
    <w:rsid w:val="007A726E"/>
    <w:rsid w:val="00804B8A"/>
    <w:rsid w:val="00807DBD"/>
    <w:rsid w:val="008711D2"/>
    <w:rsid w:val="0087733B"/>
    <w:rsid w:val="00893C7F"/>
    <w:rsid w:val="008D1188"/>
    <w:rsid w:val="008D7BF7"/>
    <w:rsid w:val="00916066"/>
    <w:rsid w:val="00943F2F"/>
    <w:rsid w:val="0098725B"/>
    <w:rsid w:val="00A075E8"/>
    <w:rsid w:val="00A44E58"/>
    <w:rsid w:val="00A614F8"/>
    <w:rsid w:val="00B1647C"/>
    <w:rsid w:val="00C203FA"/>
    <w:rsid w:val="00C443CF"/>
    <w:rsid w:val="00C519BF"/>
    <w:rsid w:val="00C52754"/>
    <w:rsid w:val="00C965AC"/>
    <w:rsid w:val="00CB7B50"/>
    <w:rsid w:val="00CF22BF"/>
    <w:rsid w:val="00D24256"/>
    <w:rsid w:val="00D62B22"/>
    <w:rsid w:val="00D752E2"/>
    <w:rsid w:val="00E20723"/>
    <w:rsid w:val="00E65C90"/>
    <w:rsid w:val="00EA65C1"/>
    <w:rsid w:val="00F031F1"/>
    <w:rsid w:val="00F36515"/>
    <w:rsid w:val="00FC70BF"/>
    <w:rsid w:val="00FD654C"/>
    <w:rsid w:val="1438074F"/>
    <w:rsid w:val="14AA2E75"/>
    <w:rsid w:val="15631434"/>
    <w:rsid w:val="17751B8E"/>
    <w:rsid w:val="38700B55"/>
    <w:rsid w:val="3F1B0BAF"/>
    <w:rsid w:val="42FA191F"/>
    <w:rsid w:val="4EB50C3A"/>
    <w:rsid w:val="50A7688F"/>
    <w:rsid w:val="52260B3F"/>
    <w:rsid w:val="54D07982"/>
    <w:rsid w:val="6525617E"/>
    <w:rsid w:val="669F1C94"/>
    <w:rsid w:val="6FDB4A8B"/>
    <w:rsid w:val="719A2C70"/>
    <w:rsid w:val="74E47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9"/>
    <w:pPr>
      <w:jc w:val="center"/>
      <w:outlineLvl w:val="0"/>
    </w:pPr>
    <w:rPr>
      <w:rFonts w:ascii="方正小标宋简体" w:eastAsia="方正小标宋简体"/>
      <w:kern w:val="44"/>
      <w:sz w:val="3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0"/>
    <w:qFormat/>
    <w:uiPriority w:val="0"/>
    <w:rPr>
      <w:rFonts w:ascii="宋体" w:hAnsi="Courier New" w:cs="Courier New" w:eastAsiaTheme="minorEastAsia"/>
      <w:sz w:val="21"/>
      <w:szCs w:val="21"/>
    </w:r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sz w:val="21"/>
      <w:szCs w:val="22"/>
      <w:lang w:val="en-US" w:eastAsia="zh-CN" w:bidi="ar-SA"/>
    </w:rPr>
  </w:style>
  <w:style w:type="character" w:customStyle="1" w:styleId="9">
    <w:name w:val="页眉 字符"/>
    <w:basedOn w:val="7"/>
    <w:link w:val="5"/>
    <w:qFormat/>
    <w:uiPriority w:val="99"/>
    <w:rPr>
      <w:rFonts w:ascii="Times New Roman" w:hAnsi="Times New Roman" w:eastAsia="仿宋_GB2312" w:cs="Times New Roman"/>
      <w:kern w:val="2"/>
      <w:sz w:val="18"/>
      <w:szCs w:val="18"/>
    </w:rPr>
  </w:style>
  <w:style w:type="character" w:customStyle="1" w:styleId="10">
    <w:name w:val="纯文本 字符"/>
    <w:basedOn w:val="7"/>
    <w:link w:val="3"/>
    <w:qFormat/>
    <w:uiPriority w:val="0"/>
    <w:rPr>
      <w:rFonts w:ascii="宋体" w:hAnsi="Courier New" w:cs="Courier New"/>
      <w:kern w:val="2"/>
      <w:sz w:val="21"/>
      <w:szCs w:val="21"/>
    </w:rPr>
  </w:style>
  <w:style w:type="character" w:customStyle="1" w:styleId="11">
    <w:name w:val="纯文本 Char1"/>
    <w:basedOn w:val="7"/>
    <w:semiHidden/>
    <w:qFormat/>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4</Pages>
  <Words>242</Words>
  <Characters>1385</Characters>
  <Lines>11</Lines>
  <Paragraphs>3</Paragraphs>
  <TotalTime>0</TotalTime>
  <ScaleCrop>false</ScaleCrop>
  <LinksUpToDate>false</LinksUpToDate>
  <CharactersWithSpaces>1624</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2022-01-17T07:27:00Z</dcterms:created>
  <dc:creator>胡少玲</dc:creator>
  <cp:lastModifiedBy>Administrator</cp:lastModifiedBy>
  <dcterms:modified xsi:type="dcterms:W3CDTF">2022-06-16T08:15:34Z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2557874D3FC346119D8B2F0F683B7294</vt:lpwstr>
  </property>
</Properties>
</file>