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eastAsia="zh-CN"/>
        </w:rPr>
        <w:t>中山市房间空气调节器、除湿机</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pStyle w:val="2"/>
        <w:jc w:val="both"/>
        <w:rPr>
          <w:rFonts w:ascii="Times New Roman"/>
        </w:rPr>
      </w:pPr>
      <w:bookmarkStart w:id="0" w:name="_GoBack"/>
      <w:bookmarkEnd w:id="0"/>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color w:val="333333"/>
          <w:kern w:val="0"/>
          <w:szCs w:val="32"/>
        </w:rPr>
      </w:pPr>
      <w:r>
        <w:rPr>
          <w:color w:val="333333"/>
          <w:kern w:val="0"/>
          <w:szCs w:val="32"/>
        </w:rPr>
        <w:t>随机数一般可使用随机数表等方法产生。</w:t>
      </w:r>
    </w:p>
    <w:p>
      <w:pPr>
        <w:pStyle w:val="2"/>
        <w:ind w:firstLine="640" w:firstLineChars="200"/>
        <w:jc w:val="both"/>
        <w:rPr>
          <w:rFonts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抽查产品：房间空气调节器</w:t>
      </w:r>
      <w:r>
        <w:rPr>
          <w:rFonts w:hint="eastAsia" w:ascii="Times New Roman" w:eastAsia="仿宋_GB2312" w:cs="Times New Roman"/>
          <w:color w:val="000000"/>
          <w:kern w:val="2"/>
          <w:sz w:val="32"/>
          <w:szCs w:val="32"/>
          <w:lang w:val="en-US" w:eastAsia="zh-CN" w:bidi="ar-SA"/>
        </w:rPr>
        <w:t>、</w:t>
      </w:r>
      <w:r>
        <w:rPr>
          <w:rFonts w:hint="eastAsia" w:ascii="Times New Roman" w:hAnsi="Times New Roman" w:eastAsia="仿宋_GB2312" w:cs="Times New Roman"/>
          <w:color w:val="000000"/>
          <w:kern w:val="2"/>
          <w:sz w:val="32"/>
          <w:szCs w:val="32"/>
          <w:lang w:val="en-US" w:eastAsia="zh-CN" w:bidi="ar-SA"/>
        </w:rPr>
        <w:t>除湿机</w:t>
      </w:r>
      <w:r>
        <w:rPr>
          <w:rFonts w:hint="eastAsia" w:ascii="Times New Roman" w:eastAsia="仿宋_GB2312" w:cs="Times New Roman"/>
          <w:color w:val="000000"/>
          <w:kern w:val="2"/>
          <w:sz w:val="32"/>
          <w:szCs w:val="32"/>
          <w:lang w:val="en-US" w:eastAsia="zh-CN" w:bidi="ar-SA"/>
        </w:rPr>
        <w:t>。</w:t>
      </w:r>
      <w:r>
        <w:rPr>
          <w:rFonts w:hint="eastAsia" w:ascii="Times New Roman" w:hAnsi="Times New Roman" w:eastAsia="仿宋_GB2312" w:cs="Times New Roman"/>
          <w:color w:val="000000"/>
          <w:kern w:val="2"/>
          <w:sz w:val="32"/>
          <w:szCs w:val="32"/>
          <w:lang w:val="en-US" w:eastAsia="zh-CN" w:bidi="ar-SA"/>
        </w:rPr>
        <w:t xml:space="preserve"> </w:t>
      </w:r>
    </w:p>
    <w:p>
      <w:pPr>
        <w:ind w:firstLine="640" w:firstLineChars="200"/>
        <w:rPr>
          <w:rFonts w:cs="仿宋_GB2312"/>
          <w:color w:val="000000"/>
          <w:szCs w:val="32"/>
        </w:rPr>
      </w:pPr>
      <w:r>
        <w:rPr>
          <w:color w:val="000000"/>
          <w:szCs w:val="32"/>
        </w:rPr>
        <w:t>抽查数量：每款产品抽取2组样本，第1组用于检验，第2组用于备样。其中第</w:t>
      </w:r>
      <w:r>
        <w:rPr>
          <w:rFonts w:hint="eastAsia"/>
          <w:color w:val="000000"/>
          <w:szCs w:val="32"/>
        </w:rPr>
        <w:t>1组抽取样品2个，</w:t>
      </w:r>
      <w:r>
        <w:rPr>
          <w:rFonts w:hint="eastAsia" w:cs="仿宋_GB2312"/>
          <w:color w:val="000000"/>
          <w:szCs w:val="32"/>
        </w:rPr>
        <w:t>第2组抽取样品1个。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6"/>
        <w:tblW w:w="836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746"/>
        <w:gridCol w:w="709"/>
        <w:gridCol w:w="850"/>
        <w:gridCol w:w="70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746" w:type="dxa"/>
            <w:shd w:val="clear" w:color="auto" w:fill="auto"/>
            <w:vAlign w:val="center"/>
          </w:tcPr>
          <w:p>
            <w:pPr>
              <w:adjustRightInd w:val="0"/>
              <w:snapToGrid w:val="0"/>
              <w:jc w:val="center"/>
              <w:rPr>
                <w:b/>
                <w:bCs/>
                <w:sz w:val="24"/>
              </w:rPr>
            </w:pPr>
            <w:r>
              <w:rPr>
                <w:b/>
                <w:bCs/>
                <w:sz w:val="24"/>
              </w:rPr>
              <w:t>强制性</w:t>
            </w:r>
          </w:p>
        </w:tc>
        <w:tc>
          <w:tcPr>
            <w:tcW w:w="709"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709"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rFonts w:hint="eastAsia" w:cs="仿宋_GB2312"/>
                <w:sz w:val="24"/>
              </w:rPr>
              <w:t>标志和说明</w:t>
            </w:r>
          </w:p>
        </w:tc>
        <w:tc>
          <w:tcPr>
            <w:tcW w:w="1909" w:type="dxa"/>
            <w:vMerge w:val="restart"/>
            <w:shd w:val="clear" w:color="auto" w:fill="auto"/>
            <w:vAlign w:val="center"/>
          </w:tcPr>
          <w:p>
            <w:pPr>
              <w:jc w:val="center"/>
              <w:rPr>
                <w:sz w:val="24"/>
              </w:rPr>
            </w:pPr>
            <w:r>
              <w:rPr>
                <w:sz w:val="24"/>
              </w:rPr>
              <w:t>GB 4706.1-2005</w:t>
            </w:r>
          </w:p>
          <w:p>
            <w:pPr>
              <w:rPr>
                <w:rFonts w:hint="default" w:eastAsia="仿宋_GB2312"/>
                <w:sz w:val="24"/>
                <w:lang w:val="en-US" w:eastAsia="zh-CN"/>
              </w:rPr>
            </w:pPr>
            <w:r>
              <w:rPr>
                <w:sz w:val="24"/>
              </w:rPr>
              <w:t>GB 4706.</w:t>
            </w:r>
            <w:r>
              <w:rPr>
                <w:rFonts w:hint="eastAsia"/>
                <w:sz w:val="24"/>
                <w:lang w:val="en-US" w:eastAsia="zh-CN"/>
              </w:rPr>
              <w:t>32</w:t>
            </w:r>
            <w:r>
              <w:rPr>
                <w:sz w:val="24"/>
              </w:rPr>
              <w:t>-20</w:t>
            </w:r>
            <w:r>
              <w:rPr>
                <w:rFonts w:hint="eastAsia"/>
                <w:sz w:val="24"/>
                <w:lang w:val="en-US" w:eastAsia="zh-CN"/>
              </w:rPr>
              <w:t>12</w:t>
            </w: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p>
        </w:tc>
        <w:tc>
          <w:tcPr>
            <w:tcW w:w="709" w:type="dxa"/>
            <w:shd w:val="clear" w:color="auto" w:fill="auto"/>
            <w:vAlign w:val="center"/>
          </w:tcPr>
          <w:p>
            <w:pPr>
              <w:spacing w:before="63"/>
              <w:ind w:left="8"/>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2</w:t>
            </w:r>
          </w:p>
        </w:tc>
        <w:tc>
          <w:tcPr>
            <w:tcW w:w="1913" w:type="dxa"/>
            <w:shd w:val="clear" w:color="auto" w:fill="auto"/>
            <w:vAlign w:val="center"/>
          </w:tcPr>
          <w:p>
            <w:pPr>
              <w:jc w:val="center"/>
              <w:rPr>
                <w:sz w:val="24"/>
              </w:rPr>
            </w:pPr>
            <w:r>
              <w:rPr>
                <w:sz w:val="24"/>
              </w:rPr>
              <w:t>对触及带电部件的防护</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3</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4</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5</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6</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7</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8</w:t>
            </w:r>
          </w:p>
        </w:tc>
        <w:tc>
          <w:tcPr>
            <w:tcW w:w="1913" w:type="dxa"/>
            <w:shd w:val="clear" w:color="auto" w:fill="auto"/>
            <w:vAlign w:val="center"/>
          </w:tcPr>
          <w:p>
            <w:pPr>
              <w:jc w:val="center"/>
              <w:rPr>
                <w:sz w:val="24"/>
              </w:rPr>
            </w:pPr>
            <w:r>
              <w:rPr>
                <w:sz w:val="24"/>
              </w:rPr>
              <w:t>非正常工作（不包括第19.11.4条的试验）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9</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10</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11</w:t>
            </w:r>
          </w:p>
        </w:tc>
        <w:tc>
          <w:tcPr>
            <w:tcW w:w="1913" w:type="dxa"/>
            <w:shd w:val="clear" w:color="auto" w:fill="auto"/>
            <w:vAlign w:val="center"/>
          </w:tcPr>
          <w:p>
            <w:pPr>
              <w:jc w:val="center"/>
              <w:rPr>
                <w:sz w:val="24"/>
              </w:rPr>
            </w:pPr>
            <w:r>
              <w:rPr>
                <w:sz w:val="24"/>
              </w:rPr>
              <w:t>结构（不包括第22.46条的试验）</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5"/>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12</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13</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63"/>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14</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p>
            <w:pPr>
              <w:ind w:left="7"/>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15</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16</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ascii="Times New Roman" w:hAnsi="Times New Roman" w:eastAsia="仿宋_GB2312" w:cs="Times New Roman"/>
                <w:kern w:val="2"/>
                <w:sz w:val="24"/>
                <w:szCs w:val="24"/>
                <w:lang w:val="en-US" w:eastAsia="zh-CN" w:bidi="ar-SA"/>
              </w:rPr>
            </w:pPr>
            <w:r>
              <w:rPr>
                <w:sz w:val="24"/>
              </w:rPr>
              <w:t>17</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18</w:t>
            </w:r>
          </w:p>
        </w:tc>
        <w:tc>
          <w:tcPr>
            <w:tcW w:w="1913" w:type="dxa"/>
            <w:shd w:val="clear" w:color="auto" w:fill="auto"/>
            <w:vAlign w:val="center"/>
          </w:tcPr>
          <w:p>
            <w:pPr>
              <w:jc w:val="center"/>
              <w:rPr>
                <w:sz w:val="24"/>
              </w:rPr>
            </w:pPr>
            <w:r>
              <w:rPr>
                <w:rFonts w:hint="eastAsia" w:cs="仿宋_GB2312"/>
                <w:sz w:val="24"/>
              </w:rPr>
              <w:t>耐热和耐燃</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p>
          <w:p>
            <w:pPr>
              <w:ind w:left="3"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rFonts w:ascii="Times New Roman" w:hAnsi="Times New Roman" w:eastAsia="仿宋_GB2312" w:cs="Times New Roman"/>
                <w:kern w:val="2"/>
                <w:sz w:val="18"/>
                <w:szCs w:val="18"/>
                <w:lang w:val="en-US" w:eastAsia="zh-CN" w:bidi="ar-SA"/>
              </w:rPr>
            </w:pPr>
          </w:p>
        </w:tc>
        <w:tc>
          <w:tcPr>
            <w:tcW w:w="850" w:type="dxa"/>
            <w:shd w:val="clear" w:color="auto" w:fill="auto"/>
            <w:vAlign w:val="center"/>
          </w:tcPr>
          <w:p>
            <w:pPr>
              <w:spacing w:before="2"/>
              <w:jc w:val="center"/>
              <w:rPr>
                <w:sz w:val="18"/>
                <w:szCs w:val="18"/>
              </w:rPr>
            </w:pPr>
          </w:p>
          <w:p>
            <w:pPr>
              <w:ind w:left="7" w:leftChars="0"/>
              <w:jc w:val="center"/>
              <w:rPr>
                <w:rFonts w:ascii="Times New Roman" w:hAnsi="Times New Roman" w:eastAsia="仿宋_GB2312" w:cs="Times New Roman"/>
                <w:kern w:val="2"/>
                <w:sz w:val="18"/>
                <w:szCs w:val="18"/>
                <w:lang w:val="en-US" w:eastAsia="zh-CN" w:bidi="ar-SA"/>
              </w:rPr>
            </w:pPr>
            <w:r>
              <w:rPr>
                <w:sz w:val="18"/>
                <w:szCs w:val="18"/>
              </w:rPr>
              <w:t>●</w:t>
            </w:r>
          </w:p>
        </w:tc>
        <w:tc>
          <w:tcPr>
            <w:tcW w:w="709"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ascii="Times New Roman" w:hAnsi="Times New Roman" w:eastAsia="仿宋_GB2312" w:cs="Times New Roman"/>
                <w:kern w:val="2"/>
                <w:sz w:val="24"/>
                <w:szCs w:val="24"/>
                <w:lang w:val="en-US" w:eastAsia="zh-CN" w:bidi="ar-SA"/>
              </w:rPr>
            </w:pPr>
            <w:r>
              <w:rPr>
                <w:rFonts w:hint="eastAsia"/>
                <w:sz w:val="24"/>
                <w:lang w:val="en-US" w:eastAsia="zh-CN"/>
              </w:rPr>
              <w:t>19</w:t>
            </w:r>
          </w:p>
        </w:tc>
        <w:tc>
          <w:tcPr>
            <w:tcW w:w="1913" w:type="dxa"/>
            <w:shd w:val="clear" w:color="auto" w:fill="auto"/>
            <w:vAlign w:val="center"/>
          </w:tcPr>
          <w:p>
            <w:pPr>
              <w:jc w:val="center"/>
              <w:rPr>
                <w:sz w:val="24"/>
              </w:rPr>
            </w:pPr>
            <w:r>
              <w:rPr>
                <w:sz w:val="24"/>
              </w:rPr>
              <w:t>连续骚扰电压</w:t>
            </w:r>
          </w:p>
        </w:tc>
        <w:tc>
          <w:tcPr>
            <w:tcW w:w="1909" w:type="dxa"/>
            <w:vMerge w:val="restart"/>
            <w:shd w:val="clear" w:color="auto" w:fill="auto"/>
            <w:vAlign w:val="center"/>
          </w:tcPr>
          <w:p>
            <w:pPr>
              <w:jc w:val="center"/>
              <w:rPr>
                <w:sz w:val="24"/>
              </w:rPr>
            </w:pPr>
            <w:r>
              <w:rPr>
                <w:sz w:val="24"/>
              </w:rPr>
              <w:t>GB 4343.1-2018</w:t>
            </w:r>
          </w:p>
          <w:p>
            <w:pPr>
              <w:pStyle w:val="2"/>
              <w:rPr>
                <w:rFonts w:ascii="Times New Roman"/>
              </w:rPr>
            </w:pPr>
            <w:r>
              <w:rPr>
                <w:rFonts w:ascii="Times New Roman" w:eastAsia="仿宋_GB2312"/>
                <w:kern w:val="2"/>
                <w:sz w:val="24"/>
              </w:rPr>
              <w:t>GB 4343.1-2009</w:t>
            </w: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jc w:val="center"/>
              <w:rPr>
                <w:rFonts w:hint="default" w:eastAsia="仿宋_GB2312"/>
                <w:sz w:val="24"/>
                <w:lang w:val="en-US" w:eastAsia="zh-CN"/>
              </w:rPr>
            </w:pPr>
            <w:r>
              <w:rPr>
                <w:rFonts w:hint="eastAsia"/>
                <w:sz w:val="24"/>
                <w:lang w:val="en-US" w:eastAsia="zh-CN"/>
              </w:rPr>
              <w:t>20</w:t>
            </w:r>
          </w:p>
        </w:tc>
        <w:tc>
          <w:tcPr>
            <w:tcW w:w="1913" w:type="dxa"/>
            <w:shd w:val="clear" w:color="auto" w:fill="auto"/>
            <w:vAlign w:val="center"/>
          </w:tcPr>
          <w:p>
            <w:pPr>
              <w:jc w:val="center"/>
              <w:rPr>
                <w:sz w:val="24"/>
              </w:rPr>
            </w:pPr>
            <w:r>
              <w:rPr>
                <w:sz w:val="24"/>
              </w:rPr>
              <w:t>骚扰功率、辐射骚扰</w:t>
            </w:r>
          </w:p>
        </w:tc>
        <w:tc>
          <w:tcPr>
            <w:tcW w:w="1909" w:type="dxa"/>
            <w:vMerge w:val="continue"/>
            <w:shd w:val="clear" w:color="auto" w:fill="auto"/>
            <w:vAlign w:val="center"/>
          </w:tcPr>
          <w:p>
            <w:pPr>
              <w:rPr>
                <w:sz w:val="24"/>
              </w:rPr>
            </w:pPr>
          </w:p>
        </w:tc>
        <w:tc>
          <w:tcPr>
            <w:tcW w:w="746" w:type="dxa"/>
            <w:shd w:val="clear" w:color="auto" w:fill="auto"/>
            <w:vAlign w:val="center"/>
          </w:tcPr>
          <w:p>
            <w:pPr>
              <w:spacing w:before="2"/>
              <w:jc w:val="center"/>
              <w:rPr>
                <w:sz w:val="18"/>
                <w:szCs w:val="18"/>
              </w:rPr>
            </w:pPr>
            <w:r>
              <w:rPr>
                <w:sz w:val="18"/>
                <w:szCs w:val="18"/>
              </w:rPr>
              <w:t>●</w:t>
            </w:r>
          </w:p>
        </w:tc>
        <w:tc>
          <w:tcPr>
            <w:tcW w:w="709"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p>
        </w:tc>
        <w:tc>
          <w:tcPr>
            <w:tcW w:w="709" w:type="dxa"/>
            <w:shd w:val="clear" w:color="auto" w:fill="auto"/>
            <w:vAlign w:val="center"/>
          </w:tcPr>
          <w:p>
            <w:pPr>
              <w:jc w:val="center"/>
              <w:rPr>
                <w:sz w:val="18"/>
                <w:szCs w:val="18"/>
              </w:rPr>
            </w:pPr>
            <w:r>
              <w:rPr>
                <w:sz w:val="18"/>
                <w:szCs w:val="18"/>
              </w:rPr>
              <w:t>●</w:t>
            </w: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82" w:type="dxa"/>
            <w:shd w:val="clear" w:color="auto" w:fill="auto"/>
            <w:vAlign w:val="center"/>
          </w:tcPr>
          <w:p>
            <w:pPr>
              <w:adjustRightInd w:val="0"/>
              <w:snapToGrid w:val="0"/>
              <w:spacing w:line="360" w:lineRule="exact"/>
              <w:jc w:val="center"/>
              <w:rPr>
                <w:rFonts w:hint="eastAsia" w:ascii="Times New Roman" w:hAnsi="Times New Roman" w:eastAsia="仿宋_GB2312" w:cs="仿宋_GB2312"/>
                <w:kern w:val="2"/>
                <w:sz w:val="24"/>
                <w:szCs w:val="24"/>
                <w:lang w:val="en-US" w:eastAsia="zh-CN" w:bidi="ar-SA"/>
              </w:rPr>
            </w:pPr>
            <w:r>
              <w:rPr>
                <w:rFonts w:hint="eastAsia" w:cs="仿宋_GB2312"/>
                <w:sz w:val="24"/>
                <w:lang w:val="en-US" w:eastAsia="zh-CN"/>
              </w:rPr>
              <w:t>21</w:t>
            </w:r>
          </w:p>
        </w:tc>
        <w:tc>
          <w:tcPr>
            <w:tcW w:w="1913" w:type="dxa"/>
            <w:shd w:val="clear" w:color="auto" w:fill="auto"/>
            <w:vAlign w:val="center"/>
          </w:tcPr>
          <w:p>
            <w:pPr>
              <w:jc w:val="center"/>
              <w:rPr>
                <w:rFonts w:ascii="Calibri" w:hAnsi="Calibri" w:eastAsia="仿宋_GB2312" w:cs="Times New Roman"/>
                <w:kern w:val="2"/>
                <w:sz w:val="24"/>
                <w:szCs w:val="24"/>
                <w:lang w:val="en-US" w:eastAsia="zh-CN" w:bidi="ar-SA"/>
              </w:rPr>
            </w:pPr>
            <w:r>
              <w:rPr>
                <w:rFonts w:ascii="Calibri" w:hAnsi="Calibri"/>
                <w:sz w:val="24"/>
              </w:rPr>
              <w:t>谐波电流</w:t>
            </w:r>
          </w:p>
        </w:tc>
        <w:tc>
          <w:tcPr>
            <w:tcW w:w="1909" w:type="dxa"/>
            <w:shd w:val="clear" w:color="auto" w:fill="auto"/>
            <w:vAlign w:val="center"/>
          </w:tcPr>
          <w:p>
            <w:pPr>
              <w:jc w:val="center"/>
              <w:rPr>
                <w:rFonts w:hint="eastAsia" w:ascii="Calibri" w:hAnsi="Calibri" w:eastAsia="仿宋_GB2312" w:cs="Times New Roman"/>
                <w:kern w:val="2"/>
                <w:sz w:val="24"/>
                <w:szCs w:val="24"/>
                <w:lang w:val="en-US" w:eastAsia="zh-CN" w:bidi="ar-SA"/>
              </w:rPr>
            </w:pPr>
            <w:r>
              <w:rPr>
                <w:rFonts w:ascii="Calibri" w:hAnsi="Calibri"/>
                <w:sz w:val="24"/>
              </w:rPr>
              <w:t>GB 17625.1-2012</w:t>
            </w:r>
          </w:p>
        </w:tc>
        <w:tc>
          <w:tcPr>
            <w:tcW w:w="746" w:type="dxa"/>
            <w:shd w:val="clear" w:color="auto" w:fill="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709" w:type="dxa"/>
            <w:shd w:val="clear" w:color="auto" w:fill="auto"/>
            <w:vAlign w:val="top"/>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850" w:type="dxa"/>
            <w:shd w:val="clear" w:color="auto" w:fill="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p>
        </w:tc>
        <w:tc>
          <w:tcPr>
            <w:tcW w:w="709" w:type="dxa"/>
            <w:shd w:val="clear" w:color="auto" w:fill="auto"/>
            <w:vAlign w:val="center"/>
          </w:tcPr>
          <w:p>
            <w:pPr>
              <w:adjustRightInd w:val="0"/>
              <w:snapToGrid w:val="0"/>
              <w:spacing w:line="360" w:lineRule="exact"/>
              <w:jc w:val="center"/>
              <w:rPr>
                <w:rFonts w:ascii="Times New Roman" w:hAnsi="Times New Roman" w:eastAsia="仿宋_GB2312" w:cs="仿宋_GB2312"/>
                <w:kern w:val="2"/>
                <w:sz w:val="24"/>
                <w:szCs w:val="24"/>
                <w:lang w:val="en-US" w:eastAsia="zh-CN" w:bidi="ar-SA"/>
              </w:rPr>
            </w:pPr>
            <w:r>
              <w:rPr>
                <w:rFonts w:cs="仿宋_GB2312"/>
                <w:sz w:val="24"/>
              </w:rPr>
              <w:t>●</w:t>
            </w: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pPr>
        <w:adjustRightInd w:val="0"/>
        <w:snapToGrid w:val="0"/>
        <w:ind w:firstLine="480" w:firstLineChars="200"/>
        <w:jc w:val="left"/>
        <w:rPr>
          <w:rFonts w:eastAsia="仿宋"/>
          <w:color w:val="000000"/>
          <w:sz w:val="24"/>
        </w:rPr>
      </w:pPr>
      <w:r>
        <w:rPr>
          <w:rFonts w:eastAsia="仿宋"/>
          <w:color w:val="000000"/>
          <w:sz w:val="24"/>
        </w:rPr>
        <w:t>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rPr>
          <w:rFonts w:hint="eastAsia"/>
        </w:rPr>
      </w:pPr>
      <w:r>
        <w:rPr>
          <w:rFonts w:hint="eastAsia"/>
        </w:rPr>
        <w:t>GB 4706.1-2005《家用和类似用途电器的安全 第1部分：通用要求》</w:t>
      </w:r>
    </w:p>
    <w:p>
      <w:pPr>
        <w:ind w:firstLine="640" w:firstLineChars="200"/>
        <w:rPr>
          <w:rFonts w:hint="eastAsia"/>
        </w:rPr>
      </w:pPr>
      <w:r>
        <w:rPr>
          <w:rFonts w:hint="eastAsia"/>
        </w:rPr>
        <w:t>GB 4706.32-2012《家用和类似用途电器的安全 热泵、空调器和除湿机的特殊要求》</w:t>
      </w:r>
    </w:p>
    <w:p>
      <w:pPr>
        <w:ind w:firstLine="640" w:firstLineChars="200"/>
        <w:rPr>
          <w:rFonts w:hint="eastAsia"/>
        </w:rPr>
      </w:pPr>
      <w:r>
        <w:rPr>
          <w:rFonts w:hint="eastAsia"/>
        </w:rPr>
        <w:t>GB 4343.1-2009《家用电器、电动工具和类似器具的电磁兼容要求 第1部分：发射》</w:t>
      </w:r>
    </w:p>
    <w:p>
      <w:pPr>
        <w:ind w:firstLine="640" w:firstLineChars="200"/>
        <w:rPr>
          <w:rFonts w:hint="eastAsia"/>
        </w:rPr>
      </w:pPr>
      <w:r>
        <w:rPr>
          <w:rFonts w:hint="eastAsia"/>
        </w:rPr>
        <w:t>GB 4343.1-2018《家用电器、电动工具和类似器具的电磁兼容要求 第1部分：发射》</w:t>
      </w:r>
    </w:p>
    <w:p>
      <w:pPr>
        <w:ind w:firstLine="640" w:firstLineChars="200"/>
        <w:rPr>
          <w:rFonts w:hint="eastAsia"/>
        </w:rPr>
      </w:pPr>
      <w:r>
        <w:rPr>
          <w:rFonts w:hint="eastAsia"/>
        </w:rPr>
        <w:t>GB 17625.1-2012《电磁兼容 限值 谐波电流发射限值(设备每相输入电流≤16A)》</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1、重要质量指标不合格判定所检样本不合格程度类型为：严重不合格，较重要质量指标不合格判定所检样本不合格类型为：不合格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lang w:eastAsia="zh-CN"/>
        </w:rPr>
      </w:pPr>
      <w:r>
        <w:rPr>
          <w:rFonts w:hint="eastAsia" w:ascii="仿宋_GB2312" w:hAnsi="Calibri" w:eastAsia="仿宋_GB2312" w:cs="楷体_GB2312"/>
          <w:sz w:val="32"/>
          <w:szCs w:val="32"/>
        </w:rPr>
        <w:t>2、监督总体不合格类型与所检样本不合格类型一一对应，即若所检样本出现严重不合格，判定为监督总体严重不合格；若所检样本未出现严重不合格，则判定为监督总体不合格</w:t>
      </w:r>
      <w:r>
        <w:rPr>
          <w:rFonts w:hint="eastAsia" w:ascii="仿宋_GB2312" w:hAnsi="Calibri" w:cs="楷体_GB2312"/>
          <w:sz w:val="32"/>
          <w:szCs w:val="32"/>
          <w:lang w:eastAsia="zh-CN"/>
        </w:rPr>
        <w:t>。</w:t>
      </w:r>
    </w:p>
    <w:p>
      <w:pPr>
        <w:adjustRightInd w:val="0"/>
        <w:snapToGrid w:val="0"/>
        <w:spacing w:line="590" w:lineRule="exact"/>
        <w:ind w:firstLine="640" w:firstLineChars="200"/>
        <w:rPr>
          <w:rFonts w:hint="eastAsia" w:ascii="仿宋_GB2312" w:hAnsi="Calibri" w:eastAsia="仿宋_GB2312" w:cs="楷体_GB2312"/>
          <w:sz w:val="32"/>
          <w:szCs w:val="32"/>
        </w:rPr>
      </w:pPr>
      <w:r>
        <w:rPr>
          <w:rFonts w:hint="eastAsia" w:ascii="仿宋_GB2312" w:hAnsi="Calibri" w:eastAsia="仿宋_GB2312" w:cs="楷体_GB2312"/>
          <w:sz w:val="32"/>
          <w:szCs w:val="32"/>
        </w:rPr>
        <w:t>3、若样本所检质量指标均合格，判定为样本所检质量指标未发现不合格。</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r>
        <w:rPr>
          <w:rFonts w:hint="eastAsia" w:ascii="Times New Roman" w:hAnsi="Times New Roman" w:eastAsia="仿宋_GB2312" w:cs="Times New Roman"/>
          <w:sz w:val="32"/>
          <w:szCs w:val="32"/>
          <w:lang w:eastAsia="zh-CN"/>
        </w:rPr>
        <w:t>。</w:t>
      </w:r>
    </w:p>
    <w:p>
      <w:pPr>
        <w:pStyle w:val="8"/>
        <w:tabs>
          <w:tab w:val="clear" w:pos="4201"/>
          <w:tab w:val="clear" w:pos="9298"/>
        </w:tabs>
        <w:ind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当被检样品明示的质量要求劣于或不包含监督抽查实施细则中依据的标准要求时，应按照标准要求判定</w:t>
      </w:r>
      <w:r>
        <w:rPr>
          <w:rFonts w:hint="eastAsia" w:ascii="Times New Roman" w:hAnsi="Times New Roman" w:eastAsia="仿宋_GB2312" w:cs="Times New Roman"/>
          <w:sz w:val="32"/>
          <w:szCs w:val="32"/>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4AA2E75"/>
    <w:rsid w:val="15631434"/>
    <w:rsid w:val="17751B8E"/>
    <w:rsid w:val="38700B55"/>
    <w:rsid w:val="38DD7ED5"/>
    <w:rsid w:val="3F1B0BAF"/>
    <w:rsid w:val="4EB50C3A"/>
    <w:rsid w:val="50A7688F"/>
    <w:rsid w:val="52260B3F"/>
    <w:rsid w:val="54D07982"/>
    <w:rsid w:val="5D265A0B"/>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9">
    <w:name w:val="页眉 字符"/>
    <w:basedOn w:val="7"/>
    <w:link w:val="5"/>
    <w:qFormat/>
    <w:uiPriority w:val="99"/>
    <w:rPr>
      <w:rFonts w:ascii="Times New Roman" w:hAnsi="Times New Roman" w:eastAsia="仿宋_GB2312" w:cs="Times New Roman"/>
      <w:kern w:val="2"/>
      <w:sz w:val="18"/>
      <w:szCs w:val="18"/>
    </w:rPr>
  </w:style>
  <w:style w:type="character" w:customStyle="1" w:styleId="10">
    <w:name w:val="纯文本 字符"/>
    <w:basedOn w:val="7"/>
    <w:link w:val="3"/>
    <w:qFormat/>
    <w:uiPriority w:val="0"/>
    <w:rPr>
      <w:rFonts w:ascii="宋体" w:hAnsi="Courier New" w:cs="Courier New"/>
      <w:kern w:val="2"/>
      <w:sz w:val="21"/>
      <w:szCs w:val="21"/>
    </w:rPr>
  </w:style>
  <w:style w:type="character" w:customStyle="1" w:styleId="11">
    <w:name w:val="纯文本 Char1"/>
    <w:basedOn w:val="7"/>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242</Words>
  <Characters>1385</Characters>
  <Lines>11</Lines>
  <Paragraphs>3</Paragraphs>
  <TotalTime>3</TotalTime>
  <ScaleCrop>false</ScaleCrop>
  <LinksUpToDate>false</LinksUpToDate>
  <CharactersWithSpaces>1624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2022-01-17T07:27:00Z</dcterms:created>
  <dc:creator>胡少玲</dc:creator>
  <cp:lastModifiedBy>Administrator</cp:lastModifiedBy>
  <dcterms:modified xsi:type="dcterms:W3CDTF">2022-06-17T01:32:20Z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2557874D3FC346119D8B2F0F683B7294</vt:lpwstr>
  </property>
</Properties>
</file>