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w:t>
      </w:r>
      <w:r>
        <w:rPr>
          <w:rFonts w:hint="eastAsia" w:eastAsia="方正小标宋简体"/>
          <w:spacing w:val="-1"/>
          <w:position w:val="1"/>
          <w:sz w:val="44"/>
          <w:szCs w:val="44"/>
          <w:lang w:eastAsia="zh-CN"/>
        </w:rPr>
        <w:t>学生</w:t>
      </w:r>
      <w:r>
        <w:rPr>
          <w:rFonts w:hint="eastAsia" w:eastAsia="方正小标宋简体"/>
          <w:spacing w:val="-1"/>
          <w:position w:val="1"/>
          <w:sz w:val="44"/>
          <w:szCs w:val="44"/>
        </w:rPr>
        <w:t>用品</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szCs w:val="21"/>
        </w:rPr>
        <w:t>样生产者、销售者</w:t>
      </w:r>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1组抽取样品5个，</w:t>
      </w:r>
      <w:r>
        <w:rPr>
          <w:rFonts w:hint="eastAsia" w:cs="仿宋_GB2312"/>
          <w:color w:val="000000"/>
          <w:szCs w:val="32"/>
        </w:rPr>
        <w:t>第2组抽取样品2</w:t>
      </w:r>
      <w:r>
        <w:rPr>
          <w:rFonts w:hint="eastAsia"/>
          <w:color w:val="000000"/>
          <w:szCs w:val="32"/>
        </w:rPr>
        <w:t>个</w:t>
      </w:r>
      <w:r>
        <w:rPr>
          <w:rFonts w:hint="eastAsia" w:cs="仿宋_GB2312"/>
          <w:color w:val="000000"/>
          <w:szCs w:val="32"/>
        </w:rPr>
        <w:t>。</w:t>
      </w:r>
    </w:p>
    <w:p>
      <w:pPr>
        <w:ind w:firstLine="640" w:firstLineChars="200"/>
        <w:rPr>
          <w:rFonts w:eastAsia="黑体"/>
          <w:color w:val="000000"/>
          <w:szCs w:val="32"/>
        </w:rPr>
      </w:pPr>
      <w:r>
        <w:rPr>
          <w:rFonts w:eastAsia="黑体"/>
          <w:color w:val="000000"/>
          <w:szCs w:val="32"/>
        </w:rPr>
        <w:t>二、主要检验项目及检验项目属性划分</w:t>
      </w:r>
    </w:p>
    <w:p>
      <w:pPr>
        <w:ind w:firstLine="640" w:firstLineChars="200"/>
        <w:jc w:val="left"/>
      </w:pPr>
      <w:r>
        <w:rPr>
          <w:rFonts w:eastAsia="楷体_GB2312"/>
          <w:szCs w:val="32"/>
        </w:rPr>
        <w:t>（一）</w:t>
      </w:r>
      <w:r>
        <w:rPr>
          <w:rFonts w:hint="eastAsia" w:eastAsia="楷体" w:cs="楷体"/>
          <w:szCs w:val="32"/>
        </w:rPr>
        <w:t>书套、</w:t>
      </w:r>
      <w:r>
        <w:rPr>
          <w:rFonts w:eastAsia="楷体" w:cs="楷体"/>
          <w:szCs w:val="32"/>
        </w:rPr>
        <w:t>橡皮擦</w:t>
      </w:r>
      <w:r>
        <w:rPr>
          <w:rFonts w:hint="eastAsia" w:eastAsia="楷体" w:cs="楷体"/>
          <w:szCs w:val="32"/>
        </w:rPr>
        <w:t>、</w:t>
      </w:r>
      <w:r>
        <w:rPr>
          <w:rFonts w:eastAsia="楷体" w:cs="楷体"/>
          <w:szCs w:val="32"/>
        </w:rPr>
        <w:t>书写笔</w:t>
      </w:r>
      <w:r>
        <w:rPr>
          <w:rFonts w:hint="eastAsia" w:eastAsia="楷体" w:cs="楷体"/>
          <w:szCs w:val="32"/>
        </w:rPr>
        <w:t>、</w:t>
      </w:r>
      <w:r>
        <w:rPr>
          <w:rFonts w:eastAsia="楷体" w:cs="楷体"/>
          <w:szCs w:val="32"/>
        </w:rPr>
        <w:t>记号笔</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可迁移元素的限量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pStyle w:val="2"/>
            </w:pPr>
            <w:r>
              <w:rPr>
                <w:rFonts w:ascii="Times New Roman" w:eastAsia="仿宋_GB2312"/>
                <w:kern w:val="2"/>
                <w:sz w:val="24"/>
              </w:rPr>
              <w:t>GB 6675.4-2014</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可触及的塑料件中邻苯二甲酸酯增塑剂的限量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adjustRightInd w:val="0"/>
              <w:snapToGrid w:val="0"/>
              <w:spacing w:line="360" w:lineRule="exact"/>
              <w:jc w:val="center"/>
              <w:rPr>
                <w:rFonts w:hint="eastAsia" w:eastAsia="仿宋_GB2312"/>
                <w:lang w:eastAsia="zh-CN"/>
              </w:rPr>
            </w:pPr>
            <w:r>
              <w:rPr>
                <w:sz w:val="24"/>
              </w:rPr>
              <w:t xml:space="preserve">GB/T </w:t>
            </w:r>
            <w:r>
              <w:rPr>
                <w:rFonts w:hint="eastAsia"/>
                <w:sz w:val="24"/>
                <w:lang w:eastAsia="zh-CN"/>
              </w:rPr>
              <w:t>22048-2022</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bl>
    <w:p>
      <w:pPr>
        <w:ind w:firstLine="640" w:firstLineChars="200"/>
        <w:jc w:val="left"/>
        <w:rPr>
          <w:rFonts w:eastAsia="楷体_GB2312"/>
          <w:bCs/>
          <w:kern w:val="0"/>
          <w:szCs w:val="32"/>
        </w:rPr>
      </w:pPr>
      <w:r>
        <w:rPr>
          <w:rFonts w:eastAsia="楷体_GB2312"/>
          <w:bCs/>
          <w:kern w:val="0"/>
          <w:szCs w:val="32"/>
        </w:rPr>
        <w:t>（二）</w:t>
      </w:r>
      <w:r>
        <w:rPr>
          <w:rFonts w:hint="eastAsia" w:eastAsia="楷体" w:cs="楷体"/>
          <w:szCs w:val="32"/>
        </w:rPr>
        <w:t>彩泥</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可迁移元素的限量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pStyle w:val="2"/>
              <w:rPr>
                <w:rFonts w:ascii="Times New Roman" w:eastAsia="仿宋_GB2312"/>
                <w:kern w:val="2"/>
                <w:sz w:val="24"/>
              </w:rPr>
            </w:pPr>
            <w:r>
              <w:rPr>
                <w:rFonts w:ascii="Times New Roman" w:eastAsia="仿宋_GB2312"/>
                <w:kern w:val="2"/>
                <w:sz w:val="24"/>
              </w:rPr>
              <w:t>GB 6675.4-2014</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可触及的塑料件中邻苯二甲酸酯增塑剂的限量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adjustRightInd w:val="0"/>
              <w:snapToGrid w:val="0"/>
              <w:spacing w:line="360" w:lineRule="exact"/>
              <w:jc w:val="center"/>
              <w:rPr>
                <w:rFonts w:hint="eastAsia" w:eastAsia="仿宋_GB2312"/>
                <w:sz w:val="24"/>
                <w:lang w:eastAsia="zh-CN"/>
              </w:rPr>
            </w:pPr>
            <w:r>
              <w:rPr>
                <w:sz w:val="24"/>
              </w:rPr>
              <w:t xml:space="preserve">GB/T </w:t>
            </w:r>
            <w:r>
              <w:rPr>
                <w:rFonts w:hint="eastAsia"/>
                <w:sz w:val="24"/>
                <w:lang w:eastAsia="zh-CN"/>
              </w:rPr>
              <w:t>22048-2022</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游离甲醛的限量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spacing w:line="240" w:lineRule="exact"/>
              <w:jc w:val="center"/>
              <w:rPr>
                <w:sz w:val="24"/>
              </w:rPr>
            </w:pPr>
            <w:r>
              <w:rPr>
                <w:sz w:val="24"/>
              </w:rPr>
              <w:t>GB/T 32606-2016</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bl>
    <w:p>
      <w:pPr>
        <w:spacing w:line="590" w:lineRule="exact"/>
        <w:ind w:left="320" w:leftChars="100" w:firstLine="476" w:firstLineChars="149"/>
        <w:rPr>
          <w:color w:val="000000"/>
          <w:szCs w:val="21"/>
        </w:rPr>
      </w:pPr>
      <w:r>
        <w:rPr>
          <w:rFonts w:hint="eastAsia" w:eastAsia="楷体" w:cs="楷体"/>
          <w:szCs w:val="32"/>
        </w:rPr>
        <w:t>（三）</w:t>
      </w:r>
      <w:r>
        <w:rPr>
          <w:rFonts w:eastAsia="楷体" w:cs="楷体"/>
          <w:szCs w:val="32"/>
        </w:rPr>
        <w:t>卷笔刀、绘图仪尺、文具盒</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可迁移元素的限量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pStyle w:val="2"/>
              <w:rPr>
                <w:rFonts w:ascii="Times New Roman" w:eastAsia="仿宋_GB2312"/>
                <w:kern w:val="2"/>
                <w:sz w:val="24"/>
              </w:rPr>
            </w:pPr>
            <w:r>
              <w:rPr>
                <w:rFonts w:ascii="Times New Roman" w:eastAsia="仿宋_GB2312"/>
                <w:kern w:val="2"/>
                <w:sz w:val="24"/>
              </w:rPr>
              <w:t>GB 6675.4-2014</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可触及的塑料件中邻苯二甲酸酯增塑剂的限量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adjustRightInd w:val="0"/>
              <w:snapToGrid w:val="0"/>
              <w:spacing w:line="360" w:lineRule="exact"/>
              <w:jc w:val="center"/>
              <w:rPr>
                <w:rFonts w:hint="eastAsia" w:eastAsia="仿宋_GB2312"/>
                <w:sz w:val="24"/>
                <w:lang w:eastAsia="zh-CN"/>
              </w:rPr>
            </w:pPr>
            <w:r>
              <w:rPr>
                <w:sz w:val="24"/>
              </w:rPr>
              <w:t xml:space="preserve">GB/T </w:t>
            </w:r>
            <w:r>
              <w:rPr>
                <w:rFonts w:hint="eastAsia"/>
                <w:sz w:val="24"/>
                <w:lang w:eastAsia="zh-CN"/>
              </w:rPr>
              <w:t>22048-2022</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spacing w:line="240" w:lineRule="exact"/>
              <w:jc w:val="center"/>
              <w:rPr>
                <w:rFonts w:ascii="宋体" w:hAnsi="宋体"/>
                <w:sz w:val="24"/>
              </w:rPr>
            </w:pPr>
            <w:bookmarkStart w:id="0" w:name="_Hlk101878462"/>
            <w:r>
              <w:rPr>
                <w:rFonts w:ascii="宋体" w:hAnsi="宋体"/>
                <w:sz w:val="24"/>
              </w:rPr>
              <w:t>边缘、尖端</w:t>
            </w:r>
            <w:bookmarkEnd w:id="0"/>
          </w:p>
        </w:tc>
        <w:tc>
          <w:tcPr>
            <w:tcW w:w="1909" w:type="dxa"/>
            <w:shd w:val="clear" w:color="auto" w:fill="auto"/>
            <w:vAlign w:val="center"/>
          </w:tcPr>
          <w:p>
            <w:pPr>
              <w:adjustRightInd w:val="0"/>
              <w:snapToGrid w:val="0"/>
              <w:spacing w:line="360" w:lineRule="exact"/>
              <w:jc w:val="center"/>
              <w:rPr>
                <w:sz w:val="24"/>
              </w:rPr>
            </w:pPr>
            <w:r>
              <w:rPr>
                <w:sz w:val="24"/>
              </w:rPr>
              <w:t>GB 21027-2020</w:t>
            </w:r>
          </w:p>
          <w:p>
            <w:pPr>
              <w:spacing w:line="240" w:lineRule="exact"/>
              <w:jc w:val="center"/>
              <w:rPr>
                <w:sz w:val="24"/>
              </w:rPr>
            </w:pPr>
            <w:r>
              <w:rPr>
                <w:sz w:val="24"/>
              </w:rPr>
              <w:t>GB 6675.</w:t>
            </w:r>
            <w:r>
              <w:rPr>
                <w:rFonts w:hint="eastAsia"/>
                <w:sz w:val="24"/>
              </w:rPr>
              <w:t>2</w:t>
            </w:r>
            <w:r>
              <w:rPr>
                <w:sz w:val="24"/>
              </w:rPr>
              <w:t>-2014</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bl>
    <w:p>
      <w:pPr>
        <w:spacing w:line="590" w:lineRule="exact"/>
        <w:ind w:left="320" w:leftChars="100" w:firstLine="476" w:firstLineChars="149"/>
        <w:rPr>
          <w:rFonts w:hint="eastAsia" w:eastAsia="楷体" w:cs="楷体"/>
          <w:szCs w:val="32"/>
          <w:lang w:eastAsia="zh-CN"/>
        </w:rPr>
      </w:pPr>
      <w:r>
        <w:rPr>
          <w:rFonts w:hint="eastAsia" w:eastAsia="楷体" w:cs="楷体"/>
          <w:szCs w:val="32"/>
        </w:rPr>
        <w:t>（四）</w:t>
      </w:r>
      <w:r>
        <w:rPr>
          <w:rFonts w:eastAsia="楷体" w:cs="楷体"/>
          <w:szCs w:val="32"/>
        </w:rPr>
        <w:t>笔袋</w:t>
      </w:r>
      <w:r>
        <w:rPr>
          <w:rFonts w:hint="eastAsia" w:eastAsia="楷体" w:cs="楷体"/>
          <w:szCs w:val="32"/>
          <w:lang w:eastAsia="zh-CN"/>
        </w:rPr>
        <w:t>、书包</w:t>
      </w:r>
      <w:bookmarkStart w:id="3" w:name="_GoBack"/>
      <w:bookmarkEnd w:id="3"/>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可迁移元素的限量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pStyle w:val="2"/>
              <w:rPr>
                <w:rFonts w:ascii="Times New Roman" w:eastAsia="仿宋_GB2312"/>
                <w:kern w:val="2"/>
                <w:sz w:val="24"/>
              </w:rPr>
            </w:pPr>
            <w:r>
              <w:rPr>
                <w:rFonts w:ascii="Times New Roman" w:eastAsia="仿宋_GB2312"/>
                <w:kern w:val="2"/>
                <w:sz w:val="24"/>
              </w:rPr>
              <w:t>GB 6675.4-2014</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可触及的塑料件中邻苯二甲酸酯增塑剂的限量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adjustRightInd w:val="0"/>
              <w:snapToGrid w:val="0"/>
              <w:spacing w:line="360" w:lineRule="exact"/>
              <w:jc w:val="center"/>
              <w:rPr>
                <w:rFonts w:hint="eastAsia" w:eastAsia="仿宋_GB2312"/>
                <w:sz w:val="24"/>
                <w:lang w:eastAsia="zh-CN"/>
              </w:rPr>
            </w:pPr>
            <w:r>
              <w:rPr>
                <w:sz w:val="24"/>
              </w:rPr>
              <w:t xml:space="preserve">GB/T </w:t>
            </w:r>
            <w:r>
              <w:rPr>
                <w:rFonts w:hint="eastAsia"/>
                <w:sz w:val="24"/>
                <w:lang w:eastAsia="zh-CN"/>
              </w:rPr>
              <w:t>22048-2022</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spacing w:line="240" w:lineRule="exact"/>
              <w:jc w:val="center"/>
              <w:rPr>
                <w:rFonts w:ascii="宋体" w:hAnsi="宋体"/>
                <w:sz w:val="24"/>
              </w:rPr>
            </w:pPr>
            <w:r>
              <w:rPr>
                <w:rFonts w:ascii="宋体" w:hAnsi="宋体"/>
                <w:sz w:val="24"/>
              </w:rPr>
              <w:t>游离甲醛含量</w:t>
            </w:r>
          </w:p>
        </w:tc>
        <w:tc>
          <w:tcPr>
            <w:tcW w:w="1909" w:type="dxa"/>
            <w:shd w:val="clear" w:color="auto" w:fill="auto"/>
            <w:vAlign w:val="center"/>
          </w:tcPr>
          <w:p>
            <w:pPr>
              <w:adjustRightInd w:val="0"/>
              <w:snapToGrid w:val="0"/>
              <w:spacing w:line="360" w:lineRule="exact"/>
              <w:jc w:val="center"/>
              <w:rPr>
                <w:sz w:val="24"/>
              </w:rPr>
            </w:pPr>
            <w:r>
              <w:rPr>
                <w:sz w:val="24"/>
              </w:rPr>
              <w:t>GB 21027-2020</w:t>
            </w:r>
          </w:p>
          <w:p>
            <w:pPr>
              <w:spacing w:line="240" w:lineRule="exact"/>
              <w:jc w:val="center"/>
              <w:rPr>
                <w:sz w:val="24"/>
              </w:rPr>
            </w:pPr>
            <w:r>
              <w:rPr>
                <w:sz w:val="24"/>
              </w:rPr>
              <w:t>GB/T 32606-2016</w:t>
            </w:r>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682" w:type="dxa"/>
            <w:shd w:val="clear" w:color="auto" w:fill="auto"/>
            <w:vAlign w:val="center"/>
          </w:tcPr>
          <w:p>
            <w:pPr>
              <w:jc w:val="center"/>
              <w:rPr>
                <w:sz w:val="24"/>
              </w:rPr>
            </w:pPr>
            <w:r>
              <w:rPr>
                <w:rFonts w:hint="eastAsia"/>
                <w:sz w:val="24"/>
              </w:rPr>
              <w:t>4</w:t>
            </w:r>
          </w:p>
        </w:tc>
        <w:tc>
          <w:tcPr>
            <w:tcW w:w="1913" w:type="dxa"/>
            <w:shd w:val="clear" w:color="auto" w:fill="auto"/>
            <w:vAlign w:val="center"/>
          </w:tcPr>
          <w:p>
            <w:pPr>
              <w:spacing w:line="240" w:lineRule="exact"/>
              <w:jc w:val="center"/>
              <w:rPr>
                <w:rFonts w:ascii="宋体" w:hAnsi="宋体"/>
                <w:sz w:val="24"/>
              </w:rPr>
            </w:pPr>
            <w:bookmarkStart w:id="1" w:name="_Hlk101878614"/>
            <w:r>
              <w:rPr>
                <w:rFonts w:ascii="宋体" w:hAnsi="宋体"/>
                <w:sz w:val="24"/>
              </w:rPr>
              <w:t>可分解有害芳香胺染料</w:t>
            </w:r>
            <w:bookmarkEnd w:id="1"/>
          </w:p>
        </w:tc>
        <w:tc>
          <w:tcPr>
            <w:tcW w:w="1909" w:type="dxa"/>
            <w:shd w:val="clear" w:color="auto" w:fill="auto"/>
            <w:vAlign w:val="center"/>
          </w:tcPr>
          <w:p>
            <w:pPr>
              <w:adjustRightInd w:val="0"/>
              <w:snapToGrid w:val="0"/>
              <w:spacing w:line="360" w:lineRule="exact"/>
              <w:jc w:val="center"/>
              <w:rPr>
                <w:sz w:val="24"/>
              </w:rPr>
            </w:pPr>
            <w:r>
              <w:rPr>
                <w:sz w:val="24"/>
              </w:rPr>
              <w:t>GB 21027-2020</w:t>
            </w:r>
          </w:p>
          <w:p>
            <w:pPr>
              <w:jc w:val="center"/>
              <w:rPr>
                <w:sz w:val="24"/>
              </w:rPr>
            </w:pPr>
            <w:bookmarkStart w:id="2" w:name="_Hlk101878639"/>
            <w:r>
              <w:rPr>
                <w:sz w:val="24"/>
              </w:rPr>
              <w:t>GB/T 17592-2011</w:t>
            </w:r>
          </w:p>
          <w:p>
            <w:pPr>
              <w:adjustRightInd w:val="0"/>
              <w:snapToGrid w:val="0"/>
              <w:spacing w:line="360" w:lineRule="exact"/>
              <w:jc w:val="center"/>
              <w:rPr>
                <w:sz w:val="24"/>
              </w:rPr>
            </w:pPr>
            <w:r>
              <w:rPr>
                <w:sz w:val="24"/>
              </w:rPr>
              <w:t>GB/T 23344-2009</w:t>
            </w:r>
            <w:bookmarkEnd w:id="2"/>
          </w:p>
        </w:tc>
        <w:tc>
          <w:tcPr>
            <w:tcW w:w="746"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1"/>
                <w:szCs w:val="21"/>
              </w:rPr>
            </w:pPr>
          </w:p>
        </w:tc>
        <w:tc>
          <w:tcPr>
            <w:tcW w:w="850" w:type="dxa"/>
            <w:shd w:val="clear" w:color="auto" w:fill="auto"/>
            <w:vAlign w:val="center"/>
          </w:tcPr>
          <w:p>
            <w:pPr>
              <w:adjustRightInd w:val="0"/>
              <w:snapToGrid w:val="0"/>
              <w:spacing w:line="240" w:lineRule="exact"/>
              <w:jc w:val="center"/>
              <w:rPr>
                <w:rFonts w:cs="宋体"/>
                <w:sz w:val="21"/>
                <w:szCs w:val="21"/>
              </w:rPr>
            </w:pPr>
            <w:r>
              <w:rPr>
                <w:rFonts w:hint="eastAsia" w:cs="仿宋_GB2312"/>
                <w:sz w:val="21"/>
                <w:szCs w:val="21"/>
              </w:rPr>
              <w:t>●</w:t>
            </w:r>
          </w:p>
        </w:tc>
        <w:tc>
          <w:tcPr>
            <w:tcW w:w="709" w:type="dxa"/>
            <w:shd w:val="clear" w:color="auto" w:fill="auto"/>
            <w:vAlign w:val="center"/>
          </w:tcPr>
          <w:p>
            <w:pPr>
              <w:adjustRightInd w:val="0"/>
              <w:snapToGrid w:val="0"/>
              <w:spacing w:line="240" w:lineRule="exact"/>
              <w:jc w:val="center"/>
              <w:rPr>
                <w:rFonts w:cs="宋体"/>
                <w:sz w:val="24"/>
                <w:szCs w:val="21"/>
              </w:rPr>
            </w:pPr>
          </w:p>
        </w:tc>
        <w:tc>
          <w:tcPr>
            <w:tcW w:w="851" w:type="dxa"/>
            <w:shd w:val="clear" w:color="auto" w:fill="auto"/>
            <w:vAlign w:val="center"/>
          </w:tcPr>
          <w:p>
            <w:pPr>
              <w:adjustRightInd w:val="0"/>
              <w:snapToGrid w:val="0"/>
              <w:spacing w:line="240" w:lineRule="exact"/>
              <w:jc w:val="center"/>
              <w:rPr>
                <w:rFonts w:cs="宋体"/>
                <w:sz w:val="24"/>
                <w:szCs w:val="21"/>
              </w:rPr>
            </w:pPr>
          </w:p>
        </w:tc>
      </w:tr>
    </w:tbl>
    <w:p>
      <w:pPr>
        <w:adjustRightInd w:val="0"/>
        <w:snapToGrid w:val="0"/>
        <w:ind w:firstLine="600" w:firstLineChars="200"/>
        <w:jc w:val="left"/>
        <w:rPr>
          <w:rFonts w:eastAsia="仿宋"/>
          <w:color w:val="000000"/>
          <w:sz w:val="30"/>
          <w:szCs w:val="30"/>
        </w:rPr>
      </w:pPr>
      <w:r>
        <w:rPr>
          <w:rFonts w:eastAsia="仿宋"/>
          <w:color w:val="000000"/>
          <w:sz w:val="30"/>
          <w:szCs w:val="30"/>
        </w:rPr>
        <w:t>注： 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adjustRightInd w:val="0"/>
        <w:snapToGrid w:val="0"/>
        <w:spacing w:line="440" w:lineRule="exact"/>
        <w:ind w:firstLine="547" w:firstLineChars="171"/>
        <w:rPr>
          <w:color w:val="000000"/>
          <w:szCs w:val="21"/>
        </w:rPr>
      </w:pPr>
      <w:r>
        <w:rPr>
          <w:color w:val="000000"/>
          <w:szCs w:val="21"/>
        </w:rPr>
        <w:t>GB 21027-2020</w:t>
      </w:r>
      <w:r>
        <w:rPr>
          <w:rFonts w:hint="eastAsia" w:cs="仿宋_GB2312"/>
          <w:szCs w:val="32"/>
        </w:rPr>
        <w:t>《</w:t>
      </w:r>
      <w:r>
        <w:rPr>
          <w:color w:val="000000"/>
          <w:szCs w:val="21"/>
        </w:rPr>
        <w:t>学生用品的安全通用要求</w:t>
      </w:r>
      <w:r>
        <w:rPr>
          <w:rFonts w:hint="eastAsia" w:cs="仿宋_GB2312"/>
          <w:szCs w:val="32"/>
        </w:rPr>
        <w:t>》</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rPr>
        <w:t>。</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22EBF"/>
    <w:rsid w:val="00034D8C"/>
    <w:rsid w:val="000379C5"/>
    <w:rsid w:val="000A14BC"/>
    <w:rsid w:val="000A40B0"/>
    <w:rsid w:val="000A6F8B"/>
    <w:rsid w:val="000B0C04"/>
    <w:rsid w:val="000B166A"/>
    <w:rsid w:val="000C7161"/>
    <w:rsid w:val="00107945"/>
    <w:rsid w:val="00174A08"/>
    <w:rsid w:val="00184D11"/>
    <w:rsid w:val="0018725D"/>
    <w:rsid w:val="001C5E1C"/>
    <w:rsid w:val="001D6E91"/>
    <w:rsid w:val="001F18C8"/>
    <w:rsid w:val="00263BA4"/>
    <w:rsid w:val="0028440F"/>
    <w:rsid w:val="002A6E2E"/>
    <w:rsid w:val="002B55FD"/>
    <w:rsid w:val="002E3DA3"/>
    <w:rsid w:val="002F76AF"/>
    <w:rsid w:val="00316370"/>
    <w:rsid w:val="003536E0"/>
    <w:rsid w:val="0038431A"/>
    <w:rsid w:val="003C4466"/>
    <w:rsid w:val="003E7176"/>
    <w:rsid w:val="003F0F20"/>
    <w:rsid w:val="003F48E9"/>
    <w:rsid w:val="00422509"/>
    <w:rsid w:val="00434DD4"/>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51DB5"/>
    <w:rsid w:val="00664AD9"/>
    <w:rsid w:val="006E15C6"/>
    <w:rsid w:val="006F34BE"/>
    <w:rsid w:val="006F4510"/>
    <w:rsid w:val="0070156D"/>
    <w:rsid w:val="00710EDC"/>
    <w:rsid w:val="007177D7"/>
    <w:rsid w:val="00740A11"/>
    <w:rsid w:val="007510EB"/>
    <w:rsid w:val="00762AF1"/>
    <w:rsid w:val="007A726E"/>
    <w:rsid w:val="007D1449"/>
    <w:rsid w:val="00804B8A"/>
    <w:rsid w:val="00807DBD"/>
    <w:rsid w:val="00820E13"/>
    <w:rsid w:val="00850C37"/>
    <w:rsid w:val="0086379E"/>
    <w:rsid w:val="008661A8"/>
    <w:rsid w:val="008711D2"/>
    <w:rsid w:val="0087733B"/>
    <w:rsid w:val="00887CB7"/>
    <w:rsid w:val="00893C7F"/>
    <w:rsid w:val="008D1188"/>
    <w:rsid w:val="008D7BF7"/>
    <w:rsid w:val="009129D0"/>
    <w:rsid w:val="00916066"/>
    <w:rsid w:val="00943F2F"/>
    <w:rsid w:val="00983E19"/>
    <w:rsid w:val="0098725B"/>
    <w:rsid w:val="009901FE"/>
    <w:rsid w:val="009C587A"/>
    <w:rsid w:val="00A075E8"/>
    <w:rsid w:val="00A26412"/>
    <w:rsid w:val="00A44E58"/>
    <w:rsid w:val="00A57989"/>
    <w:rsid w:val="00A614F8"/>
    <w:rsid w:val="00B1647C"/>
    <w:rsid w:val="00C1211B"/>
    <w:rsid w:val="00C203FA"/>
    <w:rsid w:val="00C443CF"/>
    <w:rsid w:val="00C519BF"/>
    <w:rsid w:val="00C52754"/>
    <w:rsid w:val="00C56976"/>
    <w:rsid w:val="00C965AC"/>
    <w:rsid w:val="00CB7B50"/>
    <w:rsid w:val="00CC1D7B"/>
    <w:rsid w:val="00CF22BF"/>
    <w:rsid w:val="00D24256"/>
    <w:rsid w:val="00D62B22"/>
    <w:rsid w:val="00D752E2"/>
    <w:rsid w:val="00E20723"/>
    <w:rsid w:val="00E21775"/>
    <w:rsid w:val="00E65C90"/>
    <w:rsid w:val="00E72F1B"/>
    <w:rsid w:val="00EA65C1"/>
    <w:rsid w:val="00F031F1"/>
    <w:rsid w:val="00F36515"/>
    <w:rsid w:val="00F37BE5"/>
    <w:rsid w:val="00F63576"/>
    <w:rsid w:val="00F95545"/>
    <w:rsid w:val="00FC70BF"/>
    <w:rsid w:val="00FD654C"/>
    <w:rsid w:val="00FE1514"/>
    <w:rsid w:val="00FF594C"/>
    <w:rsid w:val="12A56A33"/>
    <w:rsid w:val="1438074F"/>
    <w:rsid w:val="15631434"/>
    <w:rsid w:val="17751B8E"/>
    <w:rsid w:val="38700B55"/>
    <w:rsid w:val="3F1B0BAF"/>
    <w:rsid w:val="4EB50C3A"/>
    <w:rsid w:val="50A7688F"/>
    <w:rsid w:val="52260B3F"/>
    <w:rsid w:val="53723A0E"/>
    <w:rsid w:val="54D07982"/>
    <w:rsid w:val="5C04605C"/>
    <w:rsid w:val="6525617E"/>
    <w:rsid w:val="669F1C94"/>
    <w:rsid w:val="682B43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214</Words>
  <Characters>1221</Characters>
  <Lines>10</Lines>
  <Paragraphs>2</Paragraphs>
  <TotalTime>0</TotalTime>
  <ScaleCrop>false</ScaleCrop>
  <LinksUpToDate>false</LinksUpToDate>
  <CharactersWithSpaces>1433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2024-07-01T08:16:46Z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