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rPr>
      </w:pPr>
    </w:p>
    <w:p>
      <w:pPr>
        <w:spacing w:line="600" w:lineRule="exact"/>
        <w:jc w:val="center"/>
        <w:rPr>
          <w:rFonts w:eastAsia="方正小标宋简体"/>
          <w:spacing w:val="-1"/>
          <w:position w:val="1"/>
          <w:sz w:val="44"/>
          <w:szCs w:val="44"/>
        </w:rPr>
      </w:pPr>
      <w:r>
        <w:rPr>
          <w:rFonts w:hint="eastAsia" w:eastAsia="方正小标宋简体"/>
          <w:spacing w:val="-1"/>
          <w:position w:val="1"/>
          <w:sz w:val="44"/>
          <w:szCs w:val="44"/>
        </w:rPr>
        <w:t>中山市</w:t>
      </w:r>
      <w:r>
        <w:rPr>
          <w:rFonts w:eastAsia="方正小标宋简体"/>
          <w:spacing w:val="-1"/>
          <w:position w:val="1"/>
          <w:sz w:val="44"/>
          <w:szCs w:val="44"/>
        </w:rPr>
        <w:t>燃气用具产品质量</w:t>
      </w:r>
    </w:p>
    <w:p>
      <w:pPr>
        <w:spacing w:line="600" w:lineRule="exact"/>
        <w:jc w:val="center"/>
      </w:pPr>
      <w:r>
        <w:rPr>
          <w:rFonts w:eastAsia="方正小标宋简体"/>
          <w:spacing w:val="-1"/>
          <w:position w:val="1"/>
          <w:sz w:val="44"/>
          <w:szCs w:val="44"/>
        </w:rPr>
        <w:t>监督抽查实施细则</w:t>
      </w:r>
    </w:p>
    <w:p>
      <w:pPr>
        <w:spacing w:line="600" w:lineRule="exact"/>
        <w:rPr>
          <w:rFonts w:eastAsia="方正小标宋简体"/>
          <w:spacing w:val="-1"/>
          <w:position w:val="1"/>
          <w:sz w:val="44"/>
          <w:szCs w:val="44"/>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rFonts w:ascii="仿宋_GB2312"/>
          <w:szCs w:val="32"/>
        </w:rPr>
      </w:pPr>
      <w:r>
        <w:rPr>
          <w:rFonts w:hint="eastAsia" w:ascii="仿宋_GB2312"/>
          <w:kern w:val="0"/>
          <w:szCs w:val="32"/>
        </w:rPr>
        <w:t>以随机抽样的方式在被抽查市场主体的待销产品中抽取。</w:t>
      </w:r>
    </w:p>
    <w:p>
      <w:pPr>
        <w:widowControl/>
        <w:ind w:firstLine="640" w:firstLineChars="200"/>
        <w:rPr>
          <w:rFonts w:ascii="仿宋_GB2312"/>
          <w:szCs w:val="32"/>
        </w:rPr>
      </w:pPr>
      <w:r>
        <w:rPr>
          <w:rFonts w:hint="eastAsia" w:ascii="仿宋_GB2312"/>
          <w:color w:val="333333"/>
          <w:kern w:val="0"/>
          <w:szCs w:val="32"/>
        </w:rPr>
        <w:t>随机数一般可使用随机数表等方法产生。</w:t>
      </w:r>
    </w:p>
    <w:p>
      <w:pPr>
        <w:ind w:firstLine="640" w:firstLineChars="200"/>
        <w:rPr>
          <w:rFonts w:ascii="仿宋_GB2312"/>
          <w:color w:val="000000"/>
          <w:szCs w:val="32"/>
        </w:rPr>
      </w:pPr>
      <w:r>
        <w:rPr>
          <w:rFonts w:hint="eastAsia" w:ascii="仿宋_GB2312"/>
          <w:color w:val="000000"/>
          <w:szCs w:val="32"/>
        </w:rPr>
        <w:t>抽查数量：每款产品抽取2组样本，第1组用于检验，第2组用于备样。</w:t>
      </w:r>
      <w:r>
        <w:rPr>
          <w:rFonts w:hint="eastAsia" w:ascii="仿宋_GB2312"/>
          <w:szCs w:val="32"/>
        </w:rPr>
        <w:t>具体抽样数量和方法如下：</w:t>
      </w:r>
    </w:p>
    <w:tbl>
      <w:tblPr>
        <w:tblStyle w:val="5"/>
        <w:tblW w:w="7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3315"/>
        <w:gridCol w:w="1984"/>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 w:val="24"/>
              </w:rPr>
            </w:pPr>
            <w:r>
              <w:rPr>
                <w:b/>
                <w:sz w:val="24"/>
              </w:rPr>
              <w:t>序号</w:t>
            </w:r>
          </w:p>
        </w:tc>
        <w:tc>
          <w:tcPr>
            <w:tcW w:w="331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 w:val="24"/>
              </w:rPr>
            </w:pPr>
            <w:r>
              <w:rPr>
                <w:b/>
                <w:sz w:val="24"/>
              </w:rPr>
              <w:t>产品名称</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 w:val="24"/>
              </w:rPr>
            </w:pPr>
            <w:r>
              <w:rPr>
                <w:b/>
                <w:sz w:val="24"/>
              </w:rPr>
              <w:t>第1组数量</w:t>
            </w:r>
          </w:p>
        </w:tc>
        <w:tc>
          <w:tcPr>
            <w:tcW w:w="17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 w:val="24"/>
              </w:rPr>
            </w:pPr>
            <w:r>
              <w:rPr>
                <w:b/>
                <w:sz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w:t>
            </w:r>
          </w:p>
        </w:tc>
        <w:tc>
          <w:tcPr>
            <w:tcW w:w="331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bookmarkStart w:id="0" w:name="_Hlk32954213"/>
            <w:r>
              <w:rPr>
                <w:sz w:val="24"/>
              </w:rPr>
              <w:t>家用燃气快速热水器</w:t>
            </w:r>
            <w:bookmarkEnd w:id="0"/>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2</w:t>
            </w:r>
            <w:r>
              <w:rPr>
                <w:sz w:val="24"/>
              </w:rPr>
              <w:t>台</w:t>
            </w:r>
          </w:p>
        </w:tc>
        <w:tc>
          <w:tcPr>
            <w:tcW w:w="17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1</w:t>
            </w:r>
            <w:r>
              <w:rPr>
                <w:sz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2</w:t>
            </w:r>
          </w:p>
        </w:tc>
        <w:tc>
          <w:tcPr>
            <w:tcW w:w="331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家用燃气灶</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2</w:t>
            </w:r>
            <w:r>
              <w:rPr>
                <w:sz w:val="24"/>
              </w:rPr>
              <w:t>台</w:t>
            </w:r>
          </w:p>
        </w:tc>
        <w:tc>
          <w:tcPr>
            <w:tcW w:w="17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1</w:t>
            </w:r>
            <w:r>
              <w:rPr>
                <w:sz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3</w:t>
            </w:r>
          </w:p>
        </w:tc>
        <w:tc>
          <w:tcPr>
            <w:tcW w:w="331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集成灶</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1台</w:t>
            </w:r>
          </w:p>
        </w:tc>
        <w:tc>
          <w:tcPr>
            <w:tcW w:w="17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仿宋_GB2312"/>
                <w:sz w:val="24"/>
                <w:lang w:eastAsia="zh-CN"/>
              </w:rPr>
            </w:pPr>
            <w:r>
              <w:rPr>
                <w:rFonts w:hint="eastAsia"/>
                <w:sz w:val="24"/>
                <w:lang w:val="en-US" w:eastAsia="zh-CN"/>
              </w:rPr>
              <w:t>4</w:t>
            </w:r>
          </w:p>
        </w:tc>
        <w:tc>
          <w:tcPr>
            <w:tcW w:w="331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燃气采暖热水炉</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1台</w:t>
            </w:r>
          </w:p>
        </w:tc>
        <w:tc>
          <w:tcPr>
            <w:tcW w:w="17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1台</w:t>
            </w:r>
          </w:p>
        </w:tc>
      </w:tr>
    </w:tbl>
    <w:p>
      <w:pPr>
        <w:adjustRightInd w:val="0"/>
        <w:snapToGrid w:val="0"/>
        <w:ind w:firstLine="640"/>
        <w:rPr>
          <w:rFonts w:eastAsia="黑体"/>
          <w:color w:val="000000"/>
          <w:szCs w:val="32"/>
        </w:rPr>
      </w:pPr>
    </w:p>
    <w:p>
      <w:pPr>
        <w:adjustRightInd w:val="0"/>
        <w:snapToGrid w:val="0"/>
        <w:ind w:firstLine="640"/>
        <w:rPr>
          <w:rFonts w:eastAsia="黑体"/>
          <w:color w:val="000000"/>
          <w:szCs w:val="32"/>
        </w:rPr>
      </w:pPr>
      <w:r>
        <w:rPr>
          <w:rFonts w:eastAsia="黑体"/>
          <w:color w:val="000000"/>
          <w:szCs w:val="32"/>
        </w:rPr>
        <w:t>二、主要检验项目及检验项目属性划分</w:t>
      </w:r>
    </w:p>
    <w:p>
      <w:pPr>
        <w:adjustRightInd w:val="0"/>
        <w:snapToGrid w:val="0"/>
        <w:ind w:firstLine="640"/>
        <w:rPr>
          <w:rFonts w:eastAsia="楷体_GB2312"/>
          <w:color w:val="000000"/>
          <w:szCs w:val="32"/>
        </w:rPr>
      </w:pPr>
      <w:r>
        <w:rPr>
          <w:rFonts w:eastAsia="楷体_GB2312"/>
          <w:color w:val="000000"/>
          <w:szCs w:val="32"/>
        </w:rPr>
        <w:t>（一）家用燃气快速热水器</w:t>
      </w:r>
    </w:p>
    <w:tbl>
      <w:tblPr>
        <w:tblStyle w:val="5"/>
        <w:tblW w:w="8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420"/>
        <w:gridCol w:w="2565"/>
        <w:gridCol w:w="727"/>
        <w:gridCol w:w="764"/>
        <w:gridCol w:w="702"/>
        <w:gridCol w:w="766"/>
        <w:gridCol w:w="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blHeader/>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序号</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检验项目</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检验方法</w:t>
            </w:r>
          </w:p>
        </w:tc>
        <w:tc>
          <w:tcPr>
            <w:tcW w:w="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强制性</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非强制性</w:t>
            </w: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重要项</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较重要项</w:t>
            </w: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燃气系统气密性</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6932-2015中6.1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2</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火焰稳定性</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6932-2015中6.1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3</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无风状态烟气中一氧化碳含量</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6932-2015中6.1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4</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熄火保护装置</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6932-2015中6.1、5.2.3.1.1、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5</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烟道堵塞安全装置</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6932-2015中6.1、5.2.3.4.1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6</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风压过大安全装置</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6932-2015中6.1、5.2.3.4.1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7</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防干烧安全装置</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6932-2015中6.1、5.2.3.2.1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8</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防止不完全燃烧安全装置</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6932-2015中6.1、5.2.3.3.1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9</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接地措施</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6932-2015中附录C.14</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10</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电气强度</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6932-2015中附录C.9.3</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11</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热负荷限制</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6932-2015中6.1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6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12</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热效率</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20665-2015中4.2</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6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13</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热水产率</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6932-2015中6.1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6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jc w:val="center"/>
        </w:trPr>
        <w:tc>
          <w:tcPr>
            <w:tcW w:w="7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14</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包装、标志</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6932-201</w:t>
            </w:r>
            <w:r>
              <w:rPr>
                <w:rFonts w:hint="eastAsia"/>
                <w:sz w:val="24"/>
              </w:rPr>
              <w:t>5中</w:t>
            </w:r>
            <w:r>
              <w:rPr>
                <w:sz w:val="24"/>
              </w:rPr>
              <w:t>9.1.1b）/9.1.2</w:t>
            </w:r>
            <w:r>
              <w:rPr>
                <w:sz w:val="24"/>
              </w:rPr>
              <w:t xml:space="preserve"> a) b）c)/9.4.1</w:t>
            </w:r>
            <w:r>
              <w:rPr>
                <w:sz w:val="24"/>
              </w:rPr>
              <w:t xml:space="preserve"> a)</w:t>
            </w:r>
          </w:p>
        </w:tc>
        <w:tc>
          <w:tcPr>
            <w:tcW w:w="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8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bl>
    <w:p>
      <w:pPr>
        <w:adjustRightInd w:val="0"/>
        <w:snapToGrid w:val="0"/>
        <w:ind w:firstLine="480" w:firstLineChars="200"/>
        <w:rPr>
          <w:rFonts w:eastAsia="仿宋"/>
          <w:color w:val="000000"/>
          <w:sz w:val="24"/>
        </w:rPr>
      </w:pPr>
      <w:r>
        <w:rPr>
          <w:rFonts w:eastAsia="仿宋"/>
          <w:color w:val="000000"/>
          <w:sz w:val="24"/>
        </w:rPr>
        <w:t>注1：在本次抽查中，热效率项目按GB 20665-2015检验，若被抽商品明示质量指标或标准高于GB 20665-2015标准的要求，则按其明示质量指标检验；若被抽商品明示质量指标或标准低于GB 20665-2015标准的要求，则按GB 20665-2015标准检验。</w:t>
      </w:r>
    </w:p>
    <w:p>
      <w:pPr>
        <w:adjustRightInd w:val="0"/>
        <w:snapToGrid w:val="0"/>
        <w:ind w:firstLine="480" w:firstLineChars="200"/>
        <w:rPr>
          <w:rFonts w:eastAsia="仿宋"/>
          <w:color w:val="000000"/>
          <w:sz w:val="24"/>
        </w:rPr>
      </w:pPr>
      <w:bookmarkStart w:id="1" w:name="_Hlk29911322"/>
      <w:r>
        <w:rPr>
          <w:rFonts w:eastAsia="仿宋"/>
          <w:color w:val="000000"/>
          <w:sz w:val="24"/>
        </w:rPr>
        <w:t>注2</w:t>
      </w:r>
      <w:bookmarkEnd w:id="1"/>
      <w:r>
        <w:rPr>
          <w:rFonts w:eastAsia="仿宋"/>
          <w:color w:val="000000"/>
          <w:sz w:val="24"/>
        </w:rPr>
        <w:t>：重要质量项目是指直接涉及人体健康、使用安全的指标；较重要质量项目是指产品涉及环保、能效、关键性能或特征值的指标。</w:t>
      </w:r>
    </w:p>
    <w:p>
      <w:pPr>
        <w:adjustRightInd w:val="0"/>
        <w:snapToGrid w:val="0"/>
        <w:ind w:firstLine="480" w:firstLineChars="200"/>
        <w:rPr>
          <w:rFonts w:eastAsia="仿宋"/>
          <w:color w:val="000000"/>
          <w:sz w:val="24"/>
        </w:rPr>
      </w:pPr>
      <w:r>
        <w:rPr>
          <w:rFonts w:eastAsia="仿宋"/>
          <w:color w:val="000000"/>
          <w:sz w:val="24"/>
        </w:rPr>
        <w:t>注3：上表所列检验项目是有关法律法规、标准等规定的，重点涉及健康、安全、节能、环保以及消费者、有关组织反映有质量问题的重要项目。</w:t>
      </w:r>
    </w:p>
    <w:p>
      <w:pPr>
        <w:adjustRightInd w:val="0"/>
        <w:snapToGrid w:val="0"/>
        <w:ind w:firstLine="480" w:firstLineChars="200"/>
        <w:rPr>
          <w:rFonts w:eastAsia="仿宋"/>
          <w:color w:val="000000"/>
          <w:sz w:val="24"/>
        </w:rPr>
      </w:pPr>
      <w:r>
        <w:rPr>
          <w:rFonts w:eastAsia="仿宋"/>
          <w:color w:val="000000"/>
          <w:sz w:val="24"/>
        </w:rPr>
        <w:t>注4：检验项目针对标准中强制性条文要求。</w:t>
      </w:r>
    </w:p>
    <w:p>
      <w:pPr>
        <w:ind w:firstLine="640" w:firstLineChars="200"/>
        <w:rPr>
          <w:rFonts w:eastAsia="楷体_GB2312"/>
        </w:rPr>
      </w:pPr>
    </w:p>
    <w:p>
      <w:pPr>
        <w:ind w:firstLine="640" w:firstLineChars="200"/>
        <w:rPr>
          <w:rFonts w:eastAsia="楷体_GB2312"/>
        </w:rPr>
      </w:pPr>
      <w:r>
        <w:rPr>
          <w:rFonts w:eastAsia="楷体_GB2312"/>
        </w:rPr>
        <w:t>（二）家用燃气灶</w:t>
      </w:r>
    </w:p>
    <w:tbl>
      <w:tblPr>
        <w:tblStyle w:val="5"/>
        <w:tblW w:w="9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420"/>
        <w:gridCol w:w="2565"/>
        <w:gridCol w:w="727"/>
        <w:gridCol w:w="764"/>
        <w:gridCol w:w="702"/>
        <w:gridCol w:w="766"/>
        <w:gridCol w:w="776"/>
        <w:gridCol w:w="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blHeader/>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序号</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检验项目</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80" w:leftChars="-25" w:right="-80" w:rightChars="-25"/>
              <w:jc w:val="center"/>
              <w:rPr>
                <w:b/>
                <w:bCs/>
                <w:sz w:val="24"/>
              </w:rPr>
            </w:pPr>
            <w:r>
              <w:rPr>
                <w:b/>
                <w:bCs/>
                <w:sz w:val="24"/>
              </w:rPr>
              <w:t>检验方法</w:t>
            </w:r>
          </w:p>
        </w:tc>
        <w:tc>
          <w:tcPr>
            <w:tcW w:w="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强制性</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非强制性</w:t>
            </w: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重要项</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较重要项</w:t>
            </w: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次要项</w:t>
            </w: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气密性</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16410-2007中5.2.1/GB 16410-2020中5.2.1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2</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热负荷偏差</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16410-2007中5.2.2 a)c) /GB 16410-2020中5.2.2 a) b）c)</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3</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离焰</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16410-2007中5.2.3</w:t>
            </w:r>
          </w:p>
          <w:p>
            <w:pPr>
              <w:adjustRightInd w:val="0"/>
              <w:snapToGrid w:val="0"/>
              <w:jc w:val="center"/>
              <w:rPr>
                <w:sz w:val="24"/>
              </w:rPr>
            </w:pPr>
            <w:r>
              <w:rPr>
                <w:sz w:val="24"/>
              </w:rPr>
              <w:t>/GB 16410-2020中5.2.3</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4</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熄火</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16410-2007中5.2.3/ GB 16410-2020中5.2.3</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5</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回火</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16410-2007中5.2.3/GB 16410-2020中5.2.3</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6</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燃烧噪声</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16410-2007中5.2.3/GB 16410-2020中5.2.3</w:t>
            </w:r>
          </w:p>
        </w:tc>
        <w:tc>
          <w:tcPr>
            <w:tcW w:w="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7</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熄火噪声</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16410-2007中5.2.3/GB 16410-2020中5.2.3</w:t>
            </w:r>
          </w:p>
        </w:tc>
        <w:tc>
          <w:tcPr>
            <w:tcW w:w="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8</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干烟气中</w:t>
            </w:r>
            <w:r>
              <w:rPr>
                <w:rFonts w:hint="eastAsia"/>
                <w:sz w:val="24"/>
              </w:rPr>
              <w:t>CO</w:t>
            </w:r>
            <w:r>
              <w:rPr>
                <w:sz w:val="24"/>
              </w:rPr>
              <w:t>浓度</w:t>
            </w:r>
          </w:p>
          <w:p>
            <w:pPr>
              <w:adjustRightInd w:val="0"/>
              <w:snapToGrid w:val="0"/>
              <w:jc w:val="center"/>
              <w:rPr>
                <w:sz w:val="24"/>
              </w:rPr>
            </w:pPr>
            <w:r>
              <w:rPr>
                <w:rFonts w:hint="eastAsia"/>
                <w:sz w:val="24"/>
              </w:rPr>
              <w:t>(室内型)</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16410-2007中5.2.3 /GB 16410-2020中5.2.3</w:t>
            </w:r>
          </w:p>
        </w:tc>
        <w:tc>
          <w:tcPr>
            <w:tcW w:w="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9</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温升（操作时手必需接触部位）</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16410-2007中5.2.4/GB 16410-2020中5.2.4表3中1</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10</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耐热冲击</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16410-2007中5.2.5 c)/ GB 16410-2020中5.2.6</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11</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耐重力冲击</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16410-2007中5.2.6 b)/ GB 16410-2020中5.2.7</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12</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熄火保护装置</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16410-2007中5.2.7.1 b)、5.3.1.12/</w:t>
            </w:r>
          </w:p>
          <w:p>
            <w:pPr>
              <w:adjustRightInd w:val="0"/>
              <w:snapToGrid w:val="0"/>
              <w:jc w:val="center"/>
              <w:rPr>
                <w:sz w:val="24"/>
              </w:rPr>
            </w:pPr>
            <w:r>
              <w:rPr>
                <w:sz w:val="24"/>
              </w:rPr>
              <w:t xml:space="preserve"> GB 16410-2020中5.2.8.1、5.3.1.9</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13</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热效率</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30720-2014中4.2</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w:t>
            </w:r>
            <w:r>
              <w:rPr>
                <w:rFonts w:hint="eastAsia"/>
                <w:sz w:val="24"/>
              </w:rPr>
              <w:t>4</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燃气导管</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16410-2007中5.3.1.10 d) f)/ GB 16410-2020中5.3.1.8</w:t>
            </w:r>
          </w:p>
        </w:tc>
        <w:tc>
          <w:tcPr>
            <w:tcW w:w="72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15</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电气性能</w:t>
            </w:r>
          </w:p>
        </w:tc>
        <w:tc>
          <w:tcPr>
            <w:tcW w:w="25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GB 16410-2007</w:t>
            </w:r>
            <w:r>
              <w:rPr>
                <w:rFonts w:hint="eastAsia"/>
                <w:sz w:val="24"/>
              </w:rPr>
              <w:t>中5.2.10.1/</w:t>
            </w:r>
            <w:r>
              <w:rPr>
                <w:sz w:val="24"/>
              </w:rPr>
              <w:t xml:space="preserve"> GB 16410-20</w:t>
            </w:r>
            <w:r>
              <w:rPr>
                <w:rFonts w:hint="eastAsia"/>
                <w:sz w:val="24"/>
              </w:rPr>
              <w:t>20中5.2.11.1表6序号1.2.3.5.6</w:t>
            </w:r>
          </w:p>
        </w:tc>
        <w:tc>
          <w:tcPr>
            <w:tcW w:w="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rFonts w:hint="eastAsia"/>
                <w:sz w:val="24"/>
              </w:rPr>
              <w:t>●</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77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4"/>
              </w:rPr>
            </w:pPr>
            <w:r>
              <w:rPr>
                <w:sz w:val="24"/>
              </w:rPr>
              <w:t>适用集成灶和气电灶</w:t>
            </w:r>
          </w:p>
        </w:tc>
      </w:tr>
    </w:tbl>
    <w:p>
      <w:pPr>
        <w:adjustRightInd w:val="0"/>
        <w:snapToGrid w:val="0"/>
        <w:ind w:firstLine="480" w:firstLineChars="200"/>
        <w:rPr>
          <w:rFonts w:eastAsia="仿宋"/>
          <w:color w:val="000000"/>
          <w:sz w:val="24"/>
        </w:rPr>
      </w:pPr>
      <w:r>
        <w:rPr>
          <w:rFonts w:eastAsia="仿宋"/>
          <w:color w:val="000000"/>
          <w:sz w:val="24"/>
        </w:rPr>
        <w:t>注1：在本次抽查中，热效率项目按GB 30720－2014检验，若被抽商品明示质量指标或标准高于GB 30720－2014标准的要求，则按其明示质量指标检验；若被抽商品明示质量指标或标准低于GB 30720－2014标准的要求，则按GB 30720－2014标准检验。</w:t>
      </w:r>
    </w:p>
    <w:p>
      <w:pPr>
        <w:adjustRightInd w:val="0"/>
        <w:snapToGrid w:val="0"/>
        <w:ind w:firstLine="480" w:firstLineChars="200"/>
        <w:rPr>
          <w:rFonts w:eastAsia="仿宋"/>
          <w:color w:val="000000"/>
          <w:sz w:val="24"/>
        </w:rPr>
      </w:pPr>
      <w:r>
        <w:rPr>
          <w:rFonts w:eastAsia="仿宋"/>
          <w:color w:val="000000"/>
          <w:sz w:val="24"/>
        </w:rPr>
        <w:t>注2：重要质量项目是指直接涉及人体健康、使用安全的指标；较重要质量项目是指产品涉及环保、能效、关键性能或特征值的指标。</w:t>
      </w:r>
    </w:p>
    <w:p>
      <w:pPr>
        <w:adjustRightInd w:val="0"/>
        <w:snapToGrid w:val="0"/>
        <w:ind w:firstLine="480" w:firstLineChars="200"/>
        <w:rPr>
          <w:rFonts w:eastAsia="仿宋"/>
          <w:color w:val="000000"/>
          <w:sz w:val="24"/>
        </w:rPr>
      </w:pPr>
      <w:r>
        <w:rPr>
          <w:rFonts w:eastAsia="仿宋"/>
          <w:color w:val="000000"/>
          <w:sz w:val="24"/>
        </w:rPr>
        <w:t>注3：上表所列检验项目是有关法律法规、标准等规定的，重点涉及健康、安全、节能、环保以及消费者、有关组织反映有质量问题的重要项目。</w:t>
      </w:r>
    </w:p>
    <w:p>
      <w:pPr>
        <w:adjustRightInd w:val="0"/>
        <w:snapToGrid w:val="0"/>
        <w:ind w:firstLine="480" w:firstLineChars="200"/>
        <w:rPr>
          <w:rFonts w:eastAsia="仿宋"/>
          <w:color w:val="000000"/>
          <w:sz w:val="24"/>
        </w:rPr>
      </w:pPr>
      <w:r>
        <w:rPr>
          <w:rFonts w:eastAsia="仿宋"/>
          <w:color w:val="000000"/>
          <w:sz w:val="24"/>
        </w:rPr>
        <w:t>注4：检验项目针对标准中强制性条文要求。</w:t>
      </w:r>
    </w:p>
    <w:p>
      <w:pPr>
        <w:ind w:firstLine="640" w:firstLineChars="200"/>
        <w:rPr>
          <w:rFonts w:eastAsia="楷体_GB2312"/>
          <w:szCs w:val="32"/>
        </w:rPr>
      </w:pPr>
      <w:r>
        <w:rPr>
          <w:rFonts w:eastAsia="楷体_GB2312"/>
          <w:szCs w:val="32"/>
        </w:rPr>
        <w:t>（三）</w:t>
      </w:r>
      <w:r>
        <w:rPr>
          <w:rFonts w:hint="eastAsia" w:eastAsia="楷体_GB2312"/>
          <w:szCs w:val="32"/>
        </w:rPr>
        <w:t>燃气采暖热水炉</w:t>
      </w:r>
    </w:p>
    <w:tbl>
      <w:tblPr>
        <w:tblStyle w:val="5"/>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420"/>
        <w:gridCol w:w="2403"/>
        <w:gridCol w:w="748"/>
        <w:gridCol w:w="735"/>
        <w:gridCol w:w="795"/>
        <w:gridCol w:w="735"/>
        <w:gridCol w:w="780"/>
        <w:gridCol w:w="1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blHeader/>
          <w:jc w:val="center"/>
        </w:trPr>
        <w:tc>
          <w:tcPr>
            <w:tcW w:w="733" w:type="dxa"/>
            <w:vAlign w:val="center"/>
          </w:tcPr>
          <w:p>
            <w:pPr>
              <w:adjustRightInd w:val="0"/>
              <w:snapToGrid w:val="0"/>
              <w:jc w:val="center"/>
              <w:rPr>
                <w:b/>
                <w:bCs/>
                <w:sz w:val="24"/>
              </w:rPr>
            </w:pPr>
            <w:r>
              <w:rPr>
                <w:rFonts w:hint="eastAsia"/>
                <w:b/>
                <w:bCs/>
                <w:sz w:val="24"/>
              </w:rPr>
              <w:t>序号</w:t>
            </w:r>
          </w:p>
        </w:tc>
        <w:tc>
          <w:tcPr>
            <w:tcW w:w="1420" w:type="dxa"/>
            <w:vAlign w:val="center"/>
          </w:tcPr>
          <w:p>
            <w:pPr>
              <w:adjustRightInd w:val="0"/>
              <w:snapToGrid w:val="0"/>
              <w:jc w:val="center"/>
              <w:rPr>
                <w:b/>
                <w:bCs/>
                <w:sz w:val="24"/>
              </w:rPr>
            </w:pPr>
            <w:r>
              <w:rPr>
                <w:rFonts w:hint="eastAsia"/>
                <w:b/>
                <w:bCs/>
                <w:sz w:val="24"/>
              </w:rPr>
              <w:t>检验项目</w:t>
            </w:r>
          </w:p>
        </w:tc>
        <w:tc>
          <w:tcPr>
            <w:tcW w:w="2403" w:type="dxa"/>
            <w:vAlign w:val="center"/>
          </w:tcPr>
          <w:p>
            <w:pPr>
              <w:adjustRightInd w:val="0"/>
              <w:snapToGrid w:val="0"/>
              <w:jc w:val="center"/>
              <w:rPr>
                <w:b/>
                <w:bCs/>
                <w:sz w:val="24"/>
              </w:rPr>
            </w:pPr>
            <w:r>
              <w:rPr>
                <w:rFonts w:hint="eastAsia"/>
                <w:b/>
                <w:bCs/>
                <w:sz w:val="24"/>
              </w:rPr>
              <w:t>依据法律法规或标准</w:t>
            </w:r>
          </w:p>
        </w:tc>
        <w:tc>
          <w:tcPr>
            <w:tcW w:w="748" w:type="dxa"/>
            <w:vAlign w:val="center"/>
          </w:tcPr>
          <w:p>
            <w:pPr>
              <w:adjustRightInd w:val="0"/>
              <w:snapToGrid w:val="0"/>
              <w:jc w:val="center"/>
              <w:rPr>
                <w:b/>
                <w:bCs/>
                <w:sz w:val="24"/>
              </w:rPr>
            </w:pPr>
            <w:r>
              <w:rPr>
                <w:rFonts w:hint="eastAsia"/>
                <w:b/>
                <w:bCs/>
                <w:sz w:val="24"/>
              </w:rPr>
              <w:t>强制性</w:t>
            </w:r>
          </w:p>
        </w:tc>
        <w:tc>
          <w:tcPr>
            <w:tcW w:w="735" w:type="dxa"/>
            <w:vAlign w:val="center"/>
          </w:tcPr>
          <w:p>
            <w:pPr>
              <w:adjustRightInd w:val="0"/>
              <w:snapToGrid w:val="0"/>
              <w:jc w:val="center"/>
              <w:rPr>
                <w:b/>
                <w:bCs/>
                <w:sz w:val="24"/>
              </w:rPr>
            </w:pPr>
            <w:r>
              <w:rPr>
                <w:rFonts w:hint="eastAsia"/>
                <w:b/>
                <w:bCs/>
                <w:sz w:val="24"/>
              </w:rPr>
              <w:t>非强制性</w:t>
            </w:r>
          </w:p>
        </w:tc>
        <w:tc>
          <w:tcPr>
            <w:tcW w:w="795" w:type="dxa"/>
            <w:vAlign w:val="center"/>
          </w:tcPr>
          <w:p>
            <w:pPr>
              <w:adjustRightInd w:val="0"/>
              <w:snapToGrid w:val="0"/>
              <w:jc w:val="center"/>
              <w:rPr>
                <w:b/>
                <w:bCs/>
                <w:sz w:val="24"/>
              </w:rPr>
            </w:pPr>
            <w:r>
              <w:rPr>
                <w:rFonts w:hint="eastAsia"/>
                <w:b/>
                <w:bCs/>
                <w:sz w:val="24"/>
              </w:rPr>
              <w:t>重要项</w:t>
            </w:r>
          </w:p>
        </w:tc>
        <w:tc>
          <w:tcPr>
            <w:tcW w:w="735" w:type="dxa"/>
            <w:vAlign w:val="center"/>
          </w:tcPr>
          <w:p>
            <w:pPr>
              <w:adjustRightInd w:val="0"/>
              <w:snapToGrid w:val="0"/>
              <w:jc w:val="center"/>
              <w:rPr>
                <w:b/>
                <w:bCs/>
                <w:sz w:val="24"/>
              </w:rPr>
            </w:pPr>
            <w:r>
              <w:rPr>
                <w:rFonts w:hint="eastAsia"/>
                <w:b/>
                <w:bCs/>
                <w:sz w:val="24"/>
              </w:rPr>
              <w:t>较重要项</w:t>
            </w:r>
          </w:p>
        </w:tc>
        <w:tc>
          <w:tcPr>
            <w:tcW w:w="780" w:type="dxa"/>
            <w:vAlign w:val="center"/>
          </w:tcPr>
          <w:p>
            <w:pPr>
              <w:adjustRightInd w:val="0"/>
              <w:snapToGrid w:val="0"/>
              <w:jc w:val="center"/>
              <w:rPr>
                <w:b/>
                <w:bCs/>
                <w:sz w:val="24"/>
              </w:rPr>
            </w:pPr>
            <w:r>
              <w:rPr>
                <w:rFonts w:hint="eastAsia"/>
                <w:b/>
                <w:bCs/>
                <w:sz w:val="24"/>
              </w:rPr>
              <w:t>次要项</w:t>
            </w:r>
          </w:p>
        </w:tc>
        <w:tc>
          <w:tcPr>
            <w:tcW w:w="1682" w:type="dxa"/>
            <w:vAlign w:val="center"/>
          </w:tcPr>
          <w:p>
            <w:pPr>
              <w:adjustRightInd w:val="0"/>
              <w:snapToGrid w:val="0"/>
              <w:jc w:val="center"/>
              <w:rPr>
                <w:b/>
                <w:bCs/>
                <w:sz w:val="24"/>
              </w:rPr>
            </w:pPr>
            <w:r>
              <w:rPr>
                <w:rFonts w:hint="eastAsia"/>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733" w:type="dxa"/>
            <w:vAlign w:val="center"/>
          </w:tcPr>
          <w:p>
            <w:pPr>
              <w:adjustRightInd w:val="0"/>
              <w:snapToGrid w:val="0"/>
              <w:jc w:val="center"/>
              <w:rPr>
                <w:rFonts w:hint="eastAsia"/>
                <w:sz w:val="24"/>
              </w:rPr>
            </w:pPr>
            <w:r>
              <w:rPr>
                <w:rFonts w:hint="eastAsia"/>
                <w:sz w:val="24"/>
              </w:rPr>
              <w:t>1</w:t>
            </w:r>
          </w:p>
        </w:tc>
        <w:tc>
          <w:tcPr>
            <w:tcW w:w="1420" w:type="dxa"/>
            <w:vAlign w:val="center"/>
          </w:tcPr>
          <w:p>
            <w:pPr>
              <w:adjustRightInd w:val="0"/>
              <w:snapToGrid w:val="0"/>
              <w:jc w:val="center"/>
              <w:rPr>
                <w:rFonts w:hint="eastAsia"/>
                <w:sz w:val="24"/>
              </w:rPr>
            </w:pPr>
            <w:r>
              <w:rPr>
                <w:rFonts w:hint="eastAsia"/>
                <w:sz w:val="24"/>
              </w:rPr>
              <w:t>电源运行安全性</w:t>
            </w:r>
          </w:p>
        </w:tc>
        <w:tc>
          <w:tcPr>
            <w:tcW w:w="2403" w:type="dxa"/>
            <w:vAlign w:val="center"/>
          </w:tcPr>
          <w:p>
            <w:pPr>
              <w:adjustRightInd w:val="0"/>
              <w:snapToGrid w:val="0"/>
              <w:jc w:val="center"/>
              <w:rPr>
                <w:rFonts w:hint="eastAsia"/>
                <w:sz w:val="24"/>
              </w:rPr>
            </w:pPr>
            <w:r>
              <w:rPr>
                <w:rFonts w:hint="eastAsia"/>
                <w:sz w:val="24"/>
              </w:rPr>
              <w:t>GB 25034-2010</w:t>
            </w:r>
            <w:r>
              <w:rPr>
                <w:rFonts w:hint="eastAsia"/>
                <w:sz w:val="24"/>
              </w:rPr>
              <w:t>中5.3.8</w:t>
            </w:r>
          </w:p>
          <w:p>
            <w:pPr>
              <w:adjustRightInd w:val="0"/>
              <w:snapToGrid w:val="0"/>
              <w:jc w:val="center"/>
              <w:rPr>
                <w:rFonts w:hint="eastAsia"/>
                <w:sz w:val="24"/>
              </w:rPr>
            </w:pPr>
            <w:r>
              <w:rPr>
                <w:rFonts w:hint="eastAsia"/>
                <w:sz w:val="24"/>
              </w:rPr>
              <w:t>GB 25034-20</w:t>
            </w:r>
            <w:r>
              <w:rPr>
                <w:rFonts w:hint="eastAsia"/>
                <w:sz w:val="24"/>
              </w:rPr>
              <w:t>20</w:t>
            </w:r>
            <w:r>
              <w:rPr>
                <w:rFonts w:hint="eastAsia"/>
                <w:sz w:val="24"/>
              </w:rPr>
              <w:t>中5.</w:t>
            </w:r>
            <w:r>
              <w:rPr>
                <w:rFonts w:hint="eastAsia"/>
                <w:sz w:val="24"/>
              </w:rPr>
              <w:t>2.</w:t>
            </w:r>
            <w:r>
              <w:rPr>
                <w:rFonts w:hint="eastAsia"/>
                <w:sz w:val="24"/>
              </w:rPr>
              <w:t>14</w:t>
            </w:r>
          </w:p>
        </w:tc>
        <w:tc>
          <w:tcPr>
            <w:tcW w:w="748"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95"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80" w:type="dxa"/>
            <w:vAlign w:val="center"/>
          </w:tcPr>
          <w:p>
            <w:pPr>
              <w:adjustRightInd w:val="0"/>
              <w:snapToGrid w:val="0"/>
              <w:jc w:val="center"/>
              <w:rPr>
                <w:rFonts w:hint="eastAsia"/>
                <w:sz w:val="24"/>
              </w:rPr>
            </w:pPr>
          </w:p>
        </w:tc>
        <w:tc>
          <w:tcPr>
            <w:tcW w:w="1682" w:type="dxa"/>
            <w:vAlign w:val="center"/>
          </w:tcPr>
          <w:p>
            <w:pPr>
              <w:adjustRightInd w:val="0"/>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733" w:type="dxa"/>
            <w:vAlign w:val="center"/>
          </w:tcPr>
          <w:p>
            <w:pPr>
              <w:adjustRightInd w:val="0"/>
              <w:snapToGrid w:val="0"/>
              <w:jc w:val="center"/>
              <w:rPr>
                <w:rFonts w:hint="eastAsia"/>
                <w:sz w:val="24"/>
              </w:rPr>
            </w:pPr>
            <w:r>
              <w:rPr>
                <w:rFonts w:hint="eastAsia"/>
                <w:sz w:val="24"/>
              </w:rPr>
              <w:t>2</w:t>
            </w:r>
          </w:p>
        </w:tc>
        <w:tc>
          <w:tcPr>
            <w:tcW w:w="1420" w:type="dxa"/>
            <w:vAlign w:val="center"/>
          </w:tcPr>
          <w:p>
            <w:pPr>
              <w:adjustRightInd w:val="0"/>
              <w:snapToGrid w:val="0"/>
              <w:jc w:val="center"/>
              <w:rPr>
                <w:rFonts w:hint="eastAsia"/>
                <w:sz w:val="24"/>
              </w:rPr>
            </w:pPr>
            <w:r>
              <w:rPr>
                <w:rFonts w:hint="eastAsia"/>
                <w:sz w:val="24"/>
              </w:rPr>
              <w:t>燃气系统密封性</w:t>
            </w:r>
          </w:p>
        </w:tc>
        <w:tc>
          <w:tcPr>
            <w:tcW w:w="2403" w:type="dxa"/>
            <w:vAlign w:val="center"/>
          </w:tcPr>
          <w:p>
            <w:pPr>
              <w:adjustRightInd w:val="0"/>
              <w:snapToGrid w:val="0"/>
              <w:jc w:val="center"/>
              <w:rPr>
                <w:rFonts w:hint="eastAsia"/>
                <w:sz w:val="24"/>
              </w:rPr>
            </w:pPr>
            <w:r>
              <w:rPr>
                <w:rFonts w:hint="eastAsia"/>
                <w:sz w:val="24"/>
              </w:rPr>
              <w:t>GB 25034-2010</w:t>
            </w:r>
            <w:r>
              <w:rPr>
                <w:rFonts w:hint="eastAsia"/>
                <w:sz w:val="24"/>
              </w:rPr>
              <w:t>中6.2.1</w:t>
            </w:r>
          </w:p>
          <w:p>
            <w:pPr>
              <w:adjustRightInd w:val="0"/>
              <w:snapToGrid w:val="0"/>
              <w:jc w:val="center"/>
              <w:rPr>
                <w:rFonts w:hint="eastAsia"/>
                <w:sz w:val="24"/>
              </w:rPr>
            </w:pPr>
            <w:r>
              <w:rPr>
                <w:rFonts w:hint="eastAsia"/>
                <w:sz w:val="24"/>
              </w:rPr>
              <w:t>GB 25034-20</w:t>
            </w:r>
            <w:r>
              <w:rPr>
                <w:rFonts w:hint="eastAsia"/>
                <w:sz w:val="24"/>
              </w:rPr>
              <w:t>20</w:t>
            </w:r>
            <w:r>
              <w:rPr>
                <w:rFonts w:hint="eastAsia"/>
                <w:sz w:val="24"/>
              </w:rPr>
              <w:t>中6.1.1</w:t>
            </w:r>
          </w:p>
        </w:tc>
        <w:tc>
          <w:tcPr>
            <w:tcW w:w="748"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95"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80" w:type="dxa"/>
            <w:vAlign w:val="center"/>
          </w:tcPr>
          <w:p>
            <w:pPr>
              <w:adjustRightInd w:val="0"/>
              <w:snapToGrid w:val="0"/>
              <w:jc w:val="center"/>
              <w:rPr>
                <w:rFonts w:hint="eastAsia"/>
                <w:sz w:val="24"/>
              </w:rPr>
            </w:pPr>
          </w:p>
        </w:tc>
        <w:tc>
          <w:tcPr>
            <w:tcW w:w="1682" w:type="dxa"/>
            <w:vAlign w:val="center"/>
          </w:tcPr>
          <w:p>
            <w:pPr>
              <w:adjustRightInd w:val="0"/>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jc w:val="center"/>
        </w:trPr>
        <w:tc>
          <w:tcPr>
            <w:tcW w:w="733" w:type="dxa"/>
            <w:vAlign w:val="center"/>
          </w:tcPr>
          <w:p>
            <w:pPr>
              <w:adjustRightInd w:val="0"/>
              <w:snapToGrid w:val="0"/>
              <w:jc w:val="center"/>
              <w:rPr>
                <w:rFonts w:hint="eastAsia"/>
                <w:sz w:val="24"/>
              </w:rPr>
            </w:pPr>
            <w:r>
              <w:rPr>
                <w:rFonts w:hint="eastAsia"/>
                <w:sz w:val="24"/>
              </w:rPr>
              <w:t>3</w:t>
            </w:r>
          </w:p>
        </w:tc>
        <w:tc>
          <w:tcPr>
            <w:tcW w:w="1420" w:type="dxa"/>
            <w:vAlign w:val="center"/>
          </w:tcPr>
          <w:p>
            <w:pPr>
              <w:adjustRightInd w:val="0"/>
              <w:snapToGrid w:val="0"/>
              <w:jc w:val="center"/>
              <w:rPr>
                <w:rFonts w:hint="eastAsia"/>
                <w:sz w:val="24"/>
              </w:rPr>
            </w:pPr>
            <w:r>
              <w:rPr>
                <w:rFonts w:hint="eastAsia"/>
                <w:sz w:val="24"/>
              </w:rPr>
              <w:t>采暖额定热输出或带有额定热负荷调节装置的最大热输出</w:t>
            </w:r>
          </w:p>
        </w:tc>
        <w:tc>
          <w:tcPr>
            <w:tcW w:w="2403" w:type="dxa"/>
            <w:vAlign w:val="center"/>
          </w:tcPr>
          <w:p>
            <w:pPr>
              <w:adjustRightInd w:val="0"/>
              <w:snapToGrid w:val="0"/>
              <w:jc w:val="center"/>
              <w:rPr>
                <w:rFonts w:hint="eastAsia"/>
                <w:sz w:val="24"/>
              </w:rPr>
            </w:pPr>
            <w:r>
              <w:rPr>
                <w:rFonts w:hint="eastAsia"/>
                <w:sz w:val="24"/>
              </w:rPr>
              <w:t>GB 25034-2010</w:t>
            </w:r>
            <w:r>
              <w:rPr>
                <w:rFonts w:hint="eastAsia"/>
                <w:sz w:val="24"/>
              </w:rPr>
              <w:t>中6.3.4</w:t>
            </w:r>
          </w:p>
          <w:p>
            <w:pPr>
              <w:adjustRightInd w:val="0"/>
              <w:snapToGrid w:val="0"/>
              <w:jc w:val="center"/>
              <w:rPr>
                <w:rFonts w:hint="eastAsia"/>
                <w:sz w:val="24"/>
              </w:rPr>
            </w:pPr>
            <w:r>
              <w:rPr>
                <w:rFonts w:hint="eastAsia"/>
                <w:sz w:val="24"/>
              </w:rPr>
              <w:t>GB 25034-20</w:t>
            </w:r>
            <w:r>
              <w:rPr>
                <w:rFonts w:hint="eastAsia"/>
                <w:sz w:val="24"/>
              </w:rPr>
              <w:t>20</w:t>
            </w:r>
            <w:r>
              <w:rPr>
                <w:rFonts w:hint="eastAsia"/>
                <w:sz w:val="24"/>
              </w:rPr>
              <w:t>中6.2.4</w:t>
            </w:r>
          </w:p>
        </w:tc>
        <w:tc>
          <w:tcPr>
            <w:tcW w:w="748"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95" w:type="dxa"/>
            <w:vAlign w:val="center"/>
          </w:tcPr>
          <w:p>
            <w:pPr>
              <w:adjustRightInd w:val="0"/>
              <w:snapToGrid w:val="0"/>
              <w:jc w:val="center"/>
              <w:rPr>
                <w:rFonts w:hint="eastAsia"/>
                <w:sz w:val="24"/>
              </w:rPr>
            </w:pPr>
          </w:p>
        </w:tc>
        <w:tc>
          <w:tcPr>
            <w:tcW w:w="735" w:type="dxa"/>
            <w:vAlign w:val="center"/>
          </w:tcPr>
          <w:p>
            <w:pPr>
              <w:adjustRightInd w:val="0"/>
              <w:snapToGrid w:val="0"/>
              <w:jc w:val="center"/>
              <w:rPr>
                <w:rFonts w:hint="eastAsia"/>
                <w:sz w:val="24"/>
              </w:rPr>
            </w:pPr>
            <w:r>
              <w:rPr>
                <w:rFonts w:hint="eastAsia"/>
                <w:sz w:val="24"/>
              </w:rPr>
              <w:t>●</w:t>
            </w:r>
          </w:p>
        </w:tc>
        <w:tc>
          <w:tcPr>
            <w:tcW w:w="780" w:type="dxa"/>
            <w:vAlign w:val="center"/>
          </w:tcPr>
          <w:p>
            <w:pPr>
              <w:adjustRightInd w:val="0"/>
              <w:snapToGrid w:val="0"/>
              <w:jc w:val="center"/>
              <w:rPr>
                <w:rFonts w:hint="eastAsia"/>
                <w:sz w:val="24"/>
              </w:rPr>
            </w:pPr>
          </w:p>
        </w:tc>
        <w:tc>
          <w:tcPr>
            <w:tcW w:w="1682" w:type="dxa"/>
            <w:vAlign w:val="center"/>
          </w:tcPr>
          <w:p>
            <w:pPr>
              <w:adjustRightInd w:val="0"/>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733" w:type="dxa"/>
            <w:vAlign w:val="center"/>
          </w:tcPr>
          <w:p>
            <w:pPr>
              <w:adjustRightInd w:val="0"/>
              <w:snapToGrid w:val="0"/>
              <w:jc w:val="center"/>
              <w:rPr>
                <w:rFonts w:hint="eastAsia"/>
                <w:sz w:val="24"/>
              </w:rPr>
            </w:pPr>
            <w:r>
              <w:rPr>
                <w:rFonts w:hint="eastAsia"/>
                <w:sz w:val="24"/>
              </w:rPr>
              <w:t>4</w:t>
            </w:r>
          </w:p>
        </w:tc>
        <w:tc>
          <w:tcPr>
            <w:tcW w:w="1420" w:type="dxa"/>
            <w:vAlign w:val="center"/>
          </w:tcPr>
          <w:p>
            <w:pPr>
              <w:adjustRightInd w:val="0"/>
              <w:snapToGrid w:val="0"/>
              <w:jc w:val="center"/>
              <w:rPr>
                <w:rFonts w:hint="eastAsia"/>
                <w:sz w:val="24"/>
              </w:rPr>
            </w:pPr>
            <w:r>
              <w:rPr>
                <w:rFonts w:hint="eastAsia"/>
                <w:sz w:val="24"/>
              </w:rPr>
              <w:t>采暖额定冷凝热输出或带有额定热负荷调节装置的最大冷凝热输出</w:t>
            </w:r>
          </w:p>
        </w:tc>
        <w:tc>
          <w:tcPr>
            <w:tcW w:w="2403" w:type="dxa"/>
            <w:vAlign w:val="center"/>
          </w:tcPr>
          <w:p>
            <w:pPr>
              <w:adjustRightInd w:val="0"/>
              <w:snapToGrid w:val="0"/>
              <w:jc w:val="center"/>
              <w:rPr>
                <w:rFonts w:hint="eastAsia"/>
                <w:sz w:val="24"/>
              </w:rPr>
            </w:pPr>
            <w:r>
              <w:rPr>
                <w:rFonts w:hint="eastAsia"/>
                <w:sz w:val="24"/>
              </w:rPr>
              <w:t>GB 25034-20</w:t>
            </w:r>
            <w:r>
              <w:rPr>
                <w:rFonts w:hint="eastAsia"/>
                <w:sz w:val="24"/>
              </w:rPr>
              <w:t>20</w:t>
            </w:r>
            <w:r>
              <w:rPr>
                <w:rFonts w:hint="eastAsia"/>
                <w:sz w:val="24"/>
              </w:rPr>
              <w:t>中6.2.5</w:t>
            </w:r>
          </w:p>
        </w:tc>
        <w:tc>
          <w:tcPr>
            <w:tcW w:w="748"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95" w:type="dxa"/>
            <w:vAlign w:val="center"/>
          </w:tcPr>
          <w:p>
            <w:pPr>
              <w:adjustRightInd w:val="0"/>
              <w:snapToGrid w:val="0"/>
              <w:jc w:val="center"/>
              <w:rPr>
                <w:rFonts w:hint="eastAsia"/>
                <w:sz w:val="24"/>
              </w:rPr>
            </w:pPr>
          </w:p>
        </w:tc>
        <w:tc>
          <w:tcPr>
            <w:tcW w:w="735" w:type="dxa"/>
            <w:vAlign w:val="center"/>
          </w:tcPr>
          <w:p>
            <w:pPr>
              <w:adjustRightInd w:val="0"/>
              <w:snapToGrid w:val="0"/>
              <w:jc w:val="center"/>
              <w:rPr>
                <w:rFonts w:hint="eastAsia"/>
                <w:sz w:val="24"/>
              </w:rPr>
            </w:pPr>
            <w:r>
              <w:rPr>
                <w:rFonts w:hint="eastAsia"/>
                <w:sz w:val="24"/>
              </w:rPr>
              <w:t>●</w:t>
            </w:r>
          </w:p>
        </w:tc>
        <w:tc>
          <w:tcPr>
            <w:tcW w:w="780" w:type="dxa"/>
            <w:vAlign w:val="center"/>
          </w:tcPr>
          <w:p>
            <w:pPr>
              <w:adjustRightInd w:val="0"/>
              <w:snapToGrid w:val="0"/>
              <w:jc w:val="center"/>
              <w:rPr>
                <w:rFonts w:hint="eastAsia"/>
                <w:sz w:val="24"/>
              </w:rPr>
            </w:pPr>
          </w:p>
        </w:tc>
        <w:tc>
          <w:tcPr>
            <w:tcW w:w="1682" w:type="dxa"/>
            <w:vAlign w:val="center"/>
          </w:tcPr>
          <w:p>
            <w:pPr>
              <w:adjustRightInd w:val="0"/>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jc w:val="center"/>
        </w:trPr>
        <w:tc>
          <w:tcPr>
            <w:tcW w:w="733" w:type="dxa"/>
            <w:vAlign w:val="center"/>
          </w:tcPr>
          <w:p>
            <w:pPr>
              <w:adjustRightInd w:val="0"/>
              <w:snapToGrid w:val="0"/>
              <w:jc w:val="center"/>
              <w:rPr>
                <w:rFonts w:hint="eastAsia"/>
                <w:sz w:val="24"/>
              </w:rPr>
            </w:pPr>
            <w:r>
              <w:rPr>
                <w:rFonts w:hint="eastAsia"/>
                <w:sz w:val="24"/>
              </w:rPr>
              <w:t>5</w:t>
            </w:r>
          </w:p>
        </w:tc>
        <w:tc>
          <w:tcPr>
            <w:tcW w:w="1420" w:type="dxa"/>
            <w:vAlign w:val="center"/>
          </w:tcPr>
          <w:p>
            <w:pPr>
              <w:adjustRightInd w:val="0"/>
              <w:snapToGrid w:val="0"/>
              <w:jc w:val="center"/>
              <w:rPr>
                <w:rFonts w:hint="eastAsia"/>
                <w:sz w:val="24"/>
              </w:rPr>
            </w:pPr>
            <w:r>
              <w:rPr>
                <w:rFonts w:hint="eastAsia"/>
                <w:sz w:val="24"/>
              </w:rPr>
              <w:t>采暖系统水温限制装置/功能</w:t>
            </w:r>
          </w:p>
        </w:tc>
        <w:tc>
          <w:tcPr>
            <w:tcW w:w="2403" w:type="dxa"/>
            <w:vAlign w:val="center"/>
          </w:tcPr>
          <w:p>
            <w:pPr>
              <w:adjustRightInd w:val="0"/>
              <w:snapToGrid w:val="0"/>
              <w:jc w:val="center"/>
              <w:rPr>
                <w:rFonts w:hint="eastAsia"/>
                <w:sz w:val="24"/>
              </w:rPr>
            </w:pPr>
            <w:r>
              <w:rPr>
                <w:rFonts w:hint="eastAsia"/>
                <w:sz w:val="24"/>
              </w:rPr>
              <w:t>GB 25034-2010</w:t>
            </w:r>
            <w:r>
              <w:rPr>
                <w:rFonts w:hint="eastAsia"/>
                <w:sz w:val="24"/>
              </w:rPr>
              <w:t>中6.5.</w:t>
            </w:r>
            <w:r>
              <w:rPr>
                <w:rFonts w:hint="eastAsia"/>
                <w:sz w:val="24"/>
              </w:rPr>
              <w:t>7.</w:t>
            </w:r>
            <w:r>
              <w:rPr>
                <w:rFonts w:hint="eastAsia"/>
                <w:sz w:val="24"/>
              </w:rPr>
              <w:t>3</w:t>
            </w:r>
          </w:p>
          <w:p>
            <w:pPr>
              <w:adjustRightInd w:val="0"/>
              <w:snapToGrid w:val="0"/>
              <w:jc w:val="center"/>
              <w:rPr>
                <w:rFonts w:hint="eastAsia"/>
                <w:sz w:val="24"/>
              </w:rPr>
            </w:pPr>
            <w:r>
              <w:rPr>
                <w:rFonts w:hint="eastAsia"/>
                <w:sz w:val="24"/>
              </w:rPr>
              <w:t>GB 25034-20</w:t>
            </w:r>
            <w:r>
              <w:rPr>
                <w:rFonts w:hint="eastAsia"/>
                <w:sz w:val="24"/>
              </w:rPr>
              <w:t>20</w:t>
            </w:r>
            <w:r>
              <w:rPr>
                <w:rFonts w:hint="eastAsia"/>
                <w:sz w:val="24"/>
              </w:rPr>
              <w:t>中6.4.4.2</w:t>
            </w:r>
          </w:p>
        </w:tc>
        <w:tc>
          <w:tcPr>
            <w:tcW w:w="748"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95"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80" w:type="dxa"/>
            <w:vAlign w:val="center"/>
          </w:tcPr>
          <w:p>
            <w:pPr>
              <w:adjustRightInd w:val="0"/>
              <w:snapToGrid w:val="0"/>
              <w:jc w:val="center"/>
              <w:rPr>
                <w:rFonts w:hint="eastAsia"/>
                <w:sz w:val="24"/>
              </w:rPr>
            </w:pPr>
          </w:p>
        </w:tc>
        <w:tc>
          <w:tcPr>
            <w:tcW w:w="1682" w:type="dxa"/>
            <w:vAlign w:val="center"/>
          </w:tcPr>
          <w:p>
            <w:pPr>
              <w:adjustRightInd w:val="0"/>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733" w:type="dxa"/>
            <w:vAlign w:val="center"/>
          </w:tcPr>
          <w:p>
            <w:pPr>
              <w:adjustRightInd w:val="0"/>
              <w:snapToGrid w:val="0"/>
              <w:jc w:val="center"/>
              <w:rPr>
                <w:rFonts w:hint="eastAsia"/>
                <w:sz w:val="24"/>
              </w:rPr>
            </w:pPr>
            <w:r>
              <w:rPr>
                <w:rFonts w:hint="eastAsia"/>
                <w:sz w:val="24"/>
              </w:rPr>
              <w:t>6</w:t>
            </w:r>
          </w:p>
        </w:tc>
        <w:tc>
          <w:tcPr>
            <w:tcW w:w="1420" w:type="dxa"/>
            <w:vAlign w:val="center"/>
          </w:tcPr>
          <w:p>
            <w:pPr>
              <w:adjustRightInd w:val="0"/>
              <w:snapToGrid w:val="0"/>
              <w:jc w:val="center"/>
              <w:rPr>
                <w:rFonts w:hint="eastAsia"/>
                <w:sz w:val="24"/>
              </w:rPr>
            </w:pPr>
            <w:r>
              <w:rPr>
                <w:rFonts w:hint="eastAsia"/>
                <w:sz w:val="24"/>
              </w:rPr>
              <w:t>生活热水水温限温装置/功能</w:t>
            </w:r>
          </w:p>
        </w:tc>
        <w:tc>
          <w:tcPr>
            <w:tcW w:w="2403" w:type="dxa"/>
            <w:vAlign w:val="center"/>
          </w:tcPr>
          <w:p>
            <w:pPr>
              <w:adjustRightInd w:val="0"/>
              <w:snapToGrid w:val="0"/>
              <w:jc w:val="center"/>
              <w:rPr>
                <w:rFonts w:hint="eastAsia"/>
                <w:sz w:val="24"/>
              </w:rPr>
            </w:pPr>
            <w:r>
              <w:rPr>
                <w:rFonts w:hint="eastAsia"/>
                <w:sz w:val="24"/>
              </w:rPr>
              <w:t>GB 25034-2010</w:t>
            </w:r>
            <w:r>
              <w:rPr>
                <w:rFonts w:hint="eastAsia"/>
                <w:sz w:val="24"/>
              </w:rPr>
              <w:t>中6.5.</w:t>
            </w:r>
            <w:r>
              <w:rPr>
                <w:rFonts w:hint="eastAsia"/>
                <w:sz w:val="24"/>
              </w:rPr>
              <w:t>7.</w:t>
            </w:r>
            <w:r>
              <w:rPr>
                <w:rFonts w:hint="eastAsia"/>
                <w:sz w:val="24"/>
              </w:rPr>
              <w:t>3</w:t>
            </w:r>
          </w:p>
          <w:p>
            <w:pPr>
              <w:adjustRightInd w:val="0"/>
              <w:snapToGrid w:val="0"/>
              <w:jc w:val="center"/>
              <w:rPr>
                <w:rFonts w:hint="eastAsia"/>
                <w:sz w:val="24"/>
              </w:rPr>
            </w:pPr>
            <w:r>
              <w:rPr>
                <w:rFonts w:hint="eastAsia"/>
                <w:sz w:val="24"/>
              </w:rPr>
              <w:t>GB 25034-20</w:t>
            </w:r>
            <w:r>
              <w:rPr>
                <w:rFonts w:hint="eastAsia"/>
                <w:sz w:val="24"/>
              </w:rPr>
              <w:t>20</w:t>
            </w:r>
            <w:r>
              <w:rPr>
                <w:rFonts w:hint="eastAsia"/>
                <w:sz w:val="24"/>
              </w:rPr>
              <w:t>中6.4.4.3</w:t>
            </w:r>
          </w:p>
        </w:tc>
        <w:tc>
          <w:tcPr>
            <w:tcW w:w="748"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95"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80" w:type="dxa"/>
            <w:vAlign w:val="center"/>
          </w:tcPr>
          <w:p>
            <w:pPr>
              <w:adjustRightInd w:val="0"/>
              <w:snapToGrid w:val="0"/>
              <w:jc w:val="center"/>
              <w:rPr>
                <w:rFonts w:hint="eastAsia"/>
                <w:sz w:val="24"/>
              </w:rPr>
            </w:pPr>
          </w:p>
        </w:tc>
        <w:tc>
          <w:tcPr>
            <w:tcW w:w="1682" w:type="dxa"/>
            <w:vAlign w:val="center"/>
          </w:tcPr>
          <w:p>
            <w:pPr>
              <w:adjustRightInd w:val="0"/>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733" w:type="dxa"/>
            <w:vAlign w:val="center"/>
          </w:tcPr>
          <w:p>
            <w:pPr>
              <w:adjustRightInd w:val="0"/>
              <w:snapToGrid w:val="0"/>
              <w:jc w:val="center"/>
              <w:rPr>
                <w:rFonts w:hint="eastAsia"/>
                <w:sz w:val="24"/>
              </w:rPr>
            </w:pPr>
            <w:r>
              <w:rPr>
                <w:rFonts w:hint="eastAsia"/>
                <w:sz w:val="24"/>
              </w:rPr>
              <w:t>7</w:t>
            </w:r>
          </w:p>
        </w:tc>
        <w:tc>
          <w:tcPr>
            <w:tcW w:w="1420" w:type="dxa"/>
            <w:vAlign w:val="center"/>
          </w:tcPr>
          <w:p>
            <w:pPr>
              <w:adjustRightInd w:val="0"/>
              <w:snapToGrid w:val="0"/>
              <w:jc w:val="center"/>
              <w:rPr>
                <w:rFonts w:hint="eastAsia"/>
                <w:sz w:val="24"/>
              </w:rPr>
            </w:pPr>
            <w:r>
              <w:rPr>
                <w:rFonts w:hint="eastAsia"/>
                <w:sz w:val="24"/>
              </w:rPr>
              <w:t>额定热负荷时CO含量/极限热输入时CO含量</w:t>
            </w:r>
          </w:p>
        </w:tc>
        <w:tc>
          <w:tcPr>
            <w:tcW w:w="2403" w:type="dxa"/>
            <w:vAlign w:val="center"/>
          </w:tcPr>
          <w:p>
            <w:pPr>
              <w:adjustRightInd w:val="0"/>
              <w:snapToGrid w:val="0"/>
              <w:jc w:val="center"/>
              <w:rPr>
                <w:rFonts w:hint="eastAsia"/>
                <w:sz w:val="24"/>
              </w:rPr>
            </w:pPr>
            <w:r>
              <w:rPr>
                <w:rFonts w:hint="eastAsia"/>
                <w:sz w:val="24"/>
              </w:rPr>
              <w:t>GB 25034-2010</w:t>
            </w:r>
            <w:r>
              <w:rPr>
                <w:rFonts w:hint="eastAsia"/>
                <w:sz w:val="24"/>
              </w:rPr>
              <w:t>中6.6.2</w:t>
            </w:r>
          </w:p>
          <w:p>
            <w:pPr>
              <w:adjustRightInd w:val="0"/>
              <w:snapToGrid w:val="0"/>
              <w:jc w:val="center"/>
              <w:rPr>
                <w:rFonts w:hint="eastAsia"/>
                <w:sz w:val="24"/>
              </w:rPr>
            </w:pPr>
            <w:r>
              <w:rPr>
                <w:rFonts w:hint="eastAsia"/>
                <w:sz w:val="24"/>
              </w:rPr>
              <w:t>GB 25034-20</w:t>
            </w:r>
            <w:r>
              <w:rPr>
                <w:rFonts w:hint="eastAsia"/>
                <w:sz w:val="24"/>
              </w:rPr>
              <w:t>20</w:t>
            </w:r>
            <w:r>
              <w:rPr>
                <w:rFonts w:hint="eastAsia"/>
                <w:sz w:val="24"/>
              </w:rPr>
              <w:t>中6.5.1</w:t>
            </w:r>
          </w:p>
        </w:tc>
        <w:tc>
          <w:tcPr>
            <w:tcW w:w="748"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95"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80" w:type="dxa"/>
            <w:vAlign w:val="center"/>
          </w:tcPr>
          <w:p>
            <w:pPr>
              <w:adjustRightInd w:val="0"/>
              <w:snapToGrid w:val="0"/>
              <w:jc w:val="center"/>
              <w:rPr>
                <w:rFonts w:hint="eastAsia"/>
                <w:sz w:val="24"/>
              </w:rPr>
            </w:pPr>
          </w:p>
        </w:tc>
        <w:tc>
          <w:tcPr>
            <w:tcW w:w="1682" w:type="dxa"/>
            <w:vAlign w:val="center"/>
          </w:tcPr>
          <w:p>
            <w:pPr>
              <w:adjustRightInd w:val="0"/>
              <w:snapToGrid w:val="0"/>
              <w:jc w:val="center"/>
              <w:rPr>
                <w:rFonts w:hint="eastAsia"/>
                <w:sz w:val="24"/>
              </w:rPr>
            </w:pPr>
            <w:r>
              <w:rPr>
                <w:rFonts w:hint="eastAsia"/>
                <w:sz w:val="24"/>
              </w:rPr>
              <w:t>额定热负荷时CO含量适用于GB 25034-20</w:t>
            </w:r>
            <w:r>
              <w:rPr>
                <w:rFonts w:hint="eastAsia"/>
                <w:sz w:val="24"/>
              </w:rPr>
              <w:t>20</w:t>
            </w:r>
            <w:r>
              <w:rPr>
                <w:rFonts w:hint="eastAsia"/>
                <w:sz w:val="24"/>
              </w:rPr>
              <w:t>/极限热输入时CO含量适用于GB 25034-2010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733" w:type="dxa"/>
            <w:vAlign w:val="center"/>
          </w:tcPr>
          <w:p>
            <w:pPr>
              <w:adjustRightInd w:val="0"/>
              <w:snapToGrid w:val="0"/>
              <w:jc w:val="center"/>
              <w:rPr>
                <w:rFonts w:hint="eastAsia"/>
                <w:sz w:val="24"/>
              </w:rPr>
            </w:pPr>
            <w:r>
              <w:rPr>
                <w:rFonts w:hint="eastAsia"/>
                <w:sz w:val="24"/>
              </w:rPr>
              <w:t>8</w:t>
            </w:r>
          </w:p>
        </w:tc>
        <w:tc>
          <w:tcPr>
            <w:tcW w:w="1420" w:type="dxa"/>
            <w:vAlign w:val="center"/>
          </w:tcPr>
          <w:p>
            <w:pPr>
              <w:adjustRightInd w:val="0"/>
              <w:snapToGrid w:val="0"/>
              <w:jc w:val="center"/>
              <w:rPr>
                <w:rFonts w:hint="eastAsia"/>
                <w:sz w:val="24"/>
              </w:rPr>
            </w:pPr>
            <w:r>
              <w:rPr>
                <w:rFonts w:hint="eastAsia"/>
                <w:sz w:val="24"/>
              </w:rPr>
              <w:t>工作温度下的泄漏电流和电气强度</w:t>
            </w:r>
          </w:p>
        </w:tc>
        <w:tc>
          <w:tcPr>
            <w:tcW w:w="2403" w:type="dxa"/>
            <w:vAlign w:val="center"/>
          </w:tcPr>
          <w:p>
            <w:pPr>
              <w:adjustRightInd w:val="0"/>
              <w:snapToGrid w:val="0"/>
              <w:jc w:val="center"/>
              <w:rPr>
                <w:rFonts w:hint="eastAsia"/>
                <w:sz w:val="24"/>
              </w:rPr>
            </w:pPr>
            <w:r>
              <w:rPr>
                <w:rFonts w:hint="eastAsia"/>
                <w:sz w:val="24"/>
              </w:rPr>
              <w:t>GB 25034-2010</w:t>
            </w:r>
            <w:r>
              <w:rPr>
                <w:rFonts w:hint="eastAsia"/>
                <w:sz w:val="24"/>
              </w:rPr>
              <w:t>中F.5.2，F.5.3</w:t>
            </w:r>
          </w:p>
          <w:p>
            <w:pPr>
              <w:adjustRightInd w:val="0"/>
              <w:snapToGrid w:val="0"/>
              <w:jc w:val="center"/>
              <w:rPr>
                <w:rFonts w:hint="eastAsia"/>
                <w:sz w:val="24"/>
              </w:rPr>
            </w:pPr>
            <w:r>
              <w:rPr>
                <w:rFonts w:hint="eastAsia"/>
                <w:sz w:val="24"/>
              </w:rPr>
              <w:t>GB 25034-20</w:t>
            </w:r>
            <w:r>
              <w:rPr>
                <w:rFonts w:hint="eastAsia"/>
                <w:sz w:val="24"/>
              </w:rPr>
              <w:t>20</w:t>
            </w:r>
            <w:r>
              <w:rPr>
                <w:rFonts w:hint="eastAsia"/>
                <w:sz w:val="24"/>
              </w:rPr>
              <w:t>中I.5.2 ，I.5.3</w:t>
            </w:r>
          </w:p>
        </w:tc>
        <w:tc>
          <w:tcPr>
            <w:tcW w:w="748"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95"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80" w:type="dxa"/>
            <w:vAlign w:val="center"/>
          </w:tcPr>
          <w:p>
            <w:pPr>
              <w:adjustRightInd w:val="0"/>
              <w:snapToGrid w:val="0"/>
              <w:jc w:val="center"/>
              <w:rPr>
                <w:rFonts w:hint="eastAsia"/>
                <w:sz w:val="24"/>
              </w:rPr>
            </w:pPr>
          </w:p>
        </w:tc>
        <w:tc>
          <w:tcPr>
            <w:tcW w:w="1682" w:type="dxa"/>
            <w:vAlign w:val="center"/>
          </w:tcPr>
          <w:p>
            <w:pPr>
              <w:adjustRightInd w:val="0"/>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jc w:val="center"/>
        </w:trPr>
        <w:tc>
          <w:tcPr>
            <w:tcW w:w="733" w:type="dxa"/>
            <w:vAlign w:val="center"/>
          </w:tcPr>
          <w:p>
            <w:pPr>
              <w:adjustRightInd w:val="0"/>
              <w:snapToGrid w:val="0"/>
              <w:jc w:val="center"/>
              <w:rPr>
                <w:rFonts w:hint="eastAsia"/>
                <w:sz w:val="24"/>
              </w:rPr>
            </w:pPr>
            <w:r>
              <w:rPr>
                <w:rFonts w:hint="eastAsia"/>
                <w:sz w:val="24"/>
              </w:rPr>
              <w:t>9</w:t>
            </w:r>
          </w:p>
        </w:tc>
        <w:tc>
          <w:tcPr>
            <w:tcW w:w="1420" w:type="dxa"/>
            <w:vAlign w:val="center"/>
          </w:tcPr>
          <w:p>
            <w:pPr>
              <w:adjustRightInd w:val="0"/>
              <w:snapToGrid w:val="0"/>
              <w:jc w:val="center"/>
              <w:rPr>
                <w:rFonts w:hint="eastAsia"/>
                <w:sz w:val="24"/>
              </w:rPr>
            </w:pPr>
            <w:r>
              <w:rPr>
                <w:rFonts w:hint="eastAsia"/>
                <w:sz w:val="24"/>
              </w:rPr>
              <w:t>接地措施</w:t>
            </w:r>
          </w:p>
        </w:tc>
        <w:tc>
          <w:tcPr>
            <w:tcW w:w="2403" w:type="dxa"/>
            <w:vAlign w:val="center"/>
          </w:tcPr>
          <w:p>
            <w:pPr>
              <w:adjustRightInd w:val="0"/>
              <w:snapToGrid w:val="0"/>
              <w:jc w:val="center"/>
              <w:rPr>
                <w:rFonts w:hint="eastAsia"/>
                <w:sz w:val="24"/>
              </w:rPr>
            </w:pPr>
            <w:r>
              <w:rPr>
                <w:rFonts w:hint="eastAsia"/>
                <w:sz w:val="24"/>
              </w:rPr>
              <w:t>GB 25034-2010</w:t>
            </w:r>
            <w:r>
              <w:rPr>
                <w:rFonts w:hint="eastAsia"/>
                <w:sz w:val="24"/>
              </w:rPr>
              <w:t>中F.11</w:t>
            </w:r>
          </w:p>
          <w:p>
            <w:pPr>
              <w:adjustRightInd w:val="0"/>
              <w:snapToGrid w:val="0"/>
              <w:jc w:val="center"/>
              <w:rPr>
                <w:rFonts w:hint="eastAsia"/>
                <w:sz w:val="24"/>
              </w:rPr>
            </w:pPr>
            <w:r>
              <w:rPr>
                <w:rFonts w:hint="eastAsia"/>
                <w:sz w:val="24"/>
              </w:rPr>
              <w:t>GB 25034-20</w:t>
            </w:r>
            <w:r>
              <w:rPr>
                <w:rFonts w:hint="eastAsia"/>
                <w:sz w:val="24"/>
              </w:rPr>
              <w:t>20</w:t>
            </w:r>
            <w:r>
              <w:rPr>
                <w:rFonts w:hint="eastAsia"/>
                <w:sz w:val="24"/>
              </w:rPr>
              <w:t>中I.12</w:t>
            </w:r>
          </w:p>
        </w:tc>
        <w:tc>
          <w:tcPr>
            <w:tcW w:w="748"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95"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80" w:type="dxa"/>
            <w:vAlign w:val="center"/>
          </w:tcPr>
          <w:p>
            <w:pPr>
              <w:adjustRightInd w:val="0"/>
              <w:snapToGrid w:val="0"/>
              <w:jc w:val="center"/>
              <w:rPr>
                <w:rFonts w:hint="eastAsia"/>
                <w:sz w:val="24"/>
              </w:rPr>
            </w:pPr>
          </w:p>
        </w:tc>
        <w:tc>
          <w:tcPr>
            <w:tcW w:w="1682" w:type="dxa"/>
            <w:vAlign w:val="center"/>
          </w:tcPr>
          <w:p>
            <w:pPr>
              <w:adjustRightInd w:val="0"/>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733" w:type="dxa"/>
            <w:vAlign w:val="center"/>
          </w:tcPr>
          <w:p>
            <w:pPr>
              <w:adjustRightInd w:val="0"/>
              <w:snapToGrid w:val="0"/>
              <w:jc w:val="center"/>
              <w:rPr>
                <w:rFonts w:hint="eastAsia"/>
                <w:sz w:val="24"/>
              </w:rPr>
            </w:pPr>
            <w:r>
              <w:rPr>
                <w:rFonts w:hint="eastAsia"/>
                <w:sz w:val="24"/>
              </w:rPr>
              <w:t>10</w:t>
            </w:r>
          </w:p>
        </w:tc>
        <w:tc>
          <w:tcPr>
            <w:tcW w:w="1420" w:type="dxa"/>
            <w:vAlign w:val="center"/>
          </w:tcPr>
          <w:p>
            <w:pPr>
              <w:adjustRightInd w:val="0"/>
              <w:snapToGrid w:val="0"/>
              <w:jc w:val="center"/>
              <w:rPr>
                <w:rFonts w:hint="eastAsia"/>
                <w:sz w:val="24"/>
              </w:rPr>
            </w:pPr>
            <w:r>
              <w:rPr>
                <w:rFonts w:hint="eastAsia"/>
                <w:sz w:val="24"/>
              </w:rPr>
              <w:t>热效率</w:t>
            </w:r>
          </w:p>
        </w:tc>
        <w:tc>
          <w:tcPr>
            <w:tcW w:w="2403" w:type="dxa"/>
            <w:vAlign w:val="center"/>
          </w:tcPr>
          <w:p>
            <w:pPr>
              <w:adjustRightInd w:val="0"/>
              <w:snapToGrid w:val="0"/>
              <w:jc w:val="center"/>
              <w:rPr>
                <w:rFonts w:hint="eastAsia"/>
                <w:sz w:val="24"/>
              </w:rPr>
            </w:pPr>
            <w:r>
              <w:rPr>
                <w:rFonts w:hint="eastAsia"/>
                <w:sz w:val="24"/>
              </w:rPr>
              <w:t>GB 25034-2010</w:t>
            </w:r>
            <w:r>
              <w:rPr>
                <w:rFonts w:hint="eastAsia"/>
                <w:sz w:val="24"/>
              </w:rPr>
              <w:t>中6.7</w:t>
            </w:r>
          </w:p>
          <w:p>
            <w:pPr>
              <w:adjustRightInd w:val="0"/>
              <w:snapToGrid w:val="0"/>
              <w:jc w:val="center"/>
              <w:rPr>
                <w:rFonts w:hint="eastAsia"/>
                <w:sz w:val="24"/>
              </w:rPr>
            </w:pPr>
            <w:r>
              <w:rPr>
                <w:rFonts w:hint="eastAsia"/>
                <w:sz w:val="24"/>
              </w:rPr>
              <w:t>/ GB 25034-20</w:t>
            </w:r>
            <w:r>
              <w:rPr>
                <w:rFonts w:hint="eastAsia"/>
                <w:sz w:val="24"/>
              </w:rPr>
              <w:t>20</w:t>
            </w:r>
            <w:r>
              <w:rPr>
                <w:rFonts w:hint="eastAsia"/>
                <w:sz w:val="24"/>
              </w:rPr>
              <w:t>中6.6.1、6.6.2/GB 20665</w:t>
            </w:r>
            <w:r>
              <w:rPr>
                <w:rFonts w:hint="eastAsia"/>
                <w:sz w:val="24"/>
              </w:rPr>
              <w:t>中4.2，</w:t>
            </w:r>
            <w:r>
              <w:rPr>
                <w:rFonts w:hint="eastAsia"/>
                <w:sz w:val="24"/>
              </w:rPr>
              <w:t>4.3</w:t>
            </w:r>
          </w:p>
        </w:tc>
        <w:tc>
          <w:tcPr>
            <w:tcW w:w="748" w:type="dxa"/>
            <w:vAlign w:val="center"/>
          </w:tcPr>
          <w:p>
            <w:pPr>
              <w:adjustRightInd w:val="0"/>
              <w:snapToGrid w:val="0"/>
              <w:jc w:val="center"/>
              <w:rPr>
                <w:rFonts w:hint="eastAsia"/>
                <w:sz w:val="24"/>
              </w:rPr>
            </w:pPr>
            <w:r>
              <w:rPr>
                <w:rFonts w:hint="eastAsia"/>
                <w:sz w:val="24"/>
              </w:rPr>
              <w:t>●</w:t>
            </w:r>
          </w:p>
        </w:tc>
        <w:tc>
          <w:tcPr>
            <w:tcW w:w="735" w:type="dxa"/>
            <w:vAlign w:val="center"/>
          </w:tcPr>
          <w:p>
            <w:pPr>
              <w:adjustRightInd w:val="0"/>
              <w:snapToGrid w:val="0"/>
              <w:jc w:val="center"/>
              <w:rPr>
                <w:rFonts w:hint="eastAsia"/>
                <w:sz w:val="24"/>
              </w:rPr>
            </w:pPr>
          </w:p>
        </w:tc>
        <w:tc>
          <w:tcPr>
            <w:tcW w:w="795" w:type="dxa"/>
            <w:vAlign w:val="center"/>
          </w:tcPr>
          <w:p>
            <w:pPr>
              <w:adjustRightInd w:val="0"/>
              <w:snapToGrid w:val="0"/>
              <w:jc w:val="center"/>
              <w:rPr>
                <w:rFonts w:hint="eastAsia"/>
                <w:sz w:val="24"/>
              </w:rPr>
            </w:pPr>
          </w:p>
        </w:tc>
        <w:tc>
          <w:tcPr>
            <w:tcW w:w="735" w:type="dxa"/>
            <w:vAlign w:val="center"/>
          </w:tcPr>
          <w:p>
            <w:pPr>
              <w:adjustRightInd w:val="0"/>
              <w:snapToGrid w:val="0"/>
              <w:jc w:val="center"/>
              <w:rPr>
                <w:rFonts w:hint="eastAsia"/>
                <w:sz w:val="24"/>
              </w:rPr>
            </w:pPr>
            <w:r>
              <w:rPr>
                <w:rFonts w:hint="eastAsia"/>
                <w:sz w:val="24"/>
              </w:rPr>
              <w:t>●</w:t>
            </w:r>
          </w:p>
        </w:tc>
        <w:tc>
          <w:tcPr>
            <w:tcW w:w="780" w:type="dxa"/>
            <w:vAlign w:val="center"/>
          </w:tcPr>
          <w:p>
            <w:pPr>
              <w:adjustRightInd w:val="0"/>
              <w:snapToGrid w:val="0"/>
              <w:jc w:val="center"/>
              <w:rPr>
                <w:rFonts w:hint="eastAsia"/>
                <w:sz w:val="24"/>
              </w:rPr>
            </w:pPr>
          </w:p>
        </w:tc>
        <w:tc>
          <w:tcPr>
            <w:tcW w:w="1682" w:type="dxa"/>
            <w:vAlign w:val="center"/>
          </w:tcPr>
          <w:p>
            <w:pPr>
              <w:adjustRightInd w:val="0"/>
              <w:snapToGrid w:val="0"/>
              <w:jc w:val="center"/>
              <w:rPr>
                <w:rFonts w:hint="eastAsia"/>
                <w:sz w:val="24"/>
              </w:rPr>
            </w:pPr>
          </w:p>
        </w:tc>
      </w:tr>
    </w:tbl>
    <w:p>
      <w:pPr>
        <w:adjustRightInd w:val="0"/>
        <w:snapToGrid w:val="0"/>
        <w:ind w:firstLine="480" w:firstLineChars="200"/>
        <w:jc w:val="left"/>
        <w:rPr>
          <w:color w:val="000000"/>
          <w:sz w:val="24"/>
        </w:rPr>
      </w:pPr>
      <w:r>
        <w:rPr>
          <w:color w:val="000000"/>
          <w:sz w:val="24"/>
        </w:rPr>
        <w:t>执行企业标准、团体标准、地方标准的产品，检验项目参照上述内容执行。</w:t>
      </w:r>
    </w:p>
    <w:p>
      <w:pPr>
        <w:adjustRightInd w:val="0"/>
        <w:snapToGrid w:val="0"/>
        <w:ind w:firstLine="480" w:firstLineChars="200"/>
        <w:jc w:val="left"/>
        <w:rPr>
          <w:color w:val="000000"/>
          <w:sz w:val="24"/>
          <w:szCs w:val="22"/>
        </w:rPr>
      </w:pPr>
      <w:r>
        <w:rPr>
          <w:color w:val="000000"/>
          <w:sz w:val="24"/>
        </w:rPr>
        <w:t>凡是注日期的文件，其随后所有的修改单（不包括勘误的内容）或修订版不适用于本细则。凡是不注日期的文件，其最新版本适用于本细则。</w:t>
      </w:r>
    </w:p>
    <w:p>
      <w:pPr>
        <w:adjustRightInd w:val="0"/>
        <w:snapToGrid w:val="0"/>
        <w:ind w:firstLine="640" w:firstLineChars="200"/>
        <w:rPr>
          <w:rFonts w:eastAsia="黑体"/>
          <w:color w:val="000000"/>
          <w:szCs w:val="32"/>
        </w:rPr>
      </w:pPr>
    </w:p>
    <w:p>
      <w:pPr>
        <w:adjustRightInd w:val="0"/>
        <w:snapToGrid w:val="0"/>
        <w:ind w:firstLine="640" w:firstLineChars="200"/>
        <w:rPr>
          <w:rFonts w:eastAsia="黑体"/>
          <w:color w:val="000000"/>
          <w:szCs w:val="32"/>
        </w:rPr>
      </w:pPr>
      <w:r>
        <w:rPr>
          <w:rFonts w:eastAsia="黑体"/>
          <w:color w:val="000000"/>
          <w:szCs w:val="32"/>
        </w:rPr>
        <w:t>三、判定规则</w:t>
      </w:r>
    </w:p>
    <w:p>
      <w:pPr>
        <w:adjustRightInd w:val="0"/>
        <w:snapToGrid w:val="0"/>
        <w:ind w:firstLine="640" w:firstLineChars="200"/>
        <w:rPr>
          <w:rFonts w:eastAsia="楷体_GB2312"/>
          <w:color w:val="000000"/>
          <w:szCs w:val="32"/>
        </w:rPr>
      </w:pPr>
      <w:r>
        <w:rPr>
          <w:rFonts w:eastAsia="楷体_GB2312"/>
          <w:color w:val="000000"/>
          <w:szCs w:val="32"/>
        </w:rPr>
        <w:t>（一）依据标准</w:t>
      </w:r>
    </w:p>
    <w:p>
      <w:pPr>
        <w:bidi w:val="0"/>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1. 强制性标准。</w:t>
      </w:r>
    </w:p>
    <w:p>
      <w:pPr>
        <w:bidi w:val="0"/>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GB 6932-2015《家用燃气快速热水器》</w:t>
      </w:r>
    </w:p>
    <w:p>
      <w:pPr>
        <w:bidi w:val="0"/>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GB 20665-2015《家用燃气快速热水器和燃气采暖热水炉能效限定值及能效等级》</w:t>
      </w:r>
    </w:p>
    <w:p>
      <w:pPr>
        <w:bidi w:val="0"/>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GB 16410-2007《家用燃气灶具》</w:t>
      </w:r>
    </w:p>
    <w:p>
      <w:pPr>
        <w:bidi w:val="0"/>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GB 16410-2020《家用燃气灶具》</w:t>
      </w:r>
    </w:p>
    <w:p>
      <w:pPr>
        <w:bidi w:val="0"/>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GB 30720－2014《家用燃气灶具能效限定值及能效等级》</w:t>
      </w:r>
    </w:p>
    <w:p>
      <w:pPr>
        <w:bidi w:val="0"/>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 xml:space="preserve">GB </w:t>
      </w:r>
      <w:r>
        <w:rPr>
          <w:rFonts w:hint="eastAsia" w:ascii="Times New Roman" w:hAnsi="Times New Roman" w:eastAsia="仿宋_GB2312" w:cs="Times New Roman"/>
          <w:kern w:val="2"/>
          <w:sz w:val="32"/>
          <w:szCs w:val="32"/>
          <w:lang w:val="en-US" w:eastAsia="zh-CN" w:bidi="ar-SA"/>
        </w:rPr>
        <w:t>25034-2020</w:t>
      </w:r>
      <w:r>
        <w:rPr>
          <w:rFonts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燃气采暖热水炉</w:t>
      </w:r>
      <w:r>
        <w:rPr>
          <w:rFonts w:ascii="Times New Roman" w:hAnsi="Times New Roman" w:eastAsia="仿宋_GB2312" w:cs="Times New Roman"/>
          <w:kern w:val="2"/>
          <w:sz w:val="32"/>
          <w:szCs w:val="32"/>
          <w:lang w:val="en-US" w:eastAsia="zh-CN" w:bidi="ar-SA"/>
        </w:rPr>
        <w:t>》</w:t>
      </w:r>
    </w:p>
    <w:p>
      <w:pPr>
        <w:bidi w:val="0"/>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GB 25034-2010 《燃气采暖热水炉》</w:t>
      </w:r>
    </w:p>
    <w:p>
      <w:pPr>
        <w:adjustRightInd w:val="0"/>
        <w:snapToGrid w:val="0"/>
        <w:ind w:firstLine="640" w:firstLineChars="200"/>
      </w:pPr>
      <w:r>
        <w:rPr>
          <w:szCs w:val="32"/>
        </w:rPr>
        <w:t>2. 推荐性标准</w:t>
      </w:r>
      <w:bookmarkStart w:id="2" w:name="_GoBack"/>
      <w:bookmarkEnd w:id="2"/>
    </w:p>
    <w:p>
      <w:pPr>
        <w:adjustRightInd w:val="0"/>
        <w:snapToGrid w:val="0"/>
        <w:ind w:firstLine="800" w:firstLineChars="250"/>
      </w:pPr>
      <w:r>
        <w:rPr>
          <w:rFonts w:hint="eastAsia"/>
        </w:rPr>
        <w:t>无</w:t>
      </w:r>
    </w:p>
    <w:p>
      <w:pPr>
        <w:adjustRightInd w:val="0"/>
        <w:snapToGrid w:val="0"/>
        <w:ind w:firstLine="640" w:firstLineChars="200"/>
        <w:rPr>
          <w:rFonts w:eastAsia="楷体_GB2312"/>
          <w:color w:val="000000"/>
          <w:szCs w:val="32"/>
        </w:rPr>
      </w:pPr>
      <w:r>
        <w:rPr>
          <w:rFonts w:eastAsia="楷体_GB2312"/>
          <w:color w:val="000000"/>
          <w:szCs w:val="32"/>
        </w:rPr>
        <w:t>（二）判定原则</w:t>
      </w:r>
    </w:p>
    <w:p>
      <w:pPr>
        <w:bidi w:val="0"/>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经检验，检验项目全部合格，判定为抽取的样本所检项目未检出不合格；检验项目中任一项或一项以上不合格，判定为被抽查产品不合格。</w:t>
      </w:r>
    </w:p>
    <w:p>
      <w:pPr>
        <w:pStyle w:val="10"/>
        <w:tabs>
          <w:tab w:val="clear" w:pos="4201"/>
          <w:tab w:val="clear" w:pos="9298"/>
        </w:tabs>
        <w:ind w:firstLine="640"/>
        <w:rPr>
          <w:rFonts w:ascii="Times New Roman" w:hAnsi="Times New Roman" w:eastAsia="仿宋_GB2312"/>
          <w:sz w:val="32"/>
          <w:szCs w:val="32"/>
        </w:rPr>
      </w:pPr>
      <w:r>
        <w:rPr>
          <w:rFonts w:ascii="Times New Roman" w:hAnsi="Times New Roman" w:eastAsia="仿宋_GB2312"/>
          <w:sz w:val="32"/>
          <w:szCs w:val="32"/>
        </w:rPr>
        <w:t>当被检样品明示的质量要求优于监督抽查实施细则中依据的标准要求时，应按被检样品明示的质量要求判定；</w:t>
      </w:r>
    </w:p>
    <w:p>
      <w:pPr>
        <w:pStyle w:val="10"/>
        <w:tabs>
          <w:tab w:val="clear" w:pos="4201"/>
          <w:tab w:val="clear" w:pos="9298"/>
        </w:tabs>
        <w:ind w:firstLine="640"/>
        <w:rPr>
          <w:rFonts w:ascii="Times New Roman" w:hAnsi="Times New Roman" w:eastAsia="仿宋_GB2312"/>
          <w:sz w:val="32"/>
          <w:szCs w:val="32"/>
        </w:rPr>
      </w:pPr>
      <w:r>
        <w:rPr>
          <w:rFonts w:ascii="Times New Roman" w:hAnsi="Times New Roman" w:eastAsia="仿宋_GB2312"/>
          <w:sz w:val="32"/>
          <w:szCs w:val="32"/>
        </w:rPr>
        <w:t>当被检样品明示的质量要求劣于或不包含监督抽查实施细则中依据的强制性标准要求时，应按照强制性标准要求判定；</w:t>
      </w:r>
    </w:p>
    <w:p>
      <w:pPr>
        <w:pStyle w:val="10"/>
        <w:widowControl w:val="0"/>
        <w:tabs>
          <w:tab w:val="clear" w:pos="4201"/>
          <w:tab w:val="clear" w:pos="9298"/>
        </w:tabs>
        <w:ind w:firstLine="640"/>
        <w:rPr>
          <w:rFonts w:ascii="Times New Roman" w:hAnsi="Times New Roman" w:eastAsia="仿宋_GB2312"/>
          <w:sz w:val="32"/>
          <w:szCs w:val="32"/>
        </w:rPr>
      </w:pPr>
      <w:r>
        <w:rPr>
          <w:rFonts w:ascii="Times New Roman" w:hAnsi="Times New Roman" w:eastAsia="仿宋_GB2312"/>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pStyle w:val="10"/>
        <w:widowControl w:val="0"/>
        <w:tabs>
          <w:tab w:val="clear" w:pos="4201"/>
          <w:tab w:val="clear" w:pos="9298"/>
        </w:tabs>
        <w:ind w:firstLine="640"/>
        <w:rPr>
          <w:rFonts w:ascii="Times New Roman" w:hAnsi="Times New Roman" w:eastAsia="仿宋_GB2312"/>
          <w:sz w:val="32"/>
          <w:szCs w:val="32"/>
        </w:rPr>
      </w:pPr>
      <w:r>
        <w:rPr>
          <w:rFonts w:ascii="Times New Roman" w:hAnsi="Times New Roman" w:eastAsia="仿宋_GB2312"/>
          <w:sz w:val="32"/>
          <w:szCs w:val="32"/>
        </w:rPr>
        <w:t>当被检样品明示的质量要求不包含监督抽查实施细则中依据的推荐性标准要求时，该指标不参与判定，但应在检验报告中作出说明；</w:t>
      </w:r>
    </w:p>
    <w:p>
      <w:pPr>
        <w:pStyle w:val="10"/>
        <w:widowControl w:val="0"/>
        <w:tabs>
          <w:tab w:val="clear" w:pos="4201"/>
          <w:tab w:val="clear" w:pos="9298"/>
        </w:tabs>
        <w:ind w:firstLine="640"/>
        <w:rPr>
          <w:rFonts w:ascii="Times New Roman" w:hAnsi="Times New Roman" w:eastAsia="仿宋_GB2312"/>
          <w:sz w:val="32"/>
          <w:szCs w:val="32"/>
        </w:rPr>
      </w:pPr>
      <w:r>
        <w:rPr>
          <w:rFonts w:ascii="Times New Roman" w:hAnsi="Times New Roman" w:eastAsia="仿宋_GB2312"/>
          <w:sz w:val="32"/>
          <w:szCs w:val="32"/>
        </w:rPr>
        <w:t>当被检样品未能提供有效的企业标准时，按相关国家或行业标准进行判定；</w:t>
      </w:r>
    </w:p>
    <w:p>
      <w:pPr>
        <w:pStyle w:val="10"/>
        <w:widowControl w:val="0"/>
        <w:tabs>
          <w:tab w:val="clear" w:pos="4201"/>
          <w:tab w:val="clear" w:pos="9298"/>
        </w:tabs>
        <w:ind w:firstLine="640"/>
        <w:rPr>
          <w:rFonts w:ascii="Times New Roman" w:hAnsi="Times New Roman" w:eastAsia="仿宋_GB2312"/>
          <w:sz w:val="32"/>
          <w:szCs w:val="32"/>
        </w:rPr>
      </w:pPr>
      <w:r>
        <w:rPr>
          <w:rFonts w:ascii="Times New Roman" w:hAnsi="Times New Roman" w:eastAsia="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pStyle w:val="10"/>
        <w:widowControl w:val="0"/>
        <w:tabs>
          <w:tab w:val="clear" w:pos="4201"/>
          <w:tab w:val="clear" w:pos="9298"/>
        </w:tabs>
        <w:ind w:firstLine="640"/>
        <w:rPr>
          <w:rFonts w:ascii="Times New Roman" w:hAnsi="Times New Roman" w:eastAsia="仿宋_GB2312"/>
          <w:sz w:val="32"/>
          <w:szCs w:val="32"/>
        </w:rPr>
      </w:pPr>
      <w:r>
        <w:rPr>
          <w:rFonts w:ascii="Times New Roman" w:hAnsi="Times New Roman" w:eastAsia="仿宋_GB2312"/>
          <w:sz w:val="32"/>
          <w:szCs w:val="32"/>
        </w:rPr>
        <w:t>按照产品质量相关法律法规的规定判定。</w:t>
      </w:r>
    </w:p>
    <w:p>
      <w:pPr>
        <w:pStyle w:val="10"/>
        <w:tabs>
          <w:tab w:val="clear" w:pos="4201"/>
          <w:tab w:val="clear" w:pos="9298"/>
        </w:tabs>
        <w:ind w:firstLine="640"/>
        <w:rPr>
          <w:rFonts w:ascii="Times New Roman" w:hAnsi="Times New Roman"/>
          <w:b/>
        </w:rPr>
      </w:pPr>
      <w:r>
        <w:rPr>
          <w:rFonts w:ascii="Times New Roman" w:hAnsi="Times New Roman" w:eastAsia="仿宋_GB2312"/>
          <w:sz w:val="32"/>
          <w:szCs w:val="32"/>
        </w:rPr>
        <w:t>检验中发现因样品失效或者其他原因致使检验无法进行的，检验人员应如实记录，并提供相关证明材料，报送组织监督抽查的市场监管部门。</w:t>
      </w:r>
    </w:p>
    <w:sectPr>
      <w:pgSz w:w="11906" w:h="16838"/>
      <w:pgMar w:top="1134"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2FE1"/>
    <w:rsid w:val="00021799"/>
    <w:rsid w:val="000A777C"/>
    <w:rsid w:val="000D5217"/>
    <w:rsid w:val="000F0FB7"/>
    <w:rsid w:val="001036C7"/>
    <w:rsid w:val="001219A9"/>
    <w:rsid w:val="00126390"/>
    <w:rsid w:val="00147878"/>
    <w:rsid w:val="00185367"/>
    <w:rsid w:val="001E4071"/>
    <w:rsid w:val="001F7407"/>
    <w:rsid w:val="002062BF"/>
    <w:rsid w:val="00275301"/>
    <w:rsid w:val="002B3B14"/>
    <w:rsid w:val="002D0650"/>
    <w:rsid w:val="002E53EF"/>
    <w:rsid w:val="0030097E"/>
    <w:rsid w:val="00356C10"/>
    <w:rsid w:val="00356EBD"/>
    <w:rsid w:val="00364FB1"/>
    <w:rsid w:val="00470178"/>
    <w:rsid w:val="00491DAA"/>
    <w:rsid w:val="00532070"/>
    <w:rsid w:val="005371B3"/>
    <w:rsid w:val="005A43DE"/>
    <w:rsid w:val="00601688"/>
    <w:rsid w:val="006166FC"/>
    <w:rsid w:val="0062234C"/>
    <w:rsid w:val="006E1539"/>
    <w:rsid w:val="00704D5C"/>
    <w:rsid w:val="00781393"/>
    <w:rsid w:val="00781CD0"/>
    <w:rsid w:val="007A1532"/>
    <w:rsid w:val="007D5CA4"/>
    <w:rsid w:val="008206DE"/>
    <w:rsid w:val="00842E1A"/>
    <w:rsid w:val="00844D3E"/>
    <w:rsid w:val="00882E77"/>
    <w:rsid w:val="008951CC"/>
    <w:rsid w:val="008E189E"/>
    <w:rsid w:val="008F45BD"/>
    <w:rsid w:val="009345E6"/>
    <w:rsid w:val="0096440A"/>
    <w:rsid w:val="0098113E"/>
    <w:rsid w:val="00984D26"/>
    <w:rsid w:val="00A82236"/>
    <w:rsid w:val="00AC1BFB"/>
    <w:rsid w:val="00AC2F77"/>
    <w:rsid w:val="00AC7470"/>
    <w:rsid w:val="00AF03EC"/>
    <w:rsid w:val="00B057D7"/>
    <w:rsid w:val="00B05E9D"/>
    <w:rsid w:val="00B248A1"/>
    <w:rsid w:val="00B64572"/>
    <w:rsid w:val="00B66DB8"/>
    <w:rsid w:val="00B72FE1"/>
    <w:rsid w:val="00B95F11"/>
    <w:rsid w:val="00C12771"/>
    <w:rsid w:val="00C51350"/>
    <w:rsid w:val="00CA49AF"/>
    <w:rsid w:val="00CA604F"/>
    <w:rsid w:val="00CD5172"/>
    <w:rsid w:val="00CF1E95"/>
    <w:rsid w:val="00D21F23"/>
    <w:rsid w:val="00D272F3"/>
    <w:rsid w:val="00D406E4"/>
    <w:rsid w:val="00D51F13"/>
    <w:rsid w:val="00D561CE"/>
    <w:rsid w:val="00D73845"/>
    <w:rsid w:val="00D86DEB"/>
    <w:rsid w:val="00D92485"/>
    <w:rsid w:val="00DB3E8B"/>
    <w:rsid w:val="00E0754E"/>
    <w:rsid w:val="00E16080"/>
    <w:rsid w:val="00E34F99"/>
    <w:rsid w:val="00EA49A5"/>
    <w:rsid w:val="00EC6C18"/>
    <w:rsid w:val="00EE2BEC"/>
    <w:rsid w:val="00EF5C57"/>
    <w:rsid w:val="00F47699"/>
    <w:rsid w:val="00F637DD"/>
    <w:rsid w:val="00F726E9"/>
    <w:rsid w:val="00FD7895"/>
    <w:rsid w:val="02AD6973"/>
    <w:rsid w:val="6BCE53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9"/>
    <w:qFormat/>
    <w:uiPriority w:val="9"/>
    <w:pPr>
      <w:jc w:val="center"/>
      <w:outlineLvl w:val="0"/>
    </w:pPr>
    <w:rPr>
      <w:rFonts w:ascii="方正小标宋简体" w:eastAsia="方正小标宋简体"/>
      <w:kern w:val="44"/>
      <w:sz w:val="3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标题 1 Char"/>
    <w:basedOn w:val="6"/>
    <w:link w:val="2"/>
    <w:qFormat/>
    <w:uiPriority w:val="9"/>
    <w:rPr>
      <w:rFonts w:ascii="方正小标宋简体" w:hAnsi="Times New Roman" w:eastAsia="方正小标宋简体" w:cs="Times New Roman"/>
      <w:kern w:val="44"/>
      <w:sz w:val="38"/>
      <w:szCs w:val="24"/>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603</Words>
  <Characters>3440</Characters>
  <Lines>28</Lines>
  <Paragraphs>8</Paragraphs>
  <TotalTime>31</TotalTime>
  <ScaleCrop>false</ScaleCrop>
  <LinksUpToDate>false</LinksUpToDate>
  <CharactersWithSpaces>4035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2023-03-06T00:16:00Z</dcterms:created>
  <dc:creator>GQI</dc:creator>
  <cp:lastModifiedBy>Administrator</cp:lastModifiedBy>
  <dcterms:modified xsi:type="dcterms:W3CDTF">2023-07-11T02:26:01Z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D27D7D1FA19B421D8AB0E133025AD5BC</vt:lpwstr>
  </property>
</Properties>
</file>