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rPr>
        <w:t>中山市鞋类</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w:t>
      </w:r>
      <w:r>
        <w:rPr>
          <w:szCs w:val="21"/>
        </w:rPr>
        <w:t>样生产者、销售者</w:t>
      </w:r>
      <w:r>
        <w:rPr>
          <w:kern w:val="0"/>
          <w:szCs w:val="32"/>
        </w:rPr>
        <w:t>的待销产品中抽取。</w:t>
      </w:r>
    </w:p>
    <w:p>
      <w:pPr>
        <w:widowControl/>
        <w:ind w:firstLine="640" w:firstLineChars="200"/>
        <w:rPr>
          <w:szCs w:val="32"/>
        </w:rPr>
      </w:pPr>
      <w:r>
        <w:rPr>
          <w:color w:val="333333"/>
          <w:kern w:val="0"/>
          <w:szCs w:val="32"/>
        </w:rPr>
        <w:t>随机数一般可使用随机数表等方法产生。</w:t>
      </w:r>
    </w:p>
    <w:p>
      <w:pPr>
        <w:pStyle w:val="2"/>
        <w:ind w:firstLine="640" w:firstLineChars="200"/>
        <w:jc w:val="both"/>
        <w:rPr>
          <w:rFonts w:hint="eastAsia" w:eastAsia="仿宋_GB2312"/>
          <w:color w:val="000000"/>
          <w:szCs w:val="32"/>
          <w:lang w:eastAsia="zh-CN"/>
        </w:rPr>
      </w:pPr>
      <w:r>
        <w:rPr>
          <w:rFonts w:hint="eastAsia" w:ascii="Times New Roman" w:hAnsi="Times New Roman" w:eastAsia="仿宋_GB2312" w:cs="Times New Roman"/>
          <w:color w:val="000000"/>
          <w:kern w:val="2"/>
          <w:sz w:val="32"/>
          <w:szCs w:val="32"/>
          <w:lang w:val="en-US" w:eastAsia="zh-CN" w:bidi="ar-SA"/>
        </w:rPr>
        <w:t>抽查产品：皮鞋、皮凉鞋、休闲鞋、旅游鞋、儿童鞋</w:t>
      </w:r>
      <w:r>
        <w:rPr>
          <w:rFonts w:hint="eastAsia" w:ascii="Times New Roman" w:eastAsia="仿宋_GB2312" w:cs="Times New Roman"/>
          <w:color w:val="000000"/>
          <w:kern w:val="2"/>
          <w:sz w:val="32"/>
          <w:szCs w:val="32"/>
          <w:lang w:val="en-US" w:eastAsia="zh-CN" w:bidi="ar-SA"/>
        </w:rPr>
        <w:t>。</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1组抽取样品3双（其中儿童鞋5双），</w:t>
      </w:r>
      <w:r>
        <w:rPr>
          <w:rFonts w:hint="eastAsia" w:cs="仿宋_GB2312"/>
          <w:color w:val="000000"/>
          <w:szCs w:val="32"/>
        </w:rPr>
        <w:t>第2组抽取样品1</w:t>
      </w:r>
      <w:r>
        <w:rPr>
          <w:rFonts w:hint="eastAsia"/>
          <w:color w:val="000000"/>
          <w:szCs w:val="32"/>
        </w:rPr>
        <w:t>双</w:t>
      </w:r>
      <w:r>
        <w:rPr>
          <w:rFonts w:hint="eastAsia" w:cs="仿宋_GB2312"/>
          <w:color w:val="000000"/>
          <w:szCs w:val="32"/>
        </w:rPr>
        <w:t>。</w:t>
      </w:r>
    </w:p>
    <w:p>
      <w:pPr>
        <w:ind w:firstLine="640" w:firstLineChars="200"/>
        <w:rPr>
          <w:rFonts w:eastAsia="黑体"/>
          <w:color w:val="000000"/>
          <w:szCs w:val="32"/>
        </w:rPr>
      </w:pPr>
      <w:r>
        <w:rPr>
          <w:rFonts w:eastAsia="黑体"/>
          <w:color w:val="000000"/>
          <w:szCs w:val="32"/>
        </w:rPr>
        <w:t>二、主要检验项目及检验项目属性划分</w:t>
      </w:r>
    </w:p>
    <w:p>
      <w:pPr>
        <w:ind w:firstLine="640" w:firstLineChars="200"/>
        <w:jc w:val="left"/>
      </w:pPr>
      <w:r>
        <w:rPr>
          <w:rFonts w:eastAsia="楷体_GB2312"/>
          <w:szCs w:val="32"/>
        </w:rPr>
        <w:t>（一）</w:t>
      </w:r>
      <w:r>
        <w:rPr>
          <w:rFonts w:hint="eastAsia" w:eastAsia="楷体_GB2312"/>
          <w:szCs w:val="32"/>
        </w:rPr>
        <w:t>皮鞋</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帮底剥离强度</w:t>
            </w:r>
          </w:p>
        </w:tc>
        <w:tc>
          <w:tcPr>
            <w:tcW w:w="1909" w:type="dxa"/>
            <w:vMerge w:val="restart"/>
            <w:shd w:val="clear" w:color="auto" w:fill="auto"/>
            <w:vAlign w:val="center"/>
          </w:tcPr>
          <w:p>
            <w:pPr>
              <w:jc w:val="center"/>
              <w:rPr>
                <w:rFonts w:eastAsia="仿宋"/>
                <w:spacing w:val="-6"/>
                <w:sz w:val="21"/>
                <w:szCs w:val="21"/>
              </w:rPr>
            </w:pPr>
            <w:r>
              <w:rPr>
                <w:rFonts w:hint="eastAsia"/>
                <w:sz w:val="24"/>
              </w:rPr>
              <w:t>QB/T 1002-2015</w:t>
            </w:r>
          </w:p>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2</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外底与外中底黏合强度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3</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鞋帮拉出强度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4</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成鞋耐折性能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5</w:t>
            </w:r>
          </w:p>
        </w:tc>
        <w:tc>
          <w:tcPr>
            <w:tcW w:w="1913" w:type="dxa"/>
            <w:shd w:val="clear" w:color="auto" w:fill="auto"/>
            <w:vAlign w:val="center"/>
          </w:tcPr>
          <w:p>
            <w:pPr>
              <w:topLinePunct/>
              <w:adjustRightInd w:val="0"/>
              <w:snapToGrid w:val="0"/>
              <w:spacing w:line="360" w:lineRule="exact"/>
              <w:ind w:left="120" w:hanging="120"/>
              <w:jc w:val="center"/>
              <w:rPr>
                <w:sz w:val="24"/>
              </w:rPr>
            </w:pPr>
            <w:r>
              <w:rPr>
                <w:rFonts w:hint="eastAsia"/>
                <w:sz w:val="24"/>
              </w:rPr>
              <w:t>外底耐磨性能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6</w:t>
            </w:r>
          </w:p>
        </w:tc>
        <w:tc>
          <w:tcPr>
            <w:tcW w:w="1913" w:type="dxa"/>
            <w:shd w:val="clear" w:color="auto" w:fill="auto"/>
            <w:vAlign w:val="center"/>
          </w:tcPr>
          <w:p>
            <w:pPr>
              <w:topLinePunct/>
              <w:adjustRightInd w:val="0"/>
              <w:snapToGrid w:val="0"/>
              <w:spacing w:line="360" w:lineRule="exact"/>
              <w:ind w:left="120" w:hanging="120"/>
              <w:jc w:val="center"/>
              <w:rPr>
                <w:sz w:val="24"/>
              </w:rPr>
            </w:pPr>
            <w:r>
              <w:rPr>
                <w:rFonts w:hint="eastAsia"/>
                <w:sz w:val="24"/>
              </w:rPr>
              <w:t>跟面耐磨性能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7</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鞋跟结合力</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8</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成型底鞋跟硬度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9</w:t>
            </w:r>
          </w:p>
        </w:tc>
        <w:tc>
          <w:tcPr>
            <w:tcW w:w="1913" w:type="dxa"/>
            <w:shd w:val="clear" w:color="auto" w:fill="auto"/>
            <w:vAlign w:val="center"/>
          </w:tcPr>
          <w:p>
            <w:pPr>
              <w:adjustRightInd w:val="0"/>
              <w:snapToGrid w:val="0"/>
              <w:spacing w:line="360" w:lineRule="exact"/>
              <w:jc w:val="center"/>
              <w:rPr>
                <w:sz w:val="24"/>
              </w:rPr>
            </w:pPr>
            <w:r>
              <w:rPr>
                <w:rFonts w:hint="eastAsia"/>
                <w:sz w:val="24"/>
              </w:rPr>
              <w:t>衬里和內垫材料的耐摩擦色牢度</w:t>
            </w:r>
          </w:p>
        </w:tc>
        <w:tc>
          <w:tcPr>
            <w:tcW w:w="1909" w:type="dxa"/>
            <w:vMerge w:val="restart"/>
            <w:shd w:val="clear" w:color="auto" w:fill="auto"/>
            <w:vAlign w:val="center"/>
          </w:tcPr>
          <w:p>
            <w:pPr>
              <w:jc w:val="center"/>
              <w:rPr>
                <w:rFonts w:eastAsia="仿宋"/>
                <w:spacing w:val="-6"/>
                <w:sz w:val="21"/>
                <w:szCs w:val="21"/>
              </w:rPr>
            </w:pPr>
            <w:r>
              <w:rPr>
                <w:rFonts w:hint="eastAsia"/>
                <w:sz w:val="24"/>
              </w:rPr>
              <w:t>QB/T 1002-2015</w:t>
            </w: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rFonts w:hint="eastAsia"/>
                <w:sz w:val="24"/>
              </w:rPr>
              <w:t>10</w:t>
            </w:r>
          </w:p>
        </w:tc>
        <w:tc>
          <w:tcPr>
            <w:tcW w:w="1913" w:type="dxa"/>
            <w:shd w:val="clear" w:color="auto" w:fill="auto"/>
            <w:vAlign w:val="center"/>
          </w:tcPr>
          <w:p>
            <w:pPr>
              <w:adjustRightInd w:val="0"/>
              <w:snapToGrid w:val="0"/>
              <w:spacing w:line="360" w:lineRule="exact"/>
              <w:jc w:val="center"/>
              <w:rPr>
                <w:sz w:val="24"/>
              </w:rPr>
            </w:pPr>
            <w:r>
              <w:rPr>
                <w:rFonts w:hint="eastAsia"/>
                <w:sz w:val="24"/>
              </w:rPr>
              <w:t>勾心纵向刚度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11</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勾心硬度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12</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勾心长度下限值</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13</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勾心弯曲性能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14</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可分解有害芳香胺染料</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pacing w:line="360" w:lineRule="exact"/>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15</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游离或可部分水解的甲醛</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pacing w:line="360" w:lineRule="exact"/>
              <w:jc w:val="center"/>
              <w:rPr>
                <w:sz w:val="24"/>
              </w:rPr>
            </w:pPr>
          </w:p>
        </w:tc>
        <w:tc>
          <w:tcPr>
            <w:tcW w:w="851" w:type="dxa"/>
            <w:shd w:val="clear" w:color="auto" w:fill="auto"/>
            <w:vAlign w:val="center"/>
          </w:tcPr>
          <w:p>
            <w:pPr>
              <w:adjustRightInd w:val="0"/>
              <w:snapToGrid w:val="0"/>
              <w:jc w:val="center"/>
              <w:rPr>
                <w:sz w:val="24"/>
              </w:rPr>
            </w:pPr>
          </w:p>
        </w:tc>
      </w:tr>
    </w:tbl>
    <w:p>
      <w:pPr>
        <w:ind w:firstLine="640" w:firstLineChars="200"/>
        <w:jc w:val="left"/>
        <w:rPr>
          <w:rFonts w:hint="eastAsia" w:eastAsia="楷体_GB2312"/>
          <w:szCs w:val="32"/>
        </w:rPr>
      </w:pPr>
    </w:p>
    <w:p>
      <w:pPr>
        <w:ind w:firstLine="640" w:firstLineChars="200"/>
        <w:jc w:val="left"/>
      </w:pPr>
      <w:r>
        <w:rPr>
          <w:rFonts w:eastAsia="楷体_GB2312"/>
          <w:szCs w:val="32"/>
        </w:rPr>
        <w:t>（</w:t>
      </w:r>
      <w:r>
        <w:rPr>
          <w:rFonts w:hint="eastAsia" w:eastAsia="楷体_GB2312"/>
          <w:szCs w:val="32"/>
        </w:rPr>
        <w:t>二</w:t>
      </w:r>
      <w:r>
        <w:rPr>
          <w:rFonts w:eastAsia="楷体_GB2312"/>
          <w:szCs w:val="32"/>
        </w:rPr>
        <w:t>）</w:t>
      </w:r>
      <w:r>
        <w:rPr>
          <w:rFonts w:hint="eastAsia" w:eastAsia="楷体_GB2312"/>
          <w:szCs w:val="32"/>
        </w:rPr>
        <w:t>皮凉鞋</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帮底剥离强度</w:t>
            </w:r>
          </w:p>
        </w:tc>
        <w:tc>
          <w:tcPr>
            <w:tcW w:w="1909" w:type="dxa"/>
            <w:vMerge w:val="restart"/>
            <w:shd w:val="clear" w:color="auto" w:fill="auto"/>
            <w:vAlign w:val="center"/>
          </w:tcPr>
          <w:p>
            <w:pPr>
              <w:jc w:val="center"/>
              <w:rPr>
                <w:rFonts w:eastAsia="仿宋"/>
                <w:spacing w:val="-6"/>
                <w:sz w:val="21"/>
                <w:szCs w:val="21"/>
              </w:rPr>
            </w:pPr>
            <w:r>
              <w:rPr>
                <w:sz w:val="24"/>
              </w:rPr>
              <w:t>GB</w:t>
            </w:r>
            <w:r>
              <w:rPr>
                <w:rFonts w:hint="eastAsia"/>
                <w:sz w:val="24"/>
              </w:rPr>
              <w:t>/</w:t>
            </w:r>
            <w:r>
              <w:rPr>
                <w:sz w:val="24"/>
              </w:rPr>
              <w:t>T 22756-2017</w:t>
            </w: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2</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外底与外中底黏合强度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3</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帮带拉出强度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4</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成鞋耐折性能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5</w:t>
            </w:r>
          </w:p>
        </w:tc>
        <w:tc>
          <w:tcPr>
            <w:tcW w:w="1913" w:type="dxa"/>
            <w:shd w:val="clear" w:color="auto" w:fill="auto"/>
            <w:vAlign w:val="center"/>
          </w:tcPr>
          <w:p>
            <w:pPr>
              <w:topLinePunct/>
              <w:adjustRightInd w:val="0"/>
              <w:snapToGrid w:val="0"/>
              <w:spacing w:line="360" w:lineRule="exact"/>
              <w:ind w:left="120" w:hanging="120"/>
              <w:jc w:val="center"/>
              <w:rPr>
                <w:sz w:val="24"/>
              </w:rPr>
            </w:pPr>
            <w:r>
              <w:rPr>
                <w:rFonts w:hint="eastAsia"/>
                <w:sz w:val="24"/>
              </w:rPr>
              <w:t>外底耐磨性能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6</w:t>
            </w:r>
          </w:p>
        </w:tc>
        <w:tc>
          <w:tcPr>
            <w:tcW w:w="1913" w:type="dxa"/>
            <w:shd w:val="clear" w:color="auto" w:fill="auto"/>
            <w:vAlign w:val="center"/>
          </w:tcPr>
          <w:p>
            <w:pPr>
              <w:topLinePunct/>
              <w:adjustRightInd w:val="0"/>
              <w:snapToGrid w:val="0"/>
              <w:spacing w:line="360" w:lineRule="exact"/>
              <w:ind w:left="120" w:hanging="120"/>
              <w:jc w:val="center"/>
              <w:rPr>
                <w:sz w:val="24"/>
              </w:rPr>
            </w:pPr>
            <w:r>
              <w:rPr>
                <w:rFonts w:hint="eastAsia"/>
                <w:sz w:val="24"/>
              </w:rPr>
              <w:t>跟面耐磨性能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7</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鞋跟结合力</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8</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成型底鞋跟硬度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9</w:t>
            </w:r>
          </w:p>
        </w:tc>
        <w:tc>
          <w:tcPr>
            <w:tcW w:w="1913" w:type="dxa"/>
            <w:shd w:val="clear" w:color="auto" w:fill="auto"/>
            <w:vAlign w:val="center"/>
          </w:tcPr>
          <w:p>
            <w:pPr>
              <w:adjustRightInd w:val="0"/>
              <w:snapToGrid w:val="0"/>
              <w:spacing w:line="360" w:lineRule="exact"/>
              <w:jc w:val="center"/>
              <w:rPr>
                <w:sz w:val="24"/>
              </w:rPr>
            </w:pPr>
            <w:r>
              <w:rPr>
                <w:rFonts w:hint="eastAsia"/>
                <w:sz w:val="24"/>
              </w:rPr>
              <w:t>衬里和內垫耐摩擦色牢度</w:t>
            </w:r>
          </w:p>
        </w:tc>
        <w:tc>
          <w:tcPr>
            <w:tcW w:w="1909" w:type="dxa"/>
            <w:vMerge w:val="restart"/>
            <w:shd w:val="clear" w:color="auto" w:fill="auto"/>
            <w:vAlign w:val="center"/>
          </w:tcPr>
          <w:p>
            <w:pPr>
              <w:jc w:val="center"/>
              <w:rPr>
                <w:rFonts w:eastAsia="仿宋"/>
                <w:spacing w:val="-6"/>
                <w:sz w:val="21"/>
                <w:szCs w:val="21"/>
              </w:rPr>
            </w:pPr>
            <w:r>
              <w:rPr>
                <w:sz w:val="24"/>
              </w:rPr>
              <w:t>GB</w:t>
            </w:r>
            <w:r>
              <w:rPr>
                <w:rFonts w:hint="eastAsia"/>
                <w:sz w:val="24"/>
              </w:rPr>
              <w:t>/</w:t>
            </w:r>
            <w:r>
              <w:rPr>
                <w:sz w:val="24"/>
              </w:rPr>
              <w:t>T 22756-2017</w:t>
            </w: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w:t>
            </w:r>
            <w:r>
              <w:rPr>
                <w:rFonts w:hint="eastAsia"/>
                <w:sz w:val="24"/>
              </w:rPr>
              <w:t>0</w:t>
            </w:r>
          </w:p>
        </w:tc>
        <w:tc>
          <w:tcPr>
            <w:tcW w:w="1913" w:type="dxa"/>
            <w:shd w:val="clear" w:color="auto" w:fill="auto"/>
            <w:vAlign w:val="center"/>
          </w:tcPr>
          <w:p>
            <w:pPr>
              <w:adjustRightInd w:val="0"/>
              <w:snapToGrid w:val="0"/>
              <w:spacing w:line="360" w:lineRule="exact"/>
              <w:jc w:val="center"/>
              <w:rPr>
                <w:sz w:val="24"/>
              </w:rPr>
            </w:pPr>
            <w:r>
              <w:rPr>
                <w:rFonts w:hint="eastAsia"/>
                <w:sz w:val="24"/>
              </w:rPr>
              <w:t>勾心纵向刚度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sz w:val="24"/>
              </w:rPr>
              <w:t>1</w:t>
            </w:r>
            <w:r>
              <w:rPr>
                <w:rFonts w:hint="eastAsia"/>
                <w:sz w:val="24"/>
              </w:rPr>
              <w:t>1</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勾心硬度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sz w:val="24"/>
              </w:rPr>
              <w:t>1</w:t>
            </w:r>
            <w:r>
              <w:rPr>
                <w:rFonts w:hint="eastAsia"/>
                <w:sz w:val="24"/>
              </w:rPr>
              <w:t>2</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勾心长度下限值</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13</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勾心弯曲性能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88" w:hRule="atLeast"/>
        </w:trPr>
        <w:tc>
          <w:tcPr>
            <w:tcW w:w="682" w:type="dxa"/>
            <w:shd w:val="clear" w:color="auto" w:fill="auto"/>
            <w:vAlign w:val="center"/>
          </w:tcPr>
          <w:p>
            <w:pPr>
              <w:jc w:val="center"/>
              <w:rPr>
                <w:sz w:val="24"/>
              </w:rPr>
            </w:pPr>
            <w:r>
              <w:rPr>
                <w:rFonts w:hint="eastAsia"/>
                <w:sz w:val="24"/>
              </w:rPr>
              <w:t>14</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可分解有害芳香胺染料</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pacing w:line="360" w:lineRule="exact"/>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15</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甲醛</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pacing w:line="360" w:lineRule="exact"/>
              <w:jc w:val="center"/>
              <w:rPr>
                <w:sz w:val="24"/>
              </w:rPr>
            </w:pPr>
          </w:p>
        </w:tc>
        <w:tc>
          <w:tcPr>
            <w:tcW w:w="851" w:type="dxa"/>
            <w:shd w:val="clear" w:color="auto" w:fill="auto"/>
            <w:vAlign w:val="center"/>
          </w:tcPr>
          <w:p>
            <w:pPr>
              <w:adjustRightInd w:val="0"/>
              <w:snapToGrid w:val="0"/>
              <w:jc w:val="center"/>
              <w:rPr>
                <w:sz w:val="24"/>
              </w:rPr>
            </w:pPr>
          </w:p>
        </w:tc>
      </w:tr>
    </w:tbl>
    <w:p>
      <w:pPr>
        <w:ind w:firstLine="640" w:firstLineChars="200"/>
        <w:jc w:val="left"/>
        <w:rPr>
          <w:rFonts w:hint="eastAsia" w:eastAsia="楷体_GB2312"/>
          <w:szCs w:val="32"/>
        </w:rPr>
      </w:pPr>
    </w:p>
    <w:p>
      <w:pPr>
        <w:ind w:firstLine="640" w:firstLineChars="200"/>
        <w:jc w:val="left"/>
      </w:pPr>
      <w:r>
        <w:rPr>
          <w:rFonts w:eastAsia="楷体_GB2312"/>
          <w:szCs w:val="32"/>
        </w:rPr>
        <w:t>（</w:t>
      </w:r>
      <w:r>
        <w:rPr>
          <w:rFonts w:hint="eastAsia" w:eastAsia="楷体_GB2312"/>
          <w:szCs w:val="32"/>
        </w:rPr>
        <w:t>三</w:t>
      </w:r>
      <w:r>
        <w:rPr>
          <w:rFonts w:eastAsia="楷体_GB2312"/>
          <w:szCs w:val="32"/>
        </w:rPr>
        <w:t>）</w:t>
      </w:r>
      <w:r>
        <w:rPr>
          <w:rFonts w:hint="eastAsia" w:eastAsia="楷体_GB2312"/>
          <w:szCs w:val="32"/>
        </w:rPr>
        <w:t>休闲鞋</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剥离强度</w:t>
            </w:r>
          </w:p>
        </w:tc>
        <w:tc>
          <w:tcPr>
            <w:tcW w:w="1909" w:type="dxa"/>
            <w:vMerge w:val="restart"/>
            <w:shd w:val="clear" w:color="auto" w:fill="auto"/>
            <w:vAlign w:val="center"/>
          </w:tcPr>
          <w:p>
            <w:pPr>
              <w:jc w:val="center"/>
              <w:rPr>
                <w:sz w:val="24"/>
              </w:rPr>
            </w:pPr>
            <w:r>
              <w:rPr>
                <w:rFonts w:hint="eastAsia"/>
                <w:sz w:val="24"/>
              </w:rPr>
              <w:t>QB/T 2955-2017</w:t>
            </w: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2</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鞋帮拉出强度</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3</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耐折性能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4</w:t>
            </w:r>
          </w:p>
        </w:tc>
        <w:tc>
          <w:tcPr>
            <w:tcW w:w="1913" w:type="dxa"/>
            <w:shd w:val="clear" w:color="auto" w:fill="auto"/>
            <w:vAlign w:val="center"/>
          </w:tcPr>
          <w:p>
            <w:pPr>
              <w:topLinePunct/>
              <w:adjustRightInd w:val="0"/>
              <w:snapToGrid w:val="0"/>
              <w:spacing w:line="360" w:lineRule="exact"/>
              <w:ind w:left="120" w:hanging="120"/>
              <w:jc w:val="center"/>
              <w:rPr>
                <w:sz w:val="24"/>
              </w:rPr>
            </w:pPr>
            <w:r>
              <w:rPr>
                <w:rFonts w:hint="eastAsia"/>
                <w:sz w:val="24"/>
              </w:rPr>
              <w:t>外底耐磨性能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5</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外底与外中底粘合强度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6</w:t>
            </w:r>
          </w:p>
        </w:tc>
        <w:tc>
          <w:tcPr>
            <w:tcW w:w="1913" w:type="dxa"/>
            <w:shd w:val="clear" w:color="auto" w:fill="auto"/>
            <w:vAlign w:val="center"/>
          </w:tcPr>
          <w:p>
            <w:pPr>
              <w:adjustRightInd w:val="0"/>
              <w:snapToGrid w:val="0"/>
              <w:spacing w:line="360" w:lineRule="exact"/>
              <w:jc w:val="center"/>
              <w:rPr>
                <w:sz w:val="24"/>
              </w:rPr>
            </w:pPr>
            <w:r>
              <w:rPr>
                <w:rFonts w:hint="eastAsia"/>
                <w:sz w:val="24"/>
              </w:rPr>
              <w:t>衬里和內垫摩擦色牢度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7</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可分解有害芳香胺</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8</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游离或可部分水解的甲醛</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bl>
    <w:p>
      <w:pPr>
        <w:ind w:firstLine="640" w:firstLineChars="200"/>
        <w:jc w:val="left"/>
        <w:rPr>
          <w:rFonts w:hint="eastAsia" w:eastAsia="楷体_GB2312"/>
          <w:szCs w:val="32"/>
        </w:rPr>
      </w:pPr>
    </w:p>
    <w:p>
      <w:pPr>
        <w:ind w:firstLine="640" w:firstLineChars="200"/>
        <w:jc w:val="left"/>
      </w:pPr>
      <w:r>
        <w:rPr>
          <w:rFonts w:eastAsia="楷体_GB2312"/>
          <w:szCs w:val="32"/>
        </w:rPr>
        <w:t>（</w:t>
      </w:r>
      <w:r>
        <w:rPr>
          <w:rFonts w:hint="eastAsia" w:eastAsia="楷体_GB2312"/>
          <w:szCs w:val="32"/>
        </w:rPr>
        <w:t>四</w:t>
      </w:r>
      <w:r>
        <w:rPr>
          <w:rFonts w:eastAsia="楷体_GB2312"/>
          <w:szCs w:val="32"/>
        </w:rPr>
        <w:t>）</w:t>
      </w:r>
      <w:r>
        <w:rPr>
          <w:rFonts w:hint="eastAsia" w:eastAsia="楷体_GB2312"/>
          <w:szCs w:val="32"/>
        </w:rPr>
        <w:t>旅游鞋</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帮底剥离强度或底墙与帮面剥离强度</w:t>
            </w:r>
          </w:p>
        </w:tc>
        <w:tc>
          <w:tcPr>
            <w:tcW w:w="1909" w:type="dxa"/>
            <w:vMerge w:val="restart"/>
            <w:shd w:val="clear" w:color="auto" w:fill="auto"/>
            <w:vAlign w:val="center"/>
          </w:tcPr>
          <w:p>
            <w:pPr>
              <w:jc w:val="center"/>
              <w:rPr>
                <w:sz w:val="24"/>
              </w:rPr>
            </w:pPr>
            <w:r>
              <w:rPr>
                <w:rFonts w:hint="eastAsia"/>
                <w:sz w:val="24"/>
              </w:rPr>
              <w:t>GB/T 15107-2013</w:t>
            </w: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2</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成鞋耐折性能</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3</w:t>
            </w:r>
          </w:p>
        </w:tc>
        <w:tc>
          <w:tcPr>
            <w:tcW w:w="1913" w:type="dxa"/>
            <w:shd w:val="clear" w:color="auto" w:fill="auto"/>
            <w:vAlign w:val="center"/>
          </w:tcPr>
          <w:p>
            <w:pPr>
              <w:topLinePunct/>
              <w:adjustRightInd w:val="0"/>
              <w:snapToGrid w:val="0"/>
              <w:spacing w:line="360" w:lineRule="exact"/>
              <w:ind w:left="120" w:hanging="120"/>
              <w:jc w:val="center"/>
              <w:rPr>
                <w:sz w:val="24"/>
              </w:rPr>
            </w:pPr>
            <w:r>
              <w:rPr>
                <w:rFonts w:hint="eastAsia"/>
                <w:sz w:val="24"/>
              </w:rPr>
              <w:t>外底耐磨性能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4</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外底与外中底粘合强度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5</w:t>
            </w:r>
          </w:p>
        </w:tc>
        <w:tc>
          <w:tcPr>
            <w:tcW w:w="1913" w:type="dxa"/>
            <w:shd w:val="clear" w:color="auto" w:fill="auto"/>
            <w:vAlign w:val="center"/>
          </w:tcPr>
          <w:p>
            <w:pPr>
              <w:adjustRightInd w:val="0"/>
              <w:snapToGrid w:val="0"/>
              <w:spacing w:line="360" w:lineRule="exact"/>
              <w:jc w:val="center"/>
              <w:rPr>
                <w:sz w:val="24"/>
              </w:rPr>
            </w:pPr>
            <w:r>
              <w:rPr>
                <w:rFonts w:hint="eastAsia"/>
                <w:sz w:val="24"/>
              </w:rPr>
              <w:t>衬里和內垫耐摩擦色牢度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pacing w:line="360" w:lineRule="exact"/>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6</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可分解有害芳香胺染料的含量</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pacing w:line="360" w:lineRule="exact"/>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7</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游离或可部分水解的甲醛含量</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pacing w:line="360" w:lineRule="exact"/>
              <w:jc w:val="center"/>
              <w:rPr>
                <w:sz w:val="24"/>
              </w:rPr>
            </w:pPr>
          </w:p>
        </w:tc>
        <w:tc>
          <w:tcPr>
            <w:tcW w:w="851" w:type="dxa"/>
            <w:shd w:val="clear" w:color="auto" w:fill="auto"/>
            <w:vAlign w:val="center"/>
          </w:tcPr>
          <w:p>
            <w:pPr>
              <w:adjustRightInd w:val="0"/>
              <w:snapToGrid w:val="0"/>
              <w:jc w:val="center"/>
              <w:rPr>
                <w:sz w:val="24"/>
              </w:rPr>
            </w:pPr>
          </w:p>
        </w:tc>
      </w:tr>
    </w:tbl>
    <w:p>
      <w:pPr>
        <w:ind w:firstLine="640" w:firstLineChars="200"/>
        <w:jc w:val="left"/>
        <w:rPr>
          <w:rFonts w:hint="eastAsia" w:eastAsia="楷体_GB2312"/>
          <w:bCs/>
          <w:kern w:val="0"/>
          <w:szCs w:val="32"/>
        </w:rPr>
      </w:pPr>
    </w:p>
    <w:p>
      <w:pPr>
        <w:ind w:firstLine="640" w:firstLineChars="200"/>
        <w:jc w:val="left"/>
        <w:rPr>
          <w:rFonts w:eastAsia="楷体_GB2312"/>
          <w:bCs/>
          <w:kern w:val="0"/>
          <w:szCs w:val="32"/>
        </w:rPr>
      </w:pPr>
      <w:r>
        <w:rPr>
          <w:rFonts w:eastAsia="楷体_GB2312"/>
          <w:bCs/>
          <w:kern w:val="0"/>
          <w:szCs w:val="32"/>
        </w:rPr>
        <w:t>（</w:t>
      </w:r>
      <w:r>
        <w:rPr>
          <w:rFonts w:hint="eastAsia" w:eastAsia="楷体_GB2312"/>
          <w:bCs/>
          <w:kern w:val="0"/>
          <w:szCs w:val="32"/>
        </w:rPr>
        <w:t>五</w:t>
      </w:r>
      <w:r>
        <w:rPr>
          <w:rFonts w:eastAsia="楷体_GB2312"/>
          <w:bCs/>
          <w:kern w:val="0"/>
          <w:szCs w:val="32"/>
        </w:rPr>
        <w:t>）</w:t>
      </w:r>
      <w:r>
        <w:rPr>
          <w:rFonts w:hint="eastAsia" w:eastAsia="楷体_GB2312"/>
          <w:bCs/>
          <w:kern w:val="0"/>
          <w:szCs w:val="32"/>
        </w:rPr>
        <w:t>儿童鞋</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物理机械安全性能</w:t>
            </w:r>
          </w:p>
        </w:tc>
        <w:tc>
          <w:tcPr>
            <w:tcW w:w="1909" w:type="dxa"/>
            <w:vMerge w:val="restart"/>
            <w:shd w:val="clear" w:color="auto" w:fill="auto"/>
            <w:vAlign w:val="center"/>
          </w:tcPr>
          <w:p>
            <w:pPr>
              <w:snapToGrid w:val="0"/>
              <w:spacing w:line="380" w:lineRule="exact"/>
              <w:jc w:val="center"/>
              <w:rPr>
                <w:rFonts w:eastAsia="仿宋"/>
                <w:spacing w:val="-6"/>
                <w:sz w:val="21"/>
                <w:szCs w:val="21"/>
              </w:rPr>
            </w:pPr>
            <w:r>
              <w:rPr>
                <w:sz w:val="24"/>
              </w:rPr>
              <w:t>GB 30585-2014</w:t>
            </w: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异味</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3</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可分解有害芳香胺染料</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sz w:val="24"/>
              </w:rPr>
              <w:t>4</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甲醛含量</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sz w:val="24"/>
              </w:rPr>
              <w:t>5</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重金属总量</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sz w:val="24"/>
              </w:rPr>
              <w:t>6</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邻苯二甲酸酯</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sz w:val="24"/>
              </w:rPr>
              <w:t>7</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橡胶部件中的</w:t>
            </w:r>
            <w:r>
              <w:rPr>
                <w:sz w:val="24"/>
              </w:rPr>
              <w:t>N-</w:t>
            </w:r>
            <w:r>
              <w:rPr>
                <w:rFonts w:hint="eastAsia"/>
                <w:sz w:val="24"/>
              </w:rPr>
              <w:t>亚硝基胺（婴幼儿鞋）</w:t>
            </w:r>
          </w:p>
        </w:tc>
        <w:tc>
          <w:tcPr>
            <w:tcW w:w="1909" w:type="dxa"/>
            <w:vMerge w:val="restart"/>
            <w:shd w:val="clear" w:color="auto" w:fill="auto"/>
            <w:vAlign w:val="center"/>
          </w:tcPr>
          <w:p>
            <w:pPr>
              <w:jc w:val="center"/>
              <w:rPr>
                <w:rFonts w:eastAsia="仿宋"/>
                <w:spacing w:val="-6"/>
                <w:sz w:val="21"/>
                <w:szCs w:val="21"/>
              </w:rPr>
            </w:pPr>
            <w:r>
              <w:rPr>
                <w:sz w:val="24"/>
              </w:rPr>
              <w:t>GB 30585-2014</w:t>
            </w: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8</w:t>
            </w:r>
          </w:p>
        </w:tc>
        <w:tc>
          <w:tcPr>
            <w:tcW w:w="1913" w:type="dxa"/>
            <w:shd w:val="clear" w:color="auto" w:fill="auto"/>
            <w:vAlign w:val="center"/>
          </w:tcPr>
          <w:p>
            <w:pPr>
              <w:topLinePunct/>
              <w:adjustRightInd w:val="0"/>
              <w:snapToGrid w:val="0"/>
              <w:spacing w:line="360" w:lineRule="exact"/>
              <w:jc w:val="center"/>
              <w:rPr>
                <w:sz w:val="24"/>
              </w:rPr>
            </w:pPr>
            <w:r>
              <w:rPr>
                <w:rFonts w:hint="eastAsia"/>
                <w:sz w:val="24"/>
              </w:rPr>
              <w:t>皮革和毛皮中的六价铬</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9</w:t>
            </w:r>
          </w:p>
        </w:tc>
        <w:tc>
          <w:tcPr>
            <w:tcW w:w="1913" w:type="dxa"/>
            <w:shd w:val="clear" w:color="auto" w:fill="auto"/>
            <w:vAlign w:val="center"/>
          </w:tcPr>
          <w:p>
            <w:pPr>
              <w:snapToGrid w:val="0"/>
              <w:spacing w:line="380" w:lineRule="exact"/>
              <w:rPr>
                <w:sz w:val="24"/>
              </w:rPr>
            </w:pPr>
            <w:r>
              <w:rPr>
                <w:rFonts w:hint="eastAsia"/>
                <w:sz w:val="24"/>
              </w:rPr>
              <w:t>富马酸二甲酯</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bl>
    <w:p>
      <w:pPr>
        <w:adjustRightInd w:val="0"/>
        <w:snapToGrid w:val="0"/>
        <w:ind w:firstLine="480" w:firstLineChars="200"/>
        <w:jc w:val="left"/>
        <w:rPr>
          <w:rFonts w:ascii="Times New Roman" w:hAnsi="Times New Roman" w:eastAsia="仿宋" w:cs="Times New Roman"/>
          <w:color w:val="000000"/>
          <w:sz w:val="24"/>
        </w:rPr>
      </w:pPr>
      <w:r>
        <w:rPr>
          <w:rFonts w:ascii="Times New Roman" w:hAnsi="Times New Roman" w:eastAsia="仿宋" w:cs="Times New Roman"/>
          <w:color w:val="000000"/>
          <w:sz w:val="24"/>
        </w:rPr>
        <w:t>注： 执行企业标准、团体标准、地方标准的产品，检验项目参照上述内容执行。</w:t>
      </w:r>
    </w:p>
    <w:p>
      <w:pPr>
        <w:adjustRightInd w:val="0"/>
        <w:snapToGrid w:val="0"/>
        <w:ind w:firstLine="480" w:firstLineChars="200"/>
        <w:jc w:val="left"/>
        <w:rPr>
          <w:rFonts w:eastAsia="仿宋"/>
          <w:color w:val="000000"/>
          <w:sz w:val="30"/>
          <w:szCs w:val="30"/>
        </w:rPr>
      </w:pPr>
      <w:r>
        <w:rPr>
          <w:rFonts w:ascii="Times New Roman" w:hAnsi="Times New Roman" w:eastAsia="仿宋" w:cs="Times New Roman"/>
          <w:color w:val="000000"/>
          <w:sz w:val="24"/>
        </w:rPr>
        <w:t>凡是注日期的文件，其随后所有的修改单（不包括勘误的内容）或修订版不适用于本细则</w:t>
      </w:r>
      <w:bookmarkStart w:id="0" w:name="_GoBack"/>
      <w:bookmarkEnd w:id="0"/>
      <w:r>
        <w:rPr>
          <w:rFonts w:ascii="Times New Roman" w:hAnsi="Times New Roman" w:eastAsia="仿宋" w:cs="Times New Roman"/>
          <w:color w:val="000000"/>
          <w:sz w:val="24"/>
        </w:rPr>
        <w:t>。凡是不注日期的文件，其最新版本适用于本细则。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spacing w:line="590" w:lineRule="exact"/>
        <w:ind w:firstLine="640" w:firstLineChars="200"/>
        <w:rPr>
          <w:szCs w:val="32"/>
        </w:rPr>
      </w:pPr>
      <w:r>
        <w:rPr>
          <w:rFonts w:hint="eastAsia"/>
          <w:szCs w:val="32"/>
        </w:rPr>
        <w:t>QB/T 1002-2015《皮鞋》</w:t>
      </w:r>
    </w:p>
    <w:p>
      <w:pPr>
        <w:spacing w:line="590" w:lineRule="exact"/>
        <w:ind w:firstLine="640" w:firstLineChars="200"/>
        <w:rPr>
          <w:rFonts w:cs="仿宋_GB2312"/>
          <w:szCs w:val="32"/>
        </w:rPr>
      </w:pPr>
      <w:r>
        <w:rPr>
          <w:rFonts w:hint="eastAsia" w:cs="仿宋_GB2312"/>
          <w:szCs w:val="32"/>
        </w:rPr>
        <w:t>GB/T 22756-2017《皮凉鞋》</w:t>
      </w:r>
    </w:p>
    <w:p>
      <w:pPr>
        <w:spacing w:line="590" w:lineRule="exact"/>
        <w:ind w:firstLine="640" w:firstLineChars="200"/>
        <w:rPr>
          <w:rFonts w:cs="仿宋_GB2312"/>
          <w:szCs w:val="32"/>
        </w:rPr>
      </w:pPr>
      <w:r>
        <w:rPr>
          <w:rFonts w:hint="eastAsia" w:cs="仿宋_GB2312"/>
          <w:szCs w:val="32"/>
        </w:rPr>
        <w:t>QB/T 2955-2017《休闲鞋》</w:t>
      </w:r>
    </w:p>
    <w:p>
      <w:pPr>
        <w:spacing w:line="590" w:lineRule="exact"/>
        <w:ind w:firstLine="640" w:firstLineChars="200"/>
        <w:rPr>
          <w:rFonts w:cs="仿宋_GB2312"/>
          <w:szCs w:val="32"/>
        </w:rPr>
      </w:pPr>
      <w:r>
        <w:rPr>
          <w:rFonts w:hint="eastAsia" w:cs="仿宋_GB2312"/>
          <w:szCs w:val="32"/>
        </w:rPr>
        <w:t>GB/T 15107-2013《旅游鞋》</w:t>
      </w:r>
    </w:p>
    <w:p>
      <w:pPr>
        <w:spacing w:line="590" w:lineRule="exact"/>
        <w:ind w:firstLine="640" w:firstLineChars="200"/>
        <w:rPr>
          <w:rFonts w:cs="仿宋_GB2312"/>
          <w:kern w:val="0"/>
          <w:szCs w:val="32"/>
        </w:rPr>
      </w:pPr>
      <w:r>
        <w:rPr>
          <w:rFonts w:hint="eastAsia" w:cs="仿宋_GB2312"/>
          <w:color w:val="000000"/>
        </w:rPr>
        <w:t>GB 30585-2014《儿童鞋安全技术规范》</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snapToGrid w:val="0"/>
        <w:spacing w:line="600" w:lineRule="exact"/>
        <w:ind w:firstLine="640" w:firstLineChars="200"/>
        <w:rPr>
          <w:rFonts w:ascii="仿宋_GB2312" w:hAnsi="仿宋_GB2312" w:cs="仿宋_GB2312"/>
          <w:szCs w:val="32"/>
        </w:rPr>
      </w:pPr>
      <w:r>
        <w:rPr>
          <w:rFonts w:hint="eastAsia" w:ascii="仿宋_GB2312" w:hAnsi="仿宋_GB2312" w:cs="仿宋_GB2312"/>
          <w:szCs w:val="32"/>
        </w:rPr>
        <w:t>经检验，检验项目全部合格，判定为抽取的样本所检项目未检出不合格；检验项目中任一项或一项以上不合格，判定为被抽查产品不合格。</w:t>
      </w:r>
    </w:p>
    <w:p>
      <w:pPr>
        <w:pStyle w:val="8"/>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当被检样品明示的质量要求优于监督抽查实施细则中依据的标准要求时，应按被检样品明示的质量要求判定；</w:t>
      </w:r>
    </w:p>
    <w:p>
      <w:pPr>
        <w:pStyle w:val="8"/>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当被检样品明示的质量要求劣于或不包含监督抽查实施细则中依据的强制性标准要求时，应按照强制性标准要求判定；</w:t>
      </w:r>
    </w:p>
    <w:p>
      <w:pPr>
        <w:pStyle w:val="8"/>
        <w:widowControl w:val="0"/>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pStyle w:val="8"/>
        <w:widowControl w:val="0"/>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当被检样品明示的质量要求不包含监督抽查实施细则中依据的推荐性标准要求时，该指标不参与判定，但应在检验报告中作出说明；</w:t>
      </w:r>
    </w:p>
    <w:p>
      <w:pPr>
        <w:pStyle w:val="8"/>
        <w:widowControl w:val="0"/>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当被检样品未能提供有效的企业标准时，按相关国家或行业标准进行判定；</w:t>
      </w:r>
    </w:p>
    <w:p>
      <w:pPr>
        <w:pStyle w:val="8"/>
        <w:widowControl w:val="0"/>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pStyle w:val="8"/>
        <w:widowControl w:val="0"/>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按照产品质量相关法律法规的规定判定。</w:t>
      </w:r>
    </w:p>
    <w:p>
      <w:pPr>
        <w:pStyle w:val="8"/>
        <w:tabs>
          <w:tab w:val="clear" w:pos="4201"/>
          <w:tab w:val="clear" w:pos="9298"/>
        </w:tabs>
        <w:spacing w:line="600" w:lineRule="exact"/>
        <w:ind w:firstLine="640"/>
        <w:rPr>
          <w:rFonts w:eastAsia="方正小标宋简体" w:cs="方正小标宋简体"/>
          <w:sz w:val="44"/>
          <w:szCs w:val="44"/>
        </w:rPr>
      </w:pPr>
      <w:r>
        <w:rPr>
          <w:rFonts w:hint="eastAsia" w:ascii="仿宋_GB2312" w:hAnsi="仿宋_GB2312" w:eastAsia="仿宋_GB2312" w:cs="仿宋_GB2312"/>
          <w:sz w:val="32"/>
          <w:szCs w:val="32"/>
        </w:rPr>
        <w:t>检验中发现因样品失效或者其他原因致使检验无法进行的，检验人员应如实记录，并提供相关证明材料，报送组织监督抽查的市场监管部门。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F76AF"/>
    <w:rsid w:val="00022EBF"/>
    <w:rsid w:val="00034D8C"/>
    <w:rsid w:val="000818C6"/>
    <w:rsid w:val="000A14BC"/>
    <w:rsid w:val="000A40B0"/>
    <w:rsid w:val="000A6F8B"/>
    <w:rsid w:val="000B0C04"/>
    <w:rsid w:val="000B166A"/>
    <w:rsid w:val="000C7161"/>
    <w:rsid w:val="00107945"/>
    <w:rsid w:val="00174A08"/>
    <w:rsid w:val="00184D11"/>
    <w:rsid w:val="0018725D"/>
    <w:rsid w:val="001C5E1C"/>
    <w:rsid w:val="002018AB"/>
    <w:rsid w:val="00263BA4"/>
    <w:rsid w:val="002A6E2E"/>
    <w:rsid w:val="002B55FD"/>
    <w:rsid w:val="002E3DA3"/>
    <w:rsid w:val="002F76AF"/>
    <w:rsid w:val="00306B42"/>
    <w:rsid w:val="00316370"/>
    <w:rsid w:val="003536E0"/>
    <w:rsid w:val="003C0684"/>
    <w:rsid w:val="003C4466"/>
    <w:rsid w:val="003C53A3"/>
    <w:rsid w:val="003E7176"/>
    <w:rsid w:val="003F0F20"/>
    <w:rsid w:val="003F48E9"/>
    <w:rsid w:val="00422509"/>
    <w:rsid w:val="00460DD5"/>
    <w:rsid w:val="00465E3C"/>
    <w:rsid w:val="00467A03"/>
    <w:rsid w:val="00476464"/>
    <w:rsid w:val="00480BFD"/>
    <w:rsid w:val="0048735A"/>
    <w:rsid w:val="004B3672"/>
    <w:rsid w:val="004B606C"/>
    <w:rsid w:val="004C380C"/>
    <w:rsid w:val="004D14FD"/>
    <w:rsid w:val="004E09FF"/>
    <w:rsid w:val="004F6FAB"/>
    <w:rsid w:val="00530081"/>
    <w:rsid w:val="00535A67"/>
    <w:rsid w:val="00540723"/>
    <w:rsid w:val="00561C57"/>
    <w:rsid w:val="0058550D"/>
    <w:rsid w:val="005975F9"/>
    <w:rsid w:val="005A05CC"/>
    <w:rsid w:val="005A2490"/>
    <w:rsid w:val="005B1279"/>
    <w:rsid w:val="005B7A06"/>
    <w:rsid w:val="005C4731"/>
    <w:rsid w:val="005C543E"/>
    <w:rsid w:val="005E6358"/>
    <w:rsid w:val="005E7A94"/>
    <w:rsid w:val="0061530D"/>
    <w:rsid w:val="0062100B"/>
    <w:rsid w:val="00641834"/>
    <w:rsid w:val="00664AD9"/>
    <w:rsid w:val="006D23DF"/>
    <w:rsid w:val="006E15C6"/>
    <w:rsid w:val="006F34BE"/>
    <w:rsid w:val="006F4510"/>
    <w:rsid w:val="0070156D"/>
    <w:rsid w:val="007177D7"/>
    <w:rsid w:val="00740A11"/>
    <w:rsid w:val="007510EB"/>
    <w:rsid w:val="00762AF1"/>
    <w:rsid w:val="007A726E"/>
    <w:rsid w:val="007B71C2"/>
    <w:rsid w:val="00804B8A"/>
    <w:rsid w:val="00804CBA"/>
    <w:rsid w:val="00807DBD"/>
    <w:rsid w:val="00812F01"/>
    <w:rsid w:val="0086379E"/>
    <w:rsid w:val="008711D2"/>
    <w:rsid w:val="0087733B"/>
    <w:rsid w:val="00893C7F"/>
    <w:rsid w:val="008D1188"/>
    <w:rsid w:val="008D7BF7"/>
    <w:rsid w:val="009129D0"/>
    <w:rsid w:val="00916066"/>
    <w:rsid w:val="00943F2F"/>
    <w:rsid w:val="0098725B"/>
    <w:rsid w:val="009C587A"/>
    <w:rsid w:val="00A075E8"/>
    <w:rsid w:val="00A44E58"/>
    <w:rsid w:val="00A57989"/>
    <w:rsid w:val="00A614F8"/>
    <w:rsid w:val="00B1647C"/>
    <w:rsid w:val="00BD200B"/>
    <w:rsid w:val="00C203FA"/>
    <w:rsid w:val="00C443CF"/>
    <w:rsid w:val="00C519BF"/>
    <w:rsid w:val="00C52754"/>
    <w:rsid w:val="00C965AC"/>
    <w:rsid w:val="00CA4837"/>
    <w:rsid w:val="00CB7B50"/>
    <w:rsid w:val="00CF22BF"/>
    <w:rsid w:val="00D24256"/>
    <w:rsid w:val="00D62B22"/>
    <w:rsid w:val="00D752E2"/>
    <w:rsid w:val="00E16E26"/>
    <w:rsid w:val="00E20723"/>
    <w:rsid w:val="00E50549"/>
    <w:rsid w:val="00E65C90"/>
    <w:rsid w:val="00E72F1B"/>
    <w:rsid w:val="00EA65C1"/>
    <w:rsid w:val="00F031F1"/>
    <w:rsid w:val="00F36515"/>
    <w:rsid w:val="00F63576"/>
    <w:rsid w:val="00F70028"/>
    <w:rsid w:val="00F95545"/>
    <w:rsid w:val="00FC70BF"/>
    <w:rsid w:val="00FD654C"/>
    <w:rsid w:val="00FE1514"/>
    <w:rsid w:val="00FF594C"/>
    <w:rsid w:val="017D01D8"/>
    <w:rsid w:val="12DB41E1"/>
    <w:rsid w:val="1438074F"/>
    <w:rsid w:val="15631434"/>
    <w:rsid w:val="17751B8E"/>
    <w:rsid w:val="38700B55"/>
    <w:rsid w:val="3F1B0BAF"/>
    <w:rsid w:val="4EB50C3A"/>
    <w:rsid w:val="50A7688F"/>
    <w:rsid w:val="52260B3F"/>
    <w:rsid w:val="54D07982"/>
    <w:rsid w:val="6525617E"/>
    <w:rsid w:val="669F1C94"/>
    <w:rsid w:val="67753A8D"/>
    <w:rsid w:val="6FDB4A8B"/>
    <w:rsid w:val="719A2C70"/>
    <w:rsid w:val="74E470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Char"/>
    <w:basedOn w:val="7"/>
    <w:link w:val="5"/>
    <w:qFormat/>
    <w:uiPriority w:val="99"/>
    <w:rPr>
      <w:rFonts w:ascii="Times New Roman" w:hAnsi="Times New Roman" w:eastAsia="仿宋_GB2312" w:cs="Times New Roman"/>
      <w:kern w:val="2"/>
      <w:sz w:val="18"/>
      <w:szCs w:val="18"/>
    </w:rPr>
  </w:style>
  <w:style w:type="character" w:customStyle="1" w:styleId="10">
    <w:name w:val="纯文本 Char"/>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6</Pages>
  <Words>348</Words>
  <Characters>1987</Characters>
  <Lines>16</Lines>
  <Paragraphs>4</Paragraphs>
  <TotalTime>1</TotalTime>
  <ScaleCrop>false</ScaleCrop>
  <LinksUpToDate>false</LinksUpToDate>
  <CharactersWithSpaces>2331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2024-07-05T02:23:50Z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