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D66" w:rsidRDefault="005D25C5">
      <w:pPr>
        <w:spacing w:line="590" w:lineRule="exact"/>
        <w:jc w:val="center"/>
        <w:rPr>
          <w:rFonts w:eastAsia="方正小标宋简体"/>
          <w:spacing w:val="-1"/>
          <w:position w:val="1"/>
          <w:sz w:val="44"/>
          <w:szCs w:val="44"/>
        </w:rPr>
      </w:pPr>
      <w:r>
        <w:rPr>
          <w:rFonts w:eastAsia="方正小标宋简体" w:hint="eastAsia"/>
          <w:spacing w:val="-1"/>
          <w:position w:val="1"/>
          <w:sz w:val="44"/>
          <w:szCs w:val="44"/>
        </w:rPr>
        <w:t>中山市</w:t>
      </w:r>
      <w:r w:rsidR="006635D6">
        <w:rPr>
          <w:rFonts w:eastAsia="方正小标宋简体" w:hint="eastAsia"/>
          <w:spacing w:val="-1"/>
          <w:position w:val="1"/>
          <w:sz w:val="44"/>
          <w:szCs w:val="44"/>
        </w:rPr>
        <w:t>车用乙醇汽油</w:t>
      </w:r>
      <w:r>
        <w:rPr>
          <w:rFonts w:eastAsia="方正小标宋简体"/>
          <w:spacing w:val="-1"/>
          <w:position w:val="1"/>
          <w:sz w:val="44"/>
          <w:szCs w:val="44"/>
        </w:rPr>
        <w:t>产品质量</w:t>
      </w:r>
    </w:p>
    <w:p w:rsidR="00C31D66" w:rsidRDefault="005D25C5">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rsidR="00C31D66" w:rsidRDefault="00C31D66">
      <w:pPr>
        <w:pStyle w:val="1"/>
        <w:jc w:val="both"/>
        <w:rPr>
          <w:rFonts w:ascii="Times New Roman"/>
        </w:rPr>
      </w:pPr>
    </w:p>
    <w:p w:rsidR="00C31D66" w:rsidRDefault="005D25C5">
      <w:pPr>
        <w:ind w:firstLineChars="200" w:firstLine="640"/>
        <w:rPr>
          <w:rFonts w:eastAsia="黑体"/>
          <w:color w:val="000000"/>
          <w:szCs w:val="32"/>
        </w:rPr>
      </w:pPr>
      <w:r>
        <w:rPr>
          <w:rFonts w:eastAsia="黑体"/>
          <w:color w:val="000000"/>
          <w:szCs w:val="32"/>
        </w:rPr>
        <w:t>一、抽样方法</w:t>
      </w:r>
    </w:p>
    <w:p w:rsidR="00C31D66" w:rsidRDefault="005D25C5">
      <w:pPr>
        <w:widowControl/>
        <w:ind w:firstLineChars="200" w:firstLine="640"/>
        <w:rPr>
          <w:szCs w:val="32"/>
        </w:rPr>
      </w:pPr>
      <w:r>
        <w:rPr>
          <w:kern w:val="0"/>
          <w:szCs w:val="32"/>
        </w:rPr>
        <w:t>以随机抽样的方式在被抽</w:t>
      </w:r>
      <w:r>
        <w:rPr>
          <w:color w:val="000000"/>
          <w:szCs w:val="21"/>
        </w:rPr>
        <w:t>样生产者、销售者</w:t>
      </w:r>
      <w:r>
        <w:rPr>
          <w:kern w:val="0"/>
          <w:szCs w:val="32"/>
        </w:rPr>
        <w:t>的待销产品中抽取。</w:t>
      </w:r>
    </w:p>
    <w:p w:rsidR="00C31D66" w:rsidRDefault="005D25C5">
      <w:pPr>
        <w:widowControl/>
        <w:ind w:firstLineChars="200" w:firstLine="640"/>
        <w:rPr>
          <w:szCs w:val="32"/>
        </w:rPr>
      </w:pPr>
      <w:r>
        <w:rPr>
          <w:color w:val="333333"/>
          <w:kern w:val="0"/>
          <w:szCs w:val="32"/>
        </w:rPr>
        <w:t>随机数一般可使用随机数表等方法产生。</w:t>
      </w:r>
    </w:p>
    <w:p w:rsidR="00C31D66" w:rsidRDefault="005D25C5">
      <w:pPr>
        <w:ind w:firstLineChars="200" w:firstLine="640"/>
        <w:rPr>
          <w:rFonts w:cs="仿宋_GB2312"/>
          <w:color w:val="000000"/>
          <w:szCs w:val="32"/>
        </w:rPr>
      </w:pPr>
      <w:r>
        <w:rPr>
          <w:color w:val="000000"/>
          <w:szCs w:val="32"/>
        </w:rPr>
        <w:t>抽查数量：每款产品抽取</w:t>
      </w:r>
      <w:r>
        <w:rPr>
          <w:color w:val="000000"/>
          <w:szCs w:val="32"/>
        </w:rPr>
        <w:t>2</w:t>
      </w:r>
      <w:r>
        <w:rPr>
          <w:color w:val="000000"/>
          <w:szCs w:val="32"/>
        </w:rPr>
        <w:t>组样本，第</w:t>
      </w:r>
      <w:r>
        <w:rPr>
          <w:color w:val="000000"/>
          <w:szCs w:val="32"/>
        </w:rPr>
        <w:t>1</w:t>
      </w:r>
      <w:r>
        <w:rPr>
          <w:color w:val="000000"/>
          <w:szCs w:val="32"/>
        </w:rPr>
        <w:t>组用于检验，第</w:t>
      </w:r>
      <w:r>
        <w:rPr>
          <w:color w:val="000000"/>
          <w:szCs w:val="32"/>
        </w:rPr>
        <w:t>2</w:t>
      </w:r>
      <w:r>
        <w:rPr>
          <w:color w:val="000000"/>
          <w:szCs w:val="32"/>
        </w:rPr>
        <w:t>组用于备样。其中第</w:t>
      </w:r>
      <w:r>
        <w:rPr>
          <w:rFonts w:hint="eastAsia"/>
          <w:color w:val="000000"/>
          <w:szCs w:val="32"/>
        </w:rPr>
        <w:t>1</w:t>
      </w:r>
      <w:r>
        <w:rPr>
          <w:rFonts w:hint="eastAsia"/>
          <w:color w:val="000000"/>
          <w:szCs w:val="32"/>
        </w:rPr>
        <w:t>组抽取样品</w:t>
      </w:r>
      <w:r>
        <w:rPr>
          <w:rFonts w:hint="eastAsia"/>
          <w:color w:val="000000"/>
          <w:szCs w:val="32"/>
        </w:rPr>
        <w:t>2</w:t>
      </w:r>
      <w:r>
        <w:rPr>
          <w:rFonts w:hint="eastAsia"/>
          <w:color w:val="000000"/>
          <w:szCs w:val="32"/>
        </w:rPr>
        <w:t>个，</w:t>
      </w:r>
      <w:r>
        <w:rPr>
          <w:rFonts w:cs="仿宋_GB2312" w:hint="eastAsia"/>
          <w:color w:val="000000"/>
          <w:szCs w:val="32"/>
        </w:rPr>
        <w:t>第</w:t>
      </w:r>
      <w:r>
        <w:rPr>
          <w:rFonts w:cs="仿宋_GB2312" w:hint="eastAsia"/>
          <w:color w:val="000000"/>
          <w:szCs w:val="32"/>
        </w:rPr>
        <w:t>2</w:t>
      </w:r>
      <w:r>
        <w:rPr>
          <w:rFonts w:cs="仿宋_GB2312" w:hint="eastAsia"/>
          <w:color w:val="000000"/>
          <w:szCs w:val="32"/>
        </w:rPr>
        <w:t>组抽取样品</w:t>
      </w:r>
      <w:r>
        <w:rPr>
          <w:rFonts w:cs="仿宋_GB2312" w:hint="eastAsia"/>
          <w:color w:val="000000"/>
          <w:szCs w:val="32"/>
        </w:rPr>
        <w:t>1</w:t>
      </w:r>
      <w:r>
        <w:rPr>
          <w:rFonts w:cs="仿宋_GB2312" w:hint="eastAsia"/>
          <w:color w:val="000000"/>
          <w:szCs w:val="32"/>
        </w:rPr>
        <w:t>个。</w:t>
      </w:r>
      <w:r w:rsidR="006635D6">
        <w:rPr>
          <w:rFonts w:cs="仿宋_GB2312" w:hint="eastAsia"/>
          <w:color w:val="000000"/>
          <w:szCs w:val="32"/>
        </w:rPr>
        <w:t>每组不小于</w:t>
      </w:r>
      <w:r w:rsidR="006635D6">
        <w:rPr>
          <w:rFonts w:cs="仿宋_GB2312" w:hint="eastAsia"/>
          <w:color w:val="000000"/>
          <w:szCs w:val="32"/>
        </w:rPr>
        <w:t>2L</w:t>
      </w:r>
      <w:r w:rsidR="006635D6">
        <w:rPr>
          <w:rFonts w:cs="仿宋_GB2312" w:hint="eastAsia"/>
          <w:color w:val="000000"/>
          <w:szCs w:val="32"/>
        </w:rPr>
        <w:t>。</w:t>
      </w:r>
    </w:p>
    <w:p w:rsidR="00C31D66" w:rsidRDefault="005D25C5">
      <w:pPr>
        <w:ind w:firstLineChars="200" w:firstLine="640"/>
        <w:rPr>
          <w:rFonts w:eastAsia="黑体"/>
          <w:color w:val="000000"/>
          <w:szCs w:val="32"/>
        </w:rPr>
      </w:pPr>
      <w:r>
        <w:rPr>
          <w:rFonts w:eastAsia="黑体"/>
          <w:color w:val="000000"/>
          <w:szCs w:val="32"/>
        </w:rPr>
        <w:t>二、主要检验项目及检验项目属性划分</w:t>
      </w:r>
    </w:p>
    <w:tbl>
      <w:tblPr>
        <w:tblW w:w="8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1913"/>
        <w:gridCol w:w="1909"/>
        <w:gridCol w:w="746"/>
        <w:gridCol w:w="709"/>
        <w:gridCol w:w="850"/>
        <w:gridCol w:w="709"/>
        <w:gridCol w:w="851"/>
      </w:tblGrid>
      <w:tr w:rsidR="00C31D66">
        <w:trPr>
          <w:trHeight w:val="719"/>
          <w:tblHeader/>
        </w:trPr>
        <w:tc>
          <w:tcPr>
            <w:tcW w:w="682" w:type="dxa"/>
            <w:shd w:val="clear" w:color="auto" w:fill="auto"/>
            <w:vAlign w:val="center"/>
          </w:tcPr>
          <w:p w:rsidR="00C31D66" w:rsidRDefault="005D25C5">
            <w:pPr>
              <w:adjustRightInd w:val="0"/>
              <w:snapToGrid w:val="0"/>
              <w:jc w:val="center"/>
              <w:rPr>
                <w:b/>
                <w:bCs/>
                <w:sz w:val="24"/>
              </w:rPr>
            </w:pPr>
            <w:r>
              <w:rPr>
                <w:b/>
                <w:bCs/>
                <w:sz w:val="24"/>
              </w:rPr>
              <w:t>序号</w:t>
            </w:r>
          </w:p>
        </w:tc>
        <w:tc>
          <w:tcPr>
            <w:tcW w:w="1913" w:type="dxa"/>
            <w:shd w:val="clear" w:color="auto" w:fill="auto"/>
            <w:vAlign w:val="center"/>
          </w:tcPr>
          <w:p w:rsidR="00C31D66" w:rsidRDefault="005D25C5">
            <w:pPr>
              <w:adjustRightInd w:val="0"/>
              <w:snapToGrid w:val="0"/>
              <w:jc w:val="center"/>
              <w:rPr>
                <w:b/>
                <w:bCs/>
                <w:sz w:val="24"/>
              </w:rPr>
            </w:pPr>
            <w:r>
              <w:rPr>
                <w:b/>
                <w:bCs/>
                <w:sz w:val="24"/>
              </w:rPr>
              <w:t>检验项目</w:t>
            </w:r>
          </w:p>
        </w:tc>
        <w:tc>
          <w:tcPr>
            <w:tcW w:w="1909" w:type="dxa"/>
            <w:shd w:val="clear" w:color="auto" w:fill="auto"/>
            <w:vAlign w:val="center"/>
          </w:tcPr>
          <w:p w:rsidR="00C31D66" w:rsidRDefault="005D25C5">
            <w:pPr>
              <w:adjustRightInd w:val="0"/>
              <w:snapToGrid w:val="0"/>
              <w:jc w:val="center"/>
              <w:rPr>
                <w:b/>
                <w:bCs/>
                <w:sz w:val="24"/>
              </w:rPr>
            </w:pPr>
            <w:r>
              <w:rPr>
                <w:b/>
                <w:bCs/>
                <w:sz w:val="24"/>
              </w:rPr>
              <w:t>检验方法</w:t>
            </w:r>
          </w:p>
        </w:tc>
        <w:tc>
          <w:tcPr>
            <w:tcW w:w="746" w:type="dxa"/>
            <w:shd w:val="clear" w:color="auto" w:fill="auto"/>
            <w:vAlign w:val="center"/>
          </w:tcPr>
          <w:p w:rsidR="00C31D66" w:rsidRDefault="005D25C5">
            <w:pPr>
              <w:adjustRightInd w:val="0"/>
              <w:snapToGrid w:val="0"/>
              <w:jc w:val="center"/>
              <w:rPr>
                <w:b/>
                <w:bCs/>
                <w:sz w:val="24"/>
              </w:rPr>
            </w:pPr>
            <w:r>
              <w:rPr>
                <w:b/>
                <w:bCs/>
                <w:sz w:val="24"/>
              </w:rPr>
              <w:t>强制性</w:t>
            </w:r>
          </w:p>
        </w:tc>
        <w:tc>
          <w:tcPr>
            <w:tcW w:w="709" w:type="dxa"/>
            <w:shd w:val="clear" w:color="auto" w:fill="auto"/>
            <w:vAlign w:val="center"/>
          </w:tcPr>
          <w:p w:rsidR="00C31D66" w:rsidRDefault="005D25C5">
            <w:pPr>
              <w:adjustRightInd w:val="0"/>
              <w:snapToGrid w:val="0"/>
              <w:jc w:val="center"/>
              <w:rPr>
                <w:b/>
                <w:bCs/>
                <w:sz w:val="24"/>
              </w:rPr>
            </w:pPr>
            <w:r>
              <w:rPr>
                <w:b/>
                <w:bCs/>
                <w:sz w:val="24"/>
              </w:rPr>
              <w:t>非强制性</w:t>
            </w:r>
          </w:p>
        </w:tc>
        <w:tc>
          <w:tcPr>
            <w:tcW w:w="850" w:type="dxa"/>
            <w:shd w:val="clear" w:color="auto" w:fill="auto"/>
            <w:vAlign w:val="center"/>
          </w:tcPr>
          <w:p w:rsidR="00C31D66" w:rsidRDefault="005D25C5">
            <w:pPr>
              <w:adjustRightInd w:val="0"/>
              <w:snapToGrid w:val="0"/>
              <w:jc w:val="center"/>
              <w:rPr>
                <w:b/>
                <w:bCs/>
                <w:sz w:val="24"/>
              </w:rPr>
            </w:pPr>
            <w:r>
              <w:rPr>
                <w:b/>
                <w:bCs/>
                <w:sz w:val="24"/>
              </w:rPr>
              <w:t>重要项</w:t>
            </w:r>
          </w:p>
        </w:tc>
        <w:tc>
          <w:tcPr>
            <w:tcW w:w="709" w:type="dxa"/>
            <w:shd w:val="clear" w:color="auto" w:fill="auto"/>
            <w:vAlign w:val="center"/>
          </w:tcPr>
          <w:p w:rsidR="00C31D66" w:rsidRDefault="005D25C5">
            <w:pPr>
              <w:adjustRightInd w:val="0"/>
              <w:snapToGrid w:val="0"/>
              <w:jc w:val="center"/>
              <w:rPr>
                <w:b/>
                <w:bCs/>
                <w:sz w:val="24"/>
              </w:rPr>
            </w:pPr>
            <w:r>
              <w:rPr>
                <w:b/>
                <w:bCs/>
                <w:sz w:val="24"/>
              </w:rPr>
              <w:t>较重要项</w:t>
            </w:r>
          </w:p>
        </w:tc>
        <w:tc>
          <w:tcPr>
            <w:tcW w:w="851" w:type="dxa"/>
            <w:shd w:val="clear" w:color="auto" w:fill="auto"/>
            <w:vAlign w:val="center"/>
          </w:tcPr>
          <w:p w:rsidR="00C31D66" w:rsidRDefault="005D25C5">
            <w:pPr>
              <w:adjustRightInd w:val="0"/>
              <w:snapToGrid w:val="0"/>
              <w:jc w:val="center"/>
              <w:rPr>
                <w:b/>
                <w:bCs/>
                <w:sz w:val="24"/>
              </w:rPr>
            </w:pPr>
            <w:r>
              <w:rPr>
                <w:b/>
                <w:bCs/>
                <w:sz w:val="24"/>
              </w:rPr>
              <w:t>次要项</w:t>
            </w:r>
          </w:p>
        </w:tc>
      </w:tr>
      <w:tr w:rsidR="0050212A">
        <w:trPr>
          <w:trHeight w:val="680"/>
        </w:trPr>
        <w:tc>
          <w:tcPr>
            <w:tcW w:w="682" w:type="dxa"/>
            <w:shd w:val="clear" w:color="auto" w:fill="auto"/>
            <w:vAlign w:val="center"/>
          </w:tcPr>
          <w:p w:rsidR="0050212A" w:rsidRDefault="0050212A">
            <w:pPr>
              <w:jc w:val="center"/>
              <w:rPr>
                <w:sz w:val="24"/>
              </w:rPr>
            </w:pPr>
            <w:r>
              <w:rPr>
                <w:sz w:val="24"/>
              </w:rPr>
              <w:t>1</w:t>
            </w:r>
          </w:p>
        </w:tc>
        <w:tc>
          <w:tcPr>
            <w:tcW w:w="1913" w:type="dxa"/>
            <w:shd w:val="clear" w:color="auto" w:fill="auto"/>
            <w:vAlign w:val="center"/>
          </w:tcPr>
          <w:p w:rsidR="0050212A" w:rsidRDefault="0050212A">
            <w:pPr>
              <w:jc w:val="center"/>
              <w:rPr>
                <w:rFonts w:ascii="宋体" w:eastAsia="宋体" w:hAnsi="宋体" w:cs="宋体"/>
                <w:color w:val="000000"/>
                <w:sz w:val="21"/>
                <w:szCs w:val="21"/>
              </w:rPr>
            </w:pPr>
            <w:r>
              <w:rPr>
                <w:rFonts w:hint="eastAsia"/>
                <w:color w:val="000000"/>
                <w:sz w:val="21"/>
                <w:szCs w:val="21"/>
              </w:rPr>
              <w:t>研究法辛烷值（</w:t>
            </w:r>
            <w:r>
              <w:rPr>
                <w:rFonts w:hint="eastAsia"/>
                <w:color w:val="000000"/>
                <w:sz w:val="21"/>
                <w:szCs w:val="21"/>
              </w:rPr>
              <w:t>RON)</w:t>
            </w:r>
          </w:p>
        </w:tc>
        <w:tc>
          <w:tcPr>
            <w:tcW w:w="1909" w:type="dxa"/>
            <w:vMerge w:val="restart"/>
            <w:shd w:val="clear" w:color="auto" w:fill="auto"/>
            <w:vAlign w:val="center"/>
          </w:tcPr>
          <w:p w:rsidR="0050212A" w:rsidRDefault="0050212A" w:rsidP="006635D6">
            <w:pPr>
              <w:jc w:val="center"/>
              <w:rPr>
                <w:rFonts w:eastAsia="仿宋"/>
                <w:spacing w:val="-6"/>
                <w:sz w:val="21"/>
                <w:szCs w:val="21"/>
              </w:rPr>
            </w:pPr>
            <w:r w:rsidRPr="006635D6">
              <w:rPr>
                <w:rFonts w:hint="eastAsia"/>
                <w:sz w:val="24"/>
              </w:rPr>
              <w:t>GB 18351-2017</w:t>
            </w:r>
          </w:p>
        </w:tc>
        <w:tc>
          <w:tcPr>
            <w:tcW w:w="746" w:type="dxa"/>
            <w:shd w:val="clear" w:color="auto" w:fill="auto"/>
            <w:vAlign w:val="center"/>
          </w:tcPr>
          <w:p w:rsidR="0050212A" w:rsidRDefault="0050212A">
            <w:pPr>
              <w:adjustRightInd w:val="0"/>
              <w:snapToGrid w:val="0"/>
              <w:jc w:val="center"/>
              <w:rPr>
                <w:sz w:val="24"/>
              </w:rPr>
            </w:pPr>
            <w:r>
              <w:rPr>
                <w:sz w:val="24"/>
              </w:rPr>
              <w:t>●</w:t>
            </w:r>
          </w:p>
        </w:tc>
        <w:tc>
          <w:tcPr>
            <w:tcW w:w="709" w:type="dxa"/>
            <w:shd w:val="clear" w:color="auto" w:fill="auto"/>
            <w:vAlign w:val="center"/>
          </w:tcPr>
          <w:p w:rsidR="0050212A" w:rsidRDefault="0050212A">
            <w:pPr>
              <w:adjustRightInd w:val="0"/>
              <w:snapToGrid w:val="0"/>
              <w:jc w:val="center"/>
              <w:rPr>
                <w:sz w:val="24"/>
              </w:rPr>
            </w:pPr>
          </w:p>
        </w:tc>
        <w:tc>
          <w:tcPr>
            <w:tcW w:w="850" w:type="dxa"/>
            <w:shd w:val="clear" w:color="auto" w:fill="auto"/>
            <w:vAlign w:val="center"/>
          </w:tcPr>
          <w:p w:rsidR="0050212A" w:rsidRDefault="0050212A" w:rsidP="00B065AE">
            <w:pPr>
              <w:adjustRightInd w:val="0"/>
              <w:snapToGrid w:val="0"/>
              <w:jc w:val="center"/>
              <w:rPr>
                <w:sz w:val="24"/>
              </w:rPr>
            </w:pPr>
            <w:r>
              <w:rPr>
                <w:sz w:val="24"/>
              </w:rPr>
              <w:t>●</w:t>
            </w:r>
          </w:p>
        </w:tc>
        <w:tc>
          <w:tcPr>
            <w:tcW w:w="709" w:type="dxa"/>
            <w:shd w:val="clear" w:color="auto" w:fill="auto"/>
            <w:vAlign w:val="center"/>
          </w:tcPr>
          <w:p w:rsidR="0050212A" w:rsidRDefault="0050212A">
            <w:pPr>
              <w:adjustRightInd w:val="0"/>
              <w:snapToGrid w:val="0"/>
              <w:jc w:val="center"/>
              <w:rPr>
                <w:sz w:val="24"/>
              </w:rPr>
            </w:pPr>
          </w:p>
        </w:tc>
        <w:tc>
          <w:tcPr>
            <w:tcW w:w="851" w:type="dxa"/>
            <w:shd w:val="clear" w:color="auto" w:fill="auto"/>
            <w:vAlign w:val="center"/>
          </w:tcPr>
          <w:p w:rsidR="0050212A" w:rsidRDefault="0050212A">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2</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铅含量</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rsidP="00B065AE">
            <w:pPr>
              <w:adjustRightInd w:val="0"/>
              <w:snapToGrid w:val="0"/>
              <w:jc w:val="center"/>
              <w:rPr>
                <w:sz w:val="24"/>
              </w:rPr>
            </w:pPr>
          </w:p>
        </w:tc>
        <w:tc>
          <w:tcPr>
            <w:tcW w:w="709" w:type="dxa"/>
            <w:shd w:val="clear" w:color="auto" w:fill="auto"/>
            <w:vAlign w:val="center"/>
          </w:tcPr>
          <w:p w:rsidR="00B57B87" w:rsidRDefault="00B57B87" w:rsidP="00ED4E91">
            <w:pPr>
              <w:adjustRightInd w:val="0"/>
              <w:snapToGrid w:val="0"/>
              <w:jc w:val="center"/>
              <w:rPr>
                <w:sz w:val="24"/>
              </w:rPr>
            </w:pPr>
            <w:r>
              <w:rPr>
                <w:sz w:val="24"/>
              </w:rPr>
              <w:t>●</w:t>
            </w: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3</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馏程</w:t>
            </w:r>
            <w:r>
              <w:rPr>
                <w:rFonts w:hint="eastAsia"/>
                <w:color w:val="000000"/>
                <w:sz w:val="21"/>
                <w:szCs w:val="21"/>
              </w:rPr>
              <w:t xml:space="preserve"> </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rsidP="00B065AE">
            <w:pPr>
              <w:adjustRightInd w:val="0"/>
              <w:snapToGrid w:val="0"/>
              <w:jc w:val="center"/>
              <w:rPr>
                <w:sz w:val="24"/>
              </w:rPr>
            </w:pPr>
          </w:p>
        </w:tc>
        <w:tc>
          <w:tcPr>
            <w:tcW w:w="709" w:type="dxa"/>
            <w:shd w:val="clear" w:color="auto" w:fill="auto"/>
            <w:vAlign w:val="center"/>
          </w:tcPr>
          <w:p w:rsidR="00B57B87" w:rsidRDefault="00B57B87" w:rsidP="00ED4E91">
            <w:pPr>
              <w:adjustRightInd w:val="0"/>
              <w:snapToGrid w:val="0"/>
              <w:jc w:val="center"/>
              <w:rPr>
                <w:sz w:val="24"/>
              </w:rPr>
            </w:pPr>
            <w:r>
              <w:rPr>
                <w:sz w:val="24"/>
              </w:rPr>
              <w:t>●</w:t>
            </w: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4</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proofErr w:type="gramStart"/>
            <w:r>
              <w:rPr>
                <w:rFonts w:hint="eastAsia"/>
                <w:color w:val="000000"/>
                <w:sz w:val="21"/>
                <w:szCs w:val="21"/>
              </w:rPr>
              <w:t>蒸气</w:t>
            </w:r>
            <w:proofErr w:type="gramEnd"/>
            <w:r>
              <w:rPr>
                <w:rFonts w:hint="eastAsia"/>
                <w:color w:val="000000"/>
                <w:sz w:val="21"/>
                <w:szCs w:val="21"/>
              </w:rPr>
              <w:t>压</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rsidP="00B065AE">
            <w:pPr>
              <w:adjustRightInd w:val="0"/>
              <w:snapToGrid w:val="0"/>
              <w:jc w:val="center"/>
              <w:rPr>
                <w:sz w:val="24"/>
              </w:rPr>
            </w:pPr>
            <w:r>
              <w:rPr>
                <w:sz w:val="24"/>
              </w:rPr>
              <w:t>●</w:t>
            </w:r>
          </w:p>
        </w:tc>
        <w:tc>
          <w:tcPr>
            <w:tcW w:w="709" w:type="dxa"/>
            <w:shd w:val="clear" w:color="auto" w:fill="auto"/>
            <w:vAlign w:val="center"/>
          </w:tcPr>
          <w:p w:rsidR="00B57B87" w:rsidRDefault="00B57B87" w:rsidP="00ED4E91">
            <w:pPr>
              <w:adjustRightInd w:val="0"/>
              <w:snapToGrid w:val="0"/>
              <w:jc w:val="center"/>
              <w:rPr>
                <w:sz w:val="24"/>
              </w:rPr>
            </w:pP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5</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未洗胶质含量</w:t>
            </w:r>
            <w:r>
              <w:rPr>
                <w:rFonts w:hint="eastAsia"/>
                <w:color w:val="000000"/>
                <w:sz w:val="21"/>
                <w:szCs w:val="21"/>
              </w:rPr>
              <w:t xml:space="preserve"> </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rsidP="00B065AE">
            <w:pPr>
              <w:adjustRightInd w:val="0"/>
              <w:snapToGrid w:val="0"/>
              <w:jc w:val="center"/>
              <w:rPr>
                <w:sz w:val="24"/>
              </w:rPr>
            </w:pPr>
          </w:p>
        </w:tc>
        <w:tc>
          <w:tcPr>
            <w:tcW w:w="709" w:type="dxa"/>
            <w:shd w:val="clear" w:color="auto" w:fill="auto"/>
            <w:vAlign w:val="center"/>
          </w:tcPr>
          <w:p w:rsidR="00B57B87" w:rsidRDefault="00B57B87">
            <w:pPr>
              <w:adjustRightInd w:val="0"/>
              <w:snapToGrid w:val="0"/>
              <w:jc w:val="center"/>
              <w:rPr>
                <w:sz w:val="24"/>
              </w:rPr>
            </w:pPr>
            <w:r>
              <w:rPr>
                <w:sz w:val="24"/>
              </w:rPr>
              <w:t>●</w:t>
            </w: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6</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溶剂洗胶质含量</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rsidP="00B065AE">
            <w:pPr>
              <w:adjustRightInd w:val="0"/>
              <w:snapToGrid w:val="0"/>
              <w:jc w:val="center"/>
              <w:rPr>
                <w:sz w:val="24"/>
              </w:rPr>
            </w:pPr>
          </w:p>
        </w:tc>
        <w:tc>
          <w:tcPr>
            <w:tcW w:w="709" w:type="dxa"/>
            <w:shd w:val="clear" w:color="auto" w:fill="auto"/>
            <w:vAlign w:val="center"/>
          </w:tcPr>
          <w:p w:rsidR="00B57B87" w:rsidRDefault="00B57B87" w:rsidP="00ED4E91">
            <w:pPr>
              <w:adjustRightInd w:val="0"/>
              <w:snapToGrid w:val="0"/>
              <w:jc w:val="center"/>
              <w:rPr>
                <w:sz w:val="24"/>
              </w:rPr>
            </w:pPr>
            <w:r>
              <w:rPr>
                <w:sz w:val="24"/>
              </w:rPr>
              <w:t>●</w:t>
            </w: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7</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诱导期</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rsidP="00B065AE">
            <w:pPr>
              <w:adjustRightInd w:val="0"/>
              <w:snapToGrid w:val="0"/>
              <w:jc w:val="center"/>
              <w:rPr>
                <w:sz w:val="24"/>
              </w:rPr>
            </w:pPr>
          </w:p>
        </w:tc>
        <w:tc>
          <w:tcPr>
            <w:tcW w:w="709" w:type="dxa"/>
            <w:shd w:val="clear" w:color="auto" w:fill="auto"/>
            <w:vAlign w:val="center"/>
          </w:tcPr>
          <w:p w:rsidR="00B57B87" w:rsidRDefault="00B57B87" w:rsidP="00ED4E91">
            <w:pPr>
              <w:adjustRightInd w:val="0"/>
              <w:snapToGrid w:val="0"/>
              <w:jc w:val="center"/>
              <w:rPr>
                <w:sz w:val="24"/>
              </w:rPr>
            </w:pPr>
            <w:r>
              <w:rPr>
                <w:sz w:val="24"/>
              </w:rPr>
              <w:t>●</w:t>
            </w: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8</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硫含量</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rsidP="00B065AE">
            <w:pPr>
              <w:adjustRightInd w:val="0"/>
              <w:snapToGrid w:val="0"/>
              <w:jc w:val="center"/>
              <w:rPr>
                <w:sz w:val="24"/>
              </w:rPr>
            </w:pPr>
            <w:r>
              <w:rPr>
                <w:sz w:val="24"/>
              </w:rPr>
              <w:t>●</w:t>
            </w:r>
          </w:p>
        </w:tc>
        <w:tc>
          <w:tcPr>
            <w:tcW w:w="709" w:type="dxa"/>
            <w:shd w:val="clear" w:color="auto" w:fill="auto"/>
            <w:vAlign w:val="center"/>
          </w:tcPr>
          <w:p w:rsidR="00B57B87" w:rsidRDefault="00B57B87" w:rsidP="00ED4E91">
            <w:pPr>
              <w:adjustRightInd w:val="0"/>
              <w:snapToGrid w:val="0"/>
              <w:jc w:val="center"/>
              <w:rPr>
                <w:sz w:val="24"/>
              </w:rPr>
            </w:pPr>
          </w:p>
        </w:tc>
        <w:tc>
          <w:tcPr>
            <w:tcW w:w="851" w:type="dxa"/>
            <w:shd w:val="clear" w:color="auto" w:fill="auto"/>
            <w:vAlign w:val="center"/>
          </w:tcPr>
          <w:p w:rsidR="00B57B87" w:rsidRDefault="00B57B87">
            <w:pPr>
              <w:adjustRightInd w:val="0"/>
              <w:snapToGrid w:val="0"/>
              <w:jc w:val="center"/>
              <w:rPr>
                <w:sz w:val="24"/>
              </w:rPr>
            </w:pPr>
          </w:p>
        </w:tc>
      </w:tr>
      <w:tr w:rsidR="00B57B87">
        <w:trPr>
          <w:trHeight w:val="719"/>
        </w:trPr>
        <w:tc>
          <w:tcPr>
            <w:tcW w:w="682" w:type="dxa"/>
            <w:shd w:val="clear" w:color="auto" w:fill="auto"/>
            <w:vAlign w:val="center"/>
          </w:tcPr>
          <w:p w:rsidR="00B57B87" w:rsidRDefault="00B57B87">
            <w:pPr>
              <w:jc w:val="center"/>
              <w:rPr>
                <w:sz w:val="24"/>
              </w:rPr>
            </w:pPr>
            <w:r>
              <w:rPr>
                <w:sz w:val="24"/>
              </w:rPr>
              <w:t>9</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硫醇（博士试验）</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pPr>
              <w:adjustRightInd w:val="0"/>
              <w:snapToGrid w:val="0"/>
              <w:jc w:val="center"/>
              <w:rPr>
                <w:sz w:val="24"/>
              </w:rPr>
            </w:pPr>
          </w:p>
        </w:tc>
        <w:tc>
          <w:tcPr>
            <w:tcW w:w="709" w:type="dxa"/>
            <w:shd w:val="clear" w:color="auto" w:fill="auto"/>
            <w:vAlign w:val="center"/>
          </w:tcPr>
          <w:p w:rsidR="00B57B87" w:rsidRDefault="00B57B87">
            <w:pPr>
              <w:adjustRightInd w:val="0"/>
              <w:snapToGrid w:val="0"/>
              <w:jc w:val="center"/>
              <w:rPr>
                <w:sz w:val="24"/>
              </w:rPr>
            </w:pPr>
            <w:r>
              <w:rPr>
                <w:sz w:val="24"/>
              </w:rPr>
              <w:t>●</w:t>
            </w: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lastRenderedPageBreak/>
              <w:t>10</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铜片腐蚀</w:t>
            </w:r>
            <w:r>
              <w:rPr>
                <w:rFonts w:hint="eastAsia"/>
                <w:color w:val="000000"/>
                <w:sz w:val="21"/>
                <w:szCs w:val="21"/>
              </w:rPr>
              <w:t xml:space="preserve"> </w:t>
            </w:r>
          </w:p>
        </w:tc>
        <w:tc>
          <w:tcPr>
            <w:tcW w:w="1909" w:type="dxa"/>
            <w:vMerge w:val="restart"/>
            <w:shd w:val="clear" w:color="auto" w:fill="auto"/>
            <w:vAlign w:val="center"/>
          </w:tcPr>
          <w:p w:rsidR="00B57B87" w:rsidRDefault="00B57B87">
            <w:pPr>
              <w:jc w:val="center"/>
              <w:rPr>
                <w:rFonts w:eastAsia="仿宋"/>
                <w:spacing w:val="-6"/>
                <w:sz w:val="21"/>
                <w:szCs w:val="21"/>
              </w:rPr>
            </w:pPr>
            <w:r w:rsidRPr="006635D6">
              <w:rPr>
                <w:rFonts w:hint="eastAsia"/>
                <w:sz w:val="24"/>
              </w:rPr>
              <w:t>GB 18351-2017</w:t>
            </w: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pPr>
              <w:adjustRightInd w:val="0"/>
              <w:snapToGrid w:val="0"/>
              <w:jc w:val="center"/>
              <w:rPr>
                <w:sz w:val="24"/>
              </w:rPr>
            </w:pPr>
          </w:p>
        </w:tc>
        <w:tc>
          <w:tcPr>
            <w:tcW w:w="709" w:type="dxa"/>
            <w:shd w:val="clear" w:color="auto" w:fill="auto"/>
            <w:vAlign w:val="center"/>
          </w:tcPr>
          <w:p w:rsidR="00B57B87" w:rsidRDefault="00B57B87" w:rsidP="00ED4E91">
            <w:pPr>
              <w:adjustRightInd w:val="0"/>
              <w:snapToGrid w:val="0"/>
              <w:jc w:val="center"/>
              <w:rPr>
                <w:sz w:val="24"/>
              </w:rPr>
            </w:pPr>
            <w:r>
              <w:rPr>
                <w:sz w:val="24"/>
              </w:rPr>
              <w:t>●</w:t>
            </w: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11</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水溶性酸或碱</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pPr>
              <w:adjustRightInd w:val="0"/>
              <w:snapToGrid w:val="0"/>
              <w:jc w:val="center"/>
              <w:rPr>
                <w:sz w:val="24"/>
              </w:rPr>
            </w:pPr>
          </w:p>
        </w:tc>
        <w:tc>
          <w:tcPr>
            <w:tcW w:w="709" w:type="dxa"/>
            <w:shd w:val="clear" w:color="auto" w:fill="auto"/>
            <w:vAlign w:val="center"/>
          </w:tcPr>
          <w:p w:rsidR="00B57B87" w:rsidRDefault="00B57B87" w:rsidP="00ED4E91">
            <w:pPr>
              <w:adjustRightInd w:val="0"/>
              <w:snapToGrid w:val="0"/>
              <w:jc w:val="center"/>
              <w:rPr>
                <w:sz w:val="24"/>
              </w:rPr>
            </w:pPr>
            <w:r>
              <w:rPr>
                <w:sz w:val="24"/>
              </w:rPr>
              <w:t>●</w:t>
            </w: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12</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机械杂质</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pPr>
              <w:adjustRightInd w:val="0"/>
              <w:snapToGrid w:val="0"/>
              <w:jc w:val="center"/>
              <w:rPr>
                <w:sz w:val="24"/>
              </w:rPr>
            </w:pPr>
          </w:p>
        </w:tc>
        <w:tc>
          <w:tcPr>
            <w:tcW w:w="709" w:type="dxa"/>
            <w:shd w:val="clear" w:color="auto" w:fill="auto"/>
            <w:vAlign w:val="center"/>
          </w:tcPr>
          <w:p w:rsidR="00B57B87" w:rsidRDefault="00B57B87" w:rsidP="00ED4E91">
            <w:pPr>
              <w:adjustRightInd w:val="0"/>
              <w:snapToGrid w:val="0"/>
              <w:jc w:val="center"/>
              <w:rPr>
                <w:sz w:val="24"/>
              </w:rPr>
            </w:pPr>
            <w:r>
              <w:rPr>
                <w:sz w:val="24"/>
              </w:rPr>
              <w:t>●</w:t>
            </w: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13</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水分</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pPr>
              <w:adjustRightInd w:val="0"/>
              <w:snapToGrid w:val="0"/>
              <w:jc w:val="center"/>
              <w:rPr>
                <w:sz w:val="24"/>
              </w:rPr>
            </w:pPr>
          </w:p>
        </w:tc>
        <w:tc>
          <w:tcPr>
            <w:tcW w:w="709" w:type="dxa"/>
            <w:shd w:val="clear" w:color="auto" w:fill="auto"/>
            <w:vAlign w:val="center"/>
          </w:tcPr>
          <w:p w:rsidR="00B57B87" w:rsidRDefault="00B57B87">
            <w:pPr>
              <w:adjustRightInd w:val="0"/>
              <w:snapToGrid w:val="0"/>
              <w:jc w:val="center"/>
              <w:rPr>
                <w:sz w:val="24"/>
              </w:rPr>
            </w:pPr>
            <w:r>
              <w:rPr>
                <w:sz w:val="24"/>
              </w:rPr>
              <w:t>●</w:t>
            </w: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14</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乙醇含量</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15</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锰含量</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pPr>
              <w:adjustRightInd w:val="0"/>
              <w:snapToGrid w:val="0"/>
              <w:jc w:val="center"/>
              <w:rPr>
                <w:sz w:val="24"/>
              </w:rPr>
            </w:pPr>
          </w:p>
        </w:tc>
        <w:tc>
          <w:tcPr>
            <w:tcW w:w="709" w:type="dxa"/>
            <w:shd w:val="clear" w:color="auto" w:fill="auto"/>
            <w:vAlign w:val="center"/>
          </w:tcPr>
          <w:p w:rsidR="00B57B87" w:rsidRDefault="00B57B87" w:rsidP="00ED4E91">
            <w:pPr>
              <w:adjustRightInd w:val="0"/>
              <w:snapToGrid w:val="0"/>
              <w:jc w:val="center"/>
              <w:rPr>
                <w:sz w:val="24"/>
              </w:rPr>
            </w:pPr>
            <w:r>
              <w:rPr>
                <w:sz w:val="24"/>
              </w:rPr>
              <w:t>●</w:t>
            </w:r>
          </w:p>
        </w:tc>
        <w:tc>
          <w:tcPr>
            <w:tcW w:w="851" w:type="dxa"/>
            <w:shd w:val="clear" w:color="auto" w:fill="auto"/>
            <w:vAlign w:val="center"/>
          </w:tcPr>
          <w:p w:rsidR="00B57B87" w:rsidRDefault="00B57B87">
            <w:pPr>
              <w:adjustRightInd w:val="0"/>
              <w:snapToGrid w:val="0"/>
              <w:jc w:val="center"/>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16</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铁含量</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pPr>
              <w:adjustRightInd w:val="0"/>
              <w:snapToGrid w:val="0"/>
              <w:jc w:val="center"/>
              <w:rPr>
                <w:sz w:val="24"/>
              </w:rPr>
            </w:pPr>
          </w:p>
        </w:tc>
        <w:tc>
          <w:tcPr>
            <w:tcW w:w="709" w:type="dxa"/>
            <w:shd w:val="clear" w:color="auto" w:fill="auto"/>
            <w:vAlign w:val="center"/>
          </w:tcPr>
          <w:p w:rsidR="00B57B87" w:rsidRDefault="00B57B87" w:rsidP="00ED4E91">
            <w:pPr>
              <w:adjustRightInd w:val="0"/>
              <w:snapToGrid w:val="0"/>
              <w:jc w:val="center"/>
              <w:rPr>
                <w:sz w:val="24"/>
              </w:rPr>
            </w:pPr>
            <w:r>
              <w:rPr>
                <w:sz w:val="24"/>
              </w:rPr>
              <w:t>●</w:t>
            </w:r>
          </w:p>
        </w:tc>
        <w:tc>
          <w:tcPr>
            <w:tcW w:w="851" w:type="dxa"/>
            <w:shd w:val="clear" w:color="auto" w:fill="auto"/>
            <w:vAlign w:val="center"/>
          </w:tcPr>
          <w:p w:rsidR="00B57B87" w:rsidRDefault="00B57B87">
            <w:pPr>
              <w:keepNext/>
              <w:keepLines/>
              <w:tabs>
                <w:tab w:val="left" w:pos="420"/>
              </w:tabs>
              <w:jc w:val="center"/>
              <w:outlineLvl w:val="2"/>
              <w:rPr>
                <w:sz w:val="24"/>
              </w:rPr>
            </w:pPr>
          </w:p>
        </w:tc>
      </w:tr>
      <w:tr w:rsidR="00B57B87">
        <w:trPr>
          <w:trHeight w:val="680"/>
        </w:trPr>
        <w:tc>
          <w:tcPr>
            <w:tcW w:w="682" w:type="dxa"/>
            <w:shd w:val="clear" w:color="auto" w:fill="auto"/>
            <w:vAlign w:val="center"/>
          </w:tcPr>
          <w:p w:rsidR="00B57B87" w:rsidRDefault="00B57B87">
            <w:pPr>
              <w:jc w:val="center"/>
              <w:rPr>
                <w:sz w:val="24"/>
              </w:rPr>
            </w:pPr>
            <w:r>
              <w:rPr>
                <w:sz w:val="24"/>
              </w:rPr>
              <w:t>17</w:t>
            </w:r>
          </w:p>
        </w:tc>
        <w:tc>
          <w:tcPr>
            <w:tcW w:w="1913" w:type="dxa"/>
            <w:shd w:val="clear" w:color="auto" w:fill="auto"/>
            <w:vAlign w:val="center"/>
          </w:tcPr>
          <w:p w:rsidR="00B57B87" w:rsidRDefault="00B57B87">
            <w:pPr>
              <w:jc w:val="center"/>
              <w:rPr>
                <w:rFonts w:ascii="宋体" w:eastAsia="宋体" w:hAnsi="宋体" w:cs="宋体"/>
                <w:color w:val="000000"/>
                <w:sz w:val="21"/>
                <w:szCs w:val="21"/>
              </w:rPr>
            </w:pPr>
            <w:r>
              <w:rPr>
                <w:rFonts w:hint="eastAsia"/>
                <w:color w:val="000000"/>
                <w:sz w:val="21"/>
                <w:szCs w:val="21"/>
              </w:rPr>
              <w:t>密度</w:t>
            </w:r>
            <w:r>
              <w:rPr>
                <w:rFonts w:hint="eastAsia"/>
                <w:color w:val="000000"/>
                <w:sz w:val="21"/>
                <w:szCs w:val="21"/>
              </w:rPr>
              <w:t xml:space="preserve"> </w:t>
            </w:r>
          </w:p>
        </w:tc>
        <w:tc>
          <w:tcPr>
            <w:tcW w:w="1909" w:type="dxa"/>
            <w:vMerge/>
            <w:shd w:val="clear" w:color="auto" w:fill="auto"/>
            <w:vAlign w:val="center"/>
          </w:tcPr>
          <w:p w:rsidR="00B57B87" w:rsidRDefault="00B57B87">
            <w:pPr>
              <w:jc w:val="center"/>
              <w:rPr>
                <w:rFonts w:eastAsia="仿宋"/>
                <w:spacing w:val="-6"/>
                <w:sz w:val="21"/>
                <w:szCs w:val="21"/>
              </w:rPr>
            </w:pPr>
          </w:p>
        </w:tc>
        <w:tc>
          <w:tcPr>
            <w:tcW w:w="746" w:type="dxa"/>
            <w:shd w:val="clear" w:color="auto" w:fill="auto"/>
            <w:vAlign w:val="center"/>
          </w:tcPr>
          <w:p w:rsidR="00B57B87" w:rsidRDefault="00B57B87">
            <w:pPr>
              <w:adjustRightInd w:val="0"/>
              <w:snapToGrid w:val="0"/>
              <w:jc w:val="center"/>
              <w:rPr>
                <w:sz w:val="24"/>
              </w:rPr>
            </w:pPr>
            <w:r>
              <w:rPr>
                <w:sz w:val="24"/>
              </w:rPr>
              <w:t>●</w:t>
            </w:r>
          </w:p>
        </w:tc>
        <w:tc>
          <w:tcPr>
            <w:tcW w:w="709" w:type="dxa"/>
            <w:shd w:val="clear" w:color="auto" w:fill="auto"/>
            <w:vAlign w:val="center"/>
          </w:tcPr>
          <w:p w:rsidR="00B57B87" w:rsidRDefault="00B57B87">
            <w:pPr>
              <w:adjustRightInd w:val="0"/>
              <w:snapToGrid w:val="0"/>
              <w:jc w:val="center"/>
              <w:rPr>
                <w:sz w:val="24"/>
              </w:rPr>
            </w:pPr>
          </w:p>
        </w:tc>
        <w:tc>
          <w:tcPr>
            <w:tcW w:w="850" w:type="dxa"/>
            <w:shd w:val="clear" w:color="auto" w:fill="auto"/>
            <w:vAlign w:val="center"/>
          </w:tcPr>
          <w:p w:rsidR="00B57B87" w:rsidRDefault="00B57B87">
            <w:pPr>
              <w:adjustRightInd w:val="0"/>
              <w:snapToGrid w:val="0"/>
              <w:jc w:val="center"/>
              <w:rPr>
                <w:sz w:val="24"/>
              </w:rPr>
            </w:pPr>
          </w:p>
        </w:tc>
        <w:tc>
          <w:tcPr>
            <w:tcW w:w="709" w:type="dxa"/>
            <w:shd w:val="clear" w:color="auto" w:fill="auto"/>
            <w:vAlign w:val="center"/>
          </w:tcPr>
          <w:p w:rsidR="00B57B87" w:rsidRDefault="00B57B87" w:rsidP="00ED4E91">
            <w:pPr>
              <w:adjustRightInd w:val="0"/>
              <w:snapToGrid w:val="0"/>
              <w:jc w:val="center"/>
              <w:rPr>
                <w:sz w:val="24"/>
              </w:rPr>
            </w:pPr>
            <w:r>
              <w:rPr>
                <w:sz w:val="24"/>
              </w:rPr>
              <w:t>●</w:t>
            </w:r>
          </w:p>
        </w:tc>
        <w:tc>
          <w:tcPr>
            <w:tcW w:w="851" w:type="dxa"/>
            <w:shd w:val="clear" w:color="auto" w:fill="auto"/>
            <w:vAlign w:val="center"/>
          </w:tcPr>
          <w:p w:rsidR="00B57B87" w:rsidRDefault="00B57B87">
            <w:pPr>
              <w:keepNext/>
              <w:keepLines/>
              <w:tabs>
                <w:tab w:val="left" w:pos="420"/>
              </w:tabs>
              <w:jc w:val="center"/>
              <w:outlineLvl w:val="2"/>
              <w:rPr>
                <w:sz w:val="24"/>
              </w:rPr>
            </w:pPr>
          </w:p>
        </w:tc>
      </w:tr>
    </w:tbl>
    <w:p w:rsidR="00C31D66" w:rsidRDefault="005D25C5" w:rsidP="00B57B87">
      <w:pPr>
        <w:adjustRightInd w:val="0"/>
        <w:snapToGrid w:val="0"/>
        <w:spacing w:line="360" w:lineRule="auto"/>
        <w:ind w:firstLineChars="200" w:firstLine="600"/>
        <w:jc w:val="left"/>
        <w:rPr>
          <w:rFonts w:eastAsia="仿宋"/>
          <w:color w:val="000000"/>
          <w:sz w:val="30"/>
          <w:szCs w:val="30"/>
        </w:rPr>
      </w:pPr>
      <w:r>
        <w:rPr>
          <w:rFonts w:eastAsia="仿宋"/>
          <w:color w:val="000000"/>
          <w:sz w:val="30"/>
          <w:szCs w:val="30"/>
        </w:rPr>
        <w:t>注：</w:t>
      </w:r>
      <w:r>
        <w:rPr>
          <w:rFonts w:eastAsia="仿宋"/>
          <w:color w:val="000000"/>
          <w:sz w:val="30"/>
          <w:szCs w:val="30"/>
        </w:rPr>
        <w:t xml:space="preserve"> </w:t>
      </w:r>
      <w:r>
        <w:rPr>
          <w:rFonts w:eastAsia="仿宋"/>
          <w:color w:val="000000"/>
          <w:sz w:val="30"/>
          <w:szCs w:val="30"/>
        </w:rPr>
        <w:t>执行企业标准、团体标准、地方标准的产品，检验项目参照上述内容执行。</w:t>
      </w:r>
    </w:p>
    <w:p w:rsidR="00C31D66" w:rsidRDefault="005D25C5" w:rsidP="00B57B87">
      <w:pPr>
        <w:adjustRightInd w:val="0"/>
        <w:snapToGrid w:val="0"/>
        <w:spacing w:line="360" w:lineRule="auto"/>
        <w:ind w:firstLineChars="200" w:firstLine="600"/>
        <w:jc w:val="left"/>
        <w:rPr>
          <w:rFonts w:eastAsia="仿宋"/>
          <w:color w:val="000000"/>
          <w:sz w:val="30"/>
          <w:szCs w:val="30"/>
        </w:rPr>
      </w:pPr>
      <w:r>
        <w:rPr>
          <w:rFonts w:eastAsia="仿宋"/>
          <w:color w:val="000000"/>
          <w:sz w:val="30"/>
          <w:szCs w:val="30"/>
        </w:rPr>
        <w:t>凡是注日期的文件，其随后所有的修改单（不包括勘误的内容）或修订版不适用于本细则。凡是不注日期的文件，其最新版本适用于本细则。</w:t>
      </w:r>
    </w:p>
    <w:p w:rsidR="00C31D66" w:rsidRDefault="005D25C5">
      <w:pPr>
        <w:ind w:firstLineChars="200" w:firstLine="640"/>
        <w:rPr>
          <w:rFonts w:eastAsia="黑体"/>
          <w:szCs w:val="32"/>
        </w:rPr>
      </w:pPr>
      <w:r>
        <w:rPr>
          <w:rFonts w:eastAsia="黑体"/>
          <w:szCs w:val="32"/>
        </w:rPr>
        <w:t>三、判定规则</w:t>
      </w:r>
    </w:p>
    <w:p w:rsidR="00C31D66" w:rsidRDefault="005D25C5">
      <w:pPr>
        <w:ind w:firstLineChars="200" w:firstLine="640"/>
        <w:jc w:val="left"/>
        <w:rPr>
          <w:rFonts w:eastAsia="楷体_GB2312"/>
          <w:kern w:val="0"/>
          <w:szCs w:val="32"/>
        </w:rPr>
      </w:pPr>
      <w:r>
        <w:rPr>
          <w:rFonts w:eastAsia="楷体_GB2312"/>
          <w:szCs w:val="32"/>
        </w:rPr>
        <w:t>（一）</w:t>
      </w:r>
      <w:r>
        <w:rPr>
          <w:rFonts w:eastAsia="楷体_GB2312"/>
          <w:kern w:val="0"/>
          <w:szCs w:val="32"/>
        </w:rPr>
        <w:t>依据标准</w:t>
      </w:r>
    </w:p>
    <w:p w:rsidR="00C31D66" w:rsidRPr="00B57B87" w:rsidRDefault="00B57B87" w:rsidP="00B57B87">
      <w:pPr>
        <w:spacing w:line="360" w:lineRule="auto"/>
        <w:ind w:firstLineChars="200" w:firstLine="640"/>
      </w:pPr>
      <w:bookmarkStart w:id="0" w:name="_GoBack"/>
      <w:bookmarkEnd w:id="0"/>
      <w:r w:rsidRPr="00B57B87">
        <w:rPr>
          <w:rFonts w:hint="eastAsia"/>
        </w:rPr>
        <w:t>GB 18351-2017</w:t>
      </w:r>
      <w:r w:rsidR="005D25C5" w:rsidRPr="00B57B87">
        <w:rPr>
          <w:rFonts w:hint="eastAsia"/>
        </w:rPr>
        <w:t>《</w:t>
      </w:r>
      <w:r w:rsidRPr="00B57B87">
        <w:rPr>
          <w:rFonts w:hint="eastAsia"/>
        </w:rPr>
        <w:t>车用乙醇汽油（</w:t>
      </w:r>
      <w:r w:rsidRPr="00B57B87">
        <w:rPr>
          <w:rFonts w:hint="eastAsia"/>
        </w:rPr>
        <w:t>E10</w:t>
      </w:r>
      <w:r w:rsidRPr="00B57B87">
        <w:rPr>
          <w:rFonts w:hint="eastAsia"/>
        </w:rPr>
        <w:t>）》</w:t>
      </w:r>
    </w:p>
    <w:p w:rsidR="00C31D66" w:rsidRDefault="005D25C5" w:rsidP="00B57B87">
      <w:pPr>
        <w:spacing w:line="360" w:lineRule="auto"/>
        <w:ind w:firstLineChars="200" w:firstLine="640"/>
      </w:pPr>
      <w:r>
        <w:t>现行有效的企业标准、团体标准、地方标准及产品明示质量要求。</w:t>
      </w:r>
    </w:p>
    <w:p w:rsidR="00C31D66" w:rsidRDefault="005D25C5">
      <w:pPr>
        <w:widowControl/>
        <w:ind w:firstLineChars="200" w:firstLine="640"/>
        <w:rPr>
          <w:rFonts w:eastAsia="楷体_GB2312"/>
          <w:bCs/>
          <w:kern w:val="0"/>
          <w:szCs w:val="32"/>
        </w:rPr>
      </w:pPr>
      <w:r>
        <w:rPr>
          <w:rFonts w:eastAsia="楷体_GB2312"/>
          <w:bCs/>
          <w:kern w:val="0"/>
          <w:szCs w:val="32"/>
        </w:rPr>
        <w:t>（二）判定原则</w:t>
      </w:r>
    </w:p>
    <w:p w:rsidR="00C31D66" w:rsidRDefault="005D25C5">
      <w:pPr>
        <w:adjustRightInd w:val="0"/>
        <w:snapToGrid w:val="0"/>
        <w:spacing w:line="590" w:lineRule="exact"/>
        <w:ind w:firstLineChars="200" w:firstLine="640"/>
        <w:rPr>
          <w:rFonts w:ascii="仿宋_GB2312" w:hAnsi="Calibri" w:cs="楷体_GB2312"/>
          <w:szCs w:val="32"/>
        </w:rPr>
      </w:pPr>
      <w:r>
        <w:rPr>
          <w:rFonts w:ascii="仿宋_GB2312" w:hAnsi="Calibri" w:cs="楷体_GB2312" w:hint="eastAsia"/>
          <w:szCs w:val="32"/>
        </w:rPr>
        <w:t>1</w:t>
      </w:r>
      <w:r>
        <w:rPr>
          <w:rFonts w:ascii="仿宋_GB2312" w:hAnsi="Calibri" w:cs="楷体_GB2312" w:hint="eastAsia"/>
          <w:szCs w:val="32"/>
        </w:rPr>
        <w:t>、重要质量指标不合格判定所检样本不合格程度类型</w:t>
      </w:r>
      <w:r>
        <w:rPr>
          <w:rFonts w:ascii="仿宋_GB2312" w:hAnsi="Calibri" w:cs="楷体_GB2312" w:hint="eastAsia"/>
          <w:szCs w:val="32"/>
        </w:rPr>
        <w:lastRenderedPageBreak/>
        <w:t>为：严重不合格，较重要质量指标不合格判定为所检样本不合格类型为：不合格。</w:t>
      </w:r>
    </w:p>
    <w:p w:rsidR="00C31D66" w:rsidRDefault="005D25C5">
      <w:pPr>
        <w:adjustRightInd w:val="0"/>
        <w:snapToGrid w:val="0"/>
        <w:spacing w:line="590" w:lineRule="exact"/>
        <w:ind w:firstLineChars="200" w:firstLine="640"/>
        <w:rPr>
          <w:rFonts w:ascii="仿宋_GB2312" w:hAnsi="Calibri" w:cs="楷体_GB2312"/>
          <w:szCs w:val="32"/>
        </w:rPr>
      </w:pPr>
      <w:r>
        <w:rPr>
          <w:rFonts w:ascii="仿宋_GB2312" w:hAnsi="Calibri" w:cs="楷体_GB2312" w:hint="eastAsia"/>
          <w:szCs w:val="32"/>
        </w:rPr>
        <w:t>2</w:t>
      </w:r>
      <w:r>
        <w:rPr>
          <w:rFonts w:ascii="仿宋_GB2312" w:hAnsi="Calibri" w:cs="楷体_GB2312" w:hint="eastAsia"/>
          <w:szCs w:val="32"/>
        </w:rPr>
        <w:t>、监督总体不合格类型与所检样本不合格类型一一对应，即若所检样本出现严重不合格，判定为监督总体严重不合格；若所检样本未出现严重不合格，则判定为监督总体不合格。</w:t>
      </w:r>
    </w:p>
    <w:p w:rsidR="00C31D66" w:rsidRDefault="005D25C5">
      <w:pPr>
        <w:adjustRightInd w:val="0"/>
        <w:snapToGrid w:val="0"/>
        <w:spacing w:line="590" w:lineRule="exact"/>
        <w:ind w:firstLineChars="200" w:firstLine="640"/>
        <w:rPr>
          <w:rFonts w:ascii="仿宋_GB2312" w:hAnsi="Calibri" w:cs="楷体_GB2312"/>
          <w:szCs w:val="32"/>
        </w:rPr>
      </w:pPr>
      <w:r>
        <w:rPr>
          <w:rFonts w:ascii="仿宋_GB2312" w:hAnsi="Calibri" w:cs="楷体_GB2312" w:hint="eastAsia"/>
          <w:szCs w:val="32"/>
        </w:rPr>
        <w:t>3</w:t>
      </w:r>
      <w:r>
        <w:rPr>
          <w:rFonts w:ascii="仿宋_GB2312" w:hAnsi="Calibri" w:cs="楷体_GB2312" w:hint="eastAsia"/>
          <w:szCs w:val="32"/>
        </w:rPr>
        <w:t>、若样本所检质量指标均合格，判定为样本所检质量指标未发现不合格。</w:t>
      </w:r>
    </w:p>
    <w:p w:rsidR="00C31D66" w:rsidRDefault="005D25C5">
      <w:pPr>
        <w:pStyle w:val="a6"/>
        <w:tabs>
          <w:tab w:val="clear" w:pos="4201"/>
          <w:tab w:val="clear" w:pos="9298"/>
        </w:tabs>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当被检样品明示的质量要求优于监督抽查实施细则中依据的标准要求时，应按被检样品明示的质量要求判定</w:t>
      </w:r>
      <w:r>
        <w:rPr>
          <w:rFonts w:ascii="Times New Roman" w:eastAsia="仿宋_GB2312" w:hAnsi="Times New Roman" w:cs="Times New Roman" w:hint="eastAsia"/>
          <w:sz w:val="32"/>
          <w:szCs w:val="32"/>
        </w:rPr>
        <w:t>。</w:t>
      </w:r>
    </w:p>
    <w:p w:rsidR="00C31D66" w:rsidRDefault="005D25C5">
      <w:pPr>
        <w:pStyle w:val="a6"/>
        <w:tabs>
          <w:tab w:val="clear" w:pos="4201"/>
          <w:tab w:val="clear" w:pos="9298"/>
        </w:tabs>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当被检样品明示的质量要求劣于或不包含监督抽查实施细则中依据的标准要求时，应按照标准要求判定</w:t>
      </w:r>
      <w:r>
        <w:rPr>
          <w:rFonts w:ascii="Times New Roman" w:eastAsia="仿宋_GB2312" w:hAnsi="Times New Roman" w:cs="Times New Roman" w:hint="eastAsia"/>
          <w:sz w:val="32"/>
          <w:szCs w:val="32"/>
        </w:rPr>
        <w:t>。</w:t>
      </w:r>
    </w:p>
    <w:sectPr w:rsidR="00C31D6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5C5" w:rsidRDefault="005D25C5">
      <w:r>
        <w:separator/>
      </w:r>
    </w:p>
  </w:endnote>
  <w:endnote w:type="continuationSeparator" w:id="0">
    <w:p w:rsidR="005D25C5" w:rsidRDefault="005D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D66" w:rsidRDefault="006635D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7785" cy="131445"/>
              <wp:effectExtent l="0" t="0" r="12065" b="1460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a:effectLst/>
                    </wps:spPr>
                    <wps:txbx>
                      <w:txbxContent>
                        <w:p w:rsidR="00C31D66" w:rsidRDefault="005D25C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B57B87">
                            <w:rPr>
                              <w:noProof/>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46.65pt;margin-top:0;width:4.55pt;height:10.3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" filled="f" stroked="f" strokeweight=".5pt">
              <v:path arrowok="t"/>
              <v:textbox style="mso-fit-shape-to-text:t" inset="0,0,0,0">
                <w:txbxContent>
                  <w:p w:rsidR="00C31D66" w:rsidRDefault="005D25C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B57B87">
                      <w:rPr>
                        <w:noProof/>
                        <w:sz w:val="18"/>
                      </w:rPr>
                      <w:t>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5C5" w:rsidRDefault="005D25C5">
      <w:r>
        <w:separator/>
      </w:r>
    </w:p>
  </w:footnote>
  <w:footnote w:type="continuationSeparator" w:id="0">
    <w:p w:rsidR="005D25C5" w:rsidRDefault="005D25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EBF"/>
    <w:rsid w:val="00034D8C"/>
    <w:rsid w:val="000A14BC"/>
    <w:rsid w:val="000A40B0"/>
    <w:rsid w:val="000A6F8B"/>
    <w:rsid w:val="000B0C04"/>
    <w:rsid w:val="000B166A"/>
    <w:rsid w:val="00107945"/>
    <w:rsid w:val="00154DEA"/>
    <w:rsid w:val="00174A08"/>
    <w:rsid w:val="00184D11"/>
    <w:rsid w:val="0018725D"/>
    <w:rsid w:val="001C5E1C"/>
    <w:rsid w:val="001C7AEA"/>
    <w:rsid w:val="00263BA4"/>
    <w:rsid w:val="002A6E2E"/>
    <w:rsid w:val="002B55FD"/>
    <w:rsid w:val="002E3DA3"/>
    <w:rsid w:val="002F76AF"/>
    <w:rsid w:val="00316370"/>
    <w:rsid w:val="003536E0"/>
    <w:rsid w:val="003C4466"/>
    <w:rsid w:val="003F0F20"/>
    <w:rsid w:val="003F48E9"/>
    <w:rsid w:val="0041370F"/>
    <w:rsid w:val="00422509"/>
    <w:rsid w:val="00460DD5"/>
    <w:rsid w:val="00465E3C"/>
    <w:rsid w:val="00467A03"/>
    <w:rsid w:val="00476464"/>
    <w:rsid w:val="00480BFD"/>
    <w:rsid w:val="0048735A"/>
    <w:rsid w:val="004B3672"/>
    <w:rsid w:val="004B606C"/>
    <w:rsid w:val="004D14FD"/>
    <w:rsid w:val="004E09FF"/>
    <w:rsid w:val="004F6FAB"/>
    <w:rsid w:val="0050212A"/>
    <w:rsid w:val="00530081"/>
    <w:rsid w:val="00535A67"/>
    <w:rsid w:val="00540723"/>
    <w:rsid w:val="00561C57"/>
    <w:rsid w:val="0058550D"/>
    <w:rsid w:val="005A2490"/>
    <w:rsid w:val="005C543E"/>
    <w:rsid w:val="005D25C5"/>
    <w:rsid w:val="005E6358"/>
    <w:rsid w:val="005E7A94"/>
    <w:rsid w:val="0061530D"/>
    <w:rsid w:val="006635D6"/>
    <w:rsid w:val="00664AD9"/>
    <w:rsid w:val="006C3C79"/>
    <w:rsid w:val="006E15C6"/>
    <w:rsid w:val="006F34BE"/>
    <w:rsid w:val="006F4510"/>
    <w:rsid w:val="0070156D"/>
    <w:rsid w:val="007177D7"/>
    <w:rsid w:val="00740A11"/>
    <w:rsid w:val="007510EB"/>
    <w:rsid w:val="00762AF1"/>
    <w:rsid w:val="007A726E"/>
    <w:rsid w:val="00804B8A"/>
    <w:rsid w:val="00807DBD"/>
    <w:rsid w:val="008711D2"/>
    <w:rsid w:val="0087733B"/>
    <w:rsid w:val="00893C7F"/>
    <w:rsid w:val="008D1188"/>
    <w:rsid w:val="008D7BF7"/>
    <w:rsid w:val="00916066"/>
    <w:rsid w:val="00943F2F"/>
    <w:rsid w:val="0098725B"/>
    <w:rsid w:val="00A075E8"/>
    <w:rsid w:val="00A44E58"/>
    <w:rsid w:val="00A57989"/>
    <w:rsid w:val="00A614F8"/>
    <w:rsid w:val="00B1647C"/>
    <w:rsid w:val="00B57B87"/>
    <w:rsid w:val="00BD4B36"/>
    <w:rsid w:val="00C203FA"/>
    <w:rsid w:val="00C31D66"/>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95545"/>
    <w:rsid w:val="00FC70BF"/>
    <w:rsid w:val="00FD654C"/>
    <w:rsid w:val="00FF594C"/>
    <w:rsid w:val="1438074F"/>
    <w:rsid w:val="15631434"/>
    <w:rsid w:val="170B56C6"/>
    <w:rsid w:val="17751B8E"/>
    <w:rsid w:val="38700B55"/>
    <w:rsid w:val="3F1B0BAF"/>
    <w:rsid w:val="40771069"/>
    <w:rsid w:val="4EB50C3A"/>
    <w:rsid w:val="50A7688F"/>
    <w:rsid w:val="52260B3F"/>
    <w:rsid w:val="54D07982"/>
    <w:rsid w:val="6525617E"/>
    <w:rsid w:val="669F1C94"/>
    <w:rsid w:val="6FDB4A8B"/>
    <w:rsid w:val="719A2C70"/>
    <w:rsid w:val="74E470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eastAsiaTheme="minorEastAsia" w:hAnsi="Courier New" w:cs="Courier New"/>
      <w:sz w:val="21"/>
      <w:szCs w:val="21"/>
    </w:r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Char0">
    <w:name w:val="页眉 Char"/>
    <w:basedOn w:val="a0"/>
    <w:link w:val="a5"/>
    <w:uiPriority w:val="99"/>
    <w:qFormat/>
    <w:rPr>
      <w:rFonts w:ascii="Times New Roman" w:eastAsia="仿宋_GB2312" w:hAnsi="Times New Roman" w:cs="Times New Roman"/>
      <w:kern w:val="2"/>
      <w:sz w:val="18"/>
      <w:szCs w:val="18"/>
    </w:rPr>
  </w:style>
  <w:style w:type="character" w:customStyle="1" w:styleId="Char">
    <w:name w:val="纯文本 Char"/>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eastAsiaTheme="minorEastAsia" w:hAnsi="Courier New" w:cs="Courier New"/>
      <w:sz w:val="21"/>
      <w:szCs w:val="21"/>
    </w:r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Char0">
    <w:name w:val="页眉 Char"/>
    <w:basedOn w:val="a0"/>
    <w:link w:val="a5"/>
    <w:uiPriority w:val="99"/>
    <w:qFormat/>
    <w:rPr>
      <w:rFonts w:ascii="Times New Roman" w:eastAsia="仿宋_GB2312" w:hAnsi="Times New Roman" w:cs="Times New Roman"/>
      <w:kern w:val="2"/>
      <w:sz w:val="18"/>
      <w:szCs w:val="18"/>
    </w:rPr>
  </w:style>
  <w:style w:type="character" w:customStyle="1" w:styleId="Char">
    <w:name w:val="纯文本 Char"/>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144</Words>
  <Characters>823</Characters>
  <Application>Microsoft Office Word</Application>
  <DocSecurity>0</DocSecurity>
  <Lines>6</Lines>
  <Paragraphs>1</Paragraphs>
  <ScaleCrop>false</ScaleCrop>
  <Company>MS</Company>
  <LinksUpToDate>false</LinksUpToDate>
  <CharactersWithSpaces>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Administrator</cp:lastModifiedBy>
  <cp:revision>3</cp:revision>
  <dcterms:created xsi:type="dcterms:W3CDTF">2024-07-10T01:52:00Z</dcterms:created>
  <dcterms:modified xsi:type="dcterms:W3CDTF">2024-07-10T02:01:00Z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2557874D3FC346119D8B2F0F683B7294</vt:lpwstr>
  </property>
</Properties>
</file>