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bookmarkStart w:id="0" w:name="_GoBack"/>
      <w:r>
        <w:rPr>
          <w:rFonts w:hint="eastAsia" w:cs="Times New Roman"/>
          <w:lang w:eastAsia="zh-CN"/>
        </w:rPr>
        <w:t>中山市</w:t>
      </w:r>
      <w:r>
        <w:rPr>
          <w:rFonts w:hint="eastAsia" w:cs="Times New Roman"/>
          <w:lang w:val="en-US" w:eastAsia="zh-CN"/>
        </w:rPr>
        <w:t>燃气调压设备和燃气用用不锈钢波纹软管</w:t>
      </w:r>
      <w:r>
        <w:rPr>
          <w:rFonts w:hint="eastAsia" w:cs="Times New Roman"/>
        </w:rPr>
        <w:t>产品质量监督抽查实施细则</w:t>
      </w:r>
    </w:p>
    <w:bookmarkEnd w:id="0"/>
    <w:p>
      <w:pPr>
        <w:pStyle w:val="6"/>
        <w:bidi w:val="0"/>
        <w:rPr>
          <w:rFonts w:hint="default" w:ascii="Times New Roman" w:hAnsi="Times New Roman" w:eastAsia="楷体_GB2312" w:cs="Times New Roman"/>
          <w:lang w:eastAsia="zh-CN"/>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32"/>
          <w:szCs w:val="32"/>
        </w:rPr>
      </w:pPr>
    </w:p>
    <w:p>
      <w:pPr>
        <w:pStyle w:val="7"/>
        <w:bidi w:val="0"/>
        <w:rPr>
          <w:rFonts w:hint="default" w:ascii="Times New Roman" w:hAnsi="Times New Roman" w:cs="Times New Roman"/>
        </w:rPr>
      </w:pPr>
      <w:r>
        <w:rPr>
          <w:rFonts w:hint="default" w:ascii="Times New Roman" w:hAnsi="Times New Roman" w:cs="Times New Roman"/>
        </w:rPr>
        <w:t>1 抽样方法</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每批次产品抽取2组样本，第1组用于检验，第2组用于备样。具体抽样数量和方法如下：</w:t>
      </w:r>
    </w:p>
    <w:tbl>
      <w:tblPr>
        <w:tblStyle w:val="3"/>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423"/>
        <w:gridCol w:w="2249"/>
        <w:gridCol w:w="2260"/>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序号</w:t>
            </w:r>
          </w:p>
        </w:tc>
        <w:tc>
          <w:tcPr>
            <w:tcW w:w="367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产品名称</w:t>
            </w:r>
          </w:p>
        </w:tc>
        <w:tc>
          <w:tcPr>
            <w:tcW w:w="2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第1组数量</w:t>
            </w:r>
          </w:p>
        </w:tc>
        <w:tc>
          <w:tcPr>
            <w:tcW w:w="24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lang w:val="en-US" w:eastAsia="zh-CN"/>
              </w:rPr>
            </w:pPr>
            <w:r>
              <w:rPr>
                <w:rFonts w:hint="eastAsia" w:eastAsia="宋体" w:cs="Times New Roman"/>
                <w:color w:val="000000"/>
                <w:sz w:val="21"/>
                <w:szCs w:val="21"/>
                <w:lang w:val="en-US" w:eastAsia="zh-CN"/>
              </w:rPr>
              <w:t>1</w:t>
            </w:r>
          </w:p>
        </w:tc>
        <w:tc>
          <w:tcPr>
            <w:tcW w:w="367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家用瓶装液化石油气调压器</w:t>
            </w:r>
          </w:p>
        </w:tc>
        <w:tc>
          <w:tcPr>
            <w:tcW w:w="2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3</w:t>
            </w:r>
            <w:r>
              <w:rPr>
                <w:rFonts w:hint="default" w:ascii="Times New Roman" w:hAnsi="Times New Roman" w:eastAsia="宋体" w:cs="Times New Roman"/>
                <w:color w:val="000000"/>
                <w:sz w:val="21"/>
                <w:szCs w:val="21"/>
              </w:rPr>
              <w:t>只</w:t>
            </w:r>
          </w:p>
        </w:tc>
        <w:tc>
          <w:tcPr>
            <w:tcW w:w="24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3</w:t>
            </w:r>
            <w:r>
              <w:rPr>
                <w:rFonts w:hint="default" w:ascii="Times New Roman" w:hAnsi="Times New Roman" w:eastAsia="宋体" w:cs="Times New Roman"/>
                <w:color w:val="000000"/>
                <w:sz w:val="21"/>
                <w:szCs w:val="2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865"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lang w:val="en-US" w:eastAsia="zh-CN"/>
              </w:rPr>
            </w:pPr>
            <w:r>
              <w:rPr>
                <w:rFonts w:hint="eastAsia" w:eastAsia="宋体" w:cs="Times New Roman"/>
                <w:color w:val="000000"/>
                <w:sz w:val="21"/>
                <w:szCs w:val="21"/>
                <w:lang w:val="en-US" w:eastAsia="zh-CN"/>
              </w:rPr>
              <w:t>2</w:t>
            </w:r>
          </w:p>
        </w:tc>
        <w:tc>
          <w:tcPr>
            <w:tcW w:w="1423"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sz w:val="21"/>
                <w:szCs w:val="21"/>
              </w:rPr>
              <w:t>燃气用不锈钢波纹软管</w:t>
            </w:r>
          </w:p>
        </w:tc>
        <w:tc>
          <w:tcPr>
            <w:tcW w:w="224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燃气用具连接用不锈钢波纹软管</w:t>
            </w:r>
          </w:p>
        </w:tc>
        <w:tc>
          <w:tcPr>
            <w:tcW w:w="2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3</w:t>
            </w:r>
            <w:r>
              <w:rPr>
                <w:rFonts w:hint="default" w:ascii="Times New Roman" w:hAnsi="Times New Roman" w:eastAsia="宋体" w:cs="Times New Roman"/>
                <w:color w:val="000000"/>
                <w:sz w:val="21"/>
                <w:szCs w:val="21"/>
              </w:rPr>
              <w:t>根</w:t>
            </w:r>
          </w:p>
        </w:tc>
        <w:tc>
          <w:tcPr>
            <w:tcW w:w="24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3</w:t>
            </w:r>
            <w:r>
              <w:rPr>
                <w:rFonts w:hint="default" w:ascii="Times New Roman" w:hAnsi="Times New Roman" w:eastAsia="宋体" w:cs="Times New Roman"/>
                <w:color w:val="000000"/>
                <w:sz w:val="21"/>
                <w:szCs w:val="21"/>
              </w:rPr>
              <w:t>根</w:t>
            </w:r>
          </w:p>
        </w:tc>
      </w:tr>
    </w:tbl>
    <w:p>
      <w:pPr>
        <w:pStyle w:val="7"/>
        <w:bidi w:val="0"/>
        <w:rPr>
          <w:rFonts w:hint="default" w:ascii="Times New Roman" w:hAnsi="Times New Roman" w:eastAsia="黑体" w:cs="Times New Roman"/>
          <w:lang w:eastAsia="zh-CN"/>
        </w:rPr>
      </w:pPr>
      <w:r>
        <w:rPr>
          <w:rFonts w:hint="default" w:ascii="Times New Roman" w:hAnsi="Times New Roman" w:eastAsia="黑体" w:cs="Times New Roman"/>
          <w:sz w:val="32"/>
          <w:szCs w:val="32"/>
          <w:lang w:eastAsia="zh-CN"/>
        </w:rPr>
        <w:t>2 检验依据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表</w:t>
      </w:r>
      <w:r>
        <w:rPr>
          <w:rFonts w:hint="eastAsia" w:cs="Times New Roman"/>
          <w:sz w:val="32"/>
          <w:szCs w:val="32"/>
          <w:lang w:val="en-US" w:eastAsia="zh-CN"/>
        </w:rPr>
        <w:t>1</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家用瓶装液化石油气调压器</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2"/>
        <w:gridCol w:w="928"/>
        <w:gridCol w:w="4417"/>
        <w:gridCol w:w="2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序号</w:t>
            </w:r>
          </w:p>
        </w:tc>
        <w:tc>
          <w:tcPr>
            <w:tcW w:w="53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检验项目</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928" w:type="dxa"/>
            <w:vMerge w:val="restart"/>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结构</w:t>
            </w:r>
          </w:p>
        </w:tc>
        <w:tc>
          <w:tcPr>
            <w:tcW w:w="4417"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一般要求</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928" w:type="dxa"/>
            <w:vMerge w:val="continue"/>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p>
        </w:tc>
        <w:tc>
          <w:tcPr>
            <w:tcW w:w="4417"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调压器的接头组件</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928" w:type="dxa"/>
            <w:vMerge w:val="continue"/>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p>
        </w:tc>
        <w:tc>
          <w:tcPr>
            <w:tcW w:w="4417"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压力或流量安全装置</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53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气密性</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53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调压静特性</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53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耐冲击性</w:t>
            </w:r>
          </w:p>
        </w:tc>
        <w:tc>
          <w:tcPr>
            <w:tcW w:w="295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53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连接接头机械强度</w:t>
            </w:r>
          </w:p>
        </w:tc>
        <w:tc>
          <w:tcPr>
            <w:tcW w:w="295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53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材料</w:t>
            </w:r>
          </w:p>
        </w:tc>
        <w:tc>
          <w:tcPr>
            <w:tcW w:w="295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35844—2018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5" w:hRule="atLeast"/>
          <w:jc w:val="center"/>
        </w:trPr>
        <w:tc>
          <w:tcPr>
            <w:tcW w:w="9167" w:type="dxa"/>
            <w:gridSpan w:val="4"/>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 xml:space="preserve">注：1. </w:t>
            </w:r>
            <w:r>
              <w:rPr>
                <w:rFonts w:hint="default" w:ascii="Times New Roman" w:hAnsi="Times New Roman" w:eastAsia="宋体" w:cs="Times New Roman"/>
                <w:bCs/>
                <w:sz w:val="21"/>
                <w:szCs w:val="21"/>
              </w:rPr>
              <w:t>一般要求的检验项目为</w:t>
            </w:r>
            <w:r>
              <w:rPr>
                <w:rFonts w:hint="default" w:ascii="Times New Roman" w:hAnsi="Times New Roman" w:eastAsia="宋体" w:cs="Times New Roman"/>
                <w:sz w:val="21"/>
                <w:szCs w:val="21"/>
              </w:rPr>
              <w:t>GB 35844—2018中</w:t>
            </w:r>
            <w:r>
              <w:rPr>
                <w:rFonts w:hint="default" w:ascii="Times New Roman" w:hAnsi="Times New Roman" w:eastAsia="宋体" w:cs="Times New Roman"/>
                <w:bCs/>
                <w:sz w:val="21"/>
                <w:szCs w:val="21"/>
              </w:rPr>
              <w:t>5.2.1.3；</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2. 调压器的接头组件的检验项目为</w:t>
            </w:r>
            <w:r>
              <w:rPr>
                <w:rFonts w:hint="default" w:ascii="Times New Roman" w:hAnsi="Times New Roman" w:eastAsia="宋体" w:cs="Times New Roman"/>
                <w:sz w:val="21"/>
                <w:szCs w:val="21"/>
              </w:rPr>
              <w:t>GB 35844—2018中</w:t>
            </w:r>
            <w:r>
              <w:rPr>
                <w:rFonts w:hint="default" w:ascii="Times New Roman" w:hAnsi="Times New Roman" w:eastAsia="宋体" w:cs="Times New Roman"/>
                <w:bCs/>
                <w:sz w:val="21"/>
                <w:szCs w:val="21"/>
              </w:rPr>
              <w:t>5.2.5.2手轮外径和宽度、5.2.5.3软管连接接头外径、5.2.5.4；</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3. 压力或流量安全装置的检验项目为</w:t>
            </w:r>
            <w:r>
              <w:rPr>
                <w:rFonts w:hint="default" w:ascii="Times New Roman" w:hAnsi="Times New Roman" w:eastAsia="宋体" w:cs="Times New Roman"/>
                <w:sz w:val="21"/>
                <w:szCs w:val="21"/>
              </w:rPr>
              <w:t>GB 35844—2018中附录C.3.2、C.3.3</w:t>
            </w:r>
            <w:r>
              <w:rPr>
                <w:rFonts w:hint="default" w:ascii="Times New Roman" w:hAnsi="Times New Roman" w:eastAsia="宋体" w:cs="Times New Roman"/>
                <w:bCs/>
                <w:sz w:val="21"/>
                <w:szCs w:val="21"/>
              </w:rPr>
              <w:t>；</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4. 材料的检验项目为</w:t>
            </w:r>
            <w:r>
              <w:rPr>
                <w:rFonts w:hint="default" w:ascii="Times New Roman" w:hAnsi="Times New Roman" w:eastAsia="宋体" w:cs="Times New Roman"/>
                <w:sz w:val="21"/>
                <w:szCs w:val="21"/>
              </w:rPr>
              <w:t>GB 35844—2018中</w:t>
            </w:r>
            <w:r>
              <w:rPr>
                <w:rFonts w:hint="default" w:ascii="Times New Roman" w:hAnsi="Times New Roman" w:eastAsia="宋体" w:cs="Times New Roman"/>
                <w:bCs/>
                <w:sz w:val="21"/>
                <w:szCs w:val="21"/>
              </w:rPr>
              <w:t>5.1.3.2膜片试样耐液化石油气性能。</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表</w:t>
      </w:r>
      <w:r>
        <w:rPr>
          <w:rFonts w:hint="eastAsia"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燃气用具连接用不锈钢波纹软管</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0"/>
        <w:gridCol w:w="5302"/>
        <w:gridCol w:w="29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tblHeader/>
          <w:jc w:val="center"/>
        </w:trPr>
        <w:tc>
          <w:tcPr>
            <w:tcW w:w="900"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5302"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2965"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900"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5302"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气密性</w:t>
            </w:r>
          </w:p>
        </w:tc>
        <w:tc>
          <w:tcPr>
            <w:tcW w:w="2965"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GB/T 41317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2022</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CJ/T 197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900"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5302" w:type="dxa"/>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耐压性</w:t>
            </w:r>
          </w:p>
        </w:tc>
        <w:tc>
          <w:tcPr>
            <w:tcW w:w="296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GB/T 41317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2022</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CJ/T 197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900"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3</w:t>
            </w:r>
          </w:p>
        </w:tc>
        <w:tc>
          <w:tcPr>
            <w:tcW w:w="5302" w:type="dxa"/>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弯曲性</w:t>
            </w:r>
          </w:p>
        </w:tc>
        <w:tc>
          <w:tcPr>
            <w:tcW w:w="296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GB/T 41317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2022</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CJ/T 197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 w:hRule="atLeast"/>
          <w:jc w:val="center"/>
        </w:trPr>
        <w:tc>
          <w:tcPr>
            <w:tcW w:w="900"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4</w:t>
            </w:r>
          </w:p>
        </w:tc>
        <w:tc>
          <w:tcPr>
            <w:tcW w:w="5302" w:type="dxa"/>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耐安装性</w:t>
            </w:r>
          </w:p>
        </w:tc>
        <w:tc>
          <w:tcPr>
            <w:tcW w:w="296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GB/T 41317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2022</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CJ/T 197</w:t>
            </w:r>
            <w:r>
              <w:rPr>
                <w:rFonts w:hint="default" w:ascii="Times New Roman" w:hAnsi="Times New Roman" w:eastAsia="宋体" w:cs="Times New Roman"/>
                <w:sz w:val="21"/>
                <w:szCs w:val="21"/>
              </w:rPr>
              <w:t>—</w:t>
            </w:r>
            <w:r>
              <w:rPr>
                <w:rFonts w:hint="default" w:ascii="Times New Roman" w:hAnsi="Times New Roman" w:eastAsia="宋体" w:cs="Times New Roman"/>
                <w:kern w:val="0"/>
                <w:sz w:val="21"/>
                <w:szCs w:val="21"/>
              </w:rPr>
              <w:t>2010</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pStyle w:val="7"/>
        <w:keepNext w:val="0"/>
        <w:keepLines w:val="0"/>
        <w:pageBreakBefore w:val="0"/>
        <w:widowControl w:val="0"/>
        <w:kinsoku/>
        <w:wordWrap/>
        <w:overflowPunct/>
        <w:topLinePunct w:val="0"/>
        <w:autoSpaceDE/>
        <w:autoSpaceDN/>
        <w:bidi w:val="0"/>
        <w:textAlignment w:val="auto"/>
        <w:rPr>
          <w:rFonts w:hint="default" w:ascii="Times New Roman" w:hAnsi="Times New Roman" w:eastAsia="黑体" w:cs="Times New Roman"/>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w:t>
      </w:r>
      <w:r>
        <w:rPr>
          <w:rFonts w:hint="default" w:ascii="Times New Roman" w:hAnsi="Times New Roman" w:eastAsia="仿宋_GB2312" w:cs="Times New Roman"/>
          <w:color w:val="000000"/>
          <w:sz w:val="32"/>
          <w:szCs w:val="32"/>
        </w:rPr>
        <w:t>依据标准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35844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2018</w:t>
      </w:r>
      <w:r>
        <w:rPr>
          <w:rFonts w:hint="default" w:ascii="Times New Roman" w:hAnsi="Times New Roman" w:eastAsia="仿宋_GB2312" w:cs="Times New Roman"/>
          <w:sz w:val="32"/>
          <w:szCs w:val="32"/>
          <w:lang w:eastAsia="zh-CN"/>
        </w:rPr>
        <w:t xml:space="preserve"> </w:t>
      </w:r>
      <w:r>
        <w:rPr>
          <w:rFonts w:hint="default" w:ascii="Times New Roman" w:hAnsi="Times New Roman" w:eastAsia="仿宋_GB2312" w:cs="Times New Roman"/>
          <w:sz w:val="32"/>
          <w:szCs w:val="32"/>
        </w:rPr>
        <w:t>瓶装液化石油气调压器</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41317</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2022</w:t>
      </w:r>
      <w:r>
        <w:rPr>
          <w:rFonts w:hint="default" w:ascii="Times New Roman" w:hAnsi="Times New Roman" w:eastAsia="仿宋_GB2312" w:cs="Times New Roman"/>
          <w:sz w:val="32"/>
          <w:szCs w:val="32"/>
          <w:lang w:eastAsia="zh-CN"/>
        </w:rPr>
        <w:t xml:space="preserve"> </w:t>
      </w:r>
      <w:r>
        <w:rPr>
          <w:rFonts w:hint="default" w:ascii="Times New Roman" w:hAnsi="Times New Roman" w:eastAsia="仿宋_GB2312" w:cs="Times New Roman"/>
          <w:sz w:val="32"/>
          <w:szCs w:val="32"/>
        </w:rPr>
        <w:t>燃气用具连接用不锈钢波纹软管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CJ/T 197</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2010</w:t>
      </w:r>
      <w:r>
        <w:rPr>
          <w:rFonts w:hint="default" w:ascii="Times New Roman" w:hAnsi="Times New Roman" w:eastAsia="仿宋_GB2312" w:cs="Times New Roman"/>
          <w:sz w:val="32"/>
          <w:szCs w:val="32"/>
          <w:lang w:eastAsia="zh-CN"/>
        </w:rPr>
        <w:t xml:space="preserve"> </w:t>
      </w:r>
      <w:r>
        <w:rPr>
          <w:rFonts w:hint="default" w:ascii="Times New Roman" w:hAnsi="Times New Roman" w:eastAsia="仿宋_GB2312" w:cs="Times New Roman"/>
          <w:sz w:val="32"/>
          <w:szCs w:val="32"/>
        </w:rPr>
        <w:t>燃气用具连接用不锈钢波纹软管</w:t>
      </w:r>
    </w:p>
    <w:p>
      <w:pPr>
        <w:keepNext w:val="0"/>
        <w:keepLines w:val="0"/>
        <w:pageBreakBefore w:val="0"/>
        <w:widowControl w:val="0"/>
        <w:kinsoku/>
        <w:wordWrap/>
        <w:overflowPunct/>
        <w:topLinePunct w:val="0"/>
        <w:autoSpaceDE/>
        <w:autoSpaceDN/>
        <w:bidi w:val="0"/>
        <w:snapToGrid w:val="0"/>
        <w:spacing w:line="560" w:lineRule="exact"/>
        <w:ind w:firstLine="596"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pacing w:val="-11"/>
          <w:sz w:val="32"/>
          <w:szCs w:val="32"/>
        </w:rPr>
        <w:t>现行有效的企业标准、团体标准、地方标准及产品明示质量</w:t>
      </w:r>
      <w:r>
        <w:rPr>
          <w:rFonts w:hint="default" w:ascii="Times New Roman" w:hAnsi="Times New Roman" w:eastAsia="仿宋_GB2312" w:cs="Times New Roman"/>
          <w:color w:val="000000"/>
          <w:sz w:val="32"/>
          <w:szCs w:val="32"/>
        </w:rPr>
        <w:t>要求</w:t>
      </w:r>
      <w:r>
        <w:rPr>
          <w:rFonts w:hint="default" w:ascii="Times New Roman" w:hAnsi="Times New Roman" w:eastAsia="仿宋_GB2312" w:cs="Times New Roman"/>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snapToGrid w:val="0"/>
        <w:spacing w:line="560" w:lineRule="exact"/>
        <w:ind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636" w:firstLineChars="199"/>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83E38"/>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883E38"/>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DC651D"/>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paragraph" w:customStyle="1" w:styleId="6">
    <w:name w:val="样式2 标题（楷体三号）"/>
    <w:qFormat/>
    <w:uiPriority w:val="0"/>
    <w:pPr>
      <w:widowControl w:val="0"/>
      <w:spacing w:line="560" w:lineRule="exact"/>
      <w:jc w:val="center"/>
    </w:pPr>
    <w:rPr>
      <w:rFonts w:hint="eastAsia" w:ascii="楷体_GB2312" w:hAnsi="楷体_GB2312" w:eastAsia="楷体_GB2312" w:cs="楷体_GB2312"/>
      <w:kern w:val="2"/>
      <w:sz w:val="32"/>
      <w:szCs w:val="32"/>
      <w:lang w:val="en-US" w:eastAsia="zh-CN" w:bidi="ar-SA"/>
    </w:rPr>
  </w:style>
  <w:style w:type="paragraph" w:customStyle="1" w:styleId="7">
    <w:name w:val="样式1 标题一级（黑体三号）"/>
    <w:qFormat/>
    <w:uiPriority w:val="0"/>
    <w:pPr>
      <w:widowControl w:val="0"/>
      <w:spacing w:line="560" w:lineRule="exact"/>
      <w:ind w:firstLineChars="200"/>
      <w:jc w:val="both"/>
    </w:pPr>
    <w:rPr>
      <w:rFonts w:hint="eastAsia" w:ascii="黑体" w:hAnsi="黑体" w:eastAsia="黑体" w:cs="黑体"/>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2024-07-09T00:57:00Z</dcterms:created>
  <dc:creator>Administrator</dc:creator>
  <cp:lastModifiedBy>Administrator</cp:lastModifiedBy>
  <dcterms:modified xsi:type="dcterms:W3CDTF">2024-07-09T01:02:36Z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4653E1AF96F54A5FBC38D12C595FB066</vt:lpwstr>
  </property>
</Properties>
</file>