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中山市液体加热器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抽查产品：电热水壶</w:t>
      </w:r>
      <w:r>
        <w:rPr>
          <w:rFonts w:hint="eastAsia" w:ascii="Times New Roman" w:eastAsia="仿宋_GB2312" w:cs="Times New Roman"/>
          <w:color w:val="000000"/>
          <w:kern w:val="2"/>
          <w:sz w:val="32"/>
          <w:szCs w:val="32"/>
          <w:lang w:val="en-US" w:eastAsia="zh-CN" w:bidi="ar-SA"/>
        </w:rPr>
        <w:t>、电压力锅、饮水机、自动电饭锅、多用途锅（电火锅、电炖锅、电蒸锅）、其他液体加热器（煮蛋器、酸奶机）</w:t>
      </w:r>
      <w:bookmarkStart w:id="0" w:name="_GoBack"/>
      <w:bookmarkEnd w:id="0"/>
      <w:r>
        <w:rPr>
          <w:rFonts w:hint="eastAsia" w:ascii="Times New Roman" w:eastAsia="仿宋_GB2312" w:cs="Times New Roman"/>
          <w:color w:val="000000"/>
          <w:kern w:val="2"/>
          <w:sz w:val="32"/>
          <w:szCs w:val="32"/>
          <w:lang w:val="en-US" w:eastAsia="zh-CN" w:bidi="ar-SA"/>
        </w:rPr>
        <w:t>、电炒锅等液体加热器。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p>
      <w:pPr>
        <w:pStyle w:val="2"/>
        <w:ind w:firstLine="640" w:firstLineChars="200"/>
        <w:jc w:val="left"/>
        <w:rPr>
          <w:rFonts w:hint="default"/>
          <w:lang w:val="en-US"/>
        </w:rPr>
      </w:pPr>
      <w:r>
        <w:rPr>
          <w:rFonts w:hint="eastAsia" w:ascii="Times New Roman" w:eastAsia="仿宋_GB2312" w:cs="Times New Roman"/>
          <w:color w:val="000000"/>
          <w:kern w:val="2"/>
          <w:sz w:val="32"/>
          <w:szCs w:val="32"/>
          <w:lang w:val="en-US" w:eastAsia="zh-CN" w:bidi="ar-SA"/>
        </w:rPr>
        <w:t>1</w:t>
      </w:r>
      <w:r>
        <w:rPr>
          <w:rFonts w:hint="eastAsia" w:ascii="Times New Roman" w:hAnsi="Times New Roman" w:eastAsia="仿宋_GB2312" w:cs="Times New Roman"/>
          <w:color w:val="000000"/>
          <w:kern w:val="2"/>
          <w:sz w:val="32"/>
          <w:szCs w:val="32"/>
          <w:lang w:val="en-US" w:eastAsia="zh-CN" w:bidi="ar-SA"/>
        </w:rPr>
        <w:t>、</w:t>
      </w:r>
      <w:r>
        <w:rPr>
          <w:rFonts w:hint="eastAsia" w:ascii="Times New Roman" w:eastAsia="仿宋_GB2312" w:cs="Times New Roman"/>
          <w:color w:val="000000"/>
          <w:kern w:val="2"/>
          <w:sz w:val="32"/>
          <w:szCs w:val="32"/>
          <w:lang w:val="en-US" w:eastAsia="zh-CN" w:bidi="ar-SA"/>
        </w:rPr>
        <w:t>自动电饭锅</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956"/>
        <w:gridCol w:w="957"/>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gridSpan w:val="2"/>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gridSpan w:val="2"/>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GB 4706.</w:t>
            </w:r>
            <w:r>
              <w:rPr>
                <w:rFonts w:hint="eastAsia"/>
                <w:sz w:val="24"/>
                <w:lang w:val="en-US" w:eastAsia="zh-CN"/>
              </w:rPr>
              <w:t>19</w:t>
            </w:r>
            <w:r>
              <w:rPr>
                <w:sz w:val="24"/>
              </w:rPr>
              <w:t>-200</w:t>
            </w:r>
            <w:r>
              <w:rPr>
                <w:rFonts w:hint="eastAsia"/>
                <w:sz w:val="24"/>
                <w:lang w:val="en-US" w:eastAsia="zh-CN"/>
              </w:rPr>
              <w:t>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gridSpan w:val="2"/>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gridSpan w:val="2"/>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gridSpan w:val="2"/>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gridSpan w:val="2"/>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gridSpan w:val="2"/>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gridSpan w:val="2"/>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gridSpan w:val="2"/>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gridSpan w:val="2"/>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gridSpan w:val="2"/>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gridSpan w:val="2"/>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gridSpan w:val="2"/>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gridSpan w:val="2"/>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gridSpan w:val="2"/>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gridSpan w:val="2"/>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gridSpan w:val="2"/>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gridSpan w:val="2"/>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gridSpan w:val="2"/>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19</w:t>
            </w:r>
          </w:p>
        </w:tc>
        <w:tc>
          <w:tcPr>
            <w:tcW w:w="1913" w:type="dxa"/>
            <w:gridSpan w:val="2"/>
            <w:shd w:val="clear" w:color="auto" w:fill="auto"/>
            <w:vAlign w:val="center"/>
          </w:tcPr>
          <w:p>
            <w:pPr>
              <w:jc w:val="center"/>
              <w:rPr>
                <w:rFonts w:hint="eastAsia" w:cs="仿宋_GB2312"/>
                <w:sz w:val="24"/>
              </w:rPr>
            </w:pPr>
            <w:r>
              <w:rPr>
                <w:rFonts w:hint="eastAsia" w:cs="仿宋_GB2312"/>
                <w:sz w:val="24"/>
              </w:rPr>
              <w:t>内锅容积</w:t>
            </w:r>
          </w:p>
        </w:tc>
        <w:tc>
          <w:tcPr>
            <w:tcW w:w="1909" w:type="dxa"/>
            <w:vMerge w:val="restart"/>
            <w:shd w:val="clear" w:color="auto" w:fill="auto"/>
            <w:vAlign w:val="center"/>
          </w:tcPr>
          <w:p>
            <w:pPr>
              <w:adjustRightInd w:val="0"/>
              <w:snapToGrid w:val="0"/>
              <w:jc w:val="center"/>
              <w:rPr>
                <w:rFonts w:ascii="Times New Roman" w:hAnsi="Times New Roman" w:eastAsia="仿宋_GB2312" w:cs="Times New Roman"/>
                <w:kern w:val="2"/>
                <w:sz w:val="32"/>
                <w:szCs w:val="21"/>
                <w:lang w:val="en-US" w:eastAsia="zh-CN" w:bidi="ar-SA"/>
              </w:rPr>
            </w:pPr>
            <w:r>
              <w:rPr>
                <w:sz w:val="24"/>
              </w:rPr>
              <w:t>GB 12021.6-2017</w:t>
            </w: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vMerge w:val="restart"/>
            <w:shd w:val="clear" w:color="auto" w:fill="auto"/>
            <w:vAlign w:val="center"/>
          </w:tcPr>
          <w:p>
            <w:pPr>
              <w:jc w:val="center"/>
              <w:rPr>
                <w:rFonts w:hint="default"/>
                <w:sz w:val="24"/>
                <w:lang w:val="en-US" w:eastAsia="zh-CN"/>
              </w:rPr>
            </w:pPr>
            <w:r>
              <w:rPr>
                <w:rFonts w:hint="eastAsia"/>
                <w:sz w:val="24"/>
                <w:lang w:val="en-US" w:eastAsia="zh-CN"/>
              </w:rPr>
              <w:t>20</w:t>
            </w:r>
          </w:p>
        </w:tc>
        <w:tc>
          <w:tcPr>
            <w:tcW w:w="956" w:type="dxa"/>
            <w:vMerge w:val="restart"/>
            <w:shd w:val="clear" w:color="auto" w:fill="auto"/>
            <w:vAlign w:val="center"/>
          </w:tcPr>
          <w:p>
            <w:pPr>
              <w:jc w:val="center"/>
              <w:rPr>
                <w:rFonts w:hint="eastAsia"/>
                <w:sz w:val="24"/>
                <w:lang w:val="en-US" w:eastAsia="zh-CN"/>
              </w:rPr>
            </w:pPr>
            <w:r>
              <w:rPr>
                <w:rFonts w:hint="eastAsia"/>
                <w:sz w:val="24"/>
                <w:lang w:val="en-US" w:eastAsia="zh-CN"/>
              </w:rPr>
              <w:t>能效等级</w:t>
            </w:r>
          </w:p>
          <w:p>
            <w:pPr>
              <w:jc w:val="center"/>
              <w:rPr>
                <w:rFonts w:hint="eastAsia"/>
                <w:sz w:val="24"/>
                <w:lang w:val="en-US" w:eastAsia="zh-CN"/>
              </w:rPr>
            </w:pPr>
          </w:p>
        </w:tc>
        <w:tc>
          <w:tcPr>
            <w:tcW w:w="957" w:type="dxa"/>
            <w:shd w:val="clear" w:color="auto" w:fill="auto"/>
            <w:vAlign w:val="center"/>
          </w:tcPr>
          <w:p>
            <w:pPr>
              <w:jc w:val="center"/>
              <w:rPr>
                <w:rFonts w:hint="eastAsia"/>
                <w:sz w:val="24"/>
                <w:lang w:val="en-US" w:eastAsia="zh-CN"/>
              </w:rPr>
            </w:pPr>
            <w:r>
              <w:rPr>
                <w:rFonts w:hint="eastAsia"/>
                <w:sz w:val="24"/>
                <w:lang w:val="en-US" w:eastAsia="zh-CN"/>
              </w:rPr>
              <w:t>热效率值</w:t>
            </w:r>
          </w:p>
        </w:tc>
        <w:tc>
          <w:tcPr>
            <w:tcW w:w="1909" w:type="dxa"/>
            <w:vMerge w:val="continue"/>
            <w:shd w:val="clear" w:color="auto" w:fill="auto"/>
            <w:vAlign w:val="center"/>
          </w:tcPr>
          <w:p>
            <w:pPr>
              <w:adjustRightInd w:val="0"/>
              <w:snapToGrid w:val="0"/>
              <w:jc w:val="center"/>
              <w:rPr>
                <w:rFonts w:ascii="Times New Roman" w:hAnsi="Times New Roman" w:eastAsia="仿宋_GB2312" w:cs="Times New Roman"/>
                <w:kern w:val="2"/>
                <w:sz w:val="32"/>
                <w:szCs w:val="21"/>
                <w:lang w:val="en-US" w:eastAsia="zh-CN" w:bidi="ar-SA"/>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vMerge w:val="continue"/>
            <w:shd w:val="clear" w:color="auto" w:fill="auto"/>
            <w:vAlign w:val="center"/>
          </w:tcPr>
          <w:p>
            <w:pPr>
              <w:jc w:val="center"/>
              <w:rPr>
                <w:rFonts w:hint="eastAsia"/>
                <w:sz w:val="24"/>
                <w:lang w:val="en-US" w:eastAsia="zh-CN"/>
              </w:rPr>
            </w:pPr>
          </w:p>
        </w:tc>
        <w:tc>
          <w:tcPr>
            <w:tcW w:w="956" w:type="dxa"/>
            <w:vMerge w:val="continue"/>
            <w:shd w:val="clear" w:color="auto" w:fill="auto"/>
            <w:vAlign w:val="center"/>
          </w:tcPr>
          <w:p>
            <w:pPr>
              <w:jc w:val="center"/>
              <w:rPr>
                <w:rFonts w:hint="eastAsia"/>
                <w:sz w:val="24"/>
                <w:lang w:val="en-US" w:eastAsia="zh-CN"/>
              </w:rPr>
            </w:pPr>
          </w:p>
        </w:tc>
        <w:tc>
          <w:tcPr>
            <w:tcW w:w="957" w:type="dxa"/>
            <w:shd w:val="clear" w:color="auto" w:fill="auto"/>
            <w:vAlign w:val="center"/>
          </w:tcPr>
          <w:p>
            <w:pPr>
              <w:jc w:val="center"/>
              <w:rPr>
                <w:rFonts w:hint="eastAsia"/>
                <w:sz w:val="24"/>
                <w:lang w:val="en-US" w:eastAsia="zh-CN"/>
              </w:rPr>
            </w:pPr>
            <w:r>
              <w:rPr>
                <w:rFonts w:hint="eastAsia"/>
                <w:sz w:val="24"/>
                <w:lang w:val="en-US" w:eastAsia="zh-CN"/>
              </w:rPr>
              <w:t>待机功率</w:t>
            </w:r>
          </w:p>
        </w:tc>
        <w:tc>
          <w:tcPr>
            <w:tcW w:w="1909" w:type="dxa"/>
            <w:vMerge w:val="continue"/>
            <w:shd w:val="clear" w:color="auto" w:fill="auto"/>
            <w:vAlign w:val="center"/>
          </w:tcPr>
          <w:p>
            <w:pPr>
              <w:adjustRightInd w:val="0"/>
              <w:snapToGrid w:val="0"/>
              <w:jc w:val="center"/>
              <w:rPr>
                <w:rFonts w:ascii="Times New Roman" w:hAnsi="Times New Roman" w:eastAsia="仿宋_GB2312" w:cs="Times New Roman"/>
                <w:kern w:val="2"/>
                <w:sz w:val="32"/>
                <w:szCs w:val="21"/>
                <w:lang w:val="en-US" w:eastAsia="zh-CN" w:bidi="ar-SA"/>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vMerge w:val="continue"/>
            <w:shd w:val="clear" w:color="auto" w:fill="auto"/>
            <w:vAlign w:val="center"/>
          </w:tcPr>
          <w:p>
            <w:pPr>
              <w:jc w:val="center"/>
              <w:rPr>
                <w:rFonts w:hint="eastAsia"/>
                <w:sz w:val="24"/>
                <w:lang w:val="en-US" w:eastAsia="zh-CN"/>
              </w:rPr>
            </w:pPr>
          </w:p>
        </w:tc>
        <w:tc>
          <w:tcPr>
            <w:tcW w:w="956" w:type="dxa"/>
            <w:vMerge w:val="continue"/>
            <w:shd w:val="clear" w:color="auto" w:fill="auto"/>
            <w:vAlign w:val="center"/>
          </w:tcPr>
          <w:p>
            <w:pPr>
              <w:jc w:val="center"/>
              <w:rPr>
                <w:rFonts w:hint="eastAsia"/>
                <w:sz w:val="24"/>
                <w:lang w:val="en-US" w:eastAsia="zh-CN"/>
              </w:rPr>
            </w:pPr>
          </w:p>
        </w:tc>
        <w:tc>
          <w:tcPr>
            <w:tcW w:w="957" w:type="dxa"/>
            <w:shd w:val="clear" w:color="auto" w:fill="auto"/>
            <w:vAlign w:val="center"/>
          </w:tcPr>
          <w:p>
            <w:pPr>
              <w:jc w:val="center"/>
              <w:rPr>
                <w:rFonts w:hint="eastAsia"/>
                <w:sz w:val="24"/>
                <w:lang w:val="en-US" w:eastAsia="zh-CN"/>
              </w:rPr>
            </w:pPr>
            <w:r>
              <w:rPr>
                <w:rFonts w:hint="eastAsia"/>
                <w:sz w:val="24"/>
                <w:lang w:val="en-US" w:eastAsia="zh-CN"/>
              </w:rPr>
              <w:t>保温能耗</w:t>
            </w:r>
          </w:p>
        </w:tc>
        <w:tc>
          <w:tcPr>
            <w:tcW w:w="1909" w:type="dxa"/>
            <w:vMerge w:val="continue"/>
            <w:shd w:val="clear" w:color="auto" w:fill="auto"/>
            <w:vAlign w:val="center"/>
          </w:tcPr>
          <w:p>
            <w:pPr>
              <w:adjustRightInd w:val="0"/>
              <w:snapToGrid w:val="0"/>
              <w:jc w:val="center"/>
              <w:rPr>
                <w:rFonts w:ascii="Times New Roman" w:hAnsi="Times New Roman" w:eastAsia="仿宋_GB2312" w:cs="Times New Roman"/>
                <w:kern w:val="2"/>
                <w:sz w:val="32"/>
                <w:szCs w:val="21"/>
                <w:lang w:val="en-US" w:eastAsia="zh-CN" w:bidi="ar-SA"/>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21</w:t>
            </w:r>
          </w:p>
        </w:tc>
        <w:tc>
          <w:tcPr>
            <w:tcW w:w="1913" w:type="dxa"/>
            <w:gridSpan w:val="2"/>
            <w:shd w:val="clear" w:color="auto" w:fill="auto"/>
            <w:vAlign w:val="center"/>
          </w:tcPr>
          <w:p>
            <w:pPr>
              <w:jc w:val="center"/>
              <w:rPr>
                <w:rFonts w:hint="eastAsia"/>
                <w:sz w:val="24"/>
                <w:lang w:val="en-US" w:eastAsia="zh-CN"/>
              </w:rPr>
            </w:pPr>
            <w:r>
              <w:rPr>
                <w:sz w:val="24"/>
              </w:rPr>
              <w:t>端子骚扰电压（连续骚扰）</w:t>
            </w:r>
          </w:p>
        </w:tc>
        <w:tc>
          <w:tcPr>
            <w:tcW w:w="1909" w:type="dxa"/>
            <w:shd w:val="clear" w:color="auto" w:fill="auto"/>
            <w:vAlign w:val="center"/>
          </w:tcPr>
          <w:p>
            <w:pPr>
              <w:jc w:val="center"/>
              <w:rPr>
                <w:sz w:val="24"/>
                <w:lang w:val="en-US" w:eastAsia="zh-CN"/>
              </w:rPr>
            </w:pPr>
            <w:r>
              <w:rPr>
                <w:sz w:val="24"/>
              </w:rPr>
              <w:t>GB 4343.1-2018</w:t>
            </w: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22</w:t>
            </w:r>
          </w:p>
        </w:tc>
        <w:tc>
          <w:tcPr>
            <w:tcW w:w="1913" w:type="dxa"/>
            <w:gridSpan w:val="2"/>
            <w:shd w:val="clear" w:color="auto" w:fill="auto"/>
            <w:vAlign w:val="center"/>
          </w:tcPr>
          <w:p>
            <w:pPr>
              <w:jc w:val="center"/>
              <w:rPr>
                <w:rFonts w:hint="eastAsia"/>
                <w:sz w:val="24"/>
                <w:lang w:val="en-US" w:eastAsia="zh-CN"/>
              </w:rPr>
            </w:pPr>
            <w:r>
              <w:rPr>
                <w:sz w:val="24"/>
              </w:rPr>
              <w:t>骚扰功率、辐射骚扰</w:t>
            </w:r>
          </w:p>
        </w:tc>
        <w:tc>
          <w:tcPr>
            <w:tcW w:w="1909" w:type="dxa"/>
            <w:shd w:val="clear" w:color="auto" w:fill="auto"/>
            <w:vAlign w:val="center"/>
          </w:tcPr>
          <w:p>
            <w:pPr>
              <w:jc w:val="center"/>
              <w:rPr>
                <w:sz w:val="24"/>
                <w:lang w:val="en-US" w:eastAsia="zh-CN"/>
              </w:rPr>
            </w:pPr>
            <w:r>
              <w:rPr>
                <w:sz w:val="24"/>
              </w:rPr>
              <w:t>GB 4343.1-2018</w:t>
            </w: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spacing w:before="63"/>
              <w:ind w:left="8"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bl>
    <w:p>
      <w:pPr>
        <w:pStyle w:val="2"/>
        <w:ind w:firstLine="640" w:firstLineChars="200"/>
        <w:jc w:val="left"/>
      </w:pPr>
      <w:r>
        <w:rPr>
          <w:rFonts w:hint="eastAsia" w:ascii="Times New Roman" w:eastAsia="仿宋_GB2312" w:cs="Times New Roman"/>
          <w:color w:val="000000"/>
          <w:kern w:val="2"/>
          <w:sz w:val="32"/>
          <w:szCs w:val="32"/>
          <w:lang w:val="en-US" w:eastAsia="zh-CN" w:bidi="ar-SA"/>
        </w:rPr>
        <w:t>2</w:t>
      </w:r>
      <w:r>
        <w:rPr>
          <w:rFonts w:hint="eastAsia" w:ascii="Times New Roman" w:hAnsi="Times New Roman" w:eastAsia="仿宋_GB2312" w:cs="Times New Roman"/>
          <w:color w:val="000000"/>
          <w:kern w:val="2"/>
          <w:sz w:val="32"/>
          <w:szCs w:val="32"/>
          <w:lang w:val="en-US" w:eastAsia="zh-CN" w:bidi="ar-SA"/>
        </w:rPr>
        <w:t>、</w:t>
      </w:r>
      <w:r>
        <w:rPr>
          <w:rFonts w:hint="eastAsia" w:ascii="Times New Roman" w:eastAsia="仿宋_GB2312" w:cs="Times New Roman"/>
          <w:color w:val="000000"/>
          <w:kern w:val="2"/>
          <w:sz w:val="32"/>
          <w:szCs w:val="32"/>
          <w:lang w:val="en-US" w:eastAsia="zh-CN" w:bidi="ar-SA"/>
        </w:rPr>
        <w:t>除自动电饭锅以外的其他液体加热器</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default" w:eastAsia="仿宋_GB2312"/>
                <w:sz w:val="24"/>
                <w:lang w:val="en-US" w:eastAsia="zh-CN"/>
              </w:rPr>
            </w:pPr>
            <w:r>
              <w:rPr>
                <w:sz w:val="24"/>
              </w:rPr>
              <w:t>GB4706.</w:t>
            </w:r>
            <w:r>
              <w:rPr>
                <w:rFonts w:hint="eastAsia"/>
                <w:sz w:val="24"/>
                <w:lang w:val="en-US" w:eastAsia="zh-CN"/>
              </w:rPr>
              <w:t>19</w:t>
            </w:r>
            <w:r>
              <w:rPr>
                <w:sz w:val="24"/>
              </w:rPr>
              <w:t>-200</w:t>
            </w:r>
            <w:r>
              <w:rPr>
                <w:rFonts w:hint="eastAsia"/>
                <w:sz w:val="24"/>
                <w:lang w:val="en-US" w:eastAsia="zh-CN"/>
              </w:rPr>
              <w:t>8 GB4706.14-2008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p>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rPr>
          <w:rFonts w:hint="eastAsia" w:eastAsia="仿宋_GB2312"/>
          <w:lang w:eastAsia="zh-CN"/>
        </w:rPr>
      </w:pPr>
      <w:r>
        <w:t xml:space="preserve">GB 4706.1-2005 </w:t>
      </w:r>
      <w:r>
        <w:rPr>
          <w:rFonts w:hint="eastAsia"/>
          <w:lang w:eastAsia="zh-CN"/>
        </w:rPr>
        <w:t>《</w:t>
      </w:r>
      <w:r>
        <w:t>家用和类似用途电器的安全  第1部分：通用要求</w:t>
      </w:r>
      <w:r>
        <w:rPr>
          <w:rFonts w:hint="eastAsia"/>
          <w:lang w:eastAsia="zh-CN"/>
        </w:rPr>
        <w:t>》</w:t>
      </w:r>
    </w:p>
    <w:p>
      <w:pPr>
        <w:ind w:firstLine="640" w:firstLineChars="200"/>
        <w:rPr>
          <w:rFonts w:hint="eastAsia"/>
          <w:lang w:eastAsia="zh-CN"/>
        </w:rPr>
      </w:pPr>
      <w:r>
        <w:t xml:space="preserve">GB 4706.19-2008 </w:t>
      </w:r>
      <w:r>
        <w:rPr>
          <w:rFonts w:hint="eastAsia"/>
          <w:lang w:eastAsia="zh-CN"/>
        </w:rPr>
        <w:t>《</w:t>
      </w:r>
      <w:r>
        <w:t>家用和类似用途电器的安全  液体加热器的特殊要求</w:t>
      </w:r>
      <w:r>
        <w:rPr>
          <w:rFonts w:hint="eastAsia"/>
          <w:lang w:eastAsia="zh-CN"/>
        </w:rPr>
        <w:t>》</w:t>
      </w:r>
    </w:p>
    <w:p>
      <w:pPr>
        <w:ind w:firstLine="640" w:firstLineChars="200"/>
      </w:pPr>
      <w:r>
        <w:t>GB 4706.14-2008《家用和类似用途电器的安全 烤架、面包片烘烤器及类似用途便携式烹饪器具的特殊要求》</w:t>
      </w:r>
    </w:p>
    <w:p>
      <w:pPr>
        <w:ind w:firstLine="640" w:firstLineChars="200"/>
      </w:pPr>
      <w:r>
        <w:t xml:space="preserve">GB 4343.1-2018 </w:t>
      </w:r>
      <w:r>
        <w:rPr>
          <w:rFonts w:hint="eastAsia"/>
          <w:lang w:eastAsia="zh-CN"/>
        </w:rPr>
        <w:t>《</w:t>
      </w:r>
      <w:r>
        <w:t>家用电器、电动工具和类似器具的电磁兼容要求 第1部分：发射</w:t>
      </w:r>
      <w:r>
        <w:rPr>
          <w:rFonts w:hint="eastAsia"/>
          <w:lang w:eastAsia="zh-CN"/>
        </w:rPr>
        <w:t>》</w:t>
      </w:r>
    </w:p>
    <w:p>
      <w:pPr>
        <w:ind w:firstLine="640" w:firstLineChars="200"/>
        <w:rPr>
          <w:rFonts w:hint="eastAsia"/>
          <w:lang w:eastAsia="zh-CN"/>
        </w:rPr>
      </w:pPr>
      <w:r>
        <w:t xml:space="preserve">GB 12021.6-2017 </w:t>
      </w:r>
      <w:r>
        <w:rPr>
          <w:rFonts w:hint="eastAsia"/>
          <w:lang w:eastAsia="zh-CN"/>
        </w:rPr>
        <w:t>《</w:t>
      </w:r>
      <w:r>
        <w:t>电饭锅能效限定值及能效等级</w:t>
      </w:r>
      <w:r>
        <w:rPr>
          <w:rFonts w:hint="eastAsia"/>
          <w:lang w:eastAsia="zh-CN"/>
        </w:rPr>
        <w:t>》</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1C4005CA"/>
    <w:rsid w:val="285D1AB9"/>
    <w:rsid w:val="2FDD3057"/>
    <w:rsid w:val="38700B55"/>
    <w:rsid w:val="3AF40783"/>
    <w:rsid w:val="3BDB30BE"/>
    <w:rsid w:val="3F1B0BAF"/>
    <w:rsid w:val="4EB50C3A"/>
    <w:rsid w:val="50A7688F"/>
    <w:rsid w:val="52260B3F"/>
    <w:rsid w:val="52311561"/>
    <w:rsid w:val="54D07982"/>
    <w:rsid w:val="6525617E"/>
    <w:rsid w:val="669F1C94"/>
    <w:rsid w:val="6967341F"/>
    <w:rsid w:val="69D63FD1"/>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2024-07-05T02:42:35Z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