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cs="方正小标宋简体"/>
          <w:sz w:val="44"/>
          <w:szCs w:val="44"/>
          <w:lang w:val="en-US" w:eastAsia="zh-CN"/>
        </w:rPr>
        <w:t>中山市</w:t>
      </w:r>
      <w:r>
        <w:rPr>
          <w:rFonts w:hint="eastAsia" w:ascii="方正小标宋简体" w:hAnsi="方正小标宋简体" w:eastAsia="方正小标宋简体" w:cs="方正小标宋简体"/>
          <w:sz w:val="44"/>
          <w:szCs w:val="44"/>
          <w:lang w:val="en-US" w:eastAsia="zh-CN"/>
        </w:rPr>
        <w:t>摩托车乘员头盔、电动自行车头盔</w:t>
      </w:r>
    </w:p>
    <w:p>
      <w:pPr>
        <w:pStyle w:val="5"/>
        <w:bidi w:val="0"/>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sz w:val="44"/>
          <w:szCs w:val="44"/>
        </w:rPr>
        <w:t>产品质量监督抽查</w:t>
      </w:r>
      <w:r>
        <w:rPr>
          <w:rFonts w:hint="eastAsia" w:ascii="方正小标宋简体" w:hAnsi="方正小标宋简体" w:eastAsia="方正小标宋简体" w:cs="方正小标宋简体"/>
          <w:color w:val="auto"/>
          <w:sz w:val="44"/>
          <w:szCs w:val="44"/>
          <w:highlight w:val="none"/>
        </w:rPr>
        <w:t>实施细则</w:t>
      </w:r>
    </w:p>
    <w:p>
      <w:pPr>
        <w:bidi w:val="0"/>
        <w:adjustRightInd/>
        <w:snapToGrid/>
        <w:spacing w:line="560" w:lineRule="exact"/>
        <w:jc w:val="center"/>
        <w:rPr>
          <w:rFonts w:hint="default" w:ascii="Times New Roman" w:hAnsi="Times New Roman" w:eastAsia="仿宋_GB2312" w:cs="Times New Roman"/>
          <w:color w:val="auto"/>
          <w:sz w:val="32"/>
          <w:szCs w:val="32"/>
          <w:highlight w:val="none"/>
          <w:lang w:eastAsia="zh-CN"/>
        </w:rPr>
      </w:pPr>
      <w:bookmarkStart w:id="0" w:name="_GoBack"/>
      <w:bookmarkEnd w:id="0"/>
    </w:p>
    <w:p>
      <w:pPr>
        <w:bidi w:val="0"/>
        <w:adjustRightInd/>
        <w:snapToGrid/>
        <w:spacing w:line="560" w:lineRule="exact"/>
        <w:rPr>
          <w:rFonts w:hint="default" w:ascii="Times New Roman" w:hAnsi="Times New Roman" w:eastAsia="仿宋_GB2312" w:cs="Times New Roman"/>
          <w:color w:val="auto"/>
          <w:sz w:val="32"/>
          <w:szCs w:val="32"/>
          <w:highlight w:val="none"/>
        </w:rPr>
      </w:pP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000000"/>
          <w:sz w:val="32"/>
          <w:szCs w:val="32"/>
        </w:rPr>
        <w:t>每批次产品抽取样品4顶，其中2顶作为检验样品，2顶作为备用样品。</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2 检验依据</w:t>
      </w:r>
    </w:p>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70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结构</w:t>
            </w:r>
          </w:p>
        </w:tc>
        <w:tc>
          <w:tcPr>
            <w:tcW w:w="2835"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壳体a</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70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2835"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缓冲层b</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709"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p>
        </w:tc>
        <w:tc>
          <w:tcPr>
            <w:tcW w:w="2835"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佩戴装置</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视野</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护目镜</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表面摩擦力</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固定装置稳定性</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佩戴装置强度</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7</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吸收碰撞能量c</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8</w:t>
            </w:r>
          </w:p>
        </w:tc>
        <w:tc>
          <w:tcPr>
            <w:tcW w:w="354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耐穿透c</w:t>
            </w:r>
          </w:p>
        </w:tc>
        <w:tc>
          <w:tcPr>
            <w:tcW w:w="4536"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9"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注：a 壳体不测5.1.2.2.b），5.1.2.2.d）反光材料只测总面积和左、右、后三个方向可见；</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b 缓冲层只测5.1.3 b）；</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c 环境前处理采用低温。</w:t>
            </w:r>
          </w:p>
        </w:tc>
      </w:tr>
    </w:tbl>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811</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2022 摩托车、电动自行车乘员头盔</w:t>
      </w:r>
    </w:p>
    <w:p>
      <w:pPr>
        <w:bidi w:val="0"/>
        <w:adjustRightInd/>
        <w:snapToGrid/>
        <w:spacing w:line="560" w:lineRule="exact"/>
        <w:ind w:firstLine="59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11"/>
          <w:sz w:val="32"/>
          <w:szCs w:val="32"/>
        </w:rPr>
        <w:t>现行有效的企业标准、团体标准、地方标准及产品明示质量</w:t>
      </w:r>
      <w:r>
        <w:rPr>
          <w:rFonts w:hint="default" w:ascii="Times New Roman" w:hAnsi="Times New Roman" w:eastAsia="仿宋_GB2312" w:cs="Times New Roman"/>
          <w:color w:val="000000"/>
          <w:sz w:val="32"/>
          <w:szCs w:val="32"/>
        </w:rPr>
        <w:t>要求</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C668A5"/>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C668A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2024-07-09T03:46:00Z</dcterms:created>
  <dc:creator>Administrator</dc:creator>
  <cp:lastModifiedBy>Administrator</cp:lastModifiedBy>
  <dcterms:modified xsi:type="dcterms:W3CDTF">2024-07-09T03:46:33Z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BABEB22380164E9FB6A4F0D8BC7D134F</vt:lpwstr>
  </property>
</Properties>
</file>