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中山市电熨斗</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left"/>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电熨斗。</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rFonts w:hint="eastAsia" w:eastAsia="仿宋_GB2312"/>
                <w:sz w:val="24"/>
                <w:lang w:eastAsia="zh-CN"/>
              </w:rPr>
            </w:pPr>
            <w:r>
              <w:rPr>
                <w:sz w:val="24"/>
              </w:rPr>
              <w:t>GB 4706.</w:t>
            </w:r>
            <w:r>
              <w:rPr>
                <w:rFonts w:hint="eastAsia"/>
                <w:sz w:val="24"/>
                <w:lang w:val="en-US" w:eastAsia="zh-CN"/>
              </w:rPr>
              <w:t>2</w:t>
            </w:r>
            <w:r>
              <w:rPr>
                <w:sz w:val="24"/>
              </w:rPr>
              <w:t>-200</w:t>
            </w:r>
            <w:r>
              <w:rPr>
                <w:rFonts w:hint="eastAsia"/>
                <w:sz w:val="24"/>
                <w:lang w:val="en-US" w:eastAsia="zh-CN"/>
              </w:rPr>
              <w:t>7</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bookmarkStart w:id="0" w:name="_GoBack"/>
            <w:bookmarkEnd w:id="0"/>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ascii="Times New Roman" w:hAnsi="Times New Roman" w:eastAsia="仿宋_GB2312" w:cs="Times New Roman"/>
                <w:kern w:val="2"/>
                <w:sz w:val="24"/>
                <w:szCs w:val="24"/>
                <w:lang w:val="en-US" w:eastAsia="zh-CN" w:bidi="ar-SA"/>
              </w:rPr>
            </w:pPr>
            <w:r>
              <w:rPr>
                <w:rFonts w:hint="eastAsia"/>
                <w:sz w:val="24"/>
                <w:lang w:val="en-US" w:eastAsia="zh-CN"/>
              </w:rPr>
              <w:t>19</w:t>
            </w:r>
          </w:p>
        </w:tc>
        <w:tc>
          <w:tcPr>
            <w:tcW w:w="1913" w:type="dxa"/>
            <w:shd w:val="clear" w:color="auto" w:fill="auto"/>
            <w:vAlign w:val="center"/>
          </w:tcPr>
          <w:p>
            <w:pPr>
              <w:jc w:val="center"/>
              <w:rPr>
                <w:sz w:val="24"/>
              </w:rPr>
            </w:pPr>
            <w:r>
              <w:rPr>
                <w:sz w:val="24"/>
              </w:rPr>
              <w:t>连续骚扰电压</w:t>
            </w:r>
          </w:p>
        </w:tc>
        <w:tc>
          <w:tcPr>
            <w:tcW w:w="1909" w:type="dxa"/>
            <w:vMerge w:val="restart"/>
            <w:shd w:val="clear" w:color="auto" w:fill="auto"/>
            <w:vAlign w:val="center"/>
          </w:tcPr>
          <w:p>
            <w:pPr>
              <w:jc w:val="center"/>
              <w:rPr>
                <w:sz w:val="24"/>
              </w:rPr>
            </w:pPr>
            <w:r>
              <w:rPr>
                <w:sz w:val="24"/>
              </w:rPr>
              <w:t>GB 4343.1-2018</w:t>
            </w:r>
          </w:p>
          <w:p>
            <w:pPr>
              <w:pStyle w:val="2"/>
              <w:rPr>
                <w:rFonts w:ascii="Times New Roman"/>
              </w:rPr>
            </w:pPr>
            <w:r>
              <w:rPr>
                <w:rFonts w:ascii="Times New Roman" w:eastAsia="仿宋_GB2312"/>
                <w:kern w:val="2"/>
                <w:sz w:val="24"/>
              </w:rPr>
              <w:t>GB 4343.1-2009</w:t>
            </w: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20</w:t>
            </w:r>
          </w:p>
        </w:tc>
        <w:tc>
          <w:tcPr>
            <w:tcW w:w="1913" w:type="dxa"/>
            <w:shd w:val="clear" w:color="auto" w:fill="auto"/>
            <w:vAlign w:val="center"/>
          </w:tcPr>
          <w:p>
            <w:pPr>
              <w:jc w:val="center"/>
              <w:rPr>
                <w:sz w:val="24"/>
              </w:rPr>
            </w:pPr>
            <w:r>
              <w:rPr>
                <w:sz w:val="24"/>
              </w:rPr>
              <w:t>骚扰功率、辐射骚扰</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注：由于执行标准GB 4343.1-2018于2018年5月14日发布，2020年6月1日实施，故生产日期在2018年5月14日以前的用GB 4343.1-2009标准；2018年5月14日～2020年6月1日之间的用使用说明书、证书明示的标准版本；在2020年6月1日以后的用GB 4343.1-2018标准。</w:t>
      </w:r>
    </w:p>
    <w:p>
      <w:pPr>
        <w:adjustRightInd w:val="0"/>
        <w:snapToGrid w:val="0"/>
        <w:ind w:firstLine="480" w:firstLineChars="200"/>
        <w:jc w:val="left"/>
        <w:rPr>
          <w:rFonts w:eastAsia="仿宋"/>
          <w:color w:val="000000"/>
          <w:sz w:val="24"/>
        </w:rPr>
      </w:pPr>
      <w:r>
        <w:rPr>
          <w:rFonts w:eastAsia="仿宋"/>
          <w:color w:val="000000"/>
          <w:sz w:val="24"/>
        </w:rPr>
        <w:t>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pPr>
      <w:r>
        <w:t>GB 4706.</w:t>
      </w:r>
      <w:r>
        <w:rPr>
          <w:rFonts w:hint="eastAsia"/>
          <w:lang w:val="en-US" w:eastAsia="zh-CN"/>
        </w:rPr>
        <w:t>2</w:t>
      </w:r>
      <w:r>
        <w:t>-200</w:t>
      </w:r>
      <w:r>
        <w:rPr>
          <w:rFonts w:hint="eastAsia"/>
          <w:lang w:val="en-US" w:eastAsia="zh-CN"/>
        </w:rPr>
        <w:t>7</w:t>
      </w:r>
      <w:r>
        <w:t>《家用和类似用途电器的安全第2部分:</w:t>
      </w:r>
      <w:r>
        <w:rPr>
          <w:rFonts w:hint="default"/>
        </w:rPr>
        <w:t>电熨斗的特殊要求 </w:t>
      </w:r>
      <w:r>
        <w:t>》</w:t>
      </w:r>
    </w:p>
    <w:p>
      <w:pPr>
        <w:ind w:firstLine="640" w:firstLineChars="200"/>
      </w:pPr>
      <w:r>
        <w:t>GB 4343.1-2009《家用电器、电动工具和类似器具的电磁兼容要求 第1部分：发射》</w:t>
      </w:r>
    </w:p>
    <w:p>
      <w:pPr>
        <w:ind w:firstLine="640" w:firstLineChars="200"/>
      </w:pPr>
      <w:r>
        <w:t>GB 4343.1-2018《家用电器、电动工具和类似器具的电磁兼容要求 第1部分：发射》</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38074F"/>
    <w:rsid w:val="14AA2E75"/>
    <w:rsid w:val="15631434"/>
    <w:rsid w:val="17751B8E"/>
    <w:rsid w:val="20F068E2"/>
    <w:rsid w:val="38700B55"/>
    <w:rsid w:val="3F1B0BAF"/>
    <w:rsid w:val="4EB50C3A"/>
    <w:rsid w:val="50A7688F"/>
    <w:rsid w:val="52260B3F"/>
    <w:rsid w:val="54D07982"/>
    <w:rsid w:val="6525617E"/>
    <w:rsid w:val="669F1C94"/>
    <w:rsid w:val="66C253A3"/>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2</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2022-06-17T02:21:01Z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