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D66" w:rsidRDefault="004035AD">
      <w:pPr>
        <w:spacing w:line="590" w:lineRule="exact"/>
        <w:jc w:val="center"/>
        <w:rPr>
          <w:rFonts w:eastAsia="方正小标宋简体"/>
          <w:spacing w:val="-1"/>
          <w:position w:val="1"/>
          <w:sz w:val="44"/>
          <w:szCs w:val="44"/>
        </w:rPr>
      </w:pPr>
      <w:r>
        <w:rPr>
          <w:rFonts w:eastAsia="方正小标宋简体" w:hint="eastAsia"/>
          <w:spacing w:val="-1"/>
          <w:position w:val="1"/>
          <w:sz w:val="44"/>
          <w:szCs w:val="44"/>
        </w:rPr>
        <w:t>中山市</w:t>
      </w:r>
      <w:r w:rsidR="001B4C0E">
        <w:rPr>
          <w:rFonts w:eastAsia="方正小标宋简体" w:hint="eastAsia"/>
          <w:spacing w:val="-1"/>
          <w:position w:val="1"/>
          <w:sz w:val="44"/>
          <w:szCs w:val="44"/>
        </w:rPr>
        <w:t>船用燃料</w:t>
      </w:r>
      <w:r w:rsidR="006635D6">
        <w:rPr>
          <w:rFonts w:eastAsia="方正小标宋简体" w:hint="eastAsia"/>
          <w:spacing w:val="-1"/>
          <w:position w:val="1"/>
          <w:sz w:val="44"/>
          <w:szCs w:val="44"/>
        </w:rPr>
        <w:t>油</w:t>
      </w:r>
      <w:r>
        <w:rPr>
          <w:rFonts w:eastAsia="方正小标宋简体"/>
          <w:spacing w:val="-1"/>
          <w:position w:val="1"/>
          <w:sz w:val="44"/>
          <w:szCs w:val="44"/>
        </w:rPr>
        <w:t>产品质量</w:t>
      </w:r>
    </w:p>
    <w:p w:rsidR="00C31D66" w:rsidRDefault="004035AD">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rsidR="00C31D66" w:rsidRDefault="00C31D66">
      <w:pPr>
        <w:pStyle w:val="1"/>
        <w:jc w:val="both"/>
        <w:rPr>
          <w:rFonts w:ascii="Times New Roman"/>
        </w:rPr>
      </w:pPr>
    </w:p>
    <w:p w:rsidR="00C31D66" w:rsidRDefault="004035AD">
      <w:pPr>
        <w:ind w:firstLineChars="200" w:firstLine="640"/>
        <w:rPr>
          <w:rFonts w:eastAsia="黑体"/>
          <w:color w:val="000000"/>
          <w:szCs w:val="32"/>
        </w:rPr>
      </w:pPr>
      <w:r>
        <w:rPr>
          <w:rFonts w:eastAsia="黑体"/>
          <w:color w:val="000000"/>
          <w:szCs w:val="32"/>
        </w:rPr>
        <w:t>一、抽样方法</w:t>
      </w:r>
    </w:p>
    <w:p w:rsidR="00C31D66" w:rsidRDefault="004035AD">
      <w:pPr>
        <w:widowControl/>
        <w:ind w:firstLineChars="200" w:firstLine="640"/>
        <w:rPr>
          <w:szCs w:val="32"/>
        </w:rPr>
      </w:pPr>
      <w:r>
        <w:rPr>
          <w:kern w:val="0"/>
          <w:szCs w:val="32"/>
        </w:rPr>
        <w:t>以随机抽样的方式在被抽</w:t>
      </w:r>
      <w:r>
        <w:rPr>
          <w:color w:val="000000"/>
          <w:szCs w:val="21"/>
        </w:rPr>
        <w:t>样生产者、销售者</w:t>
      </w:r>
      <w:r>
        <w:rPr>
          <w:kern w:val="0"/>
          <w:szCs w:val="32"/>
        </w:rPr>
        <w:t>的待销产品中抽取。</w:t>
      </w:r>
    </w:p>
    <w:p w:rsidR="00C31D66" w:rsidRDefault="004035AD">
      <w:pPr>
        <w:widowControl/>
        <w:ind w:firstLineChars="200" w:firstLine="640"/>
        <w:rPr>
          <w:szCs w:val="32"/>
        </w:rPr>
      </w:pPr>
      <w:r>
        <w:rPr>
          <w:color w:val="333333"/>
          <w:kern w:val="0"/>
          <w:szCs w:val="32"/>
        </w:rPr>
        <w:t>随机数一般可使用随机数表等方法产生。</w:t>
      </w:r>
    </w:p>
    <w:p w:rsidR="00C31D66" w:rsidRDefault="004035AD">
      <w:pPr>
        <w:ind w:firstLineChars="200" w:firstLine="640"/>
        <w:rPr>
          <w:rFonts w:cs="仿宋_GB2312"/>
          <w:color w:val="000000"/>
          <w:szCs w:val="32"/>
        </w:rPr>
      </w:pPr>
      <w:r>
        <w:rPr>
          <w:color w:val="000000"/>
          <w:szCs w:val="32"/>
        </w:rPr>
        <w:t>抽查数量：每款产品抽取</w:t>
      </w:r>
      <w:r>
        <w:rPr>
          <w:color w:val="000000"/>
          <w:szCs w:val="32"/>
        </w:rPr>
        <w:t>2</w:t>
      </w:r>
      <w:r>
        <w:rPr>
          <w:color w:val="000000"/>
          <w:szCs w:val="32"/>
        </w:rPr>
        <w:t>组样本，第</w:t>
      </w:r>
      <w:r>
        <w:rPr>
          <w:color w:val="000000"/>
          <w:szCs w:val="32"/>
        </w:rPr>
        <w:t>1</w:t>
      </w:r>
      <w:r>
        <w:rPr>
          <w:color w:val="000000"/>
          <w:szCs w:val="32"/>
        </w:rPr>
        <w:t>组用于检验，第</w:t>
      </w:r>
      <w:r>
        <w:rPr>
          <w:color w:val="000000"/>
          <w:szCs w:val="32"/>
        </w:rPr>
        <w:t>2</w:t>
      </w:r>
      <w:r>
        <w:rPr>
          <w:color w:val="000000"/>
          <w:szCs w:val="32"/>
        </w:rPr>
        <w:t>组用于备样。其中第</w:t>
      </w:r>
      <w:r>
        <w:rPr>
          <w:rFonts w:hint="eastAsia"/>
          <w:color w:val="000000"/>
          <w:szCs w:val="32"/>
        </w:rPr>
        <w:t>1</w:t>
      </w:r>
      <w:r>
        <w:rPr>
          <w:rFonts w:hint="eastAsia"/>
          <w:color w:val="000000"/>
          <w:szCs w:val="32"/>
        </w:rPr>
        <w:t>组抽取样品</w:t>
      </w:r>
      <w:r>
        <w:rPr>
          <w:rFonts w:hint="eastAsia"/>
          <w:color w:val="000000"/>
          <w:szCs w:val="32"/>
        </w:rPr>
        <w:t>2</w:t>
      </w:r>
      <w:r>
        <w:rPr>
          <w:rFonts w:hint="eastAsia"/>
          <w:color w:val="000000"/>
          <w:szCs w:val="32"/>
        </w:rPr>
        <w:t>个，</w:t>
      </w:r>
      <w:r>
        <w:rPr>
          <w:rFonts w:cs="仿宋_GB2312" w:hint="eastAsia"/>
          <w:color w:val="000000"/>
          <w:szCs w:val="32"/>
        </w:rPr>
        <w:t>第</w:t>
      </w:r>
      <w:r>
        <w:rPr>
          <w:rFonts w:cs="仿宋_GB2312" w:hint="eastAsia"/>
          <w:color w:val="000000"/>
          <w:szCs w:val="32"/>
        </w:rPr>
        <w:t>2</w:t>
      </w:r>
      <w:r>
        <w:rPr>
          <w:rFonts w:cs="仿宋_GB2312" w:hint="eastAsia"/>
          <w:color w:val="000000"/>
          <w:szCs w:val="32"/>
        </w:rPr>
        <w:t>组抽取样品</w:t>
      </w:r>
      <w:r>
        <w:rPr>
          <w:rFonts w:cs="仿宋_GB2312" w:hint="eastAsia"/>
          <w:color w:val="000000"/>
          <w:szCs w:val="32"/>
        </w:rPr>
        <w:t>1</w:t>
      </w:r>
      <w:r>
        <w:rPr>
          <w:rFonts w:cs="仿宋_GB2312" w:hint="eastAsia"/>
          <w:color w:val="000000"/>
          <w:szCs w:val="32"/>
        </w:rPr>
        <w:t>个。</w:t>
      </w:r>
      <w:r w:rsidR="006635D6">
        <w:rPr>
          <w:rFonts w:cs="仿宋_GB2312" w:hint="eastAsia"/>
          <w:color w:val="000000"/>
          <w:szCs w:val="32"/>
        </w:rPr>
        <w:t>每组不小于</w:t>
      </w:r>
      <w:r w:rsidR="006635D6">
        <w:rPr>
          <w:rFonts w:cs="仿宋_GB2312" w:hint="eastAsia"/>
          <w:color w:val="000000"/>
          <w:szCs w:val="32"/>
        </w:rPr>
        <w:t>2L</w:t>
      </w:r>
      <w:r w:rsidR="006635D6">
        <w:rPr>
          <w:rFonts w:cs="仿宋_GB2312" w:hint="eastAsia"/>
          <w:color w:val="000000"/>
          <w:szCs w:val="32"/>
        </w:rPr>
        <w:t>。</w:t>
      </w:r>
    </w:p>
    <w:p w:rsidR="00C31D66" w:rsidRDefault="004035AD">
      <w:pPr>
        <w:ind w:firstLineChars="200" w:firstLine="640"/>
        <w:rPr>
          <w:rFonts w:eastAsia="黑体" w:hint="eastAsia"/>
          <w:color w:val="000000"/>
          <w:szCs w:val="32"/>
        </w:rPr>
      </w:pPr>
      <w:r>
        <w:rPr>
          <w:rFonts w:eastAsia="黑体"/>
          <w:color w:val="000000"/>
          <w:szCs w:val="32"/>
        </w:rPr>
        <w:t>二、主要检验项目及检验项目属性划分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1418"/>
        <w:gridCol w:w="2599"/>
        <w:gridCol w:w="708"/>
        <w:gridCol w:w="709"/>
        <w:gridCol w:w="709"/>
        <w:gridCol w:w="709"/>
        <w:gridCol w:w="737"/>
      </w:tblGrid>
      <w:tr w:rsidR="00AC0328" w:rsidTr="00ED4E91">
        <w:trPr>
          <w:cantSplit/>
          <w:trHeight w:val="661"/>
          <w:jc w:val="center"/>
        </w:trPr>
        <w:tc>
          <w:tcPr>
            <w:tcW w:w="702"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序号</w:t>
            </w:r>
          </w:p>
        </w:tc>
        <w:tc>
          <w:tcPr>
            <w:tcW w:w="1418"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检验项目</w:t>
            </w:r>
          </w:p>
        </w:tc>
        <w:tc>
          <w:tcPr>
            <w:tcW w:w="2599"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依据法律法规或标准</w:t>
            </w:r>
          </w:p>
        </w:tc>
        <w:tc>
          <w:tcPr>
            <w:tcW w:w="708"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强制性</w:t>
            </w:r>
          </w:p>
        </w:tc>
        <w:tc>
          <w:tcPr>
            <w:tcW w:w="709"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非强制性</w:t>
            </w:r>
          </w:p>
        </w:tc>
        <w:tc>
          <w:tcPr>
            <w:tcW w:w="709"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重要项</w:t>
            </w:r>
          </w:p>
        </w:tc>
        <w:tc>
          <w:tcPr>
            <w:tcW w:w="709"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较重要项</w:t>
            </w:r>
          </w:p>
        </w:tc>
        <w:tc>
          <w:tcPr>
            <w:tcW w:w="737" w:type="dxa"/>
            <w:vAlign w:val="center"/>
          </w:tcPr>
          <w:p w:rsidR="00AC0328" w:rsidRDefault="00AC0328" w:rsidP="00ED4E91">
            <w:pPr>
              <w:snapToGrid w:val="0"/>
              <w:spacing w:line="240" w:lineRule="exact"/>
              <w:jc w:val="center"/>
              <w:rPr>
                <w:b/>
                <w:bCs/>
                <w:sz w:val="21"/>
                <w:szCs w:val="21"/>
              </w:rPr>
            </w:pPr>
            <w:r>
              <w:rPr>
                <w:rFonts w:cs="仿宋_GB2312" w:hint="eastAsia"/>
                <w:b/>
                <w:bCs/>
                <w:sz w:val="21"/>
                <w:szCs w:val="21"/>
              </w:rPr>
              <w:t>次要项</w:t>
            </w: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1</w:t>
            </w:r>
          </w:p>
        </w:tc>
        <w:tc>
          <w:tcPr>
            <w:tcW w:w="1418" w:type="dxa"/>
            <w:vAlign w:val="center"/>
          </w:tcPr>
          <w:p w:rsidR="00AC0328" w:rsidRPr="00AC0328" w:rsidRDefault="00AC0328" w:rsidP="00ED4E91">
            <w:pPr>
              <w:adjustRightInd w:val="0"/>
              <w:snapToGrid w:val="0"/>
              <w:jc w:val="center"/>
              <w:rPr>
                <w:sz w:val="24"/>
              </w:rPr>
            </w:pPr>
            <w:r w:rsidRPr="00AC0328">
              <w:rPr>
                <w:rFonts w:cs="仿宋_GB2312" w:hint="eastAsia"/>
                <w:sz w:val="24"/>
              </w:rPr>
              <w:t>硫含量</w:t>
            </w:r>
          </w:p>
        </w:tc>
        <w:tc>
          <w:tcPr>
            <w:tcW w:w="2599" w:type="dxa"/>
            <w:vMerge w:val="restart"/>
            <w:vAlign w:val="center"/>
          </w:tcPr>
          <w:p w:rsidR="00AC0328" w:rsidRDefault="00AC0328" w:rsidP="00AC0328">
            <w:pPr>
              <w:adjustRightInd w:val="0"/>
              <w:snapToGrid w:val="0"/>
              <w:spacing w:before="100" w:beforeAutospacing="1" w:after="100" w:afterAutospacing="1" w:line="240" w:lineRule="exact"/>
              <w:jc w:val="center"/>
              <w:rPr>
                <w:sz w:val="21"/>
                <w:szCs w:val="21"/>
              </w:rPr>
            </w:pPr>
            <w:r>
              <w:rPr>
                <w:sz w:val="21"/>
                <w:szCs w:val="21"/>
              </w:rPr>
              <w:t>GB 1</w:t>
            </w:r>
            <w:bookmarkStart w:id="0" w:name="_GoBack"/>
            <w:bookmarkEnd w:id="0"/>
            <w:r>
              <w:rPr>
                <w:sz w:val="21"/>
                <w:szCs w:val="21"/>
              </w:rPr>
              <w:t>7411-2015</w:t>
            </w: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jc w:val="center"/>
              <w:rPr>
                <w:sz w:val="21"/>
                <w:szCs w:val="21"/>
              </w:rPr>
            </w:pP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2</w:t>
            </w:r>
          </w:p>
        </w:tc>
        <w:tc>
          <w:tcPr>
            <w:tcW w:w="1418" w:type="dxa"/>
            <w:vAlign w:val="center"/>
          </w:tcPr>
          <w:p w:rsidR="00AC0328" w:rsidRPr="00AC0328" w:rsidRDefault="00AC0328" w:rsidP="00ED4E91">
            <w:pPr>
              <w:adjustRightInd w:val="0"/>
              <w:snapToGrid w:val="0"/>
              <w:jc w:val="center"/>
              <w:rPr>
                <w:sz w:val="24"/>
              </w:rPr>
            </w:pPr>
            <w:r w:rsidRPr="00AC0328">
              <w:rPr>
                <w:rFonts w:cs="仿宋_GB2312" w:hint="eastAsia"/>
                <w:sz w:val="24"/>
              </w:rPr>
              <w:t>运动黏度</w:t>
            </w:r>
          </w:p>
        </w:tc>
        <w:tc>
          <w:tcPr>
            <w:tcW w:w="2599" w:type="dxa"/>
            <w:vMerge/>
            <w:vAlign w:val="center"/>
          </w:tcPr>
          <w:p w:rsidR="00AC0328" w:rsidRDefault="00AC0328" w:rsidP="00AC0328">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3</w:t>
            </w:r>
          </w:p>
        </w:tc>
        <w:tc>
          <w:tcPr>
            <w:tcW w:w="1418" w:type="dxa"/>
            <w:vAlign w:val="center"/>
          </w:tcPr>
          <w:p w:rsidR="00AC0328" w:rsidRPr="00AC0328" w:rsidRDefault="00AC0328" w:rsidP="00ED4E91">
            <w:pPr>
              <w:spacing w:before="60" w:after="60" w:line="280" w:lineRule="exact"/>
              <w:jc w:val="left"/>
              <w:rPr>
                <w:sz w:val="24"/>
              </w:rPr>
            </w:pPr>
            <w:r w:rsidRPr="00AC0328">
              <w:rPr>
                <w:rFonts w:cs="仿宋_GB2312" w:hint="eastAsia"/>
                <w:sz w:val="24"/>
              </w:rPr>
              <w:t>闪点（闭口）</w:t>
            </w:r>
          </w:p>
        </w:tc>
        <w:tc>
          <w:tcPr>
            <w:tcW w:w="2599" w:type="dxa"/>
            <w:vMerge/>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jc w:val="center"/>
              <w:rPr>
                <w:sz w:val="21"/>
                <w:szCs w:val="21"/>
              </w:rPr>
            </w:pP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4</w:t>
            </w:r>
          </w:p>
        </w:tc>
        <w:tc>
          <w:tcPr>
            <w:tcW w:w="1418" w:type="dxa"/>
            <w:vAlign w:val="center"/>
          </w:tcPr>
          <w:p w:rsidR="00AC0328" w:rsidRPr="00AC0328" w:rsidRDefault="00AC0328" w:rsidP="00ED4E91">
            <w:pPr>
              <w:adjustRightInd w:val="0"/>
              <w:snapToGrid w:val="0"/>
              <w:jc w:val="center"/>
              <w:rPr>
                <w:sz w:val="24"/>
              </w:rPr>
            </w:pPr>
            <w:r w:rsidRPr="00AC0328">
              <w:rPr>
                <w:rFonts w:cs="仿宋_GB2312" w:hint="eastAsia"/>
                <w:sz w:val="24"/>
              </w:rPr>
              <w:t>密度</w:t>
            </w:r>
          </w:p>
        </w:tc>
        <w:tc>
          <w:tcPr>
            <w:tcW w:w="2599" w:type="dxa"/>
            <w:vMerge/>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5</w:t>
            </w:r>
          </w:p>
        </w:tc>
        <w:tc>
          <w:tcPr>
            <w:tcW w:w="1418" w:type="dxa"/>
            <w:vAlign w:val="center"/>
          </w:tcPr>
          <w:p w:rsidR="00AC0328" w:rsidRPr="00AC0328" w:rsidRDefault="00AC0328" w:rsidP="00ED4E91">
            <w:pPr>
              <w:adjustRightInd w:val="0"/>
              <w:snapToGrid w:val="0"/>
              <w:jc w:val="center"/>
              <w:rPr>
                <w:sz w:val="24"/>
              </w:rPr>
            </w:pPr>
            <w:r w:rsidRPr="00AC0328">
              <w:rPr>
                <w:rFonts w:cs="仿宋_GB2312" w:hint="eastAsia"/>
                <w:sz w:val="24"/>
              </w:rPr>
              <w:t>倾点</w:t>
            </w:r>
          </w:p>
        </w:tc>
        <w:tc>
          <w:tcPr>
            <w:tcW w:w="2599" w:type="dxa"/>
            <w:vMerge/>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6</w:t>
            </w:r>
          </w:p>
        </w:tc>
        <w:tc>
          <w:tcPr>
            <w:tcW w:w="1418" w:type="dxa"/>
            <w:vAlign w:val="center"/>
          </w:tcPr>
          <w:p w:rsidR="00AC0328" w:rsidRPr="00AC0328" w:rsidRDefault="00AC0328" w:rsidP="00ED4E91">
            <w:pPr>
              <w:adjustRightInd w:val="0"/>
              <w:snapToGrid w:val="0"/>
              <w:jc w:val="center"/>
              <w:rPr>
                <w:sz w:val="24"/>
              </w:rPr>
            </w:pPr>
            <w:r w:rsidRPr="00AC0328">
              <w:rPr>
                <w:sz w:val="24"/>
              </w:rPr>
              <w:t>10%</w:t>
            </w:r>
            <w:proofErr w:type="gramStart"/>
            <w:r w:rsidRPr="00AC0328">
              <w:rPr>
                <w:rFonts w:cs="仿宋_GB2312" w:hint="eastAsia"/>
                <w:sz w:val="24"/>
              </w:rPr>
              <w:t>蒸余物残炭</w:t>
            </w:r>
            <w:proofErr w:type="gramEnd"/>
            <w:r w:rsidRPr="00AC0328">
              <w:rPr>
                <w:sz w:val="24"/>
              </w:rPr>
              <w:t>/</w:t>
            </w:r>
            <w:r w:rsidRPr="00AC0328">
              <w:rPr>
                <w:rFonts w:cs="仿宋_GB2312" w:hint="eastAsia"/>
                <w:sz w:val="24"/>
              </w:rPr>
              <w:t>残炭</w:t>
            </w:r>
          </w:p>
        </w:tc>
        <w:tc>
          <w:tcPr>
            <w:tcW w:w="2599" w:type="dxa"/>
            <w:vMerge/>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37" w:type="dxa"/>
            <w:vAlign w:val="center"/>
          </w:tcPr>
          <w:p w:rsidR="00AC0328" w:rsidRDefault="00AC0328" w:rsidP="00ED4E91">
            <w:pPr>
              <w:spacing w:line="240" w:lineRule="exact"/>
              <w:jc w:val="center"/>
              <w:rPr>
                <w:sz w:val="21"/>
                <w:szCs w:val="21"/>
              </w:rPr>
            </w:pPr>
          </w:p>
        </w:tc>
      </w:tr>
      <w:tr w:rsidR="00AC0328" w:rsidTr="00AC0328">
        <w:trPr>
          <w:cantSplit/>
          <w:trHeight w:val="567"/>
          <w:jc w:val="center"/>
        </w:trPr>
        <w:tc>
          <w:tcPr>
            <w:tcW w:w="702" w:type="dxa"/>
            <w:vAlign w:val="center"/>
          </w:tcPr>
          <w:p w:rsidR="00AC0328" w:rsidRDefault="00AC0328" w:rsidP="00ED4E91">
            <w:pPr>
              <w:widowControl/>
              <w:spacing w:line="240" w:lineRule="exact"/>
              <w:jc w:val="center"/>
              <w:rPr>
                <w:sz w:val="21"/>
                <w:szCs w:val="21"/>
              </w:rPr>
            </w:pPr>
            <w:r>
              <w:rPr>
                <w:sz w:val="21"/>
                <w:szCs w:val="21"/>
              </w:rPr>
              <w:t>7</w:t>
            </w:r>
          </w:p>
        </w:tc>
        <w:tc>
          <w:tcPr>
            <w:tcW w:w="1418" w:type="dxa"/>
            <w:vAlign w:val="center"/>
          </w:tcPr>
          <w:p w:rsidR="00AC0328" w:rsidRPr="00AC0328" w:rsidRDefault="00AC0328" w:rsidP="00ED4E91">
            <w:pPr>
              <w:adjustRightInd w:val="0"/>
              <w:snapToGrid w:val="0"/>
              <w:jc w:val="center"/>
              <w:rPr>
                <w:sz w:val="24"/>
              </w:rPr>
            </w:pPr>
            <w:r w:rsidRPr="00AC0328">
              <w:rPr>
                <w:rFonts w:cs="仿宋_GB2312" w:hint="eastAsia"/>
                <w:sz w:val="24"/>
              </w:rPr>
              <w:t>酸值</w:t>
            </w:r>
          </w:p>
        </w:tc>
        <w:tc>
          <w:tcPr>
            <w:tcW w:w="2599" w:type="dxa"/>
            <w:vMerge/>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8" w:type="dxa"/>
            <w:vAlign w:val="center"/>
          </w:tcPr>
          <w:p w:rsidR="00AC0328" w:rsidRDefault="00AC0328" w:rsidP="00ED4E91">
            <w:pPr>
              <w:jc w:val="center"/>
              <w:rPr>
                <w:sz w:val="21"/>
                <w:szCs w:val="21"/>
              </w:rPr>
            </w:pPr>
            <w:r>
              <w:rPr>
                <w:sz w:val="21"/>
                <w:szCs w:val="21"/>
              </w:rPr>
              <w:t>●</w:t>
            </w:r>
          </w:p>
        </w:tc>
        <w:tc>
          <w:tcPr>
            <w:tcW w:w="709" w:type="dxa"/>
            <w:vAlign w:val="center"/>
          </w:tcPr>
          <w:p w:rsidR="00AC0328" w:rsidRDefault="00AC0328" w:rsidP="00ED4E91">
            <w:pPr>
              <w:widowControl/>
              <w:adjustRightInd w:val="0"/>
              <w:snapToGrid w:val="0"/>
              <w:spacing w:before="100" w:beforeAutospacing="1" w:after="100" w:afterAutospacing="1" w:line="240" w:lineRule="exact"/>
              <w:jc w:val="center"/>
              <w:rPr>
                <w:sz w:val="21"/>
                <w:szCs w:val="21"/>
              </w:rPr>
            </w:pPr>
          </w:p>
        </w:tc>
        <w:tc>
          <w:tcPr>
            <w:tcW w:w="709" w:type="dxa"/>
            <w:vAlign w:val="center"/>
          </w:tcPr>
          <w:p w:rsidR="00AC0328" w:rsidRDefault="00AC0328" w:rsidP="00ED4E91">
            <w:pPr>
              <w:jc w:val="center"/>
              <w:rPr>
                <w:sz w:val="21"/>
                <w:szCs w:val="21"/>
              </w:rPr>
            </w:pPr>
          </w:p>
        </w:tc>
        <w:tc>
          <w:tcPr>
            <w:tcW w:w="709" w:type="dxa"/>
            <w:vAlign w:val="center"/>
          </w:tcPr>
          <w:p w:rsidR="00AC0328" w:rsidRDefault="00AC0328" w:rsidP="00ED4E91">
            <w:pPr>
              <w:jc w:val="center"/>
              <w:rPr>
                <w:sz w:val="21"/>
                <w:szCs w:val="21"/>
              </w:rPr>
            </w:pPr>
            <w:r>
              <w:rPr>
                <w:sz w:val="21"/>
                <w:szCs w:val="21"/>
              </w:rPr>
              <w:t>●</w:t>
            </w:r>
          </w:p>
        </w:tc>
        <w:tc>
          <w:tcPr>
            <w:tcW w:w="737" w:type="dxa"/>
            <w:vAlign w:val="center"/>
          </w:tcPr>
          <w:p w:rsidR="00AC0328" w:rsidRDefault="00AC0328" w:rsidP="00ED4E91">
            <w:pPr>
              <w:spacing w:line="240" w:lineRule="exact"/>
              <w:jc w:val="center"/>
              <w:rPr>
                <w:sz w:val="21"/>
                <w:szCs w:val="21"/>
              </w:rPr>
            </w:pPr>
          </w:p>
        </w:tc>
      </w:tr>
      <w:tr w:rsidR="00AC0328" w:rsidTr="00ED4E91">
        <w:trPr>
          <w:cantSplit/>
          <w:trHeight w:val="326"/>
          <w:jc w:val="center"/>
        </w:trPr>
        <w:tc>
          <w:tcPr>
            <w:tcW w:w="8291" w:type="dxa"/>
            <w:gridSpan w:val="8"/>
            <w:vAlign w:val="center"/>
          </w:tcPr>
          <w:p w:rsidR="00AC0328" w:rsidRDefault="00AC0328" w:rsidP="00ED4E91">
            <w:pPr>
              <w:spacing w:line="100" w:lineRule="atLeast"/>
              <w:jc w:val="left"/>
              <w:rPr>
                <w:sz w:val="21"/>
                <w:szCs w:val="21"/>
              </w:rPr>
            </w:pPr>
            <w:r>
              <w:rPr>
                <w:rFonts w:cs="仿宋_GB2312" w:hint="eastAsia"/>
                <w:sz w:val="21"/>
                <w:szCs w:val="21"/>
              </w:rPr>
              <w:t>备注：</w:t>
            </w:r>
            <w:r>
              <w:rPr>
                <w:sz w:val="21"/>
                <w:szCs w:val="21"/>
              </w:rPr>
              <w:t>1.</w:t>
            </w:r>
            <w:r>
              <w:rPr>
                <w:rFonts w:cs="仿宋_GB2312" w:hint="eastAsia"/>
                <w:sz w:val="21"/>
                <w:szCs w:val="21"/>
              </w:rPr>
              <w:t>密度项目不适用于</w:t>
            </w:r>
            <w:r>
              <w:rPr>
                <w:sz w:val="21"/>
                <w:szCs w:val="21"/>
              </w:rPr>
              <w:t>DMX</w:t>
            </w:r>
            <w:r>
              <w:rPr>
                <w:rFonts w:cs="仿宋_GB2312" w:hint="eastAsia"/>
                <w:sz w:val="21"/>
                <w:szCs w:val="21"/>
              </w:rPr>
              <w:t>类船用馏分燃料油。</w:t>
            </w:r>
          </w:p>
          <w:p w:rsidR="00AC0328" w:rsidRDefault="00AC0328" w:rsidP="00AC0328">
            <w:pPr>
              <w:spacing w:line="100" w:lineRule="atLeast"/>
              <w:ind w:leftChars="201" w:left="748" w:hangingChars="50" w:hanging="105"/>
              <w:jc w:val="left"/>
              <w:rPr>
                <w:sz w:val="21"/>
                <w:szCs w:val="21"/>
              </w:rPr>
            </w:pPr>
            <w:r>
              <w:rPr>
                <w:sz w:val="21"/>
                <w:szCs w:val="21"/>
              </w:rPr>
              <w:t>2.10%</w:t>
            </w:r>
            <w:proofErr w:type="gramStart"/>
            <w:r>
              <w:rPr>
                <w:rFonts w:cs="仿宋_GB2312" w:hint="eastAsia"/>
                <w:sz w:val="21"/>
                <w:szCs w:val="21"/>
              </w:rPr>
              <w:t>蒸余物残炭项目</w:t>
            </w:r>
            <w:proofErr w:type="gramEnd"/>
            <w:r>
              <w:rPr>
                <w:rFonts w:cs="仿宋_GB2312" w:hint="eastAsia"/>
                <w:sz w:val="21"/>
                <w:szCs w:val="21"/>
              </w:rPr>
              <w:t>适用于</w:t>
            </w:r>
            <w:r>
              <w:rPr>
                <w:sz w:val="21"/>
                <w:szCs w:val="21"/>
              </w:rPr>
              <w:t>DMA</w:t>
            </w:r>
            <w:r>
              <w:rPr>
                <w:rFonts w:cs="仿宋_GB2312" w:hint="eastAsia"/>
                <w:sz w:val="21"/>
                <w:szCs w:val="21"/>
              </w:rPr>
              <w:t>（</w:t>
            </w:r>
            <w:r>
              <w:rPr>
                <w:sz w:val="21"/>
                <w:szCs w:val="21"/>
              </w:rPr>
              <w:t>S10</w:t>
            </w:r>
            <w:r>
              <w:rPr>
                <w:rFonts w:cs="仿宋_GB2312" w:hint="eastAsia"/>
                <w:sz w:val="21"/>
                <w:szCs w:val="21"/>
              </w:rPr>
              <w:t>）类内河船用燃料油及除</w:t>
            </w:r>
            <w:r>
              <w:rPr>
                <w:sz w:val="21"/>
                <w:szCs w:val="21"/>
              </w:rPr>
              <w:t>DMB</w:t>
            </w:r>
            <w:r>
              <w:rPr>
                <w:rFonts w:cs="仿宋_GB2312" w:hint="eastAsia"/>
                <w:sz w:val="21"/>
                <w:szCs w:val="21"/>
              </w:rPr>
              <w:t>类之外的其他船用馏分燃料油。</w:t>
            </w:r>
          </w:p>
          <w:p w:rsidR="00AC0328" w:rsidRDefault="00AC0328" w:rsidP="00AC0328">
            <w:pPr>
              <w:spacing w:line="100" w:lineRule="atLeast"/>
              <w:ind w:firstLineChars="300" w:firstLine="630"/>
              <w:jc w:val="left"/>
              <w:rPr>
                <w:rFonts w:hint="eastAsia"/>
                <w:sz w:val="21"/>
                <w:szCs w:val="21"/>
              </w:rPr>
            </w:pPr>
            <w:r>
              <w:rPr>
                <w:sz w:val="21"/>
                <w:szCs w:val="21"/>
              </w:rPr>
              <w:t>3.</w:t>
            </w:r>
            <w:r>
              <w:rPr>
                <w:rFonts w:cs="仿宋_GB2312" w:hint="eastAsia"/>
                <w:sz w:val="21"/>
                <w:szCs w:val="21"/>
              </w:rPr>
              <w:t>残</w:t>
            </w:r>
            <w:proofErr w:type="gramStart"/>
            <w:r>
              <w:rPr>
                <w:rFonts w:cs="仿宋_GB2312" w:hint="eastAsia"/>
                <w:sz w:val="21"/>
                <w:szCs w:val="21"/>
              </w:rPr>
              <w:t>炭项目</w:t>
            </w:r>
            <w:proofErr w:type="gramEnd"/>
            <w:r>
              <w:rPr>
                <w:rFonts w:cs="仿宋_GB2312" w:hint="eastAsia"/>
                <w:sz w:val="21"/>
                <w:szCs w:val="21"/>
              </w:rPr>
              <w:t>仅适用</w:t>
            </w:r>
            <w:r>
              <w:rPr>
                <w:sz w:val="21"/>
                <w:szCs w:val="21"/>
              </w:rPr>
              <w:t>DMB</w:t>
            </w:r>
            <w:r>
              <w:rPr>
                <w:rFonts w:cs="仿宋_GB2312" w:hint="eastAsia"/>
                <w:sz w:val="21"/>
                <w:szCs w:val="21"/>
              </w:rPr>
              <w:t>（</w:t>
            </w:r>
            <w:r>
              <w:rPr>
                <w:sz w:val="21"/>
                <w:szCs w:val="21"/>
              </w:rPr>
              <w:t>S10</w:t>
            </w:r>
            <w:r>
              <w:rPr>
                <w:rFonts w:cs="仿宋_GB2312" w:hint="eastAsia"/>
                <w:sz w:val="21"/>
                <w:szCs w:val="21"/>
              </w:rPr>
              <w:t>）类内河船用燃料油及</w:t>
            </w:r>
            <w:r>
              <w:rPr>
                <w:sz w:val="21"/>
                <w:szCs w:val="21"/>
              </w:rPr>
              <w:t>DMB</w:t>
            </w:r>
            <w:r>
              <w:rPr>
                <w:rFonts w:cs="仿宋_GB2312" w:hint="eastAsia"/>
                <w:sz w:val="21"/>
                <w:szCs w:val="21"/>
              </w:rPr>
              <w:t>类船用馏分燃料油。</w:t>
            </w:r>
          </w:p>
          <w:p w:rsidR="00AC0328" w:rsidRDefault="00AC0328" w:rsidP="00AC0328">
            <w:pPr>
              <w:spacing w:line="100" w:lineRule="atLeast"/>
              <w:ind w:firstLineChars="300" w:firstLine="630"/>
              <w:jc w:val="left"/>
              <w:rPr>
                <w:sz w:val="21"/>
                <w:szCs w:val="21"/>
              </w:rPr>
            </w:pPr>
            <w:r>
              <w:rPr>
                <w:rFonts w:hint="eastAsia"/>
                <w:sz w:val="21"/>
                <w:szCs w:val="21"/>
              </w:rPr>
              <w:t>4</w:t>
            </w:r>
            <w:r>
              <w:rPr>
                <w:sz w:val="21"/>
                <w:szCs w:val="21"/>
              </w:rPr>
              <w:t>.</w:t>
            </w:r>
            <w:r>
              <w:rPr>
                <w:rFonts w:cs="仿宋_GB2312" w:hint="eastAsia"/>
                <w:sz w:val="21"/>
                <w:szCs w:val="21"/>
              </w:rPr>
              <w:t>倾点项目适用于除</w:t>
            </w:r>
            <w:r>
              <w:rPr>
                <w:sz w:val="21"/>
                <w:szCs w:val="21"/>
              </w:rPr>
              <w:t>DMX</w:t>
            </w:r>
            <w:r>
              <w:rPr>
                <w:rFonts w:cs="仿宋_GB2312" w:hint="eastAsia"/>
                <w:sz w:val="21"/>
                <w:szCs w:val="21"/>
              </w:rPr>
              <w:t>类之外的其他船用燃料油。</w:t>
            </w:r>
          </w:p>
        </w:tc>
      </w:tr>
    </w:tbl>
    <w:p w:rsidR="00C31D66" w:rsidRDefault="004035AD" w:rsidP="00B57B87">
      <w:pPr>
        <w:adjustRightInd w:val="0"/>
        <w:snapToGrid w:val="0"/>
        <w:spacing w:line="360" w:lineRule="auto"/>
        <w:ind w:firstLineChars="200" w:firstLine="600"/>
        <w:jc w:val="left"/>
        <w:rPr>
          <w:rFonts w:eastAsia="仿宋"/>
          <w:color w:val="000000"/>
          <w:sz w:val="30"/>
          <w:szCs w:val="30"/>
        </w:rPr>
      </w:pPr>
      <w:r>
        <w:rPr>
          <w:rFonts w:eastAsia="仿宋"/>
          <w:color w:val="000000"/>
          <w:sz w:val="30"/>
          <w:szCs w:val="30"/>
        </w:rPr>
        <w:t>注：</w:t>
      </w:r>
      <w:r>
        <w:rPr>
          <w:rFonts w:eastAsia="仿宋"/>
          <w:color w:val="000000"/>
          <w:sz w:val="30"/>
          <w:szCs w:val="30"/>
        </w:rPr>
        <w:t xml:space="preserve"> </w:t>
      </w:r>
      <w:r>
        <w:rPr>
          <w:rFonts w:eastAsia="仿宋"/>
          <w:color w:val="000000"/>
          <w:sz w:val="30"/>
          <w:szCs w:val="30"/>
        </w:rPr>
        <w:t>执行企业标准、团体标准、地方标准的产品，检验项</w:t>
      </w:r>
      <w:r>
        <w:rPr>
          <w:rFonts w:eastAsia="仿宋"/>
          <w:color w:val="000000"/>
          <w:sz w:val="30"/>
          <w:szCs w:val="30"/>
        </w:rPr>
        <w:lastRenderedPageBreak/>
        <w:t>目参照上述内容执行。</w:t>
      </w:r>
    </w:p>
    <w:p w:rsidR="00C31D66" w:rsidRDefault="004035AD" w:rsidP="00B57B87">
      <w:pPr>
        <w:adjustRightInd w:val="0"/>
        <w:snapToGrid w:val="0"/>
        <w:spacing w:line="360" w:lineRule="auto"/>
        <w:ind w:firstLineChars="200" w:firstLine="6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rsidR="00C31D66" w:rsidRDefault="004035AD">
      <w:pPr>
        <w:ind w:firstLineChars="200" w:firstLine="640"/>
        <w:rPr>
          <w:rFonts w:eastAsia="黑体"/>
          <w:szCs w:val="32"/>
        </w:rPr>
      </w:pPr>
      <w:r>
        <w:rPr>
          <w:rFonts w:eastAsia="黑体"/>
          <w:szCs w:val="32"/>
        </w:rPr>
        <w:t>三、判定规则</w:t>
      </w:r>
    </w:p>
    <w:p w:rsidR="00C31D66" w:rsidRDefault="004035AD">
      <w:pPr>
        <w:ind w:firstLineChars="200" w:firstLine="640"/>
        <w:jc w:val="left"/>
        <w:rPr>
          <w:rFonts w:eastAsia="楷体_GB2312"/>
          <w:kern w:val="0"/>
          <w:szCs w:val="32"/>
        </w:rPr>
      </w:pPr>
      <w:r>
        <w:rPr>
          <w:rFonts w:eastAsia="楷体_GB2312"/>
          <w:szCs w:val="32"/>
        </w:rPr>
        <w:t>（一）</w:t>
      </w:r>
      <w:r>
        <w:rPr>
          <w:rFonts w:eastAsia="楷体_GB2312"/>
          <w:kern w:val="0"/>
          <w:szCs w:val="32"/>
        </w:rPr>
        <w:t>依据标准</w:t>
      </w:r>
    </w:p>
    <w:p w:rsidR="00C31D66" w:rsidRDefault="001B4C0E" w:rsidP="00B57B87">
      <w:pPr>
        <w:spacing w:line="360" w:lineRule="auto"/>
        <w:ind w:firstLineChars="200" w:firstLine="640"/>
      </w:pPr>
      <w:r w:rsidRPr="001B4C0E">
        <w:rPr>
          <w:rFonts w:hint="eastAsia"/>
        </w:rPr>
        <w:t xml:space="preserve">GB 17411-2015 </w:t>
      </w:r>
      <w:r>
        <w:rPr>
          <w:rFonts w:hint="eastAsia"/>
        </w:rPr>
        <w:t>《</w:t>
      </w:r>
      <w:r w:rsidRPr="001B4C0E">
        <w:rPr>
          <w:rFonts w:hint="eastAsia"/>
        </w:rPr>
        <w:t>船用燃料油</w:t>
      </w:r>
      <w:r>
        <w:rPr>
          <w:rFonts w:hint="eastAsia"/>
        </w:rPr>
        <w:t>》</w:t>
      </w:r>
      <w:r w:rsidR="004035AD">
        <w:t>现行有效的企业标准、团体标准、地方标准及产品明示质量要求。</w:t>
      </w:r>
    </w:p>
    <w:p w:rsidR="00C31D66" w:rsidRDefault="004035AD">
      <w:pPr>
        <w:widowControl/>
        <w:ind w:firstLineChars="200" w:firstLine="640"/>
        <w:rPr>
          <w:rFonts w:eastAsia="楷体_GB2312"/>
          <w:bCs/>
          <w:kern w:val="0"/>
          <w:szCs w:val="32"/>
        </w:rPr>
      </w:pPr>
      <w:r>
        <w:rPr>
          <w:rFonts w:eastAsia="楷体_GB2312"/>
          <w:bCs/>
          <w:kern w:val="0"/>
          <w:szCs w:val="32"/>
        </w:rPr>
        <w:t>（二）判定原则</w:t>
      </w:r>
    </w:p>
    <w:p w:rsidR="00C31D66" w:rsidRDefault="004035AD">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1</w:t>
      </w:r>
      <w:r>
        <w:rPr>
          <w:rFonts w:ascii="仿宋_GB2312" w:hAnsi="Calibri" w:cs="楷体_GB2312" w:hint="eastAsia"/>
          <w:szCs w:val="32"/>
        </w:rPr>
        <w:t>、重要质量指标不合格判定所检样本不合格程度类型为：严重不合格，较重要质量指标不合格判定为所检样本不合格类型为：不合格。</w:t>
      </w:r>
    </w:p>
    <w:p w:rsidR="00C31D66" w:rsidRDefault="004035AD">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2</w:t>
      </w:r>
      <w:r>
        <w:rPr>
          <w:rFonts w:ascii="仿宋_GB2312" w:hAnsi="Calibri" w:cs="楷体_GB2312" w:hint="eastAsia"/>
          <w:szCs w:val="32"/>
        </w:rPr>
        <w:t>、监督总体不合格类型与所检样本不合格类型一一对应，即若所检样本出现严重不合格，判定为监督总体严重不合格；若所检样本未出现严重不合格，则判定为监督总体不合格。</w:t>
      </w:r>
    </w:p>
    <w:p w:rsidR="00C31D66" w:rsidRDefault="004035AD">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3</w:t>
      </w:r>
      <w:r>
        <w:rPr>
          <w:rFonts w:ascii="仿宋_GB2312" w:hAnsi="Calibri" w:cs="楷体_GB2312" w:hint="eastAsia"/>
          <w:szCs w:val="32"/>
        </w:rPr>
        <w:t>、若样本所检质量指标均合格，判定为样本所检质量指标未发现不合格。</w:t>
      </w:r>
    </w:p>
    <w:p w:rsidR="00C31D66" w:rsidRDefault="004035AD">
      <w:pPr>
        <w:pStyle w:val="a6"/>
        <w:tabs>
          <w:tab w:val="clear" w:pos="4201"/>
          <w:tab w:val="clear" w:pos="9298"/>
        </w:tabs>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当被检样品明示的质量要求优于监督抽查实施细则中依据的标准要求时，应按被检样品明示的质量要求判定</w:t>
      </w:r>
      <w:r>
        <w:rPr>
          <w:rFonts w:ascii="Times New Roman" w:eastAsia="仿宋_GB2312" w:hAnsi="Times New Roman" w:cs="Times New Roman" w:hint="eastAsia"/>
          <w:sz w:val="32"/>
          <w:szCs w:val="32"/>
        </w:rPr>
        <w:t>。</w:t>
      </w:r>
    </w:p>
    <w:p w:rsidR="00C31D66" w:rsidRDefault="004035AD">
      <w:pPr>
        <w:pStyle w:val="a6"/>
        <w:tabs>
          <w:tab w:val="clear" w:pos="4201"/>
          <w:tab w:val="clear" w:pos="9298"/>
        </w:tabs>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当被检样品明示的质量要求劣于或不包含监督抽查实施细则中依据的标准要求时，应按照标准要求判定</w:t>
      </w:r>
      <w:r>
        <w:rPr>
          <w:rFonts w:ascii="Times New Roman" w:eastAsia="仿宋_GB2312" w:hAnsi="Times New Roman" w:cs="Times New Roman" w:hint="eastAsia"/>
          <w:sz w:val="32"/>
          <w:szCs w:val="32"/>
        </w:rPr>
        <w:t>。</w:t>
      </w:r>
    </w:p>
    <w:sectPr w:rsidR="00C31D6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5AD" w:rsidRDefault="004035AD">
      <w:r>
        <w:separator/>
      </w:r>
    </w:p>
  </w:endnote>
  <w:endnote w:type="continuationSeparator" w:id="0">
    <w:p w:rsidR="004035AD" w:rsidRDefault="0040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D66" w:rsidRDefault="006635D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12065"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a:effectLst/>
                    </wps:spPr>
                    <wps:txbx>
                      <w:txbxContent>
                        <w:p w:rsidR="00C31D66" w:rsidRDefault="004035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C0328">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6.65pt;margin-top:0;width:4.55pt;height:10.3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tQKAIAACsEAAAOAAAAZHJzL2Uyb0RvYy54bWysU81uEzEQviPxDpbvZJO0aatVNlVoFYQU&#10;0UoB9ex47ewK22PZTnbDA8AbcOLCnefKczD2ZpOqcEJcZr/1fPM/M71ttSI74XwNpqCjwZASYTiU&#10;tdkU9NPHxZsbSnxgpmQKjCjoXnh6O3v9atrYXIyhAlUKR9CJ8XljC1qFYPMs87wSmvkBWGFQKcFp&#10;FvDXbbLSsQa9a5WNh8OrrAFXWgdceI+v952SzpJ/KQUPD1J6EYgqKOYWknRJrqPMZlOWbxyzVc2P&#10;abB/yEKz2mDQk6t7FhjZuvoPV7rmDjzIMOCgM5Cy5iLVgNWMhi+qWVXMilQLNsfbU5v8/3PLP+we&#10;HanLgo4pMUzjiA7fvx1+/Dr8/ErGsT2N9TmyVhZ5oX0LLY45lertEvhnj5TsGacz8MiO7Wil0/GL&#10;hRI0xAnsT10XbSAcHyfX1zcTSjhqRhejy8tJjJqdba3z4Z0ATSIoqMOZpvhst/Sho/aUGMrAolYK&#10;31muDGkKenUxGSaDkwadKxMJIm3I0U0soss7otCuW3QS4RrKPRbvoNseb/mixlSWzIdH5nBdsCw8&#10;gfCAQirAkHBElFTgvvztPfJxiqilpMH1K6jB+6BEvTc43bipPXA9WPfAbPUd4D6P8LQsTxANXFA9&#10;lA70E97FPMZAFTMcIxU09PAudCeAd8XFfJ5IuI+WhaVZWX6e8HwbsJ2py+dOHAeOG5nmdLyeuPLP&#10;/xPrfOOz3wAAAP//AwBQSwMEFAAGAAgAAAAhACHTKyDbAAAAAgEAAA8AAABkcnMvZG93bnJldi54&#10;bWxMj8FuwjAQRO+V+g/WVuJWHAJqaYiDoko9IPUC6aG9mXhJIuK1FS+Q8vW4vbSXlUYzmnmbr0fb&#10;izMOoXOkYDZNQCDVznTUKPio3h6XIAJrMrp3hAq+McC6uL/LdWbchbZ43nEjYgmFTCtomX0mZahb&#10;tDpMnUeK3sENVnOUQyPNoC+x3PYyTZInaXVHcaHVHl9brI+7k1XAG79My+a68O/Xr0NVlfOw+Jwr&#10;NXkYyxUIxpH/wvCDH9GhiEx7dyITRK8gPsK/N3ovMxB7BWnyDLLI5X/04gYAAP//AwBQSwECLQAU&#10;AAYACAAAACEAtoM4kv4AAADhAQAAEwAAAAAAAAAAAAAAAAAAAAAAW0NvbnRlbnRfVHlwZXNdLnht&#10;bFBLAQItABQABgAIAAAAIQA4/SH/1gAAAJQBAAALAAAAAAAAAAAAAAAAAC8BAABfcmVscy8ucmVs&#10;c1BLAQItABQABgAIAAAAIQAL+7tQKAIAACsEAAAOAAAAAAAAAAAAAAAAAC4CAABkcnMvZTJvRG9j&#10;LnhtbFBLAQItABQABgAIAAAAIQAh0ysg2wAAAAIBAAAPAAAAAAAAAAAAAAAAAIIEAABkcnMvZG93&#10;bnJldi54bWxQSwUGAAAAAAQABADzAAAAigUAAAAA&#10;" filled="f" stroked="f" strokeweight=".5pt">
              <v:path arrowok="t"/>
              <v:textbox style="mso-fit-shape-to-text:t" inset="0,0,0,0">
                <w:txbxContent>
                  <w:p w:rsidR="00C31D66" w:rsidRDefault="004035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C0328">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5AD" w:rsidRDefault="004035AD">
      <w:r>
        <w:separator/>
      </w:r>
    </w:p>
  </w:footnote>
  <w:footnote w:type="continuationSeparator" w:id="0">
    <w:p w:rsidR="004035AD" w:rsidRDefault="00403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54DEA"/>
    <w:rsid w:val="00174A08"/>
    <w:rsid w:val="00184D11"/>
    <w:rsid w:val="0018725D"/>
    <w:rsid w:val="001B4C0E"/>
    <w:rsid w:val="001C5E1C"/>
    <w:rsid w:val="001C7AEA"/>
    <w:rsid w:val="00263BA4"/>
    <w:rsid w:val="002A6E2E"/>
    <w:rsid w:val="002B55FD"/>
    <w:rsid w:val="002E3DA3"/>
    <w:rsid w:val="002F76AF"/>
    <w:rsid w:val="00316370"/>
    <w:rsid w:val="003536E0"/>
    <w:rsid w:val="003C4466"/>
    <w:rsid w:val="003F0F20"/>
    <w:rsid w:val="003F48E9"/>
    <w:rsid w:val="004035AD"/>
    <w:rsid w:val="0041370F"/>
    <w:rsid w:val="00422509"/>
    <w:rsid w:val="00460DD5"/>
    <w:rsid w:val="00465E3C"/>
    <w:rsid w:val="00467A03"/>
    <w:rsid w:val="00476464"/>
    <w:rsid w:val="00480BFD"/>
    <w:rsid w:val="0048735A"/>
    <w:rsid w:val="004B3672"/>
    <w:rsid w:val="004B606C"/>
    <w:rsid w:val="004D14FD"/>
    <w:rsid w:val="004E09FF"/>
    <w:rsid w:val="004F6FAB"/>
    <w:rsid w:val="0050212A"/>
    <w:rsid w:val="00530081"/>
    <w:rsid w:val="00535A67"/>
    <w:rsid w:val="00540723"/>
    <w:rsid w:val="00561C57"/>
    <w:rsid w:val="0058550D"/>
    <w:rsid w:val="005A2490"/>
    <w:rsid w:val="005C543E"/>
    <w:rsid w:val="005E6358"/>
    <w:rsid w:val="005E7A94"/>
    <w:rsid w:val="0061530D"/>
    <w:rsid w:val="006635D6"/>
    <w:rsid w:val="00664AD9"/>
    <w:rsid w:val="006C3C79"/>
    <w:rsid w:val="006E15C6"/>
    <w:rsid w:val="006F34BE"/>
    <w:rsid w:val="006F4510"/>
    <w:rsid w:val="0070156D"/>
    <w:rsid w:val="007177D7"/>
    <w:rsid w:val="00740A11"/>
    <w:rsid w:val="007510EB"/>
    <w:rsid w:val="00762AF1"/>
    <w:rsid w:val="007A726E"/>
    <w:rsid w:val="00804B8A"/>
    <w:rsid w:val="00807DBD"/>
    <w:rsid w:val="00812EEC"/>
    <w:rsid w:val="008711D2"/>
    <w:rsid w:val="0087733B"/>
    <w:rsid w:val="00893C7F"/>
    <w:rsid w:val="008D1188"/>
    <w:rsid w:val="008D7BF7"/>
    <w:rsid w:val="00916066"/>
    <w:rsid w:val="00943F2F"/>
    <w:rsid w:val="0098725B"/>
    <w:rsid w:val="00A075E8"/>
    <w:rsid w:val="00A44E58"/>
    <w:rsid w:val="00A57989"/>
    <w:rsid w:val="00A614F8"/>
    <w:rsid w:val="00AC0328"/>
    <w:rsid w:val="00B1647C"/>
    <w:rsid w:val="00B57B87"/>
    <w:rsid w:val="00BD4B36"/>
    <w:rsid w:val="00C203FA"/>
    <w:rsid w:val="00C31D66"/>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95545"/>
    <w:rsid w:val="00FC70BF"/>
    <w:rsid w:val="00FD654C"/>
    <w:rsid w:val="00FF594C"/>
    <w:rsid w:val="1438074F"/>
    <w:rsid w:val="15631434"/>
    <w:rsid w:val="170B56C6"/>
    <w:rsid w:val="17751B8E"/>
    <w:rsid w:val="38700B55"/>
    <w:rsid w:val="3F1B0BAF"/>
    <w:rsid w:val="40771069"/>
    <w:rsid w:val="4EB50C3A"/>
    <w:rsid w:val="50A7688F"/>
    <w:rsid w:val="52260B3F"/>
    <w:rsid w:val="54D07982"/>
    <w:rsid w:val="6525617E"/>
    <w:rsid w:val="669F1C94"/>
    <w:rsid w:val="6FDB4A8B"/>
    <w:rsid w:val="719A2C70"/>
    <w:rsid w:val="74E470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Theme="minorEastAsia" w:hAnsi="Courier New" w:cs="Courier New"/>
      <w:sz w:val="21"/>
      <w:szCs w:val="21"/>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0">
    <w:name w:val="页眉 Char"/>
    <w:basedOn w:val="a0"/>
    <w:link w:val="a5"/>
    <w:uiPriority w:val="99"/>
    <w:qFormat/>
    <w:rPr>
      <w:rFonts w:ascii="Times New Roman" w:eastAsia="仿宋_GB2312" w:hAnsi="Times New Roman" w:cs="Times New Roman"/>
      <w:kern w:val="2"/>
      <w:sz w:val="18"/>
      <w:szCs w:val="18"/>
    </w:rPr>
  </w:style>
  <w:style w:type="character" w:customStyle="1" w:styleId="Char">
    <w:name w:val="纯文本 Char"/>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Theme="minorEastAsia" w:hAnsi="Courier New" w:cs="Courier New"/>
      <w:sz w:val="21"/>
      <w:szCs w:val="21"/>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0">
    <w:name w:val="页眉 Char"/>
    <w:basedOn w:val="a0"/>
    <w:link w:val="a5"/>
    <w:uiPriority w:val="99"/>
    <w:qFormat/>
    <w:rPr>
      <w:rFonts w:ascii="Times New Roman" w:eastAsia="仿宋_GB2312" w:hAnsi="Times New Roman" w:cs="Times New Roman"/>
      <w:kern w:val="2"/>
      <w:sz w:val="18"/>
      <w:szCs w:val="18"/>
    </w:rPr>
  </w:style>
  <w:style w:type="character" w:customStyle="1" w:styleId="Char">
    <w:name w:val="纯文本 Char"/>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137</Words>
  <Characters>782</Characters>
  <Application>Microsoft Office Word</Application>
  <DocSecurity>0</DocSecurity>
  <Lines>6</Lines>
  <Paragraphs>1</Paragraphs>
  <ScaleCrop>false</ScaleCrop>
  <Company>MS</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Administrator</cp:lastModifiedBy>
  <cp:revision>3</cp:revision>
  <dcterms:created xsi:type="dcterms:W3CDTF">2024-07-10T02:01:00Z</dcterms:created>
  <dcterms:modified xsi:type="dcterms:W3CDTF">2024-07-10T02:13:00Z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