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  <w:t>中山市神湾镇神溪村股份合作经济联合社（神湾镇神溪智能产业基地建设项目）“工改工”宗地项目“三旧”改造方案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3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中山市神湾镇神溪村股份合作经济联合社（神湾镇神溪智能产业基地建设项目）“工改工”宗地项目“三旧”改造方案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中府函（工改）〔2024〕38号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中山市神湾镇神溪村股份合作经济联合社（神湾镇神溪智能产业基地建设项目）“工改工”宗地项目“三旧”改造方案项目“三旧”改造方案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位于中山市神湾镇南部的神溪工业园内，北至合罗路，南至马坑路，东至神湾大道，西至利民路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21166.42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21166.42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中山市神湾镇神溪工业园片区（2106单元）01街区A-4-1地块控制性详细规划局部调整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》（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中府函〔2024〕193号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44200031647、44200031701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政府整备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通过公开出让方式确定改造主体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42333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不低于2.0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24F301AC"/>
    <w:rsid w:val="2E5637C6"/>
    <w:rsid w:val="33AD45E5"/>
    <w:rsid w:val="3A7A067E"/>
    <w:rsid w:val="3B4E769F"/>
    <w:rsid w:val="4A567E3F"/>
    <w:rsid w:val="56EE27E4"/>
    <w:rsid w:val="5E363BA6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2024-08-01T08:29:22Z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