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ind w:firstLine="42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翠亨新区（南朗街道）中山吉事达通讯有限公司“工改工”宗地项目“三旧”改造方案</w:t>
      </w:r>
    </w:p>
    <w:p>
      <w:pPr>
        <w:spacing w:line="574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根据中山市城市更新（“三旧”改造）专项规划和现行控制性详细规划，翠亨新区管委会拟对位于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南朗街道南朗工业区的中山吉事达通讯有限公司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旧厂房用地进行改造，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由土地权利人中山吉事达通讯有限公司自主改造，采取局部改造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的改造方式。改造方案如下：</w:t>
      </w:r>
    </w:p>
    <w:p>
      <w:pPr>
        <w:spacing w:line="574" w:lineRule="exact"/>
        <w:ind w:firstLine="640" w:firstLineChars="200"/>
        <w:rPr>
          <w:rFonts w:hint="eastAsia" w:ascii="黑体" w:hAnsi="黑体" w:eastAsia="黑体" w:cs="仿宋_GB2312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bidi="ar"/>
        </w:rPr>
        <w:t>一、改造地块基本情况</w:t>
      </w:r>
    </w:p>
    <w:p>
      <w:pPr>
        <w:spacing w:line="574" w:lineRule="exact"/>
        <w:ind w:firstLine="640" w:firstLineChars="200"/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  <w:t>（一）总体情况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改造地块位于南朗街道南朗工业区，北至空地，南至维加智能科技（广东）有限公司，东至空地，西至龙珠大道，用地面积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5.1957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公顷（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51956.90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平方米，折合约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77.94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亩）。</w:t>
      </w:r>
    </w:p>
    <w:p>
      <w:pPr>
        <w:spacing w:line="574" w:lineRule="exact"/>
        <w:ind w:firstLine="640" w:firstLineChars="200"/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  <w:t>（二）标图入库情况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改造地块于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月纳入“三旧”标图入库，图斑编号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44200069085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，图斑面积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5.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0844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公顷（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50844.4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平方米，折合约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76.27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亩），纳入本次改造范围。</w:t>
      </w:r>
    </w:p>
    <w:p>
      <w:pPr>
        <w:spacing w:line="574" w:lineRule="exact"/>
        <w:ind w:firstLine="640" w:firstLineChars="200"/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  <w:t>（三）权属情况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改造范围内全部属国有建设用地，土地用途为工业，改造涉及的土地已经确权、登记，土地证号为中府国用（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2006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）第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251032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号，为土地权利人中山吉事达通讯有限公司自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2006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月开始使用。</w:t>
      </w:r>
    </w:p>
    <w:p>
      <w:pPr>
        <w:spacing w:before="240" w:line="574" w:lineRule="exact"/>
        <w:ind w:firstLine="640" w:firstLineChars="200"/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  <w:lang w:bidi="ar"/>
        </w:rPr>
        <w:t>（四）土地利用现状情况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改造地块现有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栋建筑物，为中山吉事达通讯有限公司自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2010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月开始使用，已办理确权登记手续建筑面积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494.72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平方米，房产证号为粤房地权证中府字第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0110000510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号，现状容积率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0.4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，作工业厂房和宿舍所用。该地块改造前年产值为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250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万元（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3.21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万元/亩），年税收为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万元（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0.49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万元/亩）。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改造地块不涉及闲置、</w:t>
      </w:r>
      <w:r>
        <w:rPr>
          <w:rFonts w:ascii="仿宋_GB2312" w:eastAsia="仿宋_GB2312"/>
          <w:sz w:val="32"/>
          <w:szCs w:val="32"/>
        </w:rPr>
        <w:t>抵押、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历史文化资源要素等情况，不属于土壤环境潜在监管地块范围。</w:t>
      </w:r>
    </w:p>
    <w:p>
      <w:pPr>
        <w:spacing w:line="574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（五）规划情况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32"/>
        </w:rPr>
        <w:t>改造地块符合国土空间总体规划、控制性详细规划，已纳入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《中山市城市更新（“三旧”改造）专项规划（</w:t>
      </w:r>
      <w:r>
        <w:rPr>
          <w:rFonts w:ascii="Times New Roman" w:hAnsi="Times New Roman" w:eastAsia="仿宋_GB2312" w:cs="Times New Roman"/>
          <w:sz w:val="32"/>
          <w:szCs w:val="32"/>
        </w:rPr>
        <w:t>2020-2035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</w:t>
      </w:r>
      <w:r>
        <w:rPr>
          <w:rFonts w:hint="eastAsia" w:ascii="仿宋_GB2312" w:eastAsia="仿宋_GB2312"/>
          <w:sz w:val="32"/>
          <w:szCs w:val="32"/>
        </w:rPr>
        <w:t>。其中，在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《中山市国土空间总体规划（</w:t>
      </w:r>
      <w:r>
        <w:rPr>
          <w:rFonts w:ascii="Times New Roman" w:hAnsi="Times New Roman" w:eastAsia="仿宋_GB2312" w:cs="Times New Roman"/>
          <w:sz w:val="32"/>
          <w:szCs w:val="32"/>
        </w:rPr>
        <w:t>2021-2035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</w:t>
      </w:r>
      <w:r>
        <w:rPr>
          <w:rFonts w:hint="eastAsia" w:ascii="仿宋_GB2312" w:eastAsia="仿宋_GB2312"/>
          <w:sz w:val="32"/>
          <w:szCs w:val="32"/>
        </w:rPr>
        <w:t>中，属城乡建设用地</w:t>
      </w:r>
      <w:r>
        <w:rPr>
          <w:rFonts w:ascii="Times New Roman" w:hAnsi="Times New Roman" w:eastAsia="仿宋_GB2312" w:cs="Times New Roman"/>
          <w:sz w:val="32"/>
          <w:szCs w:val="32"/>
        </w:rPr>
        <w:t>5.1168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ascii="Times New Roman" w:hAnsi="Times New Roman" w:eastAsia="仿宋_GB2312" w:cs="Times New Roman"/>
          <w:sz w:val="32"/>
          <w:szCs w:val="32"/>
        </w:rPr>
        <w:t>51168.39</w:t>
      </w:r>
      <w:r>
        <w:rPr>
          <w:rFonts w:hint="eastAsia" w:ascii="仿宋_GB2312" w:eastAsia="仿宋_GB2312"/>
          <w:sz w:val="32"/>
          <w:szCs w:val="32"/>
        </w:rPr>
        <w:t>平方米，折合约</w:t>
      </w:r>
      <w:r>
        <w:rPr>
          <w:rFonts w:ascii="Times New Roman" w:hAnsi="Times New Roman" w:eastAsia="仿宋_GB2312" w:cs="Times New Roman"/>
          <w:sz w:val="32"/>
          <w:szCs w:val="32"/>
        </w:rPr>
        <w:t>76.75</w:t>
      </w:r>
      <w:r>
        <w:rPr>
          <w:rFonts w:hint="eastAsia" w:ascii="仿宋_GB2312" w:eastAsia="仿宋_GB2312"/>
          <w:sz w:val="32"/>
          <w:szCs w:val="32"/>
        </w:rPr>
        <w:t>亩），区域基础设施用地</w:t>
      </w:r>
      <w:r>
        <w:rPr>
          <w:rFonts w:ascii="Times New Roman" w:hAnsi="Times New Roman" w:eastAsia="仿宋_GB2312" w:cs="Times New Roman"/>
          <w:sz w:val="32"/>
          <w:szCs w:val="32"/>
        </w:rPr>
        <w:t>0.078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ascii="Times New Roman" w:hAnsi="Times New Roman" w:eastAsia="仿宋_GB2312" w:cs="Times New Roman"/>
          <w:sz w:val="32"/>
          <w:szCs w:val="32"/>
        </w:rPr>
        <w:t>788.5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平方米，折合约</w:t>
      </w:r>
      <w:r>
        <w:rPr>
          <w:rFonts w:ascii="Times New Roman" w:hAnsi="Times New Roman" w:eastAsia="仿宋_GB2312" w:cs="Times New Roman"/>
          <w:sz w:val="32"/>
          <w:szCs w:val="32"/>
        </w:rPr>
        <w:t>1.1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亩）；在《中山市南朗街道南朗工业园片区（</w:t>
      </w:r>
      <w:r>
        <w:rPr>
          <w:rFonts w:ascii="Times New Roman" w:hAnsi="Times New Roman" w:eastAsia="仿宋_GB2312" w:cs="Times New Roman"/>
          <w:sz w:val="32"/>
          <w:szCs w:val="32"/>
        </w:rPr>
        <w:t>1913</w:t>
      </w:r>
      <w:r>
        <w:rPr>
          <w:rFonts w:hint="eastAsia" w:ascii="仿宋_GB2312" w:eastAsia="仿宋_GB2312"/>
          <w:sz w:val="32"/>
          <w:szCs w:val="32"/>
        </w:rPr>
        <w:t>单元）</w:t>
      </w:r>
      <w:r>
        <w:rPr>
          <w:rFonts w:ascii="Times New Roman" w:hAnsi="Times New Roman" w:eastAsia="仿宋_GB2312" w:cs="Times New Roman"/>
          <w:sz w:val="32"/>
          <w:szCs w:val="32"/>
        </w:rPr>
        <w:t>03</w:t>
      </w:r>
      <w:r>
        <w:rPr>
          <w:rFonts w:hint="eastAsia" w:ascii="仿宋_GB2312" w:eastAsia="仿宋_GB2312"/>
          <w:sz w:val="32"/>
          <w:szCs w:val="32"/>
        </w:rPr>
        <w:t>街区</w:t>
      </w:r>
      <w:r>
        <w:rPr>
          <w:rFonts w:ascii="Times New Roman" w:hAnsi="Times New Roman" w:eastAsia="仿宋_GB2312" w:cs="Times New Roman"/>
          <w:sz w:val="32"/>
          <w:szCs w:val="32"/>
        </w:rPr>
        <w:t>B3-03、A-01（1）</w:t>
      </w:r>
      <w:r>
        <w:rPr>
          <w:rFonts w:hint="eastAsia" w:ascii="仿宋_GB2312" w:eastAsia="仿宋_GB2312"/>
          <w:sz w:val="32"/>
          <w:szCs w:val="32"/>
        </w:rPr>
        <w:t>地块控制性详细规划局部调整（</w:t>
      </w: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）》（中翠管函</w:t>
      </w:r>
      <w:r>
        <w:rPr>
          <w:rFonts w:ascii="Times New Roman" w:hAnsi="Times New Roman" w:eastAsia="宋体" w:cs="Times New Roman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z w:val="32"/>
          <w:szCs w:val="32"/>
        </w:rPr>
        <w:t>2024</w:t>
      </w:r>
      <w:r>
        <w:rPr>
          <w:rFonts w:ascii="Times New Roman" w:hAnsi="Times New Roman" w:eastAsia="宋体" w:cs="Times New Roman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号）中，一类工业用地</w:t>
      </w:r>
      <w:r>
        <w:rPr>
          <w:rFonts w:ascii="Times New Roman" w:hAnsi="Times New Roman" w:eastAsia="仿宋_GB2312" w:cs="Times New Roman"/>
          <w:sz w:val="32"/>
          <w:szCs w:val="32"/>
        </w:rPr>
        <w:t>4.8636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ascii="Times New Roman" w:hAnsi="Times New Roman" w:eastAsia="仿宋_GB2312" w:cs="Times New Roman"/>
          <w:sz w:val="32"/>
          <w:szCs w:val="32"/>
        </w:rPr>
        <w:t>48636.11</w:t>
      </w:r>
      <w:r>
        <w:rPr>
          <w:rFonts w:hint="eastAsia" w:ascii="仿宋_GB2312" w:eastAsia="仿宋_GB2312"/>
          <w:sz w:val="32"/>
          <w:szCs w:val="32"/>
        </w:rPr>
        <w:t>平方米，折合约</w:t>
      </w:r>
      <w:r>
        <w:rPr>
          <w:rFonts w:ascii="Times New Roman" w:hAnsi="Times New Roman" w:eastAsia="仿宋_GB2312" w:cs="Times New Roman"/>
          <w:sz w:val="32"/>
          <w:szCs w:val="32"/>
        </w:rPr>
        <w:t>72.9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亩），规划容积率</w:t>
      </w:r>
      <w:r>
        <w:rPr>
          <w:rFonts w:ascii="Times New Roman" w:hAnsi="Times New Roman" w:eastAsia="仿宋_GB2312" w:cs="Times New Roman"/>
          <w:sz w:val="32"/>
          <w:szCs w:val="32"/>
        </w:rPr>
        <w:t>1.0-4.0</w:t>
      </w:r>
      <w:r>
        <w:rPr>
          <w:rFonts w:hint="eastAsia" w:ascii="仿宋_GB2312" w:eastAsia="仿宋_GB2312"/>
          <w:sz w:val="32"/>
          <w:szCs w:val="32"/>
        </w:rPr>
        <w:t>，建筑密度</w:t>
      </w:r>
      <w:r>
        <w:rPr>
          <w:rFonts w:ascii="Times New Roman" w:hAnsi="Times New Roman" w:eastAsia="仿宋_GB2312" w:cs="Times New Roman"/>
          <w:sz w:val="32"/>
          <w:szCs w:val="32"/>
        </w:rPr>
        <w:t>35%-60%</w:t>
      </w:r>
      <w:r>
        <w:rPr>
          <w:rFonts w:hint="eastAsia" w:ascii="仿宋_GB2312" w:eastAsia="仿宋_GB2312"/>
          <w:sz w:val="32"/>
          <w:szCs w:val="32"/>
        </w:rPr>
        <w:t>，绿地率</w:t>
      </w:r>
      <w:r>
        <w:rPr>
          <w:rFonts w:ascii="Times New Roman" w:hAnsi="Times New Roman" w:eastAsia="仿宋_GB2312" w:cs="Times New Roman"/>
          <w:sz w:val="32"/>
          <w:szCs w:val="32"/>
        </w:rPr>
        <w:t>10%-15%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建筑高度≤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70</w:t>
      </w:r>
      <w:r>
        <w:rPr>
          <w:rFonts w:ascii="仿宋_GB2312" w:hAnsi="仿宋_GB2312" w:eastAsia="仿宋_GB2312" w:cs="仿宋_GB2312"/>
          <w:sz w:val="32"/>
          <w:szCs w:val="40"/>
        </w:rPr>
        <w:t>米，特殊工艺除外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ascii="仿宋_GB2312" w:hAnsi="仿宋_GB2312" w:eastAsia="仿宋_GB2312" w:cs="仿宋_GB2312"/>
          <w:sz w:val="32"/>
          <w:szCs w:val="40"/>
        </w:rPr>
        <w:t>配套生产性服务设施≤</w:t>
      </w:r>
      <w:r>
        <w:rPr>
          <w:rFonts w:ascii="Times New Roman" w:hAnsi="Times New Roman" w:eastAsia="仿宋_GB2312" w:cs="Times New Roman"/>
          <w:sz w:val="32"/>
          <w:szCs w:val="40"/>
        </w:rPr>
        <w:t>100</w:t>
      </w:r>
      <w:r>
        <w:rPr>
          <w:rFonts w:ascii="仿宋_GB2312" w:hAnsi="仿宋_GB2312" w:eastAsia="仿宋_GB2312" w:cs="仿宋_GB2312"/>
          <w:sz w:val="32"/>
          <w:szCs w:val="40"/>
        </w:rPr>
        <w:t>米</w:t>
      </w:r>
      <w:r>
        <w:rPr>
          <w:rFonts w:hint="eastAsia" w:ascii="仿宋_GB2312" w:hAnsi="仿宋_GB2312" w:eastAsia="仿宋_GB2312" w:cs="仿宋_GB2312"/>
          <w:sz w:val="32"/>
          <w:szCs w:val="40"/>
        </w:rPr>
        <w:t>；生产防护绿地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0.3148</w:t>
      </w:r>
      <w:r>
        <w:rPr>
          <w:rFonts w:hint="eastAsia" w:ascii="仿宋_GB2312" w:hAnsi="仿宋_GB2312" w:eastAsia="仿宋_GB2312" w:cs="仿宋_GB2312"/>
          <w:sz w:val="32"/>
          <w:szCs w:val="40"/>
        </w:rPr>
        <w:t>公顷（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3147.92</w:t>
      </w:r>
      <w:r>
        <w:rPr>
          <w:rFonts w:hint="eastAsia" w:ascii="仿宋_GB2312" w:hAnsi="仿宋_GB2312" w:eastAsia="仿宋_GB2312" w:cs="仿宋_GB2312"/>
          <w:sz w:val="32"/>
          <w:szCs w:val="40"/>
        </w:rPr>
        <w:t>平方米，折合约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4.72</w:t>
      </w:r>
      <w:r>
        <w:rPr>
          <w:rFonts w:hint="eastAsia" w:ascii="仿宋_GB2312" w:hAnsi="仿宋_GB2312" w:eastAsia="仿宋_GB2312" w:cs="仿宋_GB2312"/>
          <w:sz w:val="32"/>
          <w:szCs w:val="40"/>
        </w:rPr>
        <w:t>亩），城市道路用地</w:t>
      </w:r>
      <w:r>
        <w:rPr>
          <w:rFonts w:ascii="Times New Roman" w:hAnsi="Times New Roman" w:eastAsia="仿宋_GB2312" w:cs="Times New Roman"/>
          <w:sz w:val="32"/>
          <w:szCs w:val="40"/>
        </w:rPr>
        <w:t>0.0173</w:t>
      </w:r>
      <w:r>
        <w:rPr>
          <w:rFonts w:hint="eastAsia" w:ascii="仿宋_GB2312" w:hAnsi="仿宋_GB2312" w:eastAsia="仿宋_GB2312" w:cs="仿宋_GB2312"/>
          <w:sz w:val="32"/>
          <w:szCs w:val="40"/>
        </w:rPr>
        <w:t>公顷（</w:t>
      </w:r>
      <w:r>
        <w:rPr>
          <w:rFonts w:ascii="Times New Roman" w:hAnsi="Times New Roman" w:eastAsia="仿宋_GB2312" w:cs="Times New Roman"/>
          <w:sz w:val="32"/>
          <w:szCs w:val="40"/>
        </w:rPr>
        <w:t>172.87</w:t>
      </w:r>
      <w:r>
        <w:rPr>
          <w:rFonts w:hint="eastAsia" w:ascii="仿宋_GB2312" w:hAnsi="仿宋_GB2312" w:eastAsia="仿宋_GB2312" w:cs="仿宋_GB2312"/>
          <w:sz w:val="32"/>
          <w:szCs w:val="40"/>
        </w:rPr>
        <w:t>平方米，折合约</w:t>
      </w:r>
      <w:r>
        <w:rPr>
          <w:rFonts w:ascii="Times New Roman" w:hAnsi="Times New Roman" w:eastAsia="仿宋_GB2312" w:cs="Times New Roman"/>
          <w:sz w:val="32"/>
          <w:szCs w:val="40"/>
        </w:rPr>
        <w:t>0.26</w:t>
      </w:r>
      <w:r>
        <w:rPr>
          <w:rFonts w:hint="eastAsia" w:ascii="仿宋_GB2312" w:hAnsi="仿宋_GB2312" w:eastAsia="仿宋_GB2312" w:cs="仿宋_GB2312"/>
          <w:sz w:val="32"/>
          <w:szCs w:val="40"/>
        </w:rPr>
        <w:t>亩）。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改造地块位于“三区三线”的城镇开发边界内，不涉及永久基本农田、生态保护红线、自然保护地及林业资源等管控要求。</w:t>
      </w:r>
    </w:p>
    <w:p>
      <w:pPr>
        <w:spacing w:line="574" w:lineRule="exact"/>
        <w:ind w:firstLine="640" w:firstLineChars="200"/>
        <w:rPr>
          <w:rFonts w:hint="eastAsia" w:ascii="黑体" w:hAnsi="黑体" w:eastAsia="黑体" w:cs="仿宋_GB2312"/>
          <w:sz w:val="32"/>
          <w:szCs w:val="40"/>
        </w:rPr>
      </w:pPr>
      <w:r>
        <w:rPr>
          <w:rFonts w:hint="eastAsia" w:ascii="黑体" w:hAnsi="黑体" w:eastAsia="黑体" w:cs="仿宋_GB2312"/>
          <w:sz w:val="32"/>
          <w:szCs w:val="40"/>
        </w:rPr>
        <w:t>二、改造意愿情况</w:t>
      </w:r>
    </w:p>
    <w:p>
      <w:pPr>
        <w:spacing w:line="57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改造范围涉及中山吉事达通讯有限公司</w:t>
      </w:r>
      <w:r>
        <w:rPr>
          <w:rFonts w:ascii="Times New Roman" w:hAnsi="Times New Roman" w:eastAsia="黑体" w:cs="Times New Roman"/>
          <w:sz w:val="32"/>
          <w:szCs w:val="40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</w:rPr>
        <w:t>个权利主体，翠亨新区管理委员会已按照法律法规，就改造范围、土地现状、改造主体及拟改造情况等事项征询其改造意愿，权利主体同意将涉及土地、房屋纳入改造范围。</w:t>
      </w:r>
    </w:p>
    <w:p>
      <w:pPr>
        <w:spacing w:line="574" w:lineRule="exact"/>
        <w:ind w:firstLine="640" w:firstLineChars="200"/>
        <w:jc w:val="left"/>
        <w:rPr>
          <w:rFonts w:hint="eastAsia" w:ascii="黑体" w:hAnsi="黑体" w:eastAsia="黑体" w:cs="仿宋_GB2312"/>
          <w:sz w:val="32"/>
          <w:szCs w:val="40"/>
        </w:rPr>
      </w:pPr>
      <w:r>
        <w:rPr>
          <w:rFonts w:hint="eastAsia" w:ascii="黑体" w:hAnsi="黑体" w:eastAsia="黑体" w:cs="仿宋_GB2312"/>
          <w:sz w:val="32"/>
          <w:szCs w:val="40"/>
        </w:rPr>
        <w:t>三、改造主体及拟改造情况</w:t>
      </w:r>
    </w:p>
    <w:p>
      <w:pPr>
        <w:spacing w:line="574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根据有关规划要求，改造项目严格按照国土空间总体规划、控制性详细规划管控要求实施建设。在详细规划中属道路和绿地等公益性用地部分，日后属地政府按规划开发建设时，应无偿将用地交给属地政府使用。</w:t>
      </w:r>
    </w:p>
    <w:p>
      <w:pPr>
        <w:spacing w:line="574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该改造项目拟采取权利人自主改造方式，由中山吉事达通讯有限公司作为改造主体，实施局部改造。改造后将引入</w:t>
      </w:r>
      <w:r>
        <w:rPr>
          <w:rFonts w:hint="eastAsia" w:ascii="仿宋_GB2312" w:hAnsi="仿宋" w:eastAsia="仿宋_GB2312" w:cs="仿宋"/>
          <w:sz w:val="32"/>
          <w:szCs w:val="32"/>
        </w:rPr>
        <w:t>电子通讯、医疗设备、智能制造及其他符合《中山市优先发展产业目录（</w:t>
      </w:r>
      <w:r>
        <w:rPr>
          <w:rFonts w:ascii="Times New Roman" w:hAnsi="Times New Roman" w:eastAsia="仿宋_GB2312" w:cs="Times New Roman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sz w:val="32"/>
          <w:szCs w:val="32"/>
        </w:rPr>
        <w:t>年版）》的项目</w:t>
      </w:r>
      <w:r>
        <w:rPr>
          <w:rFonts w:hint="eastAsia" w:ascii="仿宋_GB2312" w:hAnsi="仿宋_GB2312" w:eastAsia="仿宋_GB2312" w:cs="仿宋_GB2312"/>
          <w:sz w:val="32"/>
          <w:szCs w:val="40"/>
        </w:rPr>
        <w:t>，在符合详细规划的基础上，容积率不小于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3.5</w:t>
      </w:r>
      <w:r>
        <w:rPr>
          <w:rFonts w:hint="eastAsia" w:ascii="仿宋_GB2312" w:hAnsi="仿宋_GB2312" w:eastAsia="仿宋_GB2312" w:cs="仿宋_GB2312"/>
          <w:sz w:val="32"/>
          <w:szCs w:val="40"/>
        </w:rPr>
        <w:t>，总建筑面积不小于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181849.15</w:t>
      </w:r>
      <w:r>
        <w:rPr>
          <w:rFonts w:hint="eastAsia" w:ascii="仿宋_GB2312" w:hAnsi="仿宋_GB2312" w:eastAsia="仿宋_GB2312" w:cs="仿宋_GB2312"/>
          <w:sz w:val="32"/>
          <w:szCs w:val="40"/>
        </w:rPr>
        <w:t>平方米，其中新建建筑面积不小于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158354.43</w:t>
      </w:r>
      <w:r>
        <w:rPr>
          <w:rFonts w:hint="eastAsia" w:ascii="仿宋_GB2312" w:hAnsi="仿宋_GB2312" w:eastAsia="仿宋_GB2312" w:cs="仿宋_GB2312"/>
          <w:sz w:val="32"/>
          <w:szCs w:val="40"/>
        </w:rPr>
        <w:t>平方米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spacing w:val="-6"/>
          <w:kern w:val="0"/>
          <w:sz w:val="32"/>
          <w:szCs w:val="32"/>
        </w:rPr>
        <w:t>具体以实际规划报建为准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保留已办理不动产登记的建筑面积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494.72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平方米</w:t>
      </w:r>
      <w:r>
        <w:rPr>
          <w:rFonts w:hint="eastAsia" w:eastAsia="仿宋_GB2312"/>
          <w:spacing w:val="-6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</w:rPr>
        <w:t>项目申请办理工业物业分割销售，自持比例不少于</w:t>
      </w:r>
      <w:r>
        <w:rPr>
          <w:rFonts w:ascii="Times New Roman" w:hAnsi="Times New Roman" w:eastAsia="仿宋_GB2312" w:cs="Times New Roman"/>
          <w:sz w:val="32"/>
        </w:rPr>
        <w:t>20%。</w:t>
      </w:r>
    </w:p>
    <w:p>
      <w:pPr>
        <w:spacing w:line="574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项目相关情况符合国家《产业结构调整指导目录》《中山市</w:t>
      </w:r>
      <w:r>
        <w:rPr>
          <w:rFonts w:ascii="仿宋_GB2312" w:hAnsi="仿宋_GB2312" w:eastAsia="仿宋_GB2312" w:cs="仿宋_GB2312"/>
          <w:sz w:val="32"/>
          <w:szCs w:val="40"/>
        </w:rPr>
        <w:t>“</w:t>
      </w:r>
      <w:r>
        <w:rPr>
          <w:rFonts w:hint="eastAsia" w:ascii="仿宋_GB2312" w:hAnsi="仿宋_GB2312" w:eastAsia="仿宋_GB2312" w:cs="仿宋_GB2312"/>
          <w:sz w:val="32"/>
          <w:szCs w:val="40"/>
        </w:rPr>
        <w:t>三线一单</w:t>
      </w:r>
      <w:r>
        <w:rPr>
          <w:rFonts w:ascii="仿宋_GB2312" w:hAnsi="仿宋_GB2312" w:eastAsia="仿宋_GB2312" w:cs="仿宋_GB2312"/>
          <w:sz w:val="32"/>
          <w:szCs w:val="40"/>
        </w:rPr>
        <w:t>”</w:t>
      </w:r>
      <w:r>
        <w:rPr>
          <w:rFonts w:hint="eastAsia" w:ascii="仿宋_GB2312" w:hAnsi="仿宋_GB2312" w:eastAsia="仿宋_GB2312" w:cs="仿宋_GB2312"/>
          <w:sz w:val="32"/>
          <w:szCs w:val="40"/>
        </w:rPr>
        <w:t>生态环境分区管控方案》《中山市涉挥发性有机物项目环保管理规定》。改造后年产值将达到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38000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万元（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487.55</w:t>
      </w:r>
      <w:r>
        <w:rPr>
          <w:rFonts w:hint="eastAsia" w:ascii="仿宋_GB2312" w:hAnsi="仿宋_GB2312" w:eastAsia="仿宋_GB2312" w:cs="仿宋_GB2312"/>
          <w:sz w:val="32"/>
          <w:szCs w:val="40"/>
        </w:rPr>
        <w:t>万/亩），年税收将达到</w:t>
      </w:r>
      <w:r>
        <w:rPr>
          <w:rFonts w:ascii="Times New Roman" w:hAnsi="Times New Roman" w:eastAsia="仿宋_GB2312" w:cs="Times New Roman"/>
          <w:sz w:val="32"/>
          <w:szCs w:val="32"/>
        </w:rPr>
        <w:t>1957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万元（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25.11</w:t>
      </w:r>
      <w:r>
        <w:rPr>
          <w:rFonts w:hint="eastAsia" w:ascii="仿宋_GB2312" w:hAnsi="仿宋_GB2312" w:eastAsia="仿宋_GB2312" w:cs="仿宋_GB2312"/>
          <w:sz w:val="32"/>
          <w:szCs w:val="40"/>
        </w:rPr>
        <w:t>万/亩）。</w:t>
      </w:r>
    </w:p>
    <w:p>
      <w:pPr>
        <w:spacing w:line="574" w:lineRule="exact"/>
        <w:ind w:firstLine="640" w:firstLineChars="200"/>
        <w:jc w:val="left"/>
        <w:rPr>
          <w:rFonts w:hint="eastAsia" w:ascii="黑体" w:hAnsi="黑体" w:eastAsia="黑体" w:cs="仿宋_GB2312"/>
          <w:sz w:val="32"/>
          <w:szCs w:val="40"/>
        </w:rPr>
      </w:pPr>
      <w:r>
        <w:rPr>
          <w:rFonts w:hint="eastAsia" w:ascii="黑体" w:hAnsi="黑体" w:eastAsia="黑体" w:cs="仿宋_GB2312"/>
          <w:sz w:val="32"/>
          <w:szCs w:val="40"/>
        </w:rPr>
        <w:t>四、资金筹措</w:t>
      </w:r>
    </w:p>
    <w:p>
      <w:pPr>
        <w:spacing w:line="574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改造主体拟固定资产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投资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28000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sz w:val="32"/>
          <w:szCs w:val="40"/>
        </w:rPr>
        <w:t>其中自有资金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11200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万元，银行借贷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16800</w:t>
      </w:r>
      <w:r>
        <w:rPr>
          <w:rFonts w:hint="eastAsia" w:ascii="仿宋_GB2312" w:hAnsi="仿宋_GB2312" w:eastAsia="仿宋_GB2312" w:cs="仿宋_GB2312"/>
          <w:sz w:val="32"/>
          <w:szCs w:val="40"/>
        </w:rPr>
        <w:t>万元，具体以资金筹措的实际情况为准。</w:t>
      </w:r>
    </w:p>
    <w:p>
      <w:pPr>
        <w:spacing w:line="574" w:lineRule="exact"/>
        <w:ind w:firstLine="640" w:firstLineChars="200"/>
        <w:jc w:val="left"/>
        <w:rPr>
          <w:rFonts w:hint="eastAsia" w:ascii="黑体" w:hAnsi="黑体" w:eastAsia="黑体" w:cs="仿宋_GB2312"/>
          <w:sz w:val="32"/>
          <w:szCs w:val="40"/>
        </w:rPr>
      </w:pPr>
      <w:r>
        <w:rPr>
          <w:rFonts w:hint="eastAsia" w:ascii="黑体" w:hAnsi="黑体" w:eastAsia="黑体" w:cs="仿宋_GB2312"/>
          <w:sz w:val="32"/>
          <w:szCs w:val="40"/>
        </w:rPr>
        <w:t>五、开发时序</w:t>
      </w:r>
    </w:p>
    <w:p>
      <w:pPr>
        <w:spacing w:line="574" w:lineRule="exact"/>
        <w:ind w:firstLine="640" w:firstLineChars="200"/>
        <w:jc w:val="left"/>
        <w:rPr>
          <w:rFonts w:hint="eastAsia" w:eastAsia="仿宋_GB2312"/>
          <w:spacing w:val="-6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40"/>
        </w:rPr>
        <w:t>自改造方案批复后</w:t>
      </w:r>
      <w:r>
        <w:rPr>
          <w:rFonts w:ascii="Times New Roman" w:hAnsi="Times New Roman" w:eastAsia="仿宋_GB2312" w:cs="Times New Roman"/>
          <w:sz w:val="32"/>
          <w:szCs w:val="40"/>
        </w:rPr>
        <w:t>6</w:t>
      </w:r>
      <w:r>
        <w:rPr>
          <w:rFonts w:ascii="仿宋_GB2312" w:hAnsi="仿宋_GB2312" w:eastAsia="仿宋_GB2312" w:cs="仿宋_GB2312"/>
          <w:sz w:val="32"/>
          <w:szCs w:val="40"/>
        </w:rPr>
        <w:t>个月内开工，自开工之日起</w:t>
      </w:r>
      <w:r>
        <w:rPr>
          <w:rFonts w:ascii="Times New Roman" w:hAnsi="Times New Roman" w:eastAsia="仿宋_GB2312" w:cs="Times New Roman"/>
          <w:sz w:val="32"/>
          <w:szCs w:val="40"/>
        </w:rPr>
        <w:t>36</w:t>
      </w:r>
      <w:r>
        <w:rPr>
          <w:rFonts w:ascii="仿宋_GB2312" w:hAnsi="仿宋_GB2312" w:eastAsia="仿宋_GB2312" w:cs="仿宋_GB2312"/>
          <w:sz w:val="32"/>
          <w:szCs w:val="40"/>
        </w:rPr>
        <w:t>个月内竣工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spacing w:line="574" w:lineRule="exact"/>
        <w:ind w:firstLine="640" w:firstLineChars="200"/>
        <w:jc w:val="left"/>
        <w:rPr>
          <w:rFonts w:hint="eastAsia" w:ascii="黑体" w:hAnsi="黑体" w:eastAsia="黑体" w:cs="仿宋_GB2312"/>
          <w:sz w:val="32"/>
          <w:szCs w:val="40"/>
        </w:rPr>
      </w:pPr>
      <w:r>
        <w:rPr>
          <w:rFonts w:hint="eastAsia" w:ascii="黑体" w:hAnsi="黑体" w:eastAsia="黑体" w:cs="仿宋_GB2312"/>
          <w:sz w:val="32"/>
          <w:szCs w:val="40"/>
        </w:rPr>
        <w:t>六、实施监管</w:t>
      </w:r>
    </w:p>
    <w:p>
      <w:pPr>
        <w:spacing w:line="574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详见项目实施监管协议。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1940864"/>
      <w:docPartObj>
        <w:docPartGallery w:val="AutoText"/>
      </w:docPartObj>
    </w:sdtPr>
    <w:sdtContent>
      <w:p>
        <w:pPr>
          <w:pStyle w:val="2"/>
          <w:jc w:val="right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0F"/>
    <w:rsid w:val="00014ABE"/>
    <w:rsid w:val="00015EE0"/>
    <w:rsid w:val="00071228"/>
    <w:rsid w:val="00076F50"/>
    <w:rsid w:val="0008514E"/>
    <w:rsid w:val="00085497"/>
    <w:rsid w:val="000902E2"/>
    <w:rsid w:val="0010734F"/>
    <w:rsid w:val="001076BE"/>
    <w:rsid w:val="0012496E"/>
    <w:rsid w:val="0014513A"/>
    <w:rsid w:val="00151C12"/>
    <w:rsid w:val="001A307D"/>
    <w:rsid w:val="001C2F2E"/>
    <w:rsid w:val="001E2B64"/>
    <w:rsid w:val="001F425F"/>
    <w:rsid w:val="00216451"/>
    <w:rsid w:val="00230CD1"/>
    <w:rsid w:val="002466AD"/>
    <w:rsid w:val="002542EA"/>
    <w:rsid w:val="00271145"/>
    <w:rsid w:val="002A6169"/>
    <w:rsid w:val="002F1BE6"/>
    <w:rsid w:val="002F4E2A"/>
    <w:rsid w:val="002F62AF"/>
    <w:rsid w:val="00390364"/>
    <w:rsid w:val="00391D69"/>
    <w:rsid w:val="003A0A48"/>
    <w:rsid w:val="0040619C"/>
    <w:rsid w:val="00494C18"/>
    <w:rsid w:val="004C0C89"/>
    <w:rsid w:val="004D4576"/>
    <w:rsid w:val="00515D6D"/>
    <w:rsid w:val="0051731F"/>
    <w:rsid w:val="005B4F28"/>
    <w:rsid w:val="005D4A30"/>
    <w:rsid w:val="00676A36"/>
    <w:rsid w:val="0069120F"/>
    <w:rsid w:val="006B67EC"/>
    <w:rsid w:val="006E76B1"/>
    <w:rsid w:val="006F1BB9"/>
    <w:rsid w:val="006F29A0"/>
    <w:rsid w:val="006F5C76"/>
    <w:rsid w:val="007174A1"/>
    <w:rsid w:val="00722A0A"/>
    <w:rsid w:val="007F6934"/>
    <w:rsid w:val="007F7F72"/>
    <w:rsid w:val="008233A8"/>
    <w:rsid w:val="00843AFF"/>
    <w:rsid w:val="008C2C3C"/>
    <w:rsid w:val="008D3203"/>
    <w:rsid w:val="008E7647"/>
    <w:rsid w:val="008F5346"/>
    <w:rsid w:val="00907BBE"/>
    <w:rsid w:val="00911FB2"/>
    <w:rsid w:val="00930510"/>
    <w:rsid w:val="009459BC"/>
    <w:rsid w:val="00973CDB"/>
    <w:rsid w:val="009E10EE"/>
    <w:rsid w:val="00A34C8A"/>
    <w:rsid w:val="00A366D0"/>
    <w:rsid w:val="00A36E35"/>
    <w:rsid w:val="00A63783"/>
    <w:rsid w:val="00AC5739"/>
    <w:rsid w:val="00AD0736"/>
    <w:rsid w:val="00AE25D4"/>
    <w:rsid w:val="00AE7005"/>
    <w:rsid w:val="00BB1D26"/>
    <w:rsid w:val="00BD65D0"/>
    <w:rsid w:val="00BF4741"/>
    <w:rsid w:val="00C24FDC"/>
    <w:rsid w:val="00C34895"/>
    <w:rsid w:val="00C75C27"/>
    <w:rsid w:val="00C855A4"/>
    <w:rsid w:val="00CA26A2"/>
    <w:rsid w:val="00CA486F"/>
    <w:rsid w:val="00CD5737"/>
    <w:rsid w:val="00CF64B7"/>
    <w:rsid w:val="00D02552"/>
    <w:rsid w:val="00D10641"/>
    <w:rsid w:val="00D51F68"/>
    <w:rsid w:val="00DC3C3D"/>
    <w:rsid w:val="00DE3412"/>
    <w:rsid w:val="00E13B7E"/>
    <w:rsid w:val="00E50658"/>
    <w:rsid w:val="00E835FB"/>
    <w:rsid w:val="00EC3BC0"/>
    <w:rsid w:val="00EC5856"/>
    <w:rsid w:val="00EC6136"/>
    <w:rsid w:val="00F552AA"/>
    <w:rsid w:val="00FA2C0D"/>
    <w:rsid w:val="00FC5DBE"/>
    <w:rsid w:val="00FD427F"/>
    <w:rsid w:val="00FF02E8"/>
    <w:rsid w:val="61E0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1559</Characters>
  <Lines>12</Lines>
  <Paragraphs>3</Paragraphs>
  <TotalTime>39</TotalTime>
  <ScaleCrop>false</ScaleCrop>
  <LinksUpToDate>false</LinksUpToDate>
  <CharactersWithSpaces>1829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2024-07-29T01:58:00Z</dcterms:created>
  <dc:creator>Tissue Cheng</dc:creator>
  <cp:lastModifiedBy>李杰峰</cp:lastModifiedBy>
  <dcterms:modified xsi:type="dcterms:W3CDTF">2024-07-30T07:29:43Z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CDEDCB17E1DE4124A855DC65375E5429</vt:lpwstr>
  </property>
</Properties>
</file>