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highlight w:val="none"/>
          <w:u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eastAsia="zh-CN"/>
        </w:rPr>
        <w:t>中山市板芙镇白溪村经济联合社（地块A）项目低效工业用地改造方案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）有关规定，现对中山市板芙镇白溪村经济联合社（地块A）项目低效工业用地改造方案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  <w:t>中府函（工改）〔2024〕24号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  <w:t>2024年6月24日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  <w:t>中山市板芙镇白溪村经济联合社（地块A）项目低效工业用地改造方案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  <w:t>项目低效工业用地改造方案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pacing w:val="-6"/>
                <w:kern w:val="44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位于板芙镇里溪村，北至金钟涌，南至辉宏机电工程（深圳）有限公司，西至新联街，东至胜景路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15940.00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15940.00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《中山市板芙镇顺景工业园北片区(2004单元)02街区控制性详细规划一般修改》（中府函〔2024〕150 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政府整备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通过公开出让方式确定改造主体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不小于43876.98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不低于3.0</w:t>
            </w:r>
          </w:p>
        </w:tc>
      </w:tr>
    </w:tbl>
    <w:p>
      <w:pPr>
        <w:pStyle w:val="4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29D6"/>
    <w:rsid w:val="0C9B7EBC"/>
    <w:rsid w:val="0F9315AB"/>
    <w:rsid w:val="24F301AC"/>
    <w:rsid w:val="29D7379A"/>
    <w:rsid w:val="33AD45E5"/>
    <w:rsid w:val="3418677B"/>
    <w:rsid w:val="3A7A067E"/>
    <w:rsid w:val="4A567E3F"/>
    <w:rsid w:val="56EE27E4"/>
    <w:rsid w:val="5E311FF0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2024-07-01T03:12:07Z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