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  <w:highlight w:val="none"/>
        </w:rPr>
        <w:t>神湾镇诚艺精工产业城（三期、四期）项目“工改工”宗地项目“三旧”改造方案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bookmarkEnd w:id="1"/>
    <w:p>
      <w:pPr>
        <w:ind w:firstLine="536" w:firstLineChars="20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</w:t>
      </w:r>
      <w:r>
        <w:rPr>
          <w:rFonts w:hint="default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神湾镇诚艺精工产业城（三期、四期）项目“工改工”宗地项目“三旧”改造方案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中府函（工改）〔2024〕28号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方正小标宋简体" w:cs="Times New Roman"/>
                <w:color w:val="auto"/>
                <w:spacing w:val="-6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pacing w:val="-6"/>
                <w:sz w:val="44"/>
                <w:szCs w:val="44"/>
                <w:highlight w:val="none"/>
              </w:rPr>
              <w:t>神湾镇诚艺精工产业城（三期、四期）项目“工改工”宗地项目“三旧”改造方案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位于神湾镇外沙村福源路两侧，北至农田，东临神湾大道，西侧及南侧均为现状厂房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66762.52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66405.52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《神湾镇南沙工业园区低效工业厂房城市更新A单元规划》（中府函〔2022〕176号）和《中山市神湾镇南沙工业园片区（2102单元）D街区A-05-01等地块控制性详细规划局部调整（2024）》（中府函〔2024〕59号）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44200071021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44200071022</w:t>
            </w: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44200071028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单一主体归宗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中山市诚艺工业投资有限公司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不少于112140.94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不低于2.0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B7EBC"/>
    <w:rsid w:val="0F9315AB"/>
    <w:rsid w:val="24F301AC"/>
    <w:rsid w:val="2E5637C6"/>
    <w:rsid w:val="33AD45E5"/>
    <w:rsid w:val="3A7A067E"/>
    <w:rsid w:val="4A567E3F"/>
    <w:rsid w:val="56EE27E4"/>
    <w:rsid w:val="5E363BA6"/>
    <w:rsid w:val="746F577B"/>
    <w:rsid w:val="77CA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2024-07-01T02:48:10Z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