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微软简标宋" w:hAnsi="微软简标宋" w:eastAsia="微软简标宋" w:cs="微软简标宋"/>
          <w:b w:val="0"/>
          <w:bCs w:val="0"/>
          <w:color w:val="auto"/>
          <w:spacing w:val="-6"/>
          <w:sz w:val="44"/>
          <w:szCs w:val="44"/>
          <w:highlight w:val="none"/>
          <w:u w:val="none"/>
          <w:lang w:eastAsia="zh-CN"/>
        </w:rPr>
        <w:t>港口</w:t>
      </w:r>
      <w:r>
        <w:rPr>
          <w:rFonts w:hint="eastAsia" w:ascii="微软简标宋" w:hAnsi="微软简标宋" w:eastAsia="微软简标宋" w:cs="微软简标宋"/>
          <w:b w:val="0"/>
          <w:bCs w:val="0"/>
          <w:color w:val="auto"/>
          <w:spacing w:val="-6"/>
          <w:sz w:val="44"/>
          <w:szCs w:val="44"/>
          <w:highlight w:val="none"/>
          <w:u w:val="none"/>
        </w:rPr>
        <w:t>镇</w:t>
      </w:r>
      <w:r>
        <w:rPr>
          <w:rFonts w:hint="eastAsia" w:ascii="微软简标宋" w:hAnsi="微软简标宋" w:eastAsia="微软简标宋" w:cs="微软简标宋"/>
          <w:b w:val="0"/>
          <w:bCs w:val="0"/>
          <w:color w:val="auto"/>
          <w:spacing w:val="-6"/>
          <w:kern w:val="0"/>
          <w:sz w:val="44"/>
          <w:szCs w:val="44"/>
          <w:highlight w:val="none"/>
          <w:u w:val="none"/>
          <w:lang w:eastAsia="zh-CN"/>
        </w:rPr>
        <w:t>中山市兴卫益健医疗产业投资有限公司</w:t>
      </w:r>
      <w:r>
        <w:rPr>
          <w:rFonts w:hint="eastAsia" w:ascii="微软简标宋" w:hAnsi="微软简标宋" w:eastAsia="微软简标宋" w:cs="微软简标宋"/>
          <w:b w:val="0"/>
          <w:bCs w:val="0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低效工业用地项目改造</w:t>
      </w:r>
      <w:r>
        <w:rPr>
          <w:rFonts w:hint="eastAsia" w:ascii="微软简标宋" w:hAnsi="微软简标宋" w:eastAsia="微软简标宋" w:cs="微软简标宋"/>
          <w:b w:val="0"/>
          <w:bCs w:val="0"/>
          <w:color w:val="auto"/>
          <w:spacing w:val="-6"/>
          <w:sz w:val="44"/>
          <w:szCs w:val="44"/>
          <w:highlight w:val="none"/>
          <w:u w:val="none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根据现行控制性详细规划，港口镇人民政府拟对位于港口镇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民主社区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中山市兴卫益健医疗产业投资有限公司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用地进行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中山市兴卫益健医疗产业投资有限公司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自主改造，采取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局部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改造的改造方式。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地块位于港口镇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民主社区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，北至大田涌，南至中山市金马科技娱乐设备有限公司，东至用地边界，西至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三角快线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，用地面积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2.5546公顷（25546.00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38.32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属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建设用地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，土地用途为工业，改造涉及的土地已经确权、登记，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不动产权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证号为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：粤（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0348502号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中山市兴卫益健医疗产业投资有限公司自2010年1月开始使用。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改造地块因深江铁路建设征用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1629.93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平方米的用地，征用影响面积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553.95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平方米，剩余用地面积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23362.12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平方米，港口镇正在办理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收回国有土地使用权手续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，实际改造面积2.3362公顷（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23362.12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平方米，折合约35.04亩）。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highlight w:val="none"/>
          <w:u w:val="none"/>
        </w:rPr>
        <w:t>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范围内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现有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栋建筑物，为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中山市兴卫益健医疗产业投资有限公司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月开始使用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已按规定办理规划报建等手续，现有建筑面积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5241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平方米，现状容积率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0.22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，作工业厂房所用。该地块目前拆除建筑面积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平方米，改造前年产值为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8983.56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256.38万元/亩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，年税收为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93.91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2.68万元/亩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。根据《关于印发中山市工业用地综合评价方案的通知》（中山工改办发〔2023〕7号）及《关于促进2010 年后实施建设等情形的低效工业用地改造支持政策的补充通知》（中山自然资函〔2023〕792 号），该项目因实施建设时间在2010 年后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第二次全国土地调查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最新的土地利用现状图未认定为建设用地，不能纳入省标图入库范围，经研究，认定改造地块属于低效工业用地。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不涉及闲置土地、土壤环境潜在监管地块及历史文化资源要素。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抵押给中国建设银行兴中道支行，待办理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收回国有土地使用权手续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后，出具抵押权人同意改造证明。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改造地块符合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、控制性详细规划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，已纳入市城市更新(“三旧”改造)专项规划(2020-2035)。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在国土空间总体规划中，属城镇建设用地2.3362公顷（23362.12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35.04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）。在《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中山市港口镇木河迳东片区C、F 街区控制性详细规划(2023)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中府函[2023]142号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）中，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2.0291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20290.76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30.44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亩），规划容积率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1.0-4.0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，建筑密度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，绿地率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10%-15%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，产业用房建筑高度≦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70米（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特殊工艺除外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），配套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设施建筑高度≦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100米；公园绿地0.166公顷（1659.55平方米，折合约2.49亩）；防护绿地0.1411公顷（1411.34平方米，折合约2.12亩），陆地水域0.47平方米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改造项目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Hans"/>
        </w:rPr>
        <w:t>位于“三区三线”城镇开发边界内，不涉及永久基本农田、生态保护红线等管控要求。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中山市兴卫益健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产业投资有限公司一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个权利主体，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港口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镇人民政府已按照法律法规，就改造范围、土地现状、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主体及拟改造情况等事项征询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改造意愿，同意将涉及土地、房屋纳入改造范围。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总体规划、控制性详细规划管控要求实施建设。在规划中属非建设用地部分，按照非建设用地进行管控；在详细规划中属绿地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公益性用地部分，日后港口镇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政府需按规划开发建设时，应无偿将用地交给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港口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镇人民政府使用。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改造项目拟采取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土地产权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人自主改造方式，由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中山市兴卫益健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产业投资有限公司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作为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主体，实施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改造。改造后将用于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医疗健康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（医疗用产品开发和制造、医药批发销售、医疗器械清洁消毒等）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及其他行业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，总建筑面积不小于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46724.24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平方米，其中新建建筑面积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42635.24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4089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项目新建建筑面积申请分割销售，自持比例不低于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工业配套行政办公及生活服务设施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允许跨宗地集中设置，用地面积占比不大于7%，总建筑面积占比不大于20%。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项目相关情况符合国家《产业结构调整指导目录》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《中山市“三线一单”生态环境分区管控方案（2023版）》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《中山市涉挥发性有机物项目环保管理规定》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。改造后年产值将达到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21024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600万元/亩）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，年税收将达到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613.2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17.5万元/亩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四、需办理相关手续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计划保留建筑已办理建设工程规划许可证（建字第180042013050034号）及建设工程施工许可证（编号442000201403170028GK0673），建筑面积4089平方米，待一期项目动工后，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办理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该栋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保留建筑的不动产登记手续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主体拟投入资金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13000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万元，银行借贷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年，在2024年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月之前动工，202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月之前竣工，拟分三期开发。一期开发时间为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月，拟投入资金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万元，拟建建筑面积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4089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平方米；二期开发时间为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2026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月，拟投入资金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万元，拟建建筑面积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4635.24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三期开发时间为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月，拟投入资金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万元，拟建建筑面积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详见港口镇人民政府与改造主体签订的项目实施监管协议。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5FFA"/>
    <w:rsid w:val="03580322"/>
    <w:rsid w:val="0A6B3B46"/>
    <w:rsid w:val="0D1E4C12"/>
    <w:rsid w:val="1D4E738B"/>
    <w:rsid w:val="1F7018D9"/>
    <w:rsid w:val="225D2500"/>
    <w:rsid w:val="24F47CA7"/>
    <w:rsid w:val="39875FFA"/>
    <w:rsid w:val="3BC7289E"/>
    <w:rsid w:val="41A86120"/>
    <w:rsid w:val="53B27FDC"/>
    <w:rsid w:val="55EF15FA"/>
    <w:rsid w:val="587A7F35"/>
    <w:rsid w:val="58E2665F"/>
    <w:rsid w:val="655343CB"/>
    <w:rsid w:val="6BB56643"/>
    <w:rsid w:val="7C4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2024-03-19T07:19:00Z</dcterms:created>
  <dc:creator>唐聪</dc:creator>
  <cp:lastModifiedBy>董才广</cp:lastModifiedBy>
  <dcterms:modified xsi:type="dcterms:W3CDTF">2024-06-24T03:12:01Z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6914FC6127FA4AB5B957A0ED9ADBCE9E</vt:lpwstr>
  </property>
</Properties>
</file>