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关于变更粤(2023)中山市不动产权第0492511号用地规划条件公示的通告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153025" cy="2619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杨金球用地图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该宗地位于中山市南朗镇榄边村茶西，不动产权证号为粤(2023)中山市不动产权第0492511号，证载土地用途为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城镇住宅用地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/住宅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102.4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杨金球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我局已受理其申请，根据公开、公平、公正原则，现对该宗地规划条件变更进行公示，公示如下：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该用地位于《中山市华南现代中医药城控制性详细规划调整》，为H14 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5A0D3CFA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2024-05-24T07:44:30Z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