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ascii="方正小标宋简体" w:hAnsi="方正小标宋简体" w:eastAsia="方正小标宋简体" w:cs="方正小标宋简体"/>
          <w:color w:val="auto"/>
          <w:spacing w:val="-6"/>
          <w:sz w:val="44"/>
          <w:szCs w:val="44"/>
        </w:rPr>
      </w:pPr>
      <w:r>
        <w:rPr>
          <w:rFonts w:hint="eastAsia" w:ascii="方正小标宋简体" w:hAnsi="方正小标宋简体" w:eastAsia="方正小标宋简体" w:cs="方正小标宋简体"/>
          <w:color w:val="auto"/>
          <w:spacing w:val="-6"/>
          <w:sz w:val="44"/>
          <w:szCs w:val="44"/>
        </w:rPr>
        <w:t>阜沙镇中山市康鸿电子科技有限公司“工改工”宗地项目“三旧”改造方案</w:t>
      </w:r>
    </w:p>
    <w:p>
      <w:pPr>
        <w:spacing w:line="574" w:lineRule="exact"/>
        <w:ind w:firstLine="924" w:firstLineChars="300"/>
        <w:rPr>
          <w:rFonts w:ascii="仿宋_GB2312" w:hAnsi="仿宋_GB2312" w:eastAsia="仿宋_GB2312" w:cs="仿宋_GB2312"/>
          <w:color w:val="auto"/>
          <w:spacing w:val="-6"/>
          <w:kern w:val="0"/>
          <w:sz w:val="32"/>
          <w:szCs w:val="32"/>
        </w:rPr>
      </w:pPr>
    </w:p>
    <w:p>
      <w:pPr>
        <w:pStyle w:val="3"/>
        <w:rPr>
          <w:color w:val="auto"/>
        </w:rPr>
      </w:pPr>
    </w:p>
    <w:p>
      <w:pPr>
        <w:spacing w:line="574" w:lineRule="exact"/>
        <w:ind w:firstLine="616" w:firstLineChars="200"/>
        <w:rPr>
          <w:rFonts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根据中山市城市更新（“三旧”改造）专项规划和现行</w:t>
      </w:r>
      <w:r>
        <w:rPr>
          <w:rFonts w:hint="eastAsia" w:ascii="仿宋_GB2312" w:hAnsi="仿宋_GB2312" w:eastAsia="仿宋_GB2312" w:cs="仿宋_GB2312"/>
          <w:color w:val="auto"/>
          <w:spacing w:val="-6"/>
          <w:kern w:val="0"/>
          <w:sz w:val="32"/>
          <w:szCs w:val="32"/>
          <w:lang w:val="en-US" w:eastAsia="zh-CN"/>
        </w:rPr>
        <w:t>控制性详细规划</w:t>
      </w:r>
      <w:r>
        <w:rPr>
          <w:rFonts w:hint="eastAsia" w:ascii="仿宋_GB2312" w:hAnsi="仿宋_GB2312" w:eastAsia="仿宋_GB2312" w:cs="仿宋_GB2312"/>
          <w:color w:val="auto"/>
          <w:spacing w:val="-6"/>
          <w:kern w:val="0"/>
          <w:sz w:val="32"/>
          <w:szCs w:val="32"/>
        </w:rPr>
        <w:t>，阜沙镇人民政府拟对位于中山市阜沙镇</w:t>
      </w:r>
      <w:r>
        <w:rPr>
          <w:rFonts w:hint="eastAsia" w:ascii="仿宋_GB2312" w:hAnsi="仿宋_GB2312" w:eastAsia="仿宋_GB2312" w:cs="仿宋_GB2312"/>
          <w:color w:val="auto"/>
          <w:spacing w:val="-6"/>
          <w:kern w:val="0"/>
          <w:sz w:val="32"/>
          <w:szCs w:val="32"/>
          <w:lang w:val="en-US" w:eastAsia="zh-CN"/>
        </w:rPr>
        <w:t>阜沙工业园</w:t>
      </w:r>
      <w:r>
        <w:rPr>
          <w:rFonts w:hint="eastAsia" w:ascii="仿宋_GB2312" w:hAnsi="仿宋_GB2312" w:eastAsia="仿宋_GB2312" w:cs="仿宋_GB2312"/>
          <w:color w:val="auto"/>
          <w:spacing w:val="-6"/>
          <w:kern w:val="0"/>
          <w:sz w:val="32"/>
          <w:szCs w:val="32"/>
        </w:rPr>
        <w:t>的中山市康鸿电子科技有限公司旧厂房用地进行改造，由土地权利人中山市康鸿电子科技有限公司</w:t>
      </w:r>
      <w:r>
        <w:rPr>
          <w:rFonts w:hint="eastAsia" w:ascii="仿宋_GB2312" w:hAnsi="仿宋_GB2312" w:eastAsia="仿宋_GB2312" w:cs="仿宋_GB2312"/>
          <w:color w:val="auto"/>
          <w:spacing w:val="-6"/>
          <w:kern w:val="0"/>
          <w:sz w:val="32"/>
          <w:szCs w:val="32"/>
          <w:highlight w:val="none"/>
        </w:rPr>
        <w:t>自主改造，采取</w:t>
      </w:r>
      <w:r>
        <w:rPr>
          <w:rFonts w:hint="eastAsia" w:ascii="仿宋_GB2312" w:hAnsi="仿宋_GB2312" w:eastAsia="仿宋_GB2312" w:cs="仿宋_GB2312"/>
          <w:color w:val="auto"/>
          <w:spacing w:val="-6"/>
          <w:kern w:val="0"/>
          <w:sz w:val="32"/>
          <w:szCs w:val="32"/>
          <w:highlight w:val="none"/>
          <w:lang w:val="en-US" w:eastAsia="zh-CN"/>
        </w:rPr>
        <w:t>局部</w:t>
      </w:r>
      <w:r>
        <w:rPr>
          <w:rFonts w:hint="eastAsia" w:ascii="仿宋_GB2312" w:hAnsi="仿宋_GB2312" w:eastAsia="仿宋_GB2312" w:cs="仿宋_GB2312"/>
          <w:color w:val="auto"/>
          <w:spacing w:val="-6"/>
          <w:kern w:val="0"/>
          <w:sz w:val="32"/>
          <w:szCs w:val="32"/>
          <w:highlight w:val="none"/>
        </w:rPr>
        <w:t>改造方式。</w:t>
      </w:r>
      <w:r>
        <w:rPr>
          <w:rFonts w:hint="eastAsia" w:ascii="仿宋_GB2312" w:hAnsi="仿宋_GB2312" w:eastAsia="仿宋_GB2312" w:cs="仿宋_GB2312"/>
          <w:color w:val="auto"/>
          <w:spacing w:val="-6"/>
          <w:kern w:val="0"/>
          <w:sz w:val="32"/>
          <w:szCs w:val="32"/>
        </w:rPr>
        <w:t>改造方案如下：</w:t>
      </w:r>
    </w:p>
    <w:p>
      <w:pPr>
        <w:spacing w:line="574" w:lineRule="exact"/>
        <w:ind w:firstLine="616" w:firstLineChars="200"/>
        <w:rPr>
          <w:rFonts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一、改造地块基本情况</w:t>
      </w:r>
    </w:p>
    <w:p>
      <w:pPr>
        <w:spacing w:line="574" w:lineRule="exact"/>
        <w:ind w:firstLine="616" w:firstLineChars="200"/>
        <w:rPr>
          <w:rFonts w:ascii="楷体" w:hAnsi="楷体" w:eastAsia="楷体" w:cs="楷体"/>
          <w:color w:val="auto"/>
          <w:spacing w:val="-6"/>
          <w:sz w:val="32"/>
          <w:szCs w:val="32"/>
        </w:rPr>
      </w:pPr>
      <w:r>
        <w:rPr>
          <w:rFonts w:hint="eastAsia" w:ascii="楷体" w:hAnsi="楷体" w:eastAsia="楷体" w:cs="楷体"/>
          <w:color w:val="auto"/>
          <w:spacing w:val="-6"/>
          <w:sz w:val="32"/>
          <w:szCs w:val="32"/>
        </w:rPr>
        <w:t>（一）总体情况</w:t>
      </w:r>
    </w:p>
    <w:p>
      <w:pPr>
        <w:spacing w:line="574" w:lineRule="exact"/>
        <w:ind w:firstLine="616" w:firstLineChars="200"/>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改造地块位中山市阜沙镇</w:t>
      </w:r>
      <w:r>
        <w:rPr>
          <w:rFonts w:hint="eastAsia" w:ascii="仿宋_GB2312" w:hAnsi="仿宋_GB2312" w:eastAsia="仿宋_GB2312" w:cs="仿宋_GB2312"/>
          <w:color w:val="auto"/>
          <w:spacing w:val="-6"/>
          <w:kern w:val="0"/>
          <w:sz w:val="32"/>
          <w:szCs w:val="32"/>
          <w:lang w:val="en-US" w:eastAsia="zh-CN"/>
        </w:rPr>
        <w:t>上南村锦绣路</w:t>
      </w:r>
      <w:r>
        <w:rPr>
          <w:rFonts w:hint="eastAsia" w:ascii="仿宋_GB2312" w:hAnsi="仿宋_GB2312" w:eastAsia="仿宋_GB2312" w:cs="仿宋_GB2312"/>
          <w:color w:val="auto"/>
          <w:spacing w:val="-6"/>
          <w:sz w:val="32"/>
          <w:szCs w:val="32"/>
        </w:rPr>
        <w:t>，北至</w:t>
      </w:r>
      <w:r>
        <w:rPr>
          <w:rFonts w:hint="eastAsia" w:ascii="仿宋_GB2312" w:hAnsi="仿宋_GB2312" w:eastAsia="仿宋_GB2312" w:cs="仿宋_GB2312"/>
          <w:color w:val="auto"/>
          <w:spacing w:val="-6"/>
          <w:sz w:val="32"/>
          <w:szCs w:val="32"/>
          <w:lang w:val="en-US" w:eastAsia="zh-CN"/>
        </w:rPr>
        <w:t>广东兴达鸿业电子有限公司</w:t>
      </w:r>
      <w:r>
        <w:rPr>
          <w:rFonts w:hint="eastAsia" w:ascii="仿宋_GB2312" w:hAnsi="仿宋_GB2312" w:eastAsia="仿宋_GB2312" w:cs="仿宋_GB2312"/>
          <w:color w:val="auto"/>
          <w:spacing w:val="-6"/>
          <w:sz w:val="32"/>
          <w:szCs w:val="32"/>
        </w:rPr>
        <w:t>，南至中山康澳电子有限公司，东至</w:t>
      </w:r>
      <w:r>
        <w:rPr>
          <w:rFonts w:hint="eastAsia" w:ascii="仿宋_GB2312" w:hAnsi="仿宋_GB2312" w:eastAsia="仿宋_GB2312" w:cs="仿宋_GB2312"/>
          <w:color w:val="auto"/>
          <w:spacing w:val="-6"/>
          <w:sz w:val="32"/>
          <w:szCs w:val="32"/>
          <w:lang w:val="en-US" w:eastAsia="zh-CN"/>
        </w:rPr>
        <w:t>接胜西街</w:t>
      </w:r>
      <w:r>
        <w:rPr>
          <w:rFonts w:hint="eastAsia" w:ascii="仿宋_GB2312" w:hAnsi="仿宋_GB2312" w:eastAsia="仿宋_GB2312" w:cs="仿宋_GB2312"/>
          <w:color w:val="auto"/>
          <w:spacing w:val="-6"/>
          <w:sz w:val="32"/>
          <w:szCs w:val="32"/>
        </w:rPr>
        <w:t>民居，西至</w:t>
      </w:r>
      <w:r>
        <w:rPr>
          <w:rFonts w:hint="eastAsia" w:ascii="仿宋_GB2312" w:hAnsi="仿宋_GB2312" w:eastAsia="仿宋_GB2312" w:cs="仿宋_GB2312"/>
          <w:color w:val="auto"/>
          <w:spacing w:val="-6"/>
          <w:sz w:val="32"/>
          <w:szCs w:val="32"/>
          <w:lang w:val="en-US" w:eastAsia="zh-CN"/>
        </w:rPr>
        <w:t>锦绣路</w:t>
      </w:r>
      <w:r>
        <w:rPr>
          <w:rFonts w:hint="eastAsia" w:ascii="仿宋_GB2312" w:hAnsi="仿宋_GB2312" w:eastAsia="仿宋_GB2312" w:cs="仿宋_GB2312"/>
          <w:color w:val="auto"/>
          <w:spacing w:val="-6"/>
          <w:sz w:val="32"/>
          <w:szCs w:val="32"/>
        </w:rPr>
        <w:t>，用地面积</w:t>
      </w:r>
      <w:r>
        <w:rPr>
          <w:rFonts w:hint="default" w:ascii="Times New Roman" w:hAnsi="Times New Roman" w:eastAsia="仿宋_GB2312" w:cs="Times New Roman"/>
          <w:color w:val="auto"/>
          <w:spacing w:val="-6"/>
          <w:sz w:val="32"/>
          <w:szCs w:val="32"/>
          <w:lang w:val="en-US" w:eastAsia="zh-CN"/>
        </w:rPr>
        <w:t>3.0000</w:t>
      </w:r>
      <w:r>
        <w:rPr>
          <w:rFonts w:hint="eastAsia" w:ascii="仿宋_GB2312" w:hAnsi="仿宋_GB2312" w:eastAsia="仿宋_GB2312" w:cs="仿宋_GB2312"/>
          <w:color w:val="auto"/>
          <w:spacing w:val="-6"/>
          <w:sz w:val="32"/>
          <w:szCs w:val="32"/>
        </w:rPr>
        <w:t>公顷（</w:t>
      </w:r>
      <w:r>
        <w:rPr>
          <w:rFonts w:hint="eastAsia" w:ascii="Times New Roman" w:hAnsi="Times New Roman" w:eastAsia="仿宋_GB2312" w:cs="Times New Roman"/>
          <w:color w:val="auto"/>
          <w:spacing w:val="-6"/>
          <w:sz w:val="32"/>
          <w:szCs w:val="32"/>
          <w:lang w:val="en-US" w:eastAsia="zh-CN"/>
        </w:rPr>
        <w:t>29999.7</w:t>
      </w:r>
      <w:r>
        <w:rPr>
          <w:rFonts w:hint="eastAsia" w:ascii="仿宋_GB2312" w:hAnsi="仿宋_GB2312" w:eastAsia="仿宋_GB2312" w:cs="仿宋_GB2312"/>
          <w:color w:val="auto"/>
          <w:spacing w:val="-6"/>
          <w:sz w:val="32"/>
          <w:szCs w:val="32"/>
        </w:rPr>
        <w:t>平方米，折合约</w:t>
      </w:r>
      <w:r>
        <w:rPr>
          <w:rFonts w:hint="eastAsia" w:ascii="Times New Roman" w:hAnsi="Times New Roman" w:eastAsia="仿宋_GB2312" w:cs="Times New Roman"/>
          <w:color w:val="auto"/>
          <w:spacing w:val="-6"/>
          <w:sz w:val="32"/>
          <w:szCs w:val="32"/>
          <w:lang w:val="en-US" w:eastAsia="zh-CN"/>
        </w:rPr>
        <w:t>45.00</w:t>
      </w:r>
      <w:r>
        <w:rPr>
          <w:rFonts w:hint="eastAsia" w:ascii="仿宋_GB2312" w:hAnsi="仿宋_GB2312" w:eastAsia="仿宋_GB2312" w:cs="仿宋_GB2312"/>
          <w:color w:val="auto"/>
          <w:spacing w:val="-6"/>
          <w:sz w:val="32"/>
          <w:szCs w:val="32"/>
        </w:rPr>
        <w:t>亩）。</w:t>
      </w:r>
    </w:p>
    <w:p>
      <w:pPr>
        <w:spacing w:line="574" w:lineRule="exact"/>
        <w:ind w:firstLine="616" w:firstLineChars="200"/>
        <w:rPr>
          <w:rFonts w:ascii="楷体" w:hAnsi="楷体" w:eastAsia="楷体" w:cs="楷体"/>
          <w:color w:val="auto"/>
          <w:spacing w:val="-6"/>
          <w:sz w:val="32"/>
          <w:szCs w:val="32"/>
        </w:rPr>
      </w:pPr>
      <w:r>
        <w:rPr>
          <w:rFonts w:hint="eastAsia" w:ascii="楷体" w:hAnsi="楷体" w:eastAsia="楷体" w:cs="楷体"/>
          <w:color w:val="auto"/>
          <w:spacing w:val="-6"/>
          <w:sz w:val="32"/>
          <w:szCs w:val="32"/>
        </w:rPr>
        <w:t>（二）标图入库情况</w:t>
      </w:r>
    </w:p>
    <w:p>
      <w:pPr>
        <w:spacing w:line="574" w:lineRule="exact"/>
        <w:ind w:firstLine="616" w:firstLineChars="200"/>
        <w:rPr>
          <w:rFonts w:hint="default"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rPr>
        <w:t>改造地块</w:t>
      </w:r>
      <w:r>
        <w:rPr>
          <w:rFonts w:hint="eastAsia" w:ascii="仿宋_GB2312" w:hAnsi="仿宋_GB2312" w:eastAsia="仿宋_GB2312" w:cs="仿宋_GB2312"/>
          <w:color w:val="auto"/>
          <w:spacing w:val="-6"/>
          <w:sz w:val="32"/>
          <w:szCs w:val="32"/>
          <w:highlight w:val="none"/>
          <w:lang w:val="en-US" w:eastAsia="zh-CN"/>
        </w:rPr>
        <w:t>于</w:t>
      </w:r>
      <w:r>
        <w:rPr>
          <w:rFonts w:hint="default" w:ascii="Times New Roman" w:hAnsi="Times New Roman" w:eastAsia="仿宋_GB2312" w:cs="Times New Roman"/>
          <w:color w:val="auto"/>
          <w:spacing w:val="-6"/>
          <w:sz w:val="32"/>
          <w:szCs w:val="32"/>
          <w:lang w:val="en-US" w:eastAsia="zh-CN"/>
        </w:rPr>
        <w:t>2023</w:t>
      </w:r>
      <w:r>
        <w:rPr>
          <w:rFonts w:hint="eastAsia" w:ascii="仿宋_GB2312" w:hAnsi="仿宋_GB2312" w:eastAsia="仿宋_GB2312" w:cs="仿宋_GB2312"/>
          <w:color w:val="auto"/>
          <w:spacing w:val="-6"/>
          <w:sz w:val="32"/>
          <w:szCs w:val="32"/>
          <w:highlight w:val="none"/>
          <w:lang w:val="en-US" w:eastAsia="zh-CN"/>
        </w:rPr>
        <w:t>年</w:t>
      </w:r>
      <w:r>
        <w:rPr>
          <w:rFonts w:hint="default" w:ascii="Times New Roman" w:hAnsi="Times New Roman" w:eastAsia="仿宋_GB2312" w:cs="Times New Roman"/>
          <w:color w:val="auto"/>
          <w:spacing w:val="-6"/>
          <w:sz w:val="32"/>
          <w:szCs w:val="32"/>
          <w:lang w:val="en-US" w:eastAsia="zh-CN"/>
        </w:rPr>
        <w:t>12</w:t>
      </w:r>
      <w:r>
        <w:rPr>
          <w:rFonts w:hint="eastAsia" w:ascii="仿宋_GB2312" w:hAnsi="仿宋_GB2312" w:eastAsia="仿宋_GB2312" w:cs="仿宋_GB2312"/>
          <w:color w:val="auto"/>
          <w:spacing w:val="-6"/>
          <w:sz w:val="32"/>
          <w:szCs w:val="32"/>
          <w:highlight w:val="none"/>
          <w:lang w:val="en-US" w:eastAsia="zh-CN"/>
        </w:rPr>
        <w:t>月纳入</w:t>
      </w:r>
      <w:r>
        <w:rPr>
          <w:rFonts w:hint="eastAsia" w:ascii="仿宋_GB2312" w:hAnsi="仿宋_GB2312" w:eastAsia="仿宋_GB2312" w:cs="仿宋_GB2312"/>
          <w:color w:val="auto"/>
          <w:spacing w:val="-6"/>
          <w:sz w:val="32"/>
          <w:szCs w:val="32"/>
          <w:highlight w:val="none"/>
        </w:rPr>
        <w:t>“三旧”标图入库，图斑编号</w:t>
      </w:r>
      <w:r>
        <w:rPr>
          <w:rFonts w:hint="eastAsia" w:ascii="Times New Roman" w:hAnsi="Times New Roman" w:eastAsia="仿宋_GB2312" w:cs="Times New Roman"/>
          <w:color w:val="auto"/>
          <w:spacing w:val="-6"/>
          <w:sz w:val="32"/>
          <w:szCs w:val="32"/>
          <w:lang w:val="en-US" w:eastAsia="zh-CN"/>
        </w:rPr>
        <w:t>44200068565</w:t>
      </w:r>
      <w:r>
        <w:rPr>
          <w:rFonts w:hint="eastAsia" w:ascii="仿宋_GB2312" w:hAnsi="仿宋_GB2312" w:eastAsia="仿宋_GB2312" w:cs="仿宋_GB2312"/>
          <w:color w:val="auto"/>
          <w:spacing w:val="-6"/>
          <w:sz w:val="32"/>
          <w:szCs w:val="32"/>
          <w:highlight w:val="none"/>
        </w:rPr>
        <w:t>，图斑面积</w:t>
      </w:r>
      <w:r>
        <w:rPr>
          <w:rFonts w:hint="default" w:ascii="Times New Roman" w:hAnsi="Times New Roman" w:eastAsia="仿宋_GB2312" w:cs="Times New Roman"/>
          <w:color w:val="auto"/>
          <w:spacing w:val="-6"/>
          <w:sz w:val="32"/>
          <w:szCs w:val="32"/>
          <w:lang w:val="en-US" w:eastAsia="zh-CN"/>
        </w:rPr>
        <w:t>3.0000</w:t>
      </w:r>
      <w:r>
        <w:rPr>
          <w:rFonts w:hint="eastAsia" w:ascii="仿宋_GB2312" w:hAnsi="仿宋_GB2312" w:eastAsia="仿宋_GB2312" w:cs="仿宋_GB2312"/>
          <w:color w:val="auto"/>
          <w:spacing w:val="-6"/>
          <w:sz w:val="32"/>
          <w:szCs w:val="32"/>
        </w:rPr>
        <w:t>公顷（</w:t>
      </w:r>
      <w:r>
        <w:rPr>
          <w:rFonts w:hint="eastAsia" w:ascii="Times New Roman" w:hAnsi="Times New Roman" w:eastAsia="仿宋_GB2312" w:cs="Times New Roman"/>
          <w:color w:val="auto"/>
          <w:spacing w:val="-6"/>
          <w:sz w:val="32"/>
          <w:szCs w:val="32"/>
          <w:lang w:val="en-US" w:eastAsia="zh-CN"/>
        </w:rPr>
        <w:t>29999.7</w:t>
      </w:r>
      <w:r>
        <w:rPr>
          <w:rFonts w:hint="eastAsia" w:ascii="仿宋_GB2312" w:hAnsi="仿宋_GB2312" w:eastAsia="仿宋_GB2312" w:cs="仿宋_GB2312"/>
          <w:color w:val="auto"/>
          <w:spacing w:val="-6"/>
          <w:sz w:val="32"/>
          <w:szCs w:val="32"/>
        </w:rPr>
        <w:t>平方米，折合约</w:t>
      </w:r>
      <w:r>
        <w:rPr>
          <w:rFonts w:hint="eastAsia" w:ascii="Times New Roman" w:hAnsi="Times New Roman" w:eastAsia="仿宋_GB2312" w:cs="Times New Roman"/>
          <w:color w:val="auto"/>
          <w:spacing w:val="-6"/>
          <w:sz w:val="32"/>
          <w:szCs w:val="32"/>
          <w:lang w:val="en-US" w:eastAsia="zh-CN"/>
        </w:rPr>
        <w:t>45.00</w:t>
      </w:r>
      <w:r>
        <w:rPr>
          <w:rFonts w:hint="eastAsia" w:ascii="仿宋_GB2312" w:hAnsi="仿宋_GB2312" w:eastAsia="仿宋_GB2312" w:cs="仿宋_GB2312"/>
          <w:color w:val="auto"/>
          <w:spacing w:val="-6"/>
          <w:sz w:val="32"/>
          <w:szCs w:val="32"/>
        </w:rPr>
        <w:t>亩）</w:t>
      </w:r>
      <w:r>
        <w:rPr>
          <w:rFonts w:hint="eastAsia" w:ascii="仿宋_GB2312" w:hAnsi="仿宋_GB2312" w:eastAsia="仿宋_GB2312" w:cs="仿宋_GB2312"/>
          <w:color w:val="auto"/>
          <w:spacing w:val="-6"/>
          <w:sz w:val="32"/>
          <w:szCs w:val="32"/>
          <w:highlight w:val="none"/>
        </w:rPr>
        <w:t>纳入本次改造范围。</w:t>
      </w:r>
    </w:p>
    <w:p>
      <w:pPr>
        <w:spacing w:line="574" w:lineRule="exact"/>
        <w:ind w:firstLine="616" w:firstLineChars="200"/>
        <w:rPr>
          <w:rFonts w:ascii="楷体" w:hAnsi="楷体" w:eastAsia="楷体" w:cs="楷体"/>
          <w:color w:val="auto"/>
          <w:spacing w:val="-6"/>
          <w:sz w:val="32"/>
          <w:szCs w:val="32"/>
        </w:rPr>
      </w:pPr>
      <w:r>
        <w:rPr>
          <w:rFonts w:hint="eastAsia" w:ascii="楷体" w:hAnsi="楷体" w:eastAsia="楷体" w:cs="楷体"/>
          <w:color w:val="auto"/>
          <w:spacing w:val="-6"/>
          <w:sz w:val="32"/>
          <w:szCs w:val="32"/>
        </w:rPr>
        <w:t>（三）权属情况</w:t>
      </w:r>
    </w:p>
    <w:p>
      <w:pPr>
        <w:spacing w:line="574" w:lineRule="exact"/>
        <w:ind w:firstLine="616" w:firstLineChars="200"/>
        <w:rPr>
          <w:rFonts w:hint="eastAsia" w:ascii="仿宋_GB2312" w:hAnsi="仿宋_GB2312" w:eastAsia="仿宋_GB2312" w:cs="仿宋_GB2312"/>
          <w:color w:val="auto"/>
          <w:spacing w:val="-6"/>
          <w:kern w:val="0"/>
          <w:sz w:val="32"/>
          <w:szCs w:val="32"/>
          <w:highlight w:val="red"/>
          <w:lang w:eastAsia="zh-CN"/>
        </w:rPr>
      </w:pPr>
      <w:r>
        <w:rPr>
          <w:rFonts w:hint="eastAsia" w:ascii="仿宋_GB2312" w:hAnsi="仿宋_GB2312" w:eastAsia="仿宋_GB2312" w:cs="仿宋_GB2312"/>
          <w:color w:val="auto"/>
          <w:spacing w:val="-6"/>
          <w:kern w:val="0"/>
          <w:sz w:val="32"/>
          <w:szCs w:val="32"/>
        </w:rPr>
        <w:t>改造项目范围内全部属国有建设用地，土地用途为工业，改造涉及的土地已经确权、登记，不动产权证号为粤（</w:t>
      </w:r>
      <w:r>
        <w:rPr>
          <w:rFonts w:hint="eastAsia" w:ascii="Times New Roman" w:hAnsi="Times New Roman" w:eastAsia="仿宋_GB2312" w:cs="Times New Roman"/>
          <w:color w:val="auto"/>
          <w:spacing w:val="-6"/>
          <w:sz w:val="32"/>
          <w:szCs w:val="32"/>
          <w:lang w:val="en-US" w:eastAsia="zh-CN"/>
        </w:rPr>
        <w:t>2023</w:t>
      </w:r>
      <w:r>
        <w:rPr>
          <w:rFonts w:hint="eastAsia" w:ascii="仿宋_GB2312" w:hAnsi="仿宋_GB2312" w:eastAsia="仿宋_GB2312" w:cs="仿宋_GB2312"/>
          <w:color w:val="auto"/>
          <w:spacing w:val="-6"/>
          <w:kern w:val="0"/>
          <w:sz w:val="32"/>
          <w:szCs w:val="32"/>
        </w:rPr>
        <w:t>）中山市不动产权第</w:t>
      </w:r>
      <w:r>
        <w:rPr>
          <w:rFonts w:hint="eastAsia" w:ascii="Times New Roman" w:hAnsi="Times New Roman" w:eastAsia="仿宋_GB2312" w:cs="Times New Roman"/>
          <w:color w:val="auto"/>
          <w:spacing w:val="-6"/>
          <w:sz w:val="32"/>
          <w:szCs w:val="32"/>
          <w:lang w:val="en-US" w:eastAsia="zh-CN"/>
        </w:rPr>
        <w:t>0448558</w:t>
      </w:r>
      <w:r>
        <w:rPr>
          <w:rFonts w:hint="eastAsia" w:ascii="仿宋_GB2312" w:hAnsi="仿宋_GB2312" w:eastAsia="仿宋_GB2312" w:cs="仿宋_GB2312"/>
          <w:color w:val="auto"/>
          <w:spacing w:val="-6"/>
          <w:kern w:val="0"/>
          <w:sz w:val="32"/>
          <w:szCs w:val="32"/>
        </w:rPr>
        <w:t>号，</w:t>
      </w:r>
      <w:r>
        <w:rPr>
          <w:rFonts w:hint="eastAsia" w:ascii="仿宋_GB2312" w:hAnsi="仿宋_GB2312" w:eastAsia="仿宋_GB2312" w:cs="仿宋_GB2312"/>
          <w:color w:val="auto"/>
          <w:spacing w:val="-6"/>
          <w:kern w:val="0"/>
          <w:sz w:val="32"/>
          <w:szCs w:val="32"/>
          <w:lang w:val="en-US" w:eastAsia="zh-CN"/>
        </w:rPr>
        <w:t>为胡泽洪、戴荣兴自</w:t>
      </w:r>
      <w:r>
        <w:rPr>
          <w:rFonts w:hint="eastAsia" w:ascii="Times New Roman" w:hAnsi="Times New Roman" w:eastAsia="仿宋_GB2312" w:cs="Times New Roman"/>
          <w:color w:val="auto"/>
          <w:spacing w:val="-6"/>
          <w:sz w:val="32"/>
          <w:szCs w:val="32"/>
          <w:lang w:val="en-US" w:eastAsia="zh-CN"/>
        </w:rPr>
        <w:t>2002</w:t>
      </w:r>
      <w:r>
        <w:rPr>
          <w:rFonts w:hint="eastAsia" w:ascii="仿宋_GB2312" w:hAnsi="仿宋_GB2312" w:eastAsia="仿宋_GB2312" w:cs="仿宋_GB2312"/>
          <w:color w:val="auto"/>
          <w:spacing w:val="-6"/>
          <w:kern w:val="0"/>
          <w:sz w:val="32"/>
          <w:szCs w:val="32"/>
          <w:lang w:val="en-US" w:eastAsia="zh-CN"/>
        </w:rPr>
        <w:t>年</w:t>
      </w:r>
      <w:r>
        <w:rPr>
          <w:rFonts w:hint="eastAsia" w:ascii="Times New Roman" w:hAnsi="Times New Roman" w:eastAsia="仿宋_GB2312" w:cs="Times New Roman"/>
          <w:color w:val="auto"/>
          <w:spacing w:val="-6"/>
          <w:sz w:val="32"/>
          <w:szCs w:val="32"/>
          <w:lang w:val="en-US" w:eastAsia="zh-CN"/>
        </w:rPr>
        <w:t>1</w:t>
      </w:r>
      <w:r>
        <w:rPr>
          <w:rFonts w:hint="eastAsia" w:ascii="仿宋_GB2312" w:hAnsi="仿宋_GB2312" w:eastAsia="仿宋_GB2312" w:cs="仿宋_GB2312"/>
          <w:color w:val="auto"/>
          <w:spacing w:val="-6"/>
          <w:kern w:val="0"/>
          <w:sz w:val="32"/>
          <w:szCs w:val="32"/>
          <w:lang w:val="en-US" w:eastAsia="zh-CN"/>
        </w:rPr>
        <w:t>月开始使用，于</w:t>
      </w:r>
      <w:r>
        <w:rPr>
          <w:rFonts w:hint="eastAsia" w:ascii="Times New Roman" w:hAnsi="Times New Roman" w:eastAsia="仿宋_GB2312" w:cs="Times New Roman"/>
          <w:color w:val="auto"/>
          <w:spacing w:val="-6"/>
          <w:sz w:val="32"/>
          <w:szCs w:val="32"/>
          <w:lang w:val="en-US" w:eastAsia="zh-CN"/>
        </w:rPr>
        <w:t>2023</w:t>
      </w:r>
      <w:r>
        <w:rPr>
          <w:rFonts w:hint="eastAsia" w:ascii="仿宋_GB2312" w:hAnsi="仿宋_GB2312" w:eastAsia="仿宋_GB2312" w:cs="仿宋_GB2312"/>
          <w:color w:val="auto"/>
          <w:spacing w:val="-6"/>
          <w:kern w:val="0"/>
          <w:sz w:val="32"/>
          <w:szCs w:val="32"/>
          <w:lang w:val="en-US" w:eastAsia="zh-CN"/>
        </w:rPr>
        <w:t>年10月过户至</w:t>
      </w:r>
      <w:r>
        <w:rPr>
          <w:rFonts w:hint="eastAsia" w:ascii="仿宋_GB2312" w:hAnsi="仿宋_GB2312" w:eastAsia="仿宋_GB2312" w:cs="仿宋_GB2312"/>
          <w:color w:val="auto"/>
          <w:spacing w:val="-6"/>
          <w:kern w:val="0"/>
          <w:sz w:val="32"/>
          <w:szCs w:val="32"/>
        </w:rPr>
        <w:t>中山市康鸿电子科技有限公司</w:t>
      </w:r>
      <w:r>
        <w:rPr>
          <w:rFonts w:hint="eastAsia" w:ascii="仿宋_GB2312" w:hAnsi="仿宋_GB2312" w:eastAsia="仿宋_GB2312" w:cs="仿宋_GB2312"/>
          <w:color w:val="auto"/>
          <w:spacing w:val="-6"/>
          <w:kern w:val="0"/>
          <w:sz w:val="32"/>
          <w:szCs w:val="32"/>
          <w:u w:val="none"/>
          <w:lang w:val="en-US" w:eastAsia="zh-CN"/>
        </w:rPr>
        <w:t>。</w:t>
      </w:r>
    </w:p>
    <w:p>
      <w:pPr>
        <w:spacing w:line="574" w:lineRule="exact"/>
        <w:ind w:firstLine="616" w:firstLineChars="200"/>
        <w:rPr>
          <w:rFonts w:ascii="楷体" w:hAnsi="楷体" w:eastAsia="楷体" w:cs="楷体"/>
          <w:color w:val="auto"/>
          <w:spacing w:val="-6"/>
          <w:sz w:val="32"/>
          <w:szCs w:val="32"/>
        </w:rPr>
      </w:pPr>
      <w:r>
        <w:rPr>
          <w:rFonts w:hint="eastAsia" w:ascii="楷体" w:hAnsi="楷体" w:eastAsia="楷体" w:cs="楷体"/>
          <w:color w:val="auto"/>
          <w:spacing w:val="-6"/>
          <w:sz w:val="32"/>
          <w:szCs w:val="32"/>
        </w:rPr>
        <w:t>（四）土地现状情况</w:t>
      </w:r>
    </w:p>
    <w:p>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rPr>
        <w:t>改造</w:t>
      </w:r>
      <w:r>
        <w:rPr>
          <w:rFonts w:hint="eastAsia" w:ascii="仿宋_GB2312" w:hAnsi="仿宋_GB2312" w:eastAsia="仿宋_GB2312" w:cs="仿宋_GB2312"/>
          <w:color w:val="auto"/>
          <w:spacing w:val="-6"/>
          <w:kern w:val="0"/>
          <w:sz w:val="32"/>
          <w:szCs w:val="32"/>
          <w:highlight w:val="none"/>
          <w:u w:val="none"/>
          <w:lang w:eastAsia="zh-CN"/>
        </w:rPr>
        <w:t>范围内</w:t>
      </w:r>
      <w:r>
        <w:rPr>
          <w:rFonts w:hint="eastAsia" w:ascii="仿宋_GB2312" w:hAnsi="仿宋_GB2312" w:eastAsia="仿宋_GB2312" w:cs="仿宋_GB2312"/>
          <w:color w:val="auto"/>
          <w:spacing w:val="-6"/>
          <w:kern w:val="0"/>
          <w:sz w:val="32"/>
          <w:szCs w:val="32"/>
          <w:highlight w:val="none"/>
          <w:u w:val="none"/>
        </w:rPr>
        <w:t>现有</w:t>
      </w:r>
      <w:r>
        <w:rPr>
          <w:rFonts w:hint="eastAsia" w:ascii="仿宋_GB2312" w:hAnsi="仿宋_GB2312" w:eastAsia="仿宋_GB2312" w:cs="仿宋_GB2312"/>
          <w:color w:val="auto"/>
          <w:spacing w:val="-6"/>
          <w:kern w:val="0"/>
          <w:sz w:val="32"/>
          <w:szCs w:val="32"/>
          <w:highlight w:val="none"/>
          <w:u w:val="none"/>
          <w:lang w:val="en-US" w:eastAsia="zh-CN"/>
        </w:rPr>
        <w:t>三</w:t>
      </w:r>
      <w:r>
        <w:rPr>
          <w:rFonts w:hint="eastAsia" w:ascii="仿宋_GB2312" w:hAnsi="仿宋_GB2312" w:eastAsia="仿宋_GB2312" w:cs="仿宋_GB2312"/>
          <w:color w:val="auto"/>
          <w:spacing w:val="-6"/>
          <w:kern w:val="0"/>
          <w:sz w:val="32"/>
          <w:szCs w:val="32"/>
          <w:highlight w:val="none"/>
          <w:u w:val="none"/>
        </w:rPr>
        <w:t>栋建筑物，为</w:t>
      </w:r>
      <w:r>
        <w:rPr>
          <w:rFonts w:hint="eastAsia" w:ascii="仿宋_GB2312" w:hAnsi="仿宋_GB2312" w:eastAsia="仿宋_GB2312" w:cs="仿宋_GB2312"/>
          <w:color w:val="auto"/>
          <w:spacing w:val="-6"/>
          <w:kern w:val="0"/>
          <w:sz w:val="32"/>
          <w:szCs w:val="32"/>
          <w:lang w:val="en-US" w:eastAsia="zh-CN"/>
        </w:rPr>
        <w:t>胡泽洪、戴荣兴</w:t>
      </w:r>
      <w:r>
        <w:rPr>
          <w:rFonts w:hint="eastAsia" w:ascii="仿宋_GB2312" w:hAnsi="仿宋_GB2312" w:eastAsia="仿宋_GB2312" w:cs="仿宋_GB2312"/>
          <w:color w:val="auto"/>
          <w:spacing w:val="-6"/>
          <w:kern w:val="0"/>
          <w:sz w:val="32"/>
          <w:szCs w:val="32"/>
          <w:highlight w:val="none"/>
          <w:u w:val="none"/>
        </w:rPr>
        <w:t>自</w:t>
      </w:r>
      <w:r>
        <w:rPr>
          <w:rFonts w:hint="eastAsia" w:ascii="Times New Roman" w:hAnsi="Times New Roman" w:eastAsia="仿宋_GB2312" w:cs="Times New Roman"/>
          <w:color w:val="auto"/>
          <w:spacing w:val="-6"/>
          <w:sz w:val="32"/>
          <w:szCs w:val="32"/>
          <w:lang w:val="en-US" w:eastAsia="zh-CN"/>
        </w:rPr>
        <w:t>2002</w:t>
      </w:r>
      <w:r>
        <w:rPr>
          <w:rFonts w:hint="eastAsia" w:ascii="仿宋_GB2312" w:hAnsi="仿宋_GB2312" w:eastAsia="仿宋_GB2312" w:cs="仿宋_GB2312"/>
          <w:color w:val="auto"/>
          <w:spacing w:val="-6"/>
          <w:kern w:val="0"/>
          <w:sz w:val="32"/>
          <w:szCs w:val="32"/>
          <w:highlight w:val="none"/>
          <w:lang w:val="en-US" w:eastAsia="zh-CN"/>
        </w:rPr>
        <w:t>年</w:t>
      </w:r>
      <w:r>
        <w:rPr>
          <w:rFonts w:hint="eastAsia" w:ascii="Times New Roman" w:hAnsi="Times New Roman" w:eastAsia="仿宋_GB2312" w:cs="Times New Roman"/>
          <w:color w:val="auto"/>
          <w:spacing w:val="-6"/>
          <w:sz w:val="32"/>
          <w:szCs w:val="32"/>
          <w:lang w:val="en-US" w:eastAsia="zh-CN"/>
        </w:rPr>
        <w:t>11</w:t>
      </w:r>
      <w:r>
        <w:rPr>
          <w:rFonts w:hint="eastAsia" w:ascii="仿宋_GB2312" w:hAnsi="仿宋_GB2312" w:eastAsia="仿宋_GB2312" w:cs="仿宋_GB2312"/>
          <w:color w:val="auto"/>
          <w:spacing w:val="-6"/>
          <w:kern w:val="0"/>
          <w:sz w:val="32"/>
          <w:szCs w:val="32"/>
          <w:highlight w:val="none"/>
          <w:lang w:val="en-US" w:eastAsia="zh-CN"/>
        </w:rPr>
        <w:t>月</w:t>
      </w:r>
      <w:r>
        <w:rPr>
          <w:rFonts w:hint="eastAsia" w:ascii="仿宋_GB2312" w:hAnsi="仿宋_GB2312" w:eastAsia="仿宋_GB2312" w:cs="仿宋_GB2312"/>
          <w:color w:val="auto"/>
          <w:spacing w:val="-6"/>
          <w:kern w:val="0"/>
          <w:sz w:val="32"/>
          <w:szCs w:val="32"/>
          <w:highlight w:val="none"/>
          <w:u w:val="none"/>
        </w:rPr>
        <w:t>开始使用</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于</w:t>
      </w:r>
      <w:r>
        <w:rPr>
          <w:rFonts w:hint="eastAsia" w:ascii="Times New Roman" w:hAnsi="Times New Roman" w:eastAsia="仿宋_GB2312" w:cs="Times New Roman"/>
          <w:color w:val="auto"/>
          <w:spacing w:val="-6"/>
          <w:sz w:val="32"/>
          <w:szCs w:val="32"/>
          <w:lang w:val="en-US" w:eastAsia="zh-CN"/>
        </w:rPr>
        <w:t>2023</w:t>
      </w:r>
      <w:r>
        <w:rPr>
          <w:rFonts w:hint="eastAsia" w:ascii="仿宋_GB2312" w:hAnsi="仿宋_GB2312" w:eastAsia="仿宋_GB2312" w:cs="仿宋_GB2312"/>
          <w:color w:val="auto"/>
          <w:spacing w:val="-6"/>
          <w:kern w:val="0"/>
          <w:sz w:val="32"/>
          <w:szCs w:val="32"/>
          <w:lang w:val="en-US" w:eastAsia="zh-CN"/>
        </w:rPr>
        <w:t>年10月过户至</w:t>
      </w:r>
      <w:r>
        <w:rPr>
          <w:rFonts w:hint="eastAsia" w:ascii="仿宋_GB2312" w:hAnsi="仿宋_GB2312" w:eastAsia="仿宋_GB2312" w:cs="仿宋_GB2312"/>
          <w:color w:val="auto"/>
          <w:spacing w:val="-6"/>
          <w:kern w:val="0"/>
          <w:sz w:val="32"/>
          <w:szCs w:val="32"/>
        </w:rPr>
        <w:t>中山市康鸿电子科技有限公司</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rPr>
        <w:t>现有建筑面积</w:t>
      </w:r>
      <w:r>
        <w:rPr>
          <w:rFonts w:hint="eastAsia" w:ascii="Times New Roman" w:hAnsi="Times New Roman" w:eastAsia="仿宋_GB2312" w:cs="Times New Roman"/>
          <w:color w:val="auto"/>
          <w:spacing w:val="-6"/>
          <w:sz w:val="32"/>
          <w:szCs w:val="32"/>
          <w:lang w:val="en-US" w:eastAsia="zh-CN"/>
        </w:rPr>
        <w:t>51267.25</w:t>
      </w:r>
      <w:r>
        <w:rPr>
          <w:rFonts w:hint="eastAsia" w:ascii="仿宋_GB2312" w:hAnsi="仿宋_GB2312" w:eastAsia="仿宋_GB2312" w:cs="仿宋_GB2312"/>
          <w:color w:val="auto"/>
          <w:spacing w:val="-6"/>
          <w:kern w:val="0"/>
          <w:sz w:val="32"/>
          <w:szCs w:val="32"/>
          <w:highlight w:val="none"/>
          <w:u w:val="none"/>
        </w:rPr>
        <w:t>平方米</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含</w:t>
      </w:r>
      <w:r>
        <w:rPr>
          <w:rFonts w:hint="eastAsia" w:ascii="仿宋_GB2312" w:hAnsi="仿宋_GB2312" w:eastAsia="仿宋_GB2312" w:cs="仿宋_GB2312"/>
          <w:color w:val="auto"/>
          <w:spacing w:val="-6"/>
          <w:kern w:val="0"/>
          <w:sz w:val="32"/>
          <w:szCs w:val="32"/>
          <w:highlight w:val="none"/>
          <w:u w:val="none"/>
          <w:lang w:eastAsia="zh-CN"/>
        </w:rPr>
        <w:t>不计容面积</w:t>
      </w:r>
      <w:r>
        <w:rPr>
          <w:rFonts w:hint="eastAsia" w:ascii="Times New Roman" w:hAnsi="Times New Roman" w:eastAsia="仿宋_GB2312" w:cs="Times New Roman"/>
          <w:color w:val="auto"/>
          <w:spacing w:val="-6"/>
          <w:sz w:val="32"/>
          <w:szCs w:val="32"/>
          <w:lang w:val="en-US" w:eastAsia="zh-CN"/>
        </w:rPr>
        <w:t>9110.23</w:t>
      </w:r>
      <w:r>
        <w:rPr>
          <w:rFonts w:hint="eastAsia" w:ascii="仿宋_GB2312" w:hAnsi="仿宋_GB2312" w:eastAsia="仿宋_GB2312" w:cs="仿宋_GB2312"/>
          <w:color w:val="auto"/>
          <w:spacing w:val="-6"/>
          <w:kern w:val="0"/>
          <w:sz w:val="32"/>
          <w:szCs w:val="32"/>
          <w:highlight w:val="none"/>
          <w:u w:val="none"/>
          <w:lang w:val="en-US" w:eastAsia="zh-CN"/>
        </w:rPr>
        <w:t>平方米</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rPr>
        <w:t>，现状容积率</w:t>
      </w:r>
      <w:r>
        <w:rPr>
          <w:rFonts w:hint="eastAsia" w:ascii="Times New Roman" w:hAnsi="Times New Roman" w:eastAsia="仿宋_GB2312" w:cs="Times New Roman"/>
          <w:color w:val="auto"/>
          <w:spacing w:val="-6"/>
          <w:sz w:val="32"/>
          <w:szCs w:val="32"/>
          <w:lang w:val="en-US" w:eastAsia="zh-CN"/>
        </w:rPr>
        <w:t>1.4</w:t>
      </w:r>
      <w:r>
        <w:rPr>
          <w:rFonts w:hint="eastAsia" w:ascii="仿宋_GB2312" w:hAnsi="仿宋_GB2312" w:eastAsia="仿宋_GB2312" w:cs="仿宋_GB2312"/>
          <w:color w:val="auto"/>
          <w:spacing w:val="-6"/>
          <w:kern w:val="0"/>
          <w:sz w:val="32"/>
          <w:szCs w:val="32"/>
          <w:highlight w:val="none"/>
          <w:u w:val="none"/>
        </w:rPr>
        <w:t>，</w:t>
      </w:r>
      <w:r>
        <w:rPr>
          <w:rFonts w:hint="eastAsia" w:ascii="仿宋_GB2312" w:hAnsi="仿宋_GB2312" w:eastAsia="仿宋_GB2312" w:cs="仿宋_GB2312"/>
          <w:color w:val="auto"/>
          <w:spacing w:val="-6"/>
          <w:kern w:val="0"/>
          <w:sz w:val="32"/>
          <w:szCs w:val="32"/>
          <w:highlight w:val="none"/>
          <w:u w:val="none"/>
          <w:lang w:val="en-US" w:eastAsia="zh-CN"/>
        </w:rPr>
        <w:t>全部已</w:t>
      </w:r>
      <w:r>
        <w:rPr>
          <w:rFonts w:hint="default" w:ascii="Times New Roman" w:hAnsi="Times New Roman" w:eastAsia="仿宋_GB2312" w:cs="Times New Roman"/>
          <w:color w:val="auto"/>
          <w:spacing w:val="0"/>
          <w:kern w:val="0"/>
          <w:sz w:val="32"/>
          <w:szCs w:val="32"/>
          <w:highlight w:val="none"/>
          <w:u w:val="none"/>
          <w:lang w:eastAsia="zh-CN"/>
        </w:rPr>
        <w:t>按规定</w:t>
      </w:r>
      <w:r>
        <w:rPr>
          <w:rFonts w:hint="default" w:ascii="Times New Roman" w:hAnsi="Times New Roman" w:eastAsia="仿宋_GB2312" w:cs="Times New Roman"/>
          <w:color w:val="auto"/>
          <w:spacing w:val="0"/>
          <w:kern w:val="0"/>
          <w:sz w:val="32"/>
          <w:szCs w:val="32"/>
          <w:highlight w:val="none"/>
          <w:u w:val="none"/>
          <w:lang w:val="en-US" w:eastAsia="zh-CN"/>
        </w:rPr>
        <w:t>办理规划报建</w:t>
      </w:r>
      <w:r>
        <w:rPr>
          <w:rFonts w:hint="eastAsia" w:ascii="Times New Roman" w:hAnsi="Times New Roman" w:eastAsia="仿宋_GB2312" w:cs="Times New Roman"/>
          <w:color w:val="auto"/>
          <w:spacing w:val="0"/>
          <w:kern w:val="0"/>
          <w:sz w:val="32"/>
          <w:szCs w:val="32"/>
          <w:highlight w:val="none"/>
          <w:u w:val="none"/>
          <w:lang w:val="en-US" w:eastAsia="zh-CN"/>
        </w:rPr>
        <w:t>、</w:t>
      </w:r>
      <w:r>
        <w:rPr>
          <w:rFonts w:hint="default" w:ascii="Times New Roman" w:hAnsi="Times New Roman" w:eastAsia="仿宋_GB2312" w:cs="Times New Roman"/>
          <w:color w:val="auto"/>
          <w:spacing w:val="0"/>
          <w:kern w:val="0"/>
          <w:sz w:val="32"/>
          <w:szCs w:val="32"/>
          <w:highlight w:val="none"/>
          <w:u w:val="none"/>
          <w:lang w:val="en-US" w:eastAsia="zh-CN"/>
        </w:rPr>
        <w:t>施工报建等手续</w:t>
      </w:r>
      <w:r>
        <w:rPr>
          <w:rFonts w:hint="eastAsia" w:ascii="Times New Roman" w:hAnsi="Times New Roman" w:eastAsia="仿宋_GB2312" w:cs="Times New Roman"/>
          <w:color w:val="auto"/>
          <w:spacing w:val="0"/>
          <w:kern w:val="0"/>
          <w:sz w:val="32"/>
          <w:szCs w:val="32"/>
          <w:highlight w:val="none"/>
          <w:u w:val="none"/>
          <w:lang w:val="en-US" w:eastAsia="zh-CN"/>
        </w:rPr>
        <w:t>，暂未办理不动产登记手续。现有建筑均作为</w:t>
      </w:r>
      <w:r>
        <w:rPr>
          <w:rFonts w:hint="eastAsia" w:ascii="仿宋_GB2312" w:hAnsi="仿宋_GB2312" w:eastAsia="仿宋_GB2312" w:cs="仿宋_GB2312"/>
          <w:color w:val="auto"/>
          <w:spacing w:val="-6"/>
          <w:kern w:val="0"/>
          <w:sz w:val="32"/>
          <w:szCs w:val="32"/>
          <w:highlight w:val="none"/>
          <w:u w:val="none"/>
        </w:rPr>
        <w:t>作工业厂房</w:t>
      </w:r>
      <w:r>
        <w:rPr>
          <w:rFonts w:hint="eastAsia" w:ascii="仿宋_GB2312" w:hAnsi="仿宋_GB2312" w:eastAsia="仿宋_GB2312" w:cs="仿宋_GB2312"/>
          <w:color w:val="auto"/>
          <w:spacing w:val="-6"/>
          <w:kern w:val="0"/>
          <w:sz w:val="32"/>
          <w:szCs w:val="32"/>
          <w:highlight w:val="none"/>
          <w:u w:val="none"/>
          <w:lang w:val="en-US" w:eastAsia="zh-CN"/>
        </w:rPr>
        <w:t>和</w:t>
      </w:r>
      <w:r>
        <w:rPr>
          <w:rFonts w:hint="eastAsia" w:ascii="仿宋_GB2312" w:hAnsi="仿宋_GB2312" w:eastAsia="仿宋_GB2312" w:cs="仿宋_GB2312"/>
          <w:color w:val="auto"/>
          <w:spacing w:val="-6"/>
          <w:kern w:val="0"/>
          <w:sz w:val="32"/>
          <w:szCs w:val="32"/>
          <w:highlight w:val="none"/>
          <w:u w:val="none"/>
        </w:rPr>
        <w:t>辅助用房所用。该地块目前已拆除建筑面积</w:t>
      </w:r>
      <w:r>
        <w:rPr>
          <w:rFonts w:hint="eastAsia" w:ascii="Times New Roman" w:hAnsi="Times New Roman" w:eastAsia="仿宋_GB2312" w:cs="Times New Roman"/>
          <w:color w:val="auto"/>
          <w:spacing w:val="-6"/>
          <w:sz w:val="32"/>
          <w:szCs w:val="32"/>
          <w:lang w:val="en-US" w:eastAsia="zh-CN"/>
        </w:rPr>
        <w:t>0</w:t>
      </w:r>
      <w:r>
        <w:rPr>
          <w:rFonts w:hint="eastAsia" w:ascii="仿宋_GB2312" w:hAnsi="仿宋_GB2312" w:eastAsia="仿宋_GB2312" w:cs="仿宋_GB2312"/>
          <w:color w:val="auto"/>
          <w:spacing w:val="-6"/>
          <w:kern w:val="0"/>
          <w:sz w:val="32"/>
          <w:szCs w:val="32"/>
          <w:highlight w:val="none"/>
          <w:u w:val="none"/>
        </w:rPr>
        <w:t>平方米，改造前年产值为</w:t>
      </w:r>
      <w:r>
        <w:rPr>
          <w:rFonts w:hint="eastAsia" w:ascii="Times New Roman" w:hAnsi="Times New Roman" w:eastAsia="仿宋_GB2312" w:cs="Times New Roman"/>
          <w:color w:val="auto"/>
          <w:spacing w:val="-6"/>
          <w:sz w:val="32"/>
          <w:szCs w:val="32"/>
          <w:lang w:val="en-US" w:eastAsia="zh-CN"/>
        </w:rPr>
        <w:t>100</w:t>
      </w:r>
      <w:r>
        <w:rPr>
          <w:rFonts w:hint="eastAsia" w:ascii="仿宋_GB2312" w:hAnsi="仿宋_GB2312" w:eastAsia="仿宋_GB2312" w:cs="仿宋_GB2312"/>
          <w:color w:val="auto"/>
          <w:spacing w:val="-6"/>
          <w:kern w:val="0"/>
          <w:sz w:val="32"/>
          <w:szCs w:val="32"/>
          <w:highlight w:val="none"/>
          <w:u w:val="none"/>
        </w:rPr>
        <w:t>万元</w:t>
      </w:r>
      <w:r>
        <w:rPr>
          <w:rFonts w:hint="eastAsia" w:ascii="仿宋_GB2312" w:hAnsi="仿宋_GB2312" w:eastAsia="仿宋_GB2312" w:cs="仿宋_GB2312"/>
          <w:color w:val="auto"/>
          <w:spacing w:val="-6"/>
          <w:kern w:val="0"/>
          <w:sz w:val="32"/>
          <w:szCs w:val="32"/>
          <w:highlight w:val="none"/>
          <w:u w:val="none"/>
          <w:lang w:eastAsia="zh-CN"/>
        </w:rPr>
        <w:t>（约</w:t>
      </w:r>
      <w:r>
        <w:rPr>
          <w:rFonts w:hint="eastAsia" w:ascii="Times New Roman" w:hAnsi="Times New Roman" w:eastAsia="仿宋_GB2312" w:cs="Times New Roman"/>
          <w:color w:val="auto"/>
          <w:spacing w:val="-6"/>
          <w:sz w:val="32"/>
          <w:szCs w:val="32"/>
          <w:lang w:val="en-US" w:eastAsia="zh-CN"/>
        </w:rPr>
        <w:t>2.22</w:t>
      </w:r>
      <w:r>
        <w:rPr>
          <w:rFonts w:hint="eastAsia" w:ascii="仿宋_GB2312" w:hAnsi="仿宋_GB2312" w:eastAsia="仿宋_GB2312" w:cs="仿宋_GB2312"/>
          <w:color w:val="auto"/>
          <w:spacing w:val="-6"/>
          <w:kern w:val="0"/>
          <w:sz w:val="32"/>
          <w:szCs w:val="32"/>
          <w:highlight w:val="none"/>
          <w:u w:val="none"/>
        </w:rPr>
        <w:t>万元</w:t>
      </w:r>
      <w:r>
        <w:rPr>
          <w:rFonts w:hint="eastAsia" w:ascii="仿宋_GB2312" w:hAnsi="仿宋_GB2312" w:eastAsia="仿宋_GB2312" w:cs="仿宋_GB2312"/>
          <w:color w:val="auto"/>
          <w:spacing w:val="-6"/>
          <w:kern w:val="0"/>
          <w:sz w:val="32"/>
          <w:szCs w:val="32"/>
          <w:highlight w:val="none"/>
          <w:u w:val="none"/>
          <w:lang w:val="en-US" w:eastAsia="zh-CN"/>
        </w:rPr>
        <w:t>/亩</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rPr>
        <w:t>，年税收为</w:t>
      </w:r>
      <w:r>
        <w:rPr>
          <w:rFonts w:hint="eastAsia" w:ascii="Times New Roman" w:hAnsi="Times New Roman" w:eastAsia="仿宋_GB2312" w:cs="Times New Roman"/>
          <w:color w:val="auto"/>
          <w:spacing w:val="-6"/>
          <w:sz w:val="32"/>
          <w:szCs w:val="32"/>
          <w:lang w:val="en-US" w:eastAsia="zh-CN"/>
        </w:rPr>
        <w:t>10</w:t>
      </w:r>
      <w:r>
        <w:rPr>
          <w:rFonts w:hint="eastAsia" w:ascii="仿宋_GB2312" w:hAnsi="仿宋_GB2312" w:eastAsia="仿宋_GB2312" w:cs="仿宋_GB2312"/>
          <w:color w:val="auto"/>
          <w:spacing w:val="-6"/>
          <w:kern w:val="0"/>
          <w:sz w:val="32"/>
          <w:szCs w:val="32"/>
          <w:highlight w:val="none"/>
          <w:u w:val="none"/>
        </w:rPr>
        <w:t>万元</w:t>
      </w:r>
      <w:r>
        <w:rPr>
          <w:rFonts w:hint="eastAsia" w:ascii="仿宋_GB2312" w:hAnsi="仿宋_GB2312" w:eastAsia="仿宋_GB2312" w:cs="仿宋_GB2312"/>
          <w:color w:val="auto"/>
          <w:spacing w:val="-6"/>
          <w:kern w:val="0"/>
          <w:sz w:val="32"/>
          <w:szCs w:val="32"/>
          <w:highlight w:val="none"/>
          <w:u w:val="none"/>
          <w:lang w:eastAsia="zh-CN"/>
        </w:rPr>
        <w:t>（约</w:t>
      </w:r>
      <w:r>
        <w:rPr>
          <w:rFonts w:hint="eastAsia" w:ascii="Times New Roman" w:hAnsi="Times New Roman" w:eastAsia="仿宋_GB2312" w:cs="Times New Roman"/>
          <w:color w:val="auto"/>
          <w:spacing w:val="-6"/>
          <w:sz w:val="32"/>
          <w:szCs w:val="32"/>
          <w:lang w:val="en-US" w:eastAsia="zh-CN"/>
        </w:rPr>
        <w:t>0.22</w:t>
      </w:r>
      <w:r>
        <w:rPr>
          <w:rFonts w:hint="eastAsia" w:ascii="仿宋_GB2312" w:hAnsi="仿宋_GB2312" w:eastAsia="仿宋_GB2312" w:cs="仿宋_GB2312"/>
          <w:color w:val="auto"/>
          <w:spacing w:val="-6"/>
          <w:kern w:val="0"/>
          <w:sz w:val="32"/>
          <w:szCs w:val="32"/>
          <w:highlight w:val="none"/>
          <w:u w:val="none"/>
        </w:rPr>
        <w:t>万元</w:t>
      </w:r>
      <w:r>
        <w:rPr>
          <w:rFonts w:hint="eastAsia" w:ascii="仿宋_GB2312" w:hAnsi="仿宋_GB2312" w:eastAsia="仿宋_GB2312" w:cs="仿宋_GB2312"/>
          <w:color w:val="auto"/>
          <w:spacing w:val="-6"/>
          <w:kern w:val="0"/>
          <w:sz w:val="32"/>
          <w:szCs w:val="32"/>
          <w:highlight w:val="none"/>
          <w:u w:val="none"/>
          <w:lang w:val="en-US" w:eastAsia="zh-CN"/>
        </w:rPr>
        <w:t>/亩</w:t>
      </w:r>
      <w:r>
        <w:rPr>
          <w:rFonts w:hint="eastAsia" w:ascii="仿宋_GB2312" w:hAnsi="仿宋_GB2312" w:eastAsia="仿宋_GB2312" w:cs="仿宋_GB2312"/>
          <w:color w:val="auto"/>
          <w:spacing w:val="-6"/>
          <w:kern w:val="0"/>
          <w:sz w:val="32"/>
          <w:szCs w:val="32"/>
          <w:highlight w:val="none"/>
          <w:u w:val="none"/>
          <w:lang w:eastAsia="zh-CN"/>
        </w:rPr>
        <w:t>）。</w:t>
      </w:r>
    </w:p>
    <w:p>
      <w:pPr>
        <w:spacing w:line="574" w:lineRule="exact"/>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改造地块不涉及闲置情况、历史文化资源要素</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spacing w:val="-6"/>
          <w:kern w:val="0"/>
          <w:sz w:val="32"/>
          <w:szCs w:val="32"/>
          <w:lang w:eastAsia="zh-CN"/>
        </w:rPr>
        <w:t>抵押给</w:t>
      </w:r>
      <w:r>
        <w:rPr>
          <w:rFonts w:hint="eastAsia" w:ascii="仿宋_GB2312" w:hAnsi="仿宋_GB2312" w:eastAsia="仿宋_GB2312" w:cs="仿宋_GB2312"/>
          <w:spacing w:val="-6"/>
          <w:kern w:val="0"/>
          <w:sz w:val="32"/>
          <w:szCs w:val="32"/>
        </w:rPr>
        <w:t>中国农业银行股份有限公司中山黄圃支行，已取得抵押权人同意改造。</w:t>
      </w:r>
      <w:r>
        <w:rPr>
          <w:rFonts w:hint="eastAsia" w:ascii="仿宋_GB2312" w:hAnsi="仿宋_GB2312" w:eastAsia="仿宋_GB2312" w:cs="仿宋_GB2312"/>
          <w:color w:val="auto"/>
          <w:spacing w:val="-6"/>
          <w:kern w:val="0"/>
          <w:sz w:val="32"/>
          <w:szCs w:val="32"/>
          <w:highlight w:val="none"/>
          <w:u w:val="none"/>
          <w:lang w:val="en-US" w:eastAsia="zh-CN"/>
        </w:rPr>
        <w:t>改造地块涉及土壤污染重点监管单位生产经营用地，已完成土壤污染状况调查，调查结果显示符合工业用地土壤环境要求。</w:t>
      </w:r>
    </w:p>
    <w:p>
      <w:pPr>
        <w:spacing w:line="574" w:lineRule="exact"/>
        <w:ind w:firstLine="616" w:firstLineChars="200"/>
        <w:rPr>
          <w:rFonts w:ascii="楷体" w:hAnsi="楷体" w:eastAsia="楷体" w:cs="楷体"/>
          <w:color w:val="auto"/>
          <w:spacing w:val="-6"/>
          <w:sz w:val="32"/>
          <w:szCs w:val="32"/>
        </w:rPr>
      </w:pPr>
      <w:r>
        <w:rPr>
          <w:rFonts w:hint="eastAsia" w:ascii="楷体" w:hAnsi="楷体" w:eastAsia="楷体" w:cs="楷体"/>
          <w:color w:val="auto"/>
          <w:spacing w:val="-6"/>
          <w:sz w:val="32"/>
          <w:szCs w:val="32"/>
        </w:rPr>
        <w:t>（五）规划情况</w:t>
      </w:r>
    </w:p>
    <w:p>
      <w:pPr>
        <w:spacing w:line="574" w:lineRule="exact"/>
        <w:ind w:firstLine="616" w:firstLineChars="200"/>
        <w:rPr>
          <w:rFonts w:hint="eastAsia" w:ascii="仿宋_GB2312" w:hAnsi="仿宋_GB2312" w:eastAsia="仿宋_GB2312" w:cs="仿宋_GB2312"/>
          <w:color w:val="auto"/>
          <w:spacing w:val="-6"/>
          <w:kern w:val="0"/>
          <w:sz w:val="32"/>
          <w:szCs w:val="32"/>
          <w:u w:val="none"/>
          <w:lang w:val="en-US" w:eastAsia="zh-CN"/>
        </w:rPr>
      </w:pPr>
      <w:r>
        <w:rPr>
          <w:rFonts w:hint="eastAsia" w:ascii="仿宋_GB2312" w:hAnsi="仿宋_GB2312" w:eastAsia="仿宋_GB2312" w:cs="仿宋_GB2312"/>
          <w:color w:val="auto"/>
          <w:spacing w:val="-6"/>
          <w:kern w:val="0"/>
          <w:sz w:val="32"/>
          <w:szCs w:val="32"/>
        </w:rPr>
        <w:t>改造地块</w:t>
      </w:r>
      <w:r>
        <w:rPr>
          <w:rFonts w:hint="eastAsia" w:ascii="仿宋_GB2312" w:hAnsi="仿宋_GB2312" w:eastAsia="仿宋_GB2312" w:cs="仿宋_GB2312"/>
          <w:color w:val="auto"/>
          <w:spacing w:val="-6"/>
          <w:kern w:val="0"/>
          <w:sz w:val="32"/>
          <w:szCs w:val="32"/>
          <w:lang w:val="en-US" w:eastAsia="zh-CN"/>
        </w:rPr>
        <w:t>基本</w:t>
      </w:r>
      <w:r>
        <w:rPr>
          <w:rFonts w:hint="eastAsia" w:ascii="仿宋_GB2312" w:hAnsi="仿宋_GB2312" w:eastAsia="仿宋_GB2312" w:cs="仿宋_GB2312"/>
          <w:color w:val="auto"/>
          <w:spacing w:val="-6"/>
          <w:kern w:val="0"/>
          <w:sz w:val="32"/>
          <w:szCs w:val="32"/>
        </w:rPr>
        <w:t>符合</w:t>
      </w:r>
      <w:r>
        <w:rPr>
          <w:rFonts w:hint="eastAsia" w:ascii="仿宋_GB2312" w:hAnsi="仿宋_GB2312" w:eastAsia="仿宋_GB2312" w:cs="仿宋_GB2312"/>
          <w:color w:val="auto"/>
          <w:spacing w:val="-6"/>
          <w:kern w:val="0"/>
          <w:sz w:val="32"/>
          <w:szCs w:val="32"/>
          <w:lang w:val="en-US" w:eastAsia="zh-CN"/>
        </w:rPr>
        <w:t>国土空间总体规划（</w:t>
      </w:r>
      <w:r>
        <w:rPr>
          <w:rFonts w:hint="eastAsia" w:ascii="仿宋_GB2312" w:hAnsi="仿宋_GB2312" w:eastAsia="仿宋_GB2312" w:cs="仿宋_GB2312"/>
          <w:color w:val="auto"/>
          <w:spacing w:val="-6"/>
          <w:kern w:val="0"/>
          <w:sz w:val="32"/>
          <w:szCs w:val="32"/>
        </w:rPr>
        <w:t>土地利用总体规划</w:t>
      </w:r>
      <w:r>
        <w:rPr>
          <w:rFonts w:hint="eastAsia" w:ascii="仿宋_GB2312" w:hAnsi="仿宋_GB2312" w:eastAsia="仿宋_GB2312" w:cs="仿宋_GB2312"/>
          <w:color w:val="auto"/>
          <w:spacing w:val="-6"/>
          <w:kern w:val="0"/>
          <w:sz w:val="32"/>
          <w:szCs w:val="32"/>
          <w:lang w:val="en-US" w:eastAsia="zh-CN"/>
        </w:rPr>
        <w:t>）</w:t>
      </w:r>
      <w:r>
        <w:rPr>
          <w:rFonts w:hint="eastAsia" w:ascii="仿宋_GB2312" w:hAnsi="仿宋_GB2312" w:eastAsia="仿宋_GB2312" w:cs="仿宋_GB2312"/>
          <w:color w:val="auto"/>
          <w:spacing w:val="-6"/>
          <w:kern w:val="0"/>
          <w:sz w:val="32"/>
          <w:szCs w:val="32"/>
        </w:rPr>
        <w:t>、现行</w:t>
      </w:r>
      <w:r>
        <w:rPr>
          <w:rFonts w:hint="eastAsia" w:ascii="仿宋_GB2312" w:hAnsi="仿宋_GB2312" w:eastAsia="仿宋_GB2312" w:cs="仿宋_GB2312"/>
          <w:color w:val="auto"/>
          <w:spacing w:val="-6"/>
          <w:kern w:val="0"/>
          <w:sz w:val="32"/>
          <w:szCs w:val="32"/>
          <w:lang w:val="en-US" w:eastAsia="zh-CN"/>
        </w:rPr>
        <w:t>控制性详细规划</w:t>
      </w:r>
      <w:r>
        <w:rPr>
          <w:rFonts w:hint="eastAsia" w:ascii="仿宋_GB2312" w:hAnsi="仿宋_GB2312" w:eastAsia="仿宋_GB2312" w:cs="仿宋_GB2312"/>
          <w:color w:val="auto"/>
          <w:spacing w:val="-6"/>
          <w:kern w:val="0"/>
          <w:sz w:val="32"/>
          <w:szCs w:val="32"/>
        </w:rPr>
        <w:t>，</w:t>
      </w:r>
      <w:r>
        <w:rPr>
          <w:rFonts w:hint="eastAsia" w:ascii="仿宋_GB2312" w:hAnsi="仿宋_GB2312" w:eastAsia="仿宋_GB2312" w:cs="仿宋_GB2312"/>
          <w:color w:val="auto"/>
          <w:spacing w:val="-6"/>
          <w:sz w:val="32"/>
          <w:szCs w:val="32"/>
        </w:rPr>
        <w:t>已纳入《中山市城市更新（“三旧”改造）专项规划（</w:t>
      </w:r>
      <w:r>
        <w:rPr>
          <w:rFonts w:hint="eastAsia" w:ascii="Times New Roman" w:hAnsi="Times New Roman" w:eastAsia="仿宋_GB2312" w:cs="Times New Roman"/>
          <w:color w:val="auto"/>
          <w:spacing w:val="-6"/>
          <w:sz w:val="32"/>
          <w:szCs w:val="32"/>
          <w:lang w:val="en-US" w:eastAsia="zh-CN"/>
        </w:rPr>
        <w:t>2020-2035</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kern w:val="0"/>
          <w:sz w:val="32"/>
          <w:szCs w:val="32"/>
        </w:rPr>
        <w:t>。其中，在</w:t>
      </w:r>
      <w:r>
        <w:rPr>
          <w:rFonts w:hint="eastAsia" w:ascii="仿宋_GB2312" w:hAnsi="仿宋_GB2312" w:eastAsia="仿宋_GB2312" w:cs="仿宋_GB2312"/>
          <w:color w:val="auto"/>
          <w:spacing w:val="-6"/>
          <w:kern w:val="0"/>
          <w:sz w:val="32"/>
          <w:szCs w:val="32"/>
          <w:lang w:val="en-US" w:eastAsia="zh-CN"/>
        </w:rPr>
        <w:t>国土空间总体规划（</w:t>
      </w:r>
      <w:r>
        <w:rPr>
          <w:rFonts w:hint="eastAsia" w:ascii="仿宋_GB2312" w:hAnsi="仿宋_GB2312" w:eastAsia="仿宋_GB2312" w:cs="仿宋_GB2312"/>
          <w:color w:val="auto"/>
          <w:spacing w:val="-6"/>
          <w:kern w:val="0"/>
          <w:sz w:val="32"/>
          <w:szCs w:val="32"/>
        </w:rPr>
        <w:t>土地利用总体规划</w:t>
      </w:r>
      <w:r>
        <w:rPr>
          <w:rFonts w:hint="eastAsia" w:ascii="仿宋_GB2312" w:hAnsi="仿宋_GB2312" w:eastAsia="仿宋_GB2312" w:cs="仿宋_GB2312"/>
          <w:color w:val="auto"/>
          <w:spacing w:val="-6"/>
          <w:kern w:val="0"/>
          <w:sz w:val="32"/>
          <w:szCs w:val="32"/>
          <w:lang w:val="en-US" w:eastAsia="zh-CN"/>
        </w:rPr>
        <w:t>）</w:t>
      </w:r>
      <w:r>
        <w:rPr>
          <w:rFonts w:hint="eastAsia" w:ascii="仿宋_GB2312" w:hAnsi="仿宋_GB2312" w:eastAsia="仿宋_GB2312" w:cs="仿宋_GB2312"/>
          <w:color w:val="auto"/>
          <w:spacing w:val="-6"/>
          <w:kern w:val="0"/>
          <w:sz w:val="32"/>
          <w:szCs w:val="32"/>
          <w:highlight w:val="none"/>
        </w:rPr>
        <w:t>中，属城镇建设用地</w:t>
      </w:r>
      <w:r>
        <w:rPr>
          <w:rFonts w:hint="eastAsia" w:ascii="Times New Roman" w:hAnsi="Times New Roman" w:eastAsia="仿宋_GB2312" w:cs="Times New Roman"/>
          <w:color w:val="auto"/>
          <w:spacing w:val="-6"/>
          <w:sz w:val="32"/>
          <w:szCs w:val="32"/>
          <w:lang w:val="en-US" w:eastAsia="zh-CN"/>
        </w:rPr>
        <w:t>3.0000</w:t>
      </w:r>
      <w:r>
        <w:rPr>
          <w:rFonts w:hint="eastAsia" w:ascii="仿宋_GB2312" w:hAnsi="仿宋_GB2312" w:eastAsia="仿宋_GB2312" w:cs="仿宋_GB2312"/>
          <w:color w:val="auto"/>
          <w:spacing w:val="-6"/>
          <w:sz w:val="32"/>
          <w:szCs w:val="32"/>
          <w:highlight w:val="none"/>
        </w:rPr>
        <w:t>公顷（</w:t>
      </w:r>
      <w:r>
        <w:rPr>
          <w:rFonts w:hint="eastAsia" w:ascii="Times New Roman" w:hAnsi="Times New Roman" w:eastAsia="仿宋_GB2312" w:cs="Times New Roman"/>
          <w:color w:val="auto"/>
          <w:spacing w:val="-6"/>
          <w:sz w:val="32"/>
          <w:szCs w:val="32"/>
          <w:lang w:val="en-US" w:eastAsia="zh-CN"/>
        </w:rPr>
        <w:t>29999.7</w:t>
      </w:r>
      <w:r>
        <w:rPr>
          <w:rFonts w:hint="eastAsia" w:ascii="仿宋_GB2312" w:hAnsi="仿宋_GB2312" w:eastAsia="仿宋_GB2312" w:cs="仿宋_GB2312"/>
          <w:color w:val="auto"/>
          <w:spacing w:val="-6"/>
          <w:sz w:val="32"/>
          <w:szCs w:val="32"/>
          <w:highlight w:val="none"/>
        </w:rPr>
        <w:t>平方米，折合约</w:t>
      </w:r>
      <w:r>
        <w:rPr>
          <w:rFonts w:hint="eastAsia" w:ascii="Times New Roman" w:hAnsi="Times New Roman" w:eastAsia="仿宋_GB2312" w:cs="Times New Roman"/>
          <w:color w:val="auto"/>
          <w:spacing w:val="-6"/>
          <w:sz w:val="32"/>
          <w:szCs w:val="32"/>
          <w:lang w:val="en-US" w:eastAsia="zh-CN"/>
        </w:rPr>
        <w:t>45</w:t>
      </w:r>
      <w:r>
        <w:rPr>
          <w:rFonts w:hint="eastAsia" w:ascii="仿宋_GB2312" w:hAnsi="仿宋_GB2312" w:eastAsia="仿宋_GB2312" w:cs="仿宋_GB2312"/>
          <w:color w:val="auto"/>
          <w:spacing w:val="-6"/>
          <w:sz w:val="32"/>
          <w:szCs w:val="32"/>
          <w:highlight w:val="none"/>
        </w:rPr>
        <w:t>亩）</w:t>
      </w:r>
      <w:r>
        <w:rPr>
          <w:rFonts w:hint="eastAsia" w:ascii="仿宋_GB2312" w:hAnsi="仿宋_GB2312" w:eastAsia="仿宋_GB2312" w:cs="仿宋_GB2312"/>
          <w:color w:val="auto"/>
          <w:spacing w:val="-6"/>
          <w:kern w:val="0"/>
          <w:sz w:val="32"/>
          <w:szCs w:val="32"/>
          <w:highlight w:val="none"/>
        </w:rPr>
        <w:t>。</w:t>
      </w:r>
      <w:r>
        <w:rPr>
          <w:rFonts w:hint="eastAsia" w:ascii="仿宋_GB2312" w:hAnsi="仿宋_GB2312" w:eastAsia="仿宋_GB2312" w:cs="仿宋_GB2312"/>
          <w:color w:val="auto"/>
          <w:spacing w:val="-6"/>
          <w:kern w:val="0"/>
          <w:sz w:val="32"/>
          <w:szCs w:val="32"/>
          <w:u w:val="none"/>
          <w:lang w:val="en-US" w:eastAsia="zh-CN"/>
        </w:rPr>
        <w:t>在《中山市阜沙镇阜沙工业园控制性详细规划（</w:t>
      </w:r>
      <w:r>
        <w:rPr>
          <w:rFonts w:hint="eastAsia" w:ascii="Times New Roman" w:hAnsi="Times New Roman" w:eastAsia="仿宋_GB2312" w:cs="Times New Roman"/>
          <w:color w:val="auto"/>
          <w:spacing w:val="-6"/>
          <w:sz w:val="32"/>
          <w:szCs w:val="32"/>
          <w:lang w:val="en-US" w:eastAsia="zh-CN"/>
        </w:rPr>
        <w:t>2020</w:t>
      </w:r>
      <w:r>
        <w:rPr>
          <w:rFonts w:hint="eastAsia" w:ascii="仿宋_GB2312" w:hAnsi="仿宋_GB2312" w:eastAsia="仿宋_GB2312" w:cs="仿宋_GB2312"/>
          <w:color w:val="auto"/>
          <w:spacing w:val="-6"/>
          <w:kern w:val="0"/>
          <w:sz w:val="32"/>
          <w:szCs w:val="32"/>
          <w:u w:val="none"/>
          <w:lang w:val="en-US" w:eastAsia="zh-CN"/>
        </w:rPr>
        <w:t>）》南部</w:t>
      </w:r>
      <w:r>
        <w:rPr>
          <w:rFonts w:hint="eastAsia" w:ascii="Times New Roman" w:hAnsi="Times New Roman" w:eastAsia="仿宋_GB2312" w:cs="Times New Roman"/>
          <w:color w:val="auto"/>
          <w:spacing w:val="-6"/>
          <w:sz w:val="32"/>
          <w:szCs w:val="32"/>
          <w:lang w:val="en-US" w:eastAsia="zh-CN"/>
        </w:rPr>
        <w:t>9</w:t>
      </w:r>
      <w:r>
        <w:rPr>
          <w:rFonts w:hint="eastAsia" w:ascii="仿宋_GB2312" w:hAnsi="仿宋_GB2312" w:eastAsia="仿宋_GB2312" w:cs="仿宋_GB2312"/>
          <w:color w:val="auto"/>
          <w:spacing w:val="-6"/>
          <w:kern w:val="0"/>
          <w:sz w:val="32"/>
          <w:szCs w:val="32"/>
          <w:u w:val="none"/>
          <w:lang w:val="en-US" w:eastAsia="zh-CN"/>
        </w:rPr>
        <w:t>米支路局部线位调整（中府函〔</w:t>
      </w:r>
      <w:r>
        <w:rPr>
          <w:rFonts w:hint="eastAsia" w:ascii="Times New Roman" w:hAnsi="Times New Roman" w:eastAsia="仿宋_GB2312" w:cs="Times New Roman"/>
          <w:color w:val="auto"/>
          <w:spacing w:val="-6"/>
          <w:sz w:val="32"/>
          <w:szCs w:val="32"/>
          <w:lang w:val="en-US" w:eastAsia="zh-CN"/>
        </w:rPr>
        <w:t>2022</w:t>
      </w:r>
      <w:r>
        <w:rPr>
          <w:rFonts w:hint="eastAsia" w:ascii="仿宋_GB2312" w:hAnsi="仿宋_GB2312" w:eastAsia="仿宋_GB2312" w:cs="仿宋_GB2312"/>
          <w:color w:val="auto"/>
          <w:spacing w:val="-6"/>
          <w:kern w:val="0"/>
          <w:sz w:val="32"/>
          <w:szCs w:val="32"/>
          <w:u w:val="none"/>
          <w:lang w:val="en-US" w:eastAsia="zh-CN"/>
        </w:rPr>
        <w:t>〕</w:t>
      </w:r>
      <w:r>
        <w:rPr>
          <w:rFonts w:hint="eastAsia" w:ascii="Times New Roman" w:hAnsi="Times New Roman" w:eastAsia="仿宋_GB2312" w:cs="Times New Roman"/>
          <w:color w:val="auto"/>
          <w:spacing w:val="-6"/>
          <w:sz w:val="32"/>
          <w:szCs w:val="32"/>
          <w:lang w:val="en-US" w:eastAsia="zh-CN"/>
        </w:rPr>
        <w:t>19</w:t>
      </w:r>
      <w:r>
        <w:rPr>
          <w:rFonts w:hint="eastAsia" w:ascii="仿宋_GB2312" w:hAnsi="仿宋_GB2312" w:eastAsia="仿宋_GB2312" w:cs="仿宋_GB2312"/>
          <w:color w:val="auto"/>
          <w:spacing w:val="-6"/>
          <w:kern w:val="0"/>
          <w:sz w:val="32"/>
          <w:szCs w:val="32"/>
          <w:u w:val="none"/>
          <w:lang w:val="en-US" w:eastAsia="zh-CN"/>
        </w:rPr>
        <w:t>号）中，一类工业用地</w:t>
      </w:r>
      <w:r>
        <w:rPr>
          <w:rFonts w:hint="eastAsia" w:ascii="Times New Roman" w:hAnsi="Times New Roman" w:eastAsia="仿宋_GB2312" w:cs="Times New Roman"/>
          <w:color w:val="auto"/>
          <w:spacing w:val="-6"/>
          <w:sz w:val="32"/>
          <w:szCs w:val="32"/>
          <w:lang w:val="en-US" w:eastAsia="zh-CN"/>
        </w:rPr>
        <w:t>2.9045</w:t>
      </w:r>
      <w:r>
        <w:rPr>
          <w:rFonts w:hint="eastAsia" w:ascii="仿宋_GB2312" w:hAnsi="仿宋_GB2312" w:eastAsia="仿宋_GB2312" w:cs="仿宋_GB2312"/>
          <w:color w:val="auto"/>
          <w:spacing w:val="-6"/>
          <w:kern w:val="0"/>
          <w:sz w:val="32"/>
          <w:szCs w:val="32"/>
          <w:u w:val="none"/>
          <w:lang w:val="en-US" w:eastAsia="zh-CN"/>
        </w:rPr>
        <w:t>公顷（</w:t>
      </w:r>
      <w:r>
        <w:rPr>
          <w:rFonts w:hint="eastAsia" w:ascii="Times New Roman" w:hAnsi="Times New Roman" w:eastAsia="仿宋_GB2312" w:cs="Times New Roman"/>
          <w:color w:val="auto"/>
          <w:spacing w:val="-6"/>
          <w:sz w:val="32"/>
          <w:szCs w:val="32"/>
          <w:lang w:val="en-US" w:eastAsia="zh-CN"/>
        </w:rPr>
        <w:t>29045.42</w:t>
      </w:r>
      <w:r>
        <w:rPr>
          <w:rFonts w:hint="eastAsia" w:ascii="仿宋_GB2312" w:hAnsi="仿宋_GB2312" w:eastAsia="仿宋_GB2312" w:cs="仿宋_GB2312"/>
          <w:color w:val="auto"/>
          <w:spacing w:val="-6"/>
          <w:kern w:val="0"/>
          <w:sz w:val="32"/>
          <w:szCs w:val="32"/>
          <w:u w:val="none"/>
          <w:lang w:val="en-US" w:eastAsia="zh-CN"/>
        </w:rPr>
        <w:t>平方米，折合约</w:t>
      </w:r>
      <w:r>
        <w:rPr>
          <w:rFonts w:hint="eastAsia" w:ascii="Times New Roman" w:hAnsi="Times New Roman" w:eastAsia="仿宋_GB2312" w:cs="Times New Roman"/>
          <w:color w:val="auto"/>
          <w:spacing w:val="-6"/>
          <w:sz w:val="32"/>
          <w:szCs w:val="32"/>
          <w:lang w:val="en-US" w:eastAsia="zh-CN"/>
        </w:rPr>
        <w:t>43.57</w:t>
      </w:r>
      <w:r>
        <w:rPr>
          <w:rFonts w:hint="eastAsia" w:ascii="仿宋_GB2312" w:hAnsi="仿宋_GB2312" w:eastAsia="仿宋_GB2312" w:cs="仿宋_GB2312"/>
          <w:color w:val="auto"/>
          <w:spacing w:val="-6"/>
          <w:kern w:val="0"/>
          <w:sz w:val="32"/>
          <w:szCs w:val="32"/>
          <w:u w:val="none"/>
          <w:lang w:val="en-US" w:eastAsia="zh-CN"/>
        </w:rPr>
        <w:t>亩），规划容积率</w:t>
      </w:r>
      <w:r>
        <w:rPr>
          <w:rFonts w:hint="eastAsia" w:ascii="Times New Roman" w:hAnsi="Times New Roman" w:eastAsia="仿宋_GB2312" w:cs="Times New Roman"/>
          <w:color w:val="auto"/>
          <w:spacing w:val="-6"/>
          <w:sz w:val="32"/>
          <w:szCs w:val="32"/>
          <w:lang w:val="en-US" w:eastAsia="zh-CN"/>
        </w:rPr>
        <w:t>1.0-3.5</w:t>
      </w:r>
      <w:r>
        <w:rPr>
          <w:rFonts w:hint="eastAsia" w:ascii="仿宋_GB2312" w:hAnsi="仿宋_GB2312" w:eastAsia="仿宋_GB2312" w:cs="仿宋_GB2312"/>
          <w:color w:val="auto"/>
          <w:spacing w:val="-6"/>
          <w:kern w:val="0"/>
          <w:sz w:val="32"/>
          <w:szCs w:val="32"/>
          <w:u w:val="none"/>
          <w:lang w:val="en-US" w:eastAsia="zh-CN"/>
        </w:rPr>
        <w:t>，建筑密度</w:t>
      </w:r>
      <w:r>
        <w:rPr>
          <w:rFonts w:hint="eastAsia" w:ascii="Times New Roman" w:hAnsi="Times New Roman" w:eastAsia="仿宋_GB2312" w:cs="Times New Roman"/>
          <w:color w:val="auto"/>
          <w:spacing w:val="-6"/>
          <w:sz w:val="32"/>
          <w:szCs w:val="32"/>
          <w:lang w:val="en-US" w:eastAsia="zh-CN"/>
        </w:rPr>
        <w:t>35%-60</w:t>
      </w:r>
      <w:r>
        <w:rPr>
          <w:rFonts w:hint="eastAsia" w:ascii="仿宋_GB2312" w:hAnsi="仿宋_GB2312" w:eastAsia="仿宋_GB2312" w:cs="仿宋_GB2312"/>
          <w:color w:val="auto"/>
          <w:spacing w:val="-6"/>
          <w:kern w:val="0"/>
          <w:sz w:val="32"/>
          <w:szCs w:val="32"/>
          <w:u w:val="none"/>
          <w:lang w:val="en-US" w:eastAsia="zh-CN"/>
        </w:rPr>
        <w:t>%，绿地率</w:t>
      </w:r>
      <w:r>
        <w:rPr>
          <w:rFonts w:hint="eastAsia" w:ascii="Times New Roman" w:hAnsi="Times New Roman" w:eastAsia="仿宋_GB2312" w:cs="Times New Roman"/>
          <w:color w:val="auto"/>
          <w:spacing w:val="-6"/>
          <w:sz w:val="32"/>
          <w:szCs w:val="32"/>
          <w:lang w:val="en-US" w:eastAsia="zh-CN"/>
        </w:rPr>
        <w:t>10%-15</w:t>
      </w:r>
      <w:r>
        <w:rPr>
          <w:rFonts w:hint="eastAsia" w:ascii="仿宋_GB2312" w:hAnsi="仿宋_GB2312" w:eastAsia="仿宋_GB2312" w:cs="仿宋_GB2312"/>
          <w:color w:val="auto"/>
          <w:spacing w:val="-6"/>
          <w:kern w:val="0"/>
          <w:sz w:val="32"/>
          <w:szCs w:val="32"/>
          <w:u w:val="none"/>
          <w:lang w:val="en-US" w:eastAsia="zh-CN"/>
        </w:rPr>
        <w:t>%，</w:t>
      </w:r>
      <w:r>
        <w:rPr>
          <w:rFonts w:hint="eastAsia" w:ascii="仿宋_GB2312" w:hAnsi="仿宋_GB2312" w:eastAsia="仿宋_GB2312" w:cs="仿宋_GB2312"/>
          <w:color w:val="auto"/>
          <w:spacing w:val="-6"/>
          <w:kern w:val="0"/>
          <w:sz w:val="32"/>
          <w:szCs w:val="32"/>
          <w:highlight w:val="none"/>
          <w:u w:val="none"/>
          <w:lang w:val="en-US" w:eastAsia="zh-CN"/>
        </w:rPr>
        <w:t>生产性建筑高度≤</w:t>
      </w:r>
      <w:r>
        <w:rPr>
          <w:rFonts w:hint="eastAsia" w:ascii="Times New Roman" w:hAnsi="Times New Roman" w:eastAsia="仿宋_GB2312" w:cs="Times New Roman"/>
          <w:color w:val="auto"/>
          <w:spacing w:val="-6"/>
          <w:sz w:val="32"/>
          <w:szCs w:val="32"/>
          <w:lang w:val="en-US" w:eastAsia="zh-CN"/>
        </w:rPr>
        <w:t>50</w:t>
      </w:r>
      <w:r>
        <w:rPr>
          <w:rFonts w:hint="eastAsia" w:ascii="仿宋_GB2312" w:hAnsi="仿宋_GB2312" w:eastAsia="仿宋_GB2312" w:cs="仿宋_GB2312"/>
          <w:color w:val="auto"/>
          <w:spacing w:val="-6"/>
          <w:kern w:val="0"/>
          <w:sz w:val="32"/>
          <w:szCs w:val="32"/>
          <w:highlight w:val="none"/>
          <w:u w:val="none"/>
          <w:lang w:val="en-US" w:eastAsia="zh-CN"/>
        </w:rPr>
        <w:t>米，配套设施建筑高度≤</w:t>
      </w:r>
      <w:r>
        <w:rPr>
          <w:rFonts w:hint="eastAsia" w:ascii="Times New Roman" w:hAnsi="Times New Roman" w:eastAsia="仿宋_GB2312" w:cs="Times New Roman"/>
          <w:color w:val="auto"/>
          <w:spacing w:val="-6"/>
          <w:sz w:val="32"/>
          <w:szCs w:val="32"/>
          <w:lang w:val="en-US" w:eastAsia="zh-CN"/>
        </w:rPr>
        <w:t>100</w:t>
      </w:r>
      <w:r>
        <w:rPr>
          <w:rFonts w:hint="eastAsia" w:ascii="仿宋_GB2312" w:hAnsi="仿宋_GB2312" w:eastAsia="仿宋_GB2312" w:cs="仿宋_GB2312"/>
          <w:color w:val="auto"/>
          <w:spacing w:val="-6"/>
          <w:kern w:val="0"/>
          <w:sz w:val="32"/>
          <w:szCs w:val="32"/>
          <w:highlight w:val="none"/>
          <w:u w:val="none"/>
          <w:lang w:val="en-US" w:eastAsia="zh-CN"/>
        </w:rPr>
        <w:t>米；</w:t>
      </w:r>
      <w:r>
        <w:rPr>
          <w:rFonts w:hint="eastAsia" w:ascii="仿宋_GB2312" w:hAnsi="仿宋_GB2312" w:eastAsia="仿宋_GB2312" w:cs="仿宋_GB2312"/>
          <w:color w:val="auto"/>
          <w:spacing w:val="-6"/>
          <w:kern w:val="0"/>
          <w:sz w:val="32"/>
          <w:szCs w:val="32"/>
          <w:u w:val="none"/>
          <w:lang w:val="en-US" w:eastAsia="zh-CN"/>
        </w:rPr>
        <w:t>城市道路用地</w:t>
      </w:r>
      <w:r>
        <w:rPr>
          <w:rFonts w:hint="eastAsia" w:ascii="Times New Roman" w:hAnsi="Times New Roman" w:eastAsia="仿宋_GB2312" w:cs="Times New Roman"/>
          <w:color w:val="auto"/>
          <w:spacing w:val="-6"/>
          <w:sz w:val="32"/>
          <w:szCs w:val="32"/>
          <w:lang w:val="en-US" w:eastAsia="zh-CN"/>
        </w:rPr>
        <w:t>0.0527</w:t>
      </w:r>
      <w:r>
        <w:rPr>
          <w:rFonts w:hint="eastAsia" w:ascii="仿宋_GB2312" w:hAnsi="仿宋_GB2312" w:eastAsia="仿宋_GB2312" w:cs="仿宋_GB2312"/>
          <w:color w:val="auto"/>
          <w:spacing w:val="-6"/>
          <w:kern w:val="0"/>
          <w:sz w:val="32"/>
          <w:szCs w:val="32"/>
          <w:u w:val="none"/>
          <w:lang w:val="en-US" w:eastAsia="zh-CN"/>
        </w:rPr>
        <w:t>公顷（</w:t>
      </w:r>
      <w:r>
        <w:rPr>
          <w:rFonts w:hint="eastAsia" w:ascii="Times New Roman" w:hAnsi="Times New Roman" w:eastAsia="仿宋_GB2312" w:cs="Times New Roman"/>
          <w:color w:val="auto"/>
          <w:spacing w:val="-6"/>
          <w:sz w:val="32"/>
          <w:szCs w:val="32"/>
          <w:lang w:val="en-US" w:eastAsia="zh-CN"/>
        </w:rPr>
        <w:t>527.40</w:t>
      </w:r>
      <w:r>
        <w:rPr>
          <w:rFonts w:hint="eastAsia" w:ascii="仿宋_GB2312" w:hAnsi="仿宋_GB2312" w:eastAsia="仿宋_GB2312" w:cs="仿宋_GB2312"/>
          <w:color w:val="auto"/>
          <w:spacing w:val="-6"/>
          <w:kern w:val="0"/>
          <w:sz w:val="32"/>
          <w:szCs w:val="32"/>
          <w:u w:val="none"/>
          <w:lang w:val="en-US" w:eastAsia="zh-CN"/>
        </w:rPr>
        <w:t>平方米，折合约</w:t>
      </w:r>
      <w:r>
        <w:rPr>
          <w:rFonts w:hint="eastAsia" w:ascii="Times New Roman" w:hAnsi="Times New Roman" w:eastAsia="仿宋_GB2312" w:cs="Times New Roman"/>
          <w:color w:val="auto"/>
          <w:spacing w:val="-6"/>
          <w:sz w:val="32"/>
          <w:szCs w:val="32"/>
          <w:lang w:val="en-US" w:eastAsia="zh-CN"/>
        </w:rPr>
        <w:t>0.79</w:t>
      </w:r>
      <w:r>
        <w:rPr>
          <w:rFonts w:hint="eastAsia" w:ascii="仿宋_GB2312" w:hAnsi="仿宋_GB2312" w:eastAsia="仿宋_GB2312" w:cs="仿宋_GB2312"/>
          <w:color w:val="auto"/>
          <w:spacing w:val="-6"/>
          <w:kern w:val="0"/>
          <w:sz w:val="32"/>
          <w:szCs w:val="32"/>
          <w:u w:val="none"/>
          <w:lang w:val="en-US" w:eastAsia="zh-CN"/>
        </w:rPr>
        <w:t>亩）；防护绿地用地</w:t>
      </w:r>
      <w:r>
        <w:rPr>
          <w:rFonts w:hint="eastAsia" w:ascii="Times New Roman" w:hAnsi="Times New Roman" w:eastAsia="仿宋_GB2312" w:cs="Times New Roman"/>
          <w:color w:val="auto"/>
          <w:spacing w:val="-6"/>
          <w:sz w:val="32"/>
          <w:szCs w:val="32"/>
          <w:lang w:val="en-US" w:eastAsia="zh-CN"/>
        </w:rPr>
        <w:t>0.0427</w:t>
      </w:r>
      <w:r>
        <w:rPr>
          <w:rFonts w:hint="eastAsia" w:ascii="仿宋_GB2312" w:hAnsi="仿宋_GB2312" w:eastAsia="仿宋_GB2312" w:cs="仿宋_GB2312"/>
          <w:color w:val="auto"/>
          <w:spacing w:val="-6"/>
          <w:kern w:val="0"/>
          <w:sz w:val="32"/>
          <w:szCs w:val="32"/>
          <w:u w:val="none"/>
          <w:lang w:val="en-US" w:eastAsia="zh-CN"/>
        </w:rPr>
        <w:t>公顷（</w:t>
      </w:r>
      <w:r>
        <w:rPr>
          <w:rFonts w:hint="eastAsia" w:ascii="Times New Roman" w:hAnsi="Times New Roman" w:eastAsia="仿宋_GB2312" w:cs="Times New Roman"/>
          <w:color w:val="auto"/>
          <w:spacing w:val="-6"/>
          <w:sz w:val="32"/>
          <w:szCs w:val="32"/>
          <w:lang w:val="en-US" w:eastAsia="zh-CN"/>
        </w:rPr>
        <w:t>426.88</w:t>
      </w:r>
      <w:r>
        <w:rPr>
          <w:rFonts w:hint="eastAsia" w:ascii="仿宋_GB2312" w:hAnsi="仿宋_GB2312" w:eastAsia="仿宋_GB2312" w:cs="仿宋_GB2312"/>
          <w:color w:val="auto"/>
          <w:spacing w:val="-6"/>
          <w:kern w:val="0"/>
          <w:sz w:val="32"/>
          <w:szCs w:val="32"/>
          <w:u w:val="none"/>
          <w:lang w:val="en-US" w:eastAsia="zh-CN"/>
        </w:rPr>
        <w:t>平方米，折合约</w:t>
      </w:r>
      <w:r>
        <w:rPr>
          <w:rFonts w:hint="eastAsia" w:ascii="Times New Roman" w:hAnsi="Times New Roman" w:eastAsia="仿宋_GB2312" w:cs="Times New Roman"/>
          <w:color w:val="auto"/>
          <w:spacing w:val="-6"/>
          <w:sz w:val="32"/>
          <w:szCs w:val="32"/>
          <w:lang w:val="en-US" w:eastAsia="zh-CN"/>
        </w:rPr>
        <w:t>0.64</w:t>
      </w:r>
      <w:r>
        <w:rPr>
          <w:rFonts w:hint="eastAsia" w:ascii="仿宋_GB2312" w:hAnsi="仿宋_GB2312" w:eastAsia="仿宋_GB2312" w:cs="仿宋_GB2312"/>
          <w:color w:val="auto"/>
          <w:spacing w:val="-6"/>
          <w:kern w:val="0"/>
          <w:sz w:val="32"/>
          <w:szCs w:val="32"/>
          <w:u w:val="none"/>
          <w:lang w:val="en-US" w:eastAsia="zh-CN"/>
        </w:rPr>
        <w:t>亩）。</w:t>
      </w:r>
    </w:p>
    <w:p>
      <w:pPr>
        <w:spacing w:line="574" w:lineRule="exact"/>
        <w:ind w:firstLine="616" w:firstLineChars="200"/>
        <w:rPr>
          <w:rFonts w:hint="eastAsia" w:ascii="黑体" w:hAnsi="黑体" w:eastAsia="黑体" w:cs="黑体"/>
          <w:color w:val="auto"/>
          <w:spacing w:val="-6"/>
          <w:kern w:val="0"/>
          <w:sz w:val="32"/>
          <w:szCs w:val="32"/>
        </w:rPr>
      </w:pPr>
      <w:r>
        <w:rPr>
          <w:rFonts w:hint="eastAsia" w:ascii="仿宋_GB2312" w:hAnsi="仿宋_GB2312" w:eastAsia="仿宋_GB2312" w:cs="仿宋_GB2312"/>
          <w:color w:val="auto"/>
          <w:spacing w:val="-6"/>
          <w:kern w:val="0"/>
          <w:sz w:val="32"/>
          <w:szCs w:val="32"/>
          <w:lang w:val="en-US" w:eastAsia="zh-CN"/>
        </w:rPr>
        <w:t>改造项目地块全部位于“三区三线”城镇开发边界内，符合工业用地保护线管控要求，且不涉及永久基本农田和生态保护红线、森林资源等管控要求</w:t>
      </w:r>
    </w:p>
    <w:p>
      <w:pPr>
        <w:spacing w:line="574" w:lineRule="exact"/>
        <w:ind w:firstLine="616" w:firstLineChars="200"/>
        <w:rPr>
          <w:rFonts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二、改造意愿情况</w:t>
      </w:r>
    </w:p>
    <w:p>
      <w:pPr>
        <w:spacing w:line="574" w:lineRule="exact"/>
        <w:ind w:firstLine="616" w:firstLineChars="200"/>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改造项目涉及中山市康鸿电子科技有限公司一个权利主体，阜沙镇人民政府已按照法律法规，就改造范围、土地现状、改造主体及拟改造情况等事项征询其改造意愿，权利人同意将涉及土地、房屋纳入改造范围。</w:t>
      </w:r>
    </w:p>
    <w:p>
      <w:pPr>
        <w:spacing w:line="574" w:lineRule="exact"/>
        <w:ind w:firstLine="616" w:firstLineChars="200"/>
        <w:rPr>
          <w:rFonts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三、改造主体及拟改造情况</w:t>
      </w:r>
    </w:p>
    <w:p>
      <w:pPr>
        <w:spacing w:line="574" w:lineRule="exact"/>
        <w:ind w:firstLine="616" w:firstLineChars="200"/>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根据有关规划要求，改造项目严格按照</w:t>
      </w:r>
      <w:r>
        <w:rPr>
          <w:rFonts w:hint="eastAsia" w:ascii="仿宋_GB2312" w:hAnsi="仿宋_GB2312" w:eastAsia="仿宋_GB2312" w:cs="仿宋_GB2312"/>
          <w:color w:val="auto"/>
          <w:spacing w:val="-6"/>
          <w:kern w:val="0"/>
          <w:sz w:val="32"/>
          <w:szCs w:val="32"/>
          <w:lang w:val="en-US" w:eastAsia="zh-CN"/>
        </w:rPr>
        <w:t>国土空间总体规划</w:t>
      </w:r>
      <w:r>
        <w:rPr>
          <w:rFonts w:hint="eastAsia" w:ascii="仿宋_GB2312" w:hAnsi="仿宋_GB2312" w:eastAsia="仿宋_GB2312" w:cs="仿宋_GB2312"/>
          <w:color w:val="auto"/>
          <w:spacing w:val="-6"/>
          <w:kern w:val="0"/>
          <w:sz w:val="32"/>
          <w:szCs w:val="32"/>
        </w:rPr>
        <w:t>、</w:t>
      </w:r>
      <w:r>
        <w:rPr>
          <w:rFonts w:hint="eastAsia" w:ascii="仿宋_GB2312" w:hAnsi="仿宋_GB2312" w:eastAsia="仿宋_GB2312" w:cs="仿宋_GB2312"/>
          <w:color w:val="auto"/>
          <w:spacing w:val="-6"/>
          <w:kern w:val="0"/>
          <w:sz w:val="32"/>
          <w:szCs w:val="32"/>
          <w:u w:val="none"/>
        </w:rPr>
        <w:t>控制性详细规划</w:t>
      </w:r>
      <w:r>
        <w:rPr>
          <w:rFonts w:hint="eastAsia" w:ascii="仿宋_GB2312" w:hAnsi="仿宋_GB2312" w:eastAsia="仿宋_GB2312" w:cs="仿宋_GB2312"/>
          <w:color w:val="auto"/>
          <w:spacing w:val="-6"/>
          <w:kern w:val="0"/>
          <w:sz w:val="32"/>
          <w:szCs w:val="32"/>
        </w:rPr>
        <w:t>管控要求实施建设。在</w:t>
      </w:r>
      <w:r>
        <w:rPr>
          <w:rFonts w:hint="eastAsia" w:ascii="仿宋_GB2312" w:hAnsi="仿宋_GB2312" w:eastAsia="仿宋_GB2312" w:cs="仿宋_GB2312"/>
          <w:color w:val="auto"/>
          <w:spacing w:val="-6"/>
          <w:kern w:val="0"/>
          <w:sz w:val="32"/>
          <w:szCs w:val="32"/>
          <w:lang w:val="en-US" w:eastAsia="zh-CN"/>
        </w:rPr>
        <w:t>规划</w:t>
      </w:r>
      <w:r>
        <w:rPr>
          <w:rFonts w:hint="eastAsia" w:ascii="仿宋_GB2312" w:hAnsi="仿宋_GB2312" w:eastAsia="仿宋_GB2312" w:cs="仿宋_GB2312"/>
          <w:color w:val="auto"/>
          <w:spacing w:val="-6"/>
          <w:kern w:val="0"/>
          <w:sz w:val="32"/>
          <w:szCs w:val="32"/>
        </w:rPr>
        <w:t>中属</w:t>
      </w:r>
      <w:r>
        <w:rPr>
          <w:rFonts w:hint="eastAsia" w:ascii="仿宋_GB2312" w:hAnsi="仿宋_GB2312" w:eastAsia="仿宋_GB2312" w:cs="仿宋_GB2312"/>
          <w:color w:val="auto"/>
          <w:spacing w:val="-6"/>
          <w:sz w:val="32"/>
        </w:rPr>
        <w:t>道路和绿地等公益性</w:t>
      </w:r>
      <w:r>
        <w:rPr>
          <w:rFonts w:hint="eastAsia" w:ascii="仿宋_GB2312" w:hAnsi="仿宋_GB2312" w:eastAsia="仿宋_GB2312" w:cs="仿宋_GB2312"/>
          <w:color w:val="auto"/>
          <w:spacing w:val="-6"/>
          <w:kern w:val="0"/>
          <w:sz w:val="32"/>
          <w:szCs w:val="32"/>
        </w:rPr>
        <w:t>用地部分，日后阜沙镇人民政府需按规划开发建设时，改造主体应无偿将用地交给阜沙镇人民政府使用。</w:t>
      </w:r>
    </w:p>
    <w:p>
      <w:pPr>
        <w:spacing w:line="574" w:lineRule="exact"/>
        <w:ind w:firstLine="616" w:firstLineChars="200"/>
        <w:rPr>
          <w:rFonts w:ascii="楷体" w:hAnsi="楷体" w:eastAsia="楷体" w:cs="楷体"/>
          <w:color w:val="auto"/>
          <w:spacing w:val="-6"/>
          <w:kern w:val="0"/>
          <w:sz w:val="32"/>
          <w:szCs w:val="32"/>
          <w:highlight w:val="none"/>
        </w:rPr>
      </w:pPr>
      <w:r>
        <w:rPr>
          <w:rFonts w:hint="eastAsia" w:ascii="楷体" w:hAnsi="楷体" w:eastAsia="楷体" w:cs="楷体"/>
          <w:color w:val="auto"/>
          <w:spacing w:val="-6"/>
          <w:kern w:val="0"/>
          <w:sz w:val="32"/>
          <w:szCs w:val="32"/>
          <w:highlight w:val="none"/>
        </w:rPr>
        <w:t>（一）改造主体</w:t>
      </w:r>
    </w:p>
    <w:p>
      <w:pPr>
        <w:spacing w:line="574" w:lineRule="exact"/>
        <w:ind w:firstLine="616" w:firstLineChars="200"/>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该改造项目属</w:t>
      </w: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color w:val="auto"/>
          <w:spacing w:val="-6"/>
          <w:kern w:val="0"/>
          <w:sz w:val="32"/>
          <w:szCs w:val="32"/>
        </w:rPr>
        <w:t>工改工</w:t>
      </w: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color w:val="auto"/>
          <w:spacing w:val="-6"/>
          <w:kern w:val="0"/>
          <w:sz w:val="32"/>
          <w:szCs w:val="32"/>
        </w:rPr>
        <w:t>宗地项目，拟采取权利人自主改造方式，由土地权利人山市康鸿电子科技有限公司作为改造主体实施局部改造。</w:t>
      </w:r>
    </w:p>
    <w:p>
      <w:pPr>
        <w:spacing w:line="574" w:lineRule="exact"/>
        <w:ind w:firstLine="616" w:firstLineChars="200"/>
        <w:rPr>
          <w:rFonts w:hint="default" w:ascii="楷体" w:hAnsi="楷体" w:eastAsia="楷体" w:cs="楷体"/>
          <w:color w:val="auto"/>
          <w:spacing w:val="-6"/>
          <w:kern w:val="0"/>
          <w:sz w:val="32"/>
          <w:szCs w:val="32"/>
          <w:highlight w:val="none"/>
          <w:lang w:val="en-US" w:eastAsia="zh-CN"/>
        </w:rPr>
      </w:pPr>
      <w:r>
        <w:rPr>
          <w:rFonts w:hint="eastAsia" w:ascii="楷体" w:hAnsi="楷体" w:eastAsia="楷体" w:cs="楷体"/>
          <w:color w:val="auto"/>
          <w:spacing w:val="-6"/>
          <w:kern w:val="0"/>
          <w:sz w:val="32"/>
          <w:szCs w:val="32"/>
          <w:highlight w:val="none"/>
        </w:rPr>
        <w:t>（</w:t>
      </w:r>
      <w:r>
        <w:rPr>
          <w:rFonts w:hint="eastAsia" w:ascii="楷体" w:hAnsi="楷体" w:eastAsia="楷体" w:cs="楷体"/>
          <w:color w:val="auto"/>
          <w:spacing w:val="-6"/>
          <w:kern w:val="0"/>
          <w:sz w:val="32"/>
          <w:szCs w:val="32"/>
          <w:highlight w:val="none"/>
          <w:lang w:val="en-US" w:eastAsia="zh-CN"/>
        </w:rPr>
        <w:t>二</w:t>
      </w:r>
      <w:r>
        <w:rPr>
          <w:rFonts w:hint="eastAsia" w:ascii="楷体" w:hAnsi="楷体" w:eastAsia="楷体" w:cs="楷体"/>
          <w:color w:val="auto"/>
          <w:spacing w:val="-6"/>
          <w:kern w:val="0"/>
          <w:sz w:val="32"/>
          <w:szCs w:val="32"/>
          <w:highlight w:val="none"/>
        </w:rPr>
        <w:t>）</w:t>
      </w:r>
      <w:r>
        <w:rPr>
          <w:rFonts w:hint="eastAsia" w:ascii="楷体" w:hAnsi="楷体" w:eastAsia="楷体" w:cs="楷体"/>
          <w:color w:val="auto"/>
          <w:spacing w:val="-6"/>
          <w:kern w:val="0"/>
          <w:sz w:val="32"/>
          <w:szCs w:val="32"/>
          <w:highlight w:val="none"/>
          <w:lang w:val="en-US" w:eastAsia="zh-CN"/>
        </w:rPr>
        <w:t>已报建情况</w:t>
      </w:r>
    </w:p>
    <w:p>
      <w:pPr>
        <w:pStyle w:val="3"/>
        <w:keepNext/>
        <w:keepLines w:val="0"/>
        <w:pageBreakBefore w:val="0"/>
        <w:widowControl w:val="0"/>
        <w:kinsoku/>
        <w:wordWrap/>
        <w:overflowPunct/>
        <w:topLinePunct w:val="0"/>
        <w:autoSpaceDE/>
        <w:autoSpaceDN/>
        <w:bidi w:val="0"/>
        <w:adjustRightInd/>
        <w:snapToGrid/>
        <w:ind w:firstLine="616" w:firstLineChars="200"/>
        <w:textAlignment w:val="auto"/>
        <w:rPr>
          <w:rFonts w:hint="default"/>
          <w:color w:val="auto"/>
          <w:lang w:val="en-US" w:eastAsia="zh-CN"/>
        </w:rPr>
      </w:pPr>
      <w:r>
        <w:rPr>
          <w:rFonts w:hint="eastAsia" w:ascii="仿宋_GB2312" w:hAnsi="仿宋_GB2312" w:eastAsia="仿宋_GB2312" w:cs="仿宋_GB2312"/>
          <w:color w:val="auto"/>
          <w:spacing w:val="-6"/>
          <w:kern w:val="0"/>
          <w:sz w:val="32"/>
          <w:szCs w:val="32"/>
        </w:rPr>
        <w:t>改造项目范围</w:t>
      </w:r>
      <w:r>
        <w:rPr>
          <w:rFonts w:hint="eastAsia" w:ascii="仿宋_GB2312" w:hAnsi="仿宋_GB2312" w:eastAsia="仿宋_GB2312" w:cs="仿宋_GB2312"/>
          <w:color w:val="auto"/>
          <w:spacing w:val="-6"/>
          <w:kern w:val="0"/>
          <w:sz w:val="32"/>
          <w:szCs w:val="32"/>
          <w:lang w:val="en-US" w:eastAsia="zh-CN"/>
        </w:rPr>
        <w:t>存在规划报建，依据该用地规划报建资料，项目一期已报建用地</w:t>
      </w:r>
      <w:r>
        <w:rPr>
          <w:rFonts w:hint="eastAsia" w:ascii="Times New Roman" w:hAnsi="Times New Roman" w:eastAsia="仿宋_GB2312" w:cs="Times New Roman"/>
          <w:color w:val="auto"/>
          <w:spacing w:val="-6"/>
          <w:sz w:val="32"/>
          <w:szCs w:val="32"/>
          <w:lang w:val="en-US" w:eastAsia="zh-CN"/>
        </w:rPr>
        <w:t>1.0952</w:t>
      </w:r>
      <w:r>
        <w:rPr>
          <w:rFonts w:hint="eastAsia" w:ascii="仿宋_GB2312" w:hAnsi="仿宋_GB2312" w:eastAsia="仿宋_GB2312" w:cs="仿宋_GB2312"/>
          <w:color w:val="auto"/>
          <w:spacing w:val="-6"/>
          <w:sz w:val="32"/>
          <w:szCs w:val="32"/>
        </w:rPr>
        <w:t>公顷（</w:t>
      </w:r>
      <w:r>
        <w:rPr>
          <w:rFonts w:hint="eastAsia" w:ascii="Times New Roman" w:hAnsi="Times New Roman" w:eastAsia="仿宋_GB2312" w:cs="Times New Roman"/>
          <w:color w:val="auto"/>
          <w:spacing w:val="-6"/>
          <w:sz w:val="32"/>
          <w:szCs w:val="32"/>
          <w:lang w:val="en-US" w:eastAsia="zh-CN"/>
        </w:rPr>
        <w:t>10952.00</w:t>
      </w:r>
      <w:r>
        <w:rPr>
          <w:rFonts w:hint="eastAsia" w:ascii="仿宋_GB2312" w:hAnsi="仿宋_GB2312" w:eastAsia="仿宋_GB2312" w:cs="仿宋_GB2312"/>
          <w:color w:val="auto"/>
          <w:spacing w:val="-6"/>
          <w:sz w:val="32"/>
          <w:szCs w:val="32"/>
        </w:rPr>
        <w:t>平方米，折合约</w:t>
      </w:r>
      <w:r>
        <w:rPr>
          <w:rFonts w:hint="eastAsia" w:ascii="Times New Roman" w:hAnsi="Times New Roman" w:eastAsia="仿宋_GB2312" w:cs="Times New Roman"/>
          <w:color w:val="auto"/>
          <w:spacing w:val="-6"/>
          <w:sz w:val="32"/>
          <w:szCs w:val="32"/>
          <w:lang w:val="en-US" w:eastAsia="zh-CN"/>
        </w:rPr>
        <w:t>16.43</w:t>
      </w:r>
      <w:r>
        <w:rPr>
          <w:rFonts w:hint="eastAsia" w:ascii="仿宋_GB2312" w:hAnsi="仿宋_GB2312" w:eastAsia="仿宋_GB2312" w:cs="仿宋_GB2312"/>
          <w:color w:val="auto"/>
          <w:spacing w:val="-6"/>
          <w:sz w:val="32"/>
          <w:szCs w:val="32"/>
        </w:rPr>
        <w:t>亩）</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报建建筑面积</w:t>
      </w:r>
      <w:r>
        <w:rPr>
          <w:rFonts w:hint="eastAsia" w:ascii="Times New Roman" w:hAnsi="Times New Roman" w:eastAsia="仿宋_GB2312" w:cs="Times New Roman"/>
          <w:color w:val="auto"/>
          <w:spacing w:val="-6"/>
          <w:sz w:val="32"/>
          <w:szCs w:val="32"/>
          <w:lang w:val="en-US" w:eastAsia="zh-CN"/>
        </w:rPr>
        <w:t>51267.25</w:t>
      </w:r>
      <w:r>
        <w:rPr>
          <w:rFonts w:hint="eastAsia" w:ascii="仿宋_GB2312" w:hAnsi="仿宋_GB2312" w:eastAsia="仿宋_GB2312" w:cs="仿宋_GB2312"/>
          <w:color w:val="auto"/>
          <w:spacing w:val="-6"/>
          <w:kern w:val="0"/>
          <w:sz w:val="32"/>
          <w:szCs w:val="32"/>
          <w:highlight w:val="none"/>
          <w:u w:val="none"/>
          <w:lang w:val="en-US" w:eastAsia="zh-CN"/>
        </w:rPr>
        <w:t>平方米（含不计容面积</w:t>
      </w:r>
      <w:r>
        <w:rPr>
          <w:rFonts w:hint="eastAsia" w:ascii="Times New Roman" w:hAnsi="Times New Roman" w:eastAsia="仿宋_GB2312" w:cs="Times New Roman"/>
          <w:color w:val="auto"/>
          <w:spacing w:val="-6"/>
          <w:sz w:val="32"/>
          <w:szCs w:val="32"/>
          <w:lang w:val="en-US" w:eastAsia="zh-CN"/>
        </w:rPr>
        <w:t>9110.23</w:t>
      </w:r>
      <w:r>
        <w:rPr>
          <w:rFonts w:hint="eastAsia" w:ascii="仿宋_GB2312" w:hAnsi="仿宋_GB2312" w:eastAsia="仿宋_GB2312" w:cs="仿宋_GB2312"/>
          <w:color w:val="auto"/>
          <w:spacing w:val="-6"/>
          <w:kern w:val="0"/>
          <w:sz w:val="32"/>
          <w:szCs w:val="32"/>
          <w:highlight w:val="none"/>
          <w:u w:val="none"/>
          <w:lang w:val="en-US" w:eastAsia="zh-CN"/>
        </w:rPr>
        <w:t>平方米）</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项目范围内一期已报建范围</w:t>
      </w:r>
      <w:r>
        <w:rPr>
          <w:rFonts w:hint="eastAsia" w:ascii="Times New Roman" w:hAnsi="Times New Roman" w:eastAsia="仿宋_GB2312" w:cs="Times New Roman"/>
          <w:color w:val="auto"/>
          <w:spacing w:val="-6"/>
          <w:sz w:val="32"/>
          <w:szCs w:val="32"/>
          <w:lang w:val="en-US" w:eastAsia="zh-CN"/>
        </w:rPr>
        <w:t>1.0952</w:t>
      </w:r>
      <w:r>
        <w:rPr>
          <w:rFonts w:hint="eastAsia" w:ascii="仿宋_GB2312" w:hAnsi="仿宋_GB2312" w:eastAsia="仿宋_GB2312" w:cs="仿宋_GB2312"/>
          <w:color w:val="auto"/>
          <w:spacing w:val="-6"/>
          <w:sz w:val="32"/>
          <w:szCs w:val="32"/>
        </w:rPr>
        <w:t>公顷（</w:t>
      </w:r>
      <w:r>
        <w:rPr>
          <w:rFonts w:hint="eastAsia" w:ascii="Times New Roman" w:hAnsi="Times New Roman" w:eastAsia="仿宋_GB2312" w:cs="Times New Roman"/>
          <w:color w:val="auto"/>
          <w:spacing w:val="-6"/>
          <w:sz w:val="32"/>
          <w:szCs w:val="32"/>
          <w:lang w:val="en-US" w:eastAsia="zh-CN"/>
        </w:rPr>
        <w:t>10952.00</w:t>
      </w:r>
      <w:r>
        <w:rPr>
          <w:rFonts w:hint="eastAsia" w:ascii="仿宋_GB2312" w:hAnsi="仿宋_GB2312" w:eastAsia="仿宋_GB2312" w:cs="仿宋_GB2312"/>
          <w:color w:val="auto"/>
          <w:spacing w:val="-6"/>
          <w:sz w:val="32"/>
          <w:szCs w:val="32"/>
        </w:rPr>
        <w:t>平方米，折合约</w:t>
      </w:r>
      <w:r>
        <w:rPr>
          <w:rFonts w:hint="eastAsia" w:ascii="Times New Roman" w:hAnsi="Times New Roman" w:eastAsia="仿宋_GB2312" w:cs="Times New Roman"/>
          <w:color w:val="auto"/>
          <w:spacing w:val="-6"/>
          <w:sz w:val="32"/>
          <w:szCs w:val="32"/>
          <w:lang w:val="en-US" w:eastAsia="zh-CN"/>
        </w:rPr>
        <w:t>16.43</w:t>
      </w:r>
      <w:r>
        <w:rPr>
          <w:rFonts w:hint="eastAsia" w:ascii="仿宋_GB2312" w:hAnsi="仿宋_GB2312" w:eastAsia="仿宋_GB2312" w:cs="仿宋_GB2312"/>
          <w:color w:val="auto"/>
          <w:spacing w:val="-6"/>
          <w:sz w:val="32"/>
          <w:szCs w:val="32"/>
        </w:rPr>
        <w:t>亩）</w:t>
      </w:r>
      <w:r>
        <w:rPr>
          <w:rFonts w:hint="eastAsia" w:ascii="仿宋_GB2312" w:hAnsi="仿宋_GB2312" w:eastAsia="仿宋_GB2312" w:cs="仿宋_GB2312"/>
          <w:color w:val="auto"/>
          <w:spacing w:val="-6"/>
          <w:sz w:val="32"/>
          <w:szCs w:val="32"/>
          <w:highlight w:val="none"/>
          <w:lang w:val="en-US" w:eastAsia="zh-CN"/>
        </w:rPr>
        <w:t>，不纳入此次局部改造范围，剩余</w:t>
      </w:r>
      <w:r>
        <w:rPr>
          <w:rFonts w:hint="eastAsia" w:ascii="Times New Roman" w:hAnsi="Times New Roman" w:eastAsia="仿宋_GB2312" w:cs="Times New Roman"/>
          <w:color w:val="auto"/>
          <w:spacing w:val="-6"/>
          <w:sz w:val="32"/>
          <w:szCs w:val="32"/>
          <w:lang w:val="en-US" w:eastAsia="zh-CN"/>
        </w:rPr>
        <w:t>1.9047</w:t>
      </w:r>
      <w:r>
        <w:rPr>
          <w:rFonts w:hint="eastAsia" w:ascii="仿宋_GB2312" w:hAnsi="仿宋_GB2312" w:eastAsia="仿宋_GB2312" w:cs="仿宋_GB2312"/>
          <w:color w:val="auto"/>
          <w:spacing w:val="-6"/>
          <w:sz w:val="32"/>
          <w:szCs w:val="32"/>
        </w:rPr>
        <w:t>公顷（</w:t>
      </w:r>
      <w:r>
        <w:rPr>
          <w:rFonts w:hint="eastAsia" w:ascii="Times New Roman" w:hAnsi="Times New Roman" w:eastAsia="仿宋_GB2312" w:cs="Times New Roman"/>
          <w:color w:val="auto"/>
          <w:spacing w:val="-6"/>
          <w:sz w:val="32"/>
          <w:szCs w:val="32"/>
          <w:lang w:val="en-US" w:eastAsia="zh-CN"/>
        </w:rPr>
        <w:t>19047.7</w:t>
      </w:r>
      <w:r>
        <w:rPr>
          <w:rFonts w:hint="eastAsia" w:ascii="仿宋_GB2312" w:hAnsi="仿宋_GB2312" w:eastAsia="仿宋_GB2312" w:cs="仿宋_GB2312"/>
          <w:color w:val="auto"/>
          <w:spacing w:val="-6"/>
          <w:sz w:val="32"/>
          <w:szCs w:val="32"/>
        </w:rPr>
        <w:t>平方米，折合约</w:t>
      </w:r>
      <w:r>
        <w:rPr>
          <w:rFonts w:hint="eastAsia" w:ascii="Times New Roman" w:hAnsi="Times New Roman" w:eastAsia="仿宋_GB2312" w:cs="Times New Roman"/>
          <w:color w:val="auto"/>
          <w:spacing w:val="-6"/>
          <w:sz w:val="32"/>
          <w:szCs w:val="32"/>
          <w:lang w:val="en-US" w:eastAsia="zh-CN"/>
        </w:rPr>
        <w:t>28.57</w:t>
      </w:r>
      <w:r>
        <w:rPr>
          <w:rFonts w:hint="eastAsia" w:ascii="仿宋_GB2312" w:hAnsi="仿宋_GB2312" w:eastAsia="仿宋_GB2312" w:cs="仿宋_GB2312"/>
          <w:color w:val="auto"/>
          <w:spacing w:val="-6"/>
          <w:sz w:val="32"/>
          <w:szCs w:val="32"/>
        </w:rPr>
        <w:t>亩）</w:t>
      </w:r>
      <w:r>
        <w:rPr>
          <w:rFonts w:hint="eastAsia" w:ascii="仿宋_GB2312" w:hAnsi="仿宋_GB2312" w:eastAsia="仿宋_GB2312" w:cs="仿宋_GB2312"/>
          <w:color w:val="auto"/>
          <w:spacing w:val="-6"/>
          <w:sz w:val="32"/>
          <w:szCs w:val="32"/>
          <w:highlight w:val="none"/>
          <w:lang w:val="en-US" w:eastAsia="zh-CN"/>
        </w:rPr>
        <w:t>未规划报建建设用地纳入此次局部改造范围，为局部改造主体地块。</w:t>
      </w:r>
    </w:p>
    <w:p>
      <w:pPr>
        <w:spacing w:line="574" w:lineRule="exact"/>
        <w:ind w:firstLine="616" w:firstLineChars="200"/>
        <w:rPr>
          <w:rFonts w:ascii="楷体" w:hAnsi="楷体" w:eastAsia="楷体" w:cs="楷体"/>
          <w:color w:val="auto"/>
          <w:spacing w:val="-6"/>
          <w:kern w:val="0"/>
          <w:sz w:val="32"/>
          <w:szCs w:val="32"/>
          <w:highlight w:val="none"/>
        </w:rPr>
      </w:pPr>
      <w:r>
        <w:rPr>
          <w:rFonts w:hint="eastAsia" w:ascii="楷体" w:hAnsi="楷体" w:eastAsia="楷体" w:cs="楷体"/>
          <w:color w:val="auto"/>
          <w:spacing w:val="-6"/>
          <w:kern w:val="0"/>
          <w:sz w:val="32"/>
          <w:szCs w:val="32"/>
          <w:highlight w:val="none"/>
        </w:rPr>
        <w:t>（三）拟改造情况</w:t>
      </w:r>
    </w:p>
    <w:p>
      <w:pPr>
        <w:spacing w:line="574" w:lineRule="exact"/>
        <w:ind w:firstLine="616" w:firstLineChars="200"/>
        <w:rPr>
          <w:rFonts w:hint="default" w:ascii="仿宋_GB2312" w:hAnsi="仿宋_GB2312" w:eastAsia="仿宋_GB2312" w:cs="仿宋_GB2312"/>
          <w:color w:val="auto"/>
          <w:spacing w:val="-6"/>
          <w:kern w:val="0"/>
          <w:sz w:val="32"/>
          <w:szCs w:val="32"/>
          <w:highlight w:val="yellow"/>
          <w:lang w:val="en-US"/>
        </w:rPr>
      </w:pPr>
      <w:r>
        <w:rPr>
          <w:rFonts w:hint="eastAsia" w:ascii="仿宋_GB2312" w:hAnsi="仿宋_GB2312" w:eastAsia="仿宋_GB2312" w:cs="仿宋_GB2312"/>
          <w:color w:val="auto"/>
          <w:spacing w:val="-6"/>
          <w:kern w:val="0"/>
          <w:sz w:val="32"/>
          <w:szCs w:val="32"/>
        </w:rPr>
        <w:t>改造后将</w:t>
      </w:r>
      <w:r>
        <w:rPr>
          <w:rFonts w:hint="eastAsia" w:ascii="仿宋_GB2312" w:hAnsi="仿宋_GB2312" w:eastAsia="仿宋_GB2312" w:cs="仿宋_GB2312"/>
          <w:color w:val="auto"/>
          <w:spacing w:val="-6"/>
          <w:kern w:val="0"/>
          <w:sz w:val="32"/>
          <w:szCs w:val="32"/>
          <w:highlight w:val="none"/>
        </w:rPr>
        <w:t>用于</w:t>
      </w:r>
      <w:r>
        <w:rPr>
          <w:rFonts w:hint="eastAsia" w:ascii="Times New Roman" w:hAnsi="Times New Roman" w:eastAsia="仿宋_GB2312" w:cs="Times New Roman"/>
          <w:color w:val="auto"/>
          <w:spacing w:val="-6"/>
          <w:sz w:val="32"/>
          <w:szCs w:val="32"/>
          <w:lang w:val="en-US" w:eastAsia="zh-CN"/>
        </w:rPr>
        <w:t>5G</w:t>
      </w:r>
      <w:r>
        <w:rPr>
          <w:rFonts w:hint="eastAsia" w:ascii="仿宋_GB2312" w:hAnsi="仿宋_GB2312" w:eastAsia="仿宋_GB2312" w:cs="仿宋_GB2312"/>
          <w:color w:val="auto"/>
          <w:spacing w:val="-6"/>
          <w:kern w:val="0"/>
          <w:sz w:val="32"/>
          <w:szCs w:val="32"/>
          <w:highlight w:val="none"/>
          <w:u w:val="none"/>
          <w:lang w:val="en-US" w:eastAsia="zh-CN"/>
        </w:rPr>
        <w:t>产业、线路板生产制造等产业</w:t>
      </w:r>
      <w:r>
        <w:rPr>
          <w:rFonts w:hint="eastAsia" w:ascii="仿宋_GB2312" w:hAnsi="仿宋_GB2312" w:eastAsia="仿宋_GB2312" w:cs="仿宋_GB2312"/>
          <w:color w:val="auto"/>
          <w:spacing w:val="-6"/>
          <w:kern w:val="0"/>
          <w:sz w:val="32"/>
          <w:szCs w:val="32"/>
          <w:highlight w:val="none"/>
          <w:lang w:eastAsia="zh-CN"/>
        </w:rPr>
        <w:t>基地</w:t>
      </w:r>
      <w:r>
        <w:rPr>
          <w:rFonts w:hint="eastAsia" w:ascii="仿宋_GB2312" w:hAnsi="仿宋_GB2312" w:eastAsia="仿宋_GB2312" w:cs="仿宋_GB2312"/>
          <w:color w:val="auto"/>
          <w:spacing w:val="-6"/>
          <w:kern w:val="0"/>
          <w:sz w:val="32"/>
          <w:szCs w:val="32"/>
          <w:highlight w:val="none"/>
        </w:rPr>
        <w:t>。在</w:t>
      </w:r>
      <w:r>
        <w:rPr>
          <w:rFonts w:hint="eastAsia" w:ascii="仿宋_GB2312" w:hAnsi="仿宋_GB2312" w:eastAsia="仿宋_GB2312" w:cs="仿宋_GB2312"/>
          <w:color w:val="auto"/>
          <w:spacing w:val="-6"/>
          <w:kern w:val="0"/>
          <w:sz w:val="32"/>
          <w:szCs w:val="32"/>
          <w:highlight w:val="none"/>
          <w:u w:val="none"/>
        </w:rPr>
        <w:t>符合</w:t>
      </w:r>
      <w:r>
        <w:rPr>
          <w:rFonts w:hint="eastAsia" w:ascii="仿宋_GB2312" w:hAnsi="仿宋_GB2312" w:eastAsia="仿宋_GB2312" w:cs="仿宋_GB2312"/>
          <w:color w:val="auto"/>
          <w:spacing w:val="-6"/>
          <w:kern w:val="0"/>
          <w:sz w:val="32"/>
          <w:szCs w:val="32"/>
          <w:highlight w:val="none"/>
          <w:u w:val="none"/>
          <w:lang w:val="en-US" w:eastAsia="zh-CN"/>
        </w:rPr>
        <w:t>控制性</w:t>
      </w:r>
      <w:r>
        <w:rPr>
          <w:rFonts w:hint="eastAsia" w:ascii="仿宋_GB2312" w:hAnsi="仿宋_GB2312" w:eastAsia="仿宋_GB2312" w:cs="仿宋_GB2312"/>
          <w:color w:val="auto"/>
          <w:spacing w:val="-6"/>
          <w:kern w:val="0"/>
          <w:sz w:val="32"/>
          <w:szCs w:val="32"/>
          <w:highlight w:val="none"/>
          <w:u w:val="none"/>
        </w:rPr>
        <w:t>详细规划</w:t>
      </w:r>
      <w:r>
        <w:rPr>
          <w:rFonts w:hint="eastAsia" w:ascii="仿宋_GB2312" w:hAnsi="仿宋_GB2312" w:eastAsia="仿宋_GB2312" w:cs="仿宋_GB2312"/>
          <w:color w:val="auto"/>
          <w:spacing w:val="-6"/>
          <w:kern w:val="0"/>
          <w:sz w:val="32"/>
          <w:szCs w:val="32"/>
          <w:highlight w:val="none"/>
        </w:rPr>
        <w:t>的基础上，容积率不小于</w:t>
      </w:r>
      <w:r>
        <w:rPr>
          <w:rFonts w:hint="eastAsia" w:ascii="Times New Roman" w:hAnsi="Times New Roman" w:eastAsia="仿宋_GB2312" w:cs="Times New Roman"/>
          <w:color w:val="auto"/>
          <w:spacing w:val="-6"/>
          <w:sz w:val="32"/>
          <w:szCs w:val="32"/>
          <w:lang w:val="en-US" w:eastAsia="zh-CN"/>
        </w:rPr>
        <w:t>3.4</w:t>
      </w:r>
      <w:r>
        <w:rPr>
          <w:rFonts w:hint="eastAsia" w:ascii="仿宋_GB2312" w:hAnsi="仿宋_GB2312" w:eastAsia="仿宋_GB2312" w:cs="仿宋_GB2312"/>
          <w:color w:val="auto"/>
          <w:spacing w:val="-6"/>
          <w:kern w:val="0"/>
          <w:sz w:val="32"/>
          <w:szCs w:val="32"/>
          <w:highlight w:val="none"/>
        </w:rPr>
        <w:t>，总建筑面积不小于</w:t>
      </w:r>
      <w:r>
        <w:rPr>
          <w:rFonts w:hint="eastAsia" w:ascii="Times New Roman" w:hAnsi="Times New Roman" w:eastAsia="仿宋_GB2312" w:cs="Times New Roman"/>
          <w:color w:val="auto"/>
          <w:spacing w:val="-6"/>
          <w:sz w:val="32"/>
          <w:szCs w:val="32"/>
          <w:lang w:val="en-US" w:eastAsia="zh-CN"/>
        </w:rPr>
        <w:t>101998.98</w:t>
      </w:r>
      <w:r>
        <w:rPr>
          <w:rFonts w:hint="eastAsia" w:ascii="仿宋_GB2312" w:hAnsi="仿宋_GB2312" w:eastAsia="仿宋_GB2312" w:cs="仿宋_GB2312"/>
          <w:color w:val="auto"/>
          <w:spacing w:val="-6"/>
          <w:kern w:val="0"/>
          <w:sz w:val="32"/>
          <w:szCs w:val="32"/>
          <w:highlight w:val="none"/>
        </w:rPr>
        <w:t>平方米</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lang w:val="en-US" w:eastAsia="zh-CN"/>
        </w:rPr>
        <w:t>不含不计容建筑面积</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rPr>
        <w:t>，其中新建建筑面积不小于</w:t>
      </w:r>
      <w:r>
        <w:rPr>
          <w:rFonts w:hint="eastAsia" w:ascii="Times New Roman" w:hAnsi="Times New Roman" w:eastAsia="仿宋_GB2312" w:cs="Times New Roman"/>
          <w:color w:val="auto"/>
          <w:spacing w:val="-6"/>
          <w:sz w:val="32"/>
          <w:szCs w:val="32"/>
          <w:lang w:val="en-US" w:eastAsia="zh-CN"/>
        </w:rPr>
        <w:t>59841.96</w:t>
      </w:r>
      <w:r>
        <w:rPr>
          <w:rFonts w:hint="eastAsia" w:ascii="仿宋_GB2312" w:hAnsi="仿宋_GB2312" w:eastAsia="仿宋_GB2312" w:cs="仿宋_GB2312"/>
          <w:color w:val="auto"/>
          <w:spacing w:val="-6"/>
          <w:kern w:val="0"/>
          <w:sz w:val="32"/>
          <w:szCs w:val="32"/>
          <w:highlight w:val="none"/>
        </w:rPr>
        <w:t>平方米</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lang w:val="en-US" w:eastAsia="zh-CN"/>
        </w:rPr>
        <w:t>不含不计容建筑面积</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rPr>
        <w:t>，</w:t>
      </w:r>
      <w:r>
        <w:rPr>
          <w:rFonts w:ascii="仿宋" w:hAnsi="仿宋" w:eastAsia="仿宋" w:cs="仿宋"/>
          <w:color w:val="auto"/>
          <w:spacing w:val="-158"/>
          <w:sz w:val="32"/>
          <w:szCs w:val="32"/>
          <w:highlight w:val="none"/>
        </w:rPr>
        <w:t xml:space="preserve"> </w:t>
      </w:r>
      <w:r>
        <w:rPr>
          <w:rFonts w:hint="eastAsia" w:ascii="仿宋" w:hAnsi="仿宋" w:eastAsia="仿宋" w:cs="仿宋"/>
          <w:color w:val="auto"/>
          <w:spacing w:val="-15"/>
          <w:sz w:val="32"/>
          <w:szCs w:val="32"/>
          <w:highlight w:val="none"/>
        </w:rPr>
        <w:t>保留建筑面积</w:t>
      </w:r>
      <w:r>
        <w:rPr>
          <w:rFonts w:hint="eastAsia" w:ascii="Times New Roman" w:hAnsi="Times New Roman" w:eastAsia="仿宋_GB2312" w:cs="Times New Roman"/>
          <w:color w:val="auto"/>
          <w:spacing w:val="-6"/>
          <w:sz w:val="32"/>
          <w:szCs w:val="32"/>
          <w:lang w:val="en-US" w:eastAsia="zh-CN"/>
        </w:rPr>
        <w:t>51267.25</w:t>
      </w:r>
      <w:r>
        <w:rPr>
          <w:rFonts w:hint="eastAsia" w:ascii="仿宋" w:hAnsi="仿宋" w:eastAsia="仿宋" w:cs="仿宋"/>
          <w:color w:val="auto"/>
          <w:spacing w:val="-15"/>
          <w:sz w:val="32"/>
          <w:szCs w:val="32"/>
          <w:highlight w:val="none"/>
        </w:rPr>
        <w:t>平方米（含不计容面积</w:t>
      </w:r>
      <w:r>
        <w:rPr>
          <w:rFonts w:hint="eastAsia" w:ascii="Times New Roman" w:hAnsi="Times New Roman" w:eastAsia="仿宋_GB2312" w:cs="Times New Roman"/>
          <w:color w:val="auto"/>
          <w:spacing w:val="-6"/>
          <w:sz w:val="32"/>
          <w:szCs w:val="32"/>
          <w:lang w:val="en-US" w:eastAsia="zh-CN"/>
        </w:rPr>
        <w:t>9110.23</w:t>
      </w:r>
      <w:r>
        <w:rPr>
          <w:rFonts w:hint="eastAsia" w:ascii="仿宋" w:hAnsi="仿宋" w:eastAsia="仿宋" w:cs="仿宋"/>
          <w:color w:val="auto"/>
          <w:spacing w:val="-15"/>
          <w:sz w:val="32"/>
          <w:szCs w:val="32"/>
          <w:highlight w:val="none"/>
        </w:rPr>
        <w:t>平方米）</w:t>
      </w:r>
      <w:r>
        <w:rPr>
          <w:rFonts w:hint="eastAsia" w:ascii="仿宋_GB2312" w:hAnsi="仿宋_GB2312" w:eastAsia="仿宋_GB2312" w:cs="仿宋_GB2312"/>
          <w:color w:val="auto"/>
          <w:spacing w:val="-6"/>
          <w:kern w:val="0"/>
          <w:sz w:val="32"/>
          <w:szCs w:val="32"/>
          <w:highlight w:val="none"/>
        </w:rPr>
        <w:t>。</w:t>
      </w:r>
    </w:p>
    <w:p>
      <w:pPr>
        <w:spacing w:line="574" w:lineRule="exact"/>
        <w:ind w:firstLine="616" w:firstLineChars="200"/>
        <w:rPr>
          <w:rFonts w:hint="eastAsia"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改造后引入项目相关情况符合国家《《产业结构调整指导目录》、</w:t>
      </w:r>
      <w:r>
        <w:rPr>
          <w:rFonts w:hint="eastAsia" w:ascii="仿宋_GB2312" w:hAnsi="仿宋_GB2312" w:eastAsia="仿宋_GB2312" w:cs="仿宋_GB2312"/>
          <w:color w:val="auto"/>
          <w:spacing w:val="-6"/>
          <w:sz w:val="32"/>
          <w:szCs w:val="32"/>
          <w:highlight w:val="none"/>
        </w:rPr>
        <w:t>《中山市“三线一单”生态环境分区管控方案》</w:t>
      </w:r>
      <w:r>
        <w:rPr>
          <w:rFonts w:hint="eastAsia" w:ascii="仿宋_GB2312" w:hAnsi="仿宋_GB2312" w:eastAsia="仿宋_GB2312" w:cs="仿宋_GB2312"/>
          <w:color w:val="auto"/>
          <w:spacing w:val="-6"/>
          <w:kern w:val="0"/>
          <w:sz w:val="32"/>
          <w:szCs w:val="32"/>
          <w:highlight w:val="none"/>
        </w:rPr>
        <w:t>、《中山市涉挥发性有机物项目环保管理规定》。改造后</w:t>
      </w:r>
      <w:r>
        <w:rPr>
          <w:rFonts w:hint="eastAsia" w:ascii="仿宋_GB2312" w:hAnsi="仿宋_GB2312" w:eastAsia="仿宋_GB2312" w:cs="仿宋_GB2312"/>
          <w:color w:val="auto"/>
          <w:spacing w:val="-6"/>
          <w:kern w:val="0"/>
          <w:sz w:val="32"/>
          <w:szCs w:val="32"/>
          <w:highlight w:val="none"/>
          <w:lang w:val="en-US" w:eastAsia="zh-CN"/>
        </w:rPr>
        <w:t>总</w:t>
      </w:r>
      <w:r>
        <w:rPr>
          <w:rFonts w:hint="eastAsia" w:ascii="仿宋_GB2312" w:hAnsi="仿宋_GB2312" w:eastAsia="仿宋_GB2312" w:cs="仿宋_GB2312"/>
          <w:color w:val="auto"/>
          <w:spacing w:val="-6"/>
          <w:kern w:val="0"/>
          <w:sz w:val="32"/>
          <w:szCs w:val="32"/>
          <w:highlight w:val="none"/>
        </w:rPr>
        <w:t>年产值将达到</w:t>
      </w:r>
      <w:r>
        <w:rPr>
          <w:rFonts w:hint="eastAsia" w:ascii="Times New Roman" w:hAnsi="Times New Roman" w:eastAsia="仿宋_GB2312" w:cs="Times New Roman"/>
          <w:color w:val="auto"/>
          <w:spacing w:val="-6"/>
          <w:sz w:val="32"/>
          <w:szCs w:val="32"/>
          <w:lang w:val="en-US" w:eastAsia="zh-CN"/>
        </w:rPr>
        <w:t>36000</w:t>
      </w:r>
      <w:r>
        <w:rPr>
          <w:rFonts w:hint="eastAsia" w:ascii="仿宋_GB2312" w:hAnsi="仿宋_GB2312" w:eastAsia="仿宋_GB2312" w:cs="仿宋_GB2312"/>
          <w:color w:val="auto"/>
          <w:spacing w:val="-6"/>
          <w:kern w:val="0"/>
          <w:sz w:val="32"/>
          <w:szCs w:val="32"/>
          <w:highlight w:val="none"/>
        </w:rPr>
        <w:t>万元</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折合</w:t>
      </w:r>
      <w:r>
        <w:rPr>
          <w:rFonts w:hint="eastAsia" w:ascii="Times New Roman" w:hAnsi="Times New Roman" w:eastAsia="仿宋_GB2312" w:cs="Times New Roman"/>
          <w:color w:val="auto"/>
          <w:spacing w:val="-6"/>
          <w:sz w:val="32"/>
          <w:szCs w:val="32"/>
          <w:lang w:val="en-US" w:eastAsia="zh-CN"/>
        </w:rPr>
        <w:t>800</w:t>
      </w:r>
      <w:r>
        <w:rPr>
          <w:rFonts w:hint="eastAsia" w:ascii="仿宋_GB2312" w:hAnsi="仿宋_GB2312" w:eastAsia="仿宋_GB2312" w:cs="仿宋_GB2312"/>
          <w:color w:val="auto"/>
          <w:spacing w:val="-6"/>
          <w:kern w:val="0"/>
          <w:sz w:val="32"/>
          <w:szCs w:val="32"/>
          <w:highlight w:val="none"/>
          <w:u w:val="none"/>
          <w:lang w:val="en-US" w:eastAsia="zh-CN"/>
        </w:rPr>
        <w:t>万/亩</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lang w:val="en-US" w:eastAsia="zh-CN"/>
        </w:rPr>
        <w:t>总</w:t>
      </w:r>
      <w:r>
        <w:rPr>
          <w:rFonts w:hint="eastAsia" w:ascii="仿宋_GB2312" w:hAnsi="仿宋_GB2312" w:eastAsia="仿宋_GB2312" w:cs="仿宋_GB2312"/>
          <w:color w:val="auto"/>
          <w:spacing w:val="-6"/>
          <w:kern w:val="0"/>
          <w:sz w:val="32"/>
          <w:szCs w:val="32"/>
          <w:highlight w:val="none"/>
        </w:rPr>
        <w:t>年税收将达到</w:t>
      </w:r>
      <w:r>
        <w:rPr>
          <w:rFonts w:hint="eastAsia" w:ascii="Times New Roman" w:hAnsi="Times New Roman" w:eastAsia="仿宋_GB2312" w:cs="Times New Roman"/>
          <w:color w:val="auto"/>
          <w:spacing w:val="-6"/>
          <w:sz w:val="32"/>
          <w:szCs w:val="32"/>
          <w:lang w:val="en-US" w:eastAsia="zh-CN"/>
        </w:rPr>
        <w:t>1350</w:t>
      </w:r>
      <w:r>
        <w:rPr>
          <w:rFonts w:hint="eastAsia" w:ascii="仿宋_GB2312" w:hAnsi="仿宋_GB2312" w:eastAsia="仿宋_GB2312" w:cs="仿宋_GB2312"/>
          <w:color w:val="auto"/>
          <w:spacing w:val="-6"/>
          <w:kern w:val="0"/>
          <w:sz w:val="32"/>
          <w:szCs w:val="32"/>
          <w:highlight w:val="none"/>
        </w:rPr>
        <w:t>万元</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折合</w:t>
      </w:r>
      <w:r>
        <w:rPr>
          <w:rFonts w:hint="eastAsia" w:ascii="Times New Roman" w:hAnsi="Times New Roman" w:eastAsia="仿宋_GB2312" w:cs="Times New Roman"/>
          <w:color w:val="auto"/>
          <w:spacing w:val="-6"/>
          <w:sz w:val="32"/>
          <w:szCs w:val="32"/>
          <w:lang w:val="en-US" w:eastAsia="zh-CN"/>
        </w:rPr>
        <w:t>30</w:t>
      </w:r>
      <w:r>
        <w:rPr>
          <w:rFonts w:hint="eastAsia" w:ascii="仿宋_GB2312" w:hAnsi="仿宋_GB2312" w:eastAsia="仿宋_GB2312" w:cs="仿宋_GB2312"/>
          <w:color w:val="auto"/>
          <w:spacing w:val="-6"/>
          <w:kern w:val="0"/>
          <w:sz w:val="32"/>
          <w:szCs w:val="32"/>
          <w:highlight w:val="none"/>
          <w:u w:val="none"/>
          <w:lang w:val="en-US" w:eastAsia="zh-CN"/>
        </w:rPr>
        <w:t>万/亩</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rPr>
        <w:t>。</w:t>
      </w:r>
    </w:p>
    <w:p>
      <w:pPr>
        <w:numPr>
          <w:ilvl w:val="0"/>
          <w:numId w:val="1"/>
        </w:numPr>
        <w:spacing w:line="574" w:lineRule="exact"/>
        <w:ind w:firstLine="616" w:firstLineChars="200"/>
        <w:rPr>
          <w:rFonts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资金筹措</w:t>
      </w:r>
    </w:p>
    <w:p>
      <w:pPr>
        <w:spacing w:line="574" w:lineRule="exact"/>
        <w:ind w:firstLine="616" w:firstLineChars="200"/>
        <w:rPr>
          <w:rFonts w:ascii="仿宋_GB2312" w:hAnsi="仿宋_GB2312" w:eastAsia="仿宋_GB2312" w:cs="仿宋_GB2312"/>
          <w:color w:val="auto"/>
          <w:spacing w:val="-6"/>
          <w:kern w:val="0"/>
          <w:sz w:val="32"/>
          <w:szCs w:val="32"/>
          <w:highlight w:val="none"/>
          <w:shd w:val="clear" w:color="auto" w:fill="auto"/>
        </w:rPr>
      </w:pPr>
      <w:r>
        <w:rPr>
          <w:rFonts w:hint="eastAsia" w:ascii="仿宋_GB2312" w:hAnsi="仿宋_GB2312" w:eastAsia="仿宋_GB2312" w:cs="仿宋_GB2312"/>
          <w:color w:val="auto"/>
          <w:spacing w:val="-6"/>
          <w:kern w:val="0"/>
          <w:sz w:val="32"/>
          <w:szCs w:val="32"/>
          <w:highlight w:val="none"/>
          <w:shd w:val="clear" w:color="auto" w:fill="auto"/>
        </w:rPr>
        <w:t>项目改造成本为</w:t>
      </w:r>
      <w:r>
        <w:rPr>
          <w:rFonts w:hint="eastAsia" w:ascii="Times New Roman" w:hAnsi="Times New Roman" w:eastAsia="仿宋_GB2312" w:cs="Times New Roman"/>
          <w:color w:val="auto"/>
          <w:spacing w:val="-6"/>
          <w:sz w:val="32"/>
          <w:szCs w:val="32"/>
          <w:shd w:val="clear" w:color="auto" w:fill="auto"/>
          <w:lang w:val="en-US" w:eastAsia="zh-CN"/>
        </w:rPr>
        <w:t>10476</w:t>
      </w:r>
      <w:r>
        <w:rPr>
          <w:rFonts w:hint="eastAsia" w:ascii="仿宋_GB2312" w:hAnsi="仿宋_GB2312" w:eastAsia="仿宋_GB2312" w:cs="仿宋_GB2312"/>
          <w:color w:val="auto"/>
          <w:spacing w:val="-6"/>
          <w:kern w:val="0"/>
          <w:sz w:val="32"/>
          <w:szCs w:val="32"/>
          <w:highlight w:val="none"/>
          <w:shd w:val="clear" w:color="auto" w:fill="auto"/>
        </w:rPr>
        <w:t>万元，由改造主体拟投入资金为</w:t>
      </w:r>
      <w:r>
        <w:rPr>
          <w:rFonts w:hint="eastAsia" w:ascii="Times New Roman" w:hAnsi="Times New Roman" w:eastAsia="仿宋_GB2312" w:cs="Times New Roman"/>
          <w:color w:val="auto"/>
          <w:spacing w:val="-6"/>
          <w:sz w:val="32"/>
          <w:szCs w:val="32"/>
          <w:shd w:val="clear" w:color="auto" w:fill="auto"/>
          <w:lang w:val="en-US" w:eastAsia="zh-CN"/>
        </w:rPr>
        <w:t>10476</w:t>
      </w:r>
      <w:r>
        <w:rPr>
          <w:rFonts w:hint="eastAsia" w:ascii="仿宋_GB2312" w:hAnsi="仿宋_GB2312" w:eastAsia="仿宋_GB2312" w:cs="仿宋_GB2312"/>
          <w:color w:val="auto"/>
          <w:spacing w:val="-6"/>
          <w:kern w:val="0"/>
          <w:sz w:val="32"/>
          <w:szCs w:val="32"/>
          <w:highlight w:val="none"/>
          <w:shd w:val="clear" w:color="auto" w:fill="auto"/>
        </w:rPr>
        <w:t>万元，其中自有资金</w:t>
      </w:r>
      <w:r>
        <w:rPr>
          <w:rFonts w:hint="eastAsia" w:ascii="Times New Roman" w:hAnsi="Times New Roman" w:eastAsia="仿宋_GB2312" w:cs="Times New Roman"/>
          <w:color w:val="auto"/>
          <w:spacing w:val="-6"/>
          <w:sz w:val="32"/>
          <w:szCs w:val="32"/>
          <w:shd w:val="clear" w:color="auto" w:fill="auto"/>
          <w:lang w:val="en-US" w:eastAsia="zh-CN"/>
        </w:rPr>
        <w:t>5476</w:t>
      </w:r>
      <w:r>
        <w:rPr>
          <w:rFonts w:hint="eastAsia" w:ascii="仿宋_GB2312" w:hAnsi="仿宋_GB2312" w:eastAsia="仿宋_GB2312" w:cs="仿宋_GB2312"/>
          <w:color w:val="auto"/>
          <w:spacing w:val="-6"/>
          <w:kern w:val="0"/>
          <w:sz w:val="32"/>
          <w:szCs w:val="32"/>
          <w:highlight w:val="none"/>
          <w:shd w:val="clear" w:color="auto" w:fill="auto"/>
        </w:rPr>
        <w:t>万元</w:t>
      </w:r>
      <w:r>
        <w:rPr>
          <w:rFonts w:hint="eastAsia" w:ascii="仿宋_GB2312" w:hAnsi="仿宋_GB2312" w:eastAsia="仿宋_GB2312" w:cs="仿宋_GB2312"/>
          <w:color w:val="auto"/>
          <w:spacing w:val="-6"/>
          <w:kern w:val="0"/>
          <w:sz w:val="32"/>
          <w:szCs w:val="32"/>
          <w:highlight w:val="none"/>
          <w:shd w:val="clear" w:color="auto" w:fill="auto"/>
          <w:lang w:eastAsia="zh-CN"/>
        </w:rPr>
        <w:t>，银行融资</w:t>
      </w:r>
      <w:r>
        <w:rPr>
          <w:rFonts w:hint="eastAsia" w:ascii="Times New Roman" w:hAnsi="Times New Roman" w:eastAsia="仿宋_GB2312" w:cs="Times New Roman"/>
          <w:color w:val="auto"/>
          <w:spacing w:val="-6"/>
          <w:sz w:val="32"/>
          <w:szCs w:val="32"/>
          <w:shd w:val="clear" w:color="auto" w:fill="auto"/>
          <w:lang w:val="en-US" w:eastAsia="zh-CN"/>
        </w:rPr>
        <w:t>5000</w:t>
      </w:r>
      <w:r>
        <w:rPr>
          <w:rFonts w:hint="eastAsia" w:ascii="仿宋_GB2312" w:hAnsi="仿宋_GB2312" w:eastAsia="仿宋_GB2312" w:cs="仿宋_GB2312"/>
          <w:color w:val="auto"/>
          <w:spacing w:val="-6"/>
          <w:kern w:val="0"/>
          <w:sz w:val="32"/>
          <w:szCs w:val="32"/>
          <w:highlight w:val="none"/>
          <w:shd w:val="clear" w:color="auto" w:fill="auto"/>
          <w:lang w:val="en-US" w:eastAsia="zh-CN"/>
        </w:rPr>
        <w:t>万元</w:t>
      </w:r>
      <w:r>
        <w:rPr>
          <w:rFonts w:hint="eastAsia" w:ascii="仿宋_GB2312" w:hAnsi="仿宋_GB2312" w:eastAsia="仿宋_GB2312" w:cs="仿宋_GB2312"/>
          <w:color w:val="auto"/>
          <w:spacing w:val="-6"/>
          <w:kern w:val="0"/>
          <w:sz w:val="32"/>
          <w:szCs w:val="32"/>
          <w:highlight w:val="none"/>
          <w:shd w:val="clear" w:color="auto" w:fill="auto"/>
        </w:rPr>
        <w:t>。</w:t>
      </w:r>
    </w:p>
    <w:p>
      <w:pPr>
        <w:numPr>
          <w:ilvl w:val="0"/>
          <w:numId w:val="1"/>
        </w:numPr>
        <w:spacing w:line="574" w:lineRule="exact"/>
        <w:ind w:firstLine="616" w:firstLineChars="200"/>
        <w:rPr>
          <w:rFonts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开发时序</w:t>
      </w:r>
    </w:p>
    <w:p>
      <w:pPr>
        <w:spacing w:line="574" w:lineRule="exact"/>
        <w:ind w:firstLine="616" w:firstLineChars="200"/>
        <w:rPr>
          <w:rFonts w:hint="eastAsia" w:ascii="仿宋_GB2312" w:hAnsi="仿宋_GB2312" w:eastAsia="仿宋_GB2312" w:cs="仿宋_GB2312"/>
          <w:color w:val="auto"/>
          <w:spacing w:val="-6"/>
          <w:kern w:val="0"/>
          <w:sz w:val="32"/>
          <w:szCs w:val="32"/>
          <w:highlight w:val="none"/>
          <w:shd w:val="clear" w:color="auto" w:fill="auto"/>
        </w:rPr>
      </w:pPr>
      <w:r>
        <w:rPr>
          <w:rFonts w:hint="eastAsia" w:ascii="仿宋_GB2312" w:hAnsi="仿宋_GB2312" w:eastAsia="仿宋_GB2312" w:cs="仿宋_GB2312"/>
          <w:color w:val="auto"/>
          <w:spacing w:val="-6"/>
          <w:kern w:val="0"/>
          <w:sz w:val="32"/>
          <w:szCs w:val="32"/>
          <w:highlight w:val="none"/>
          <w:shd w:val="clear" w:color="auto" w:fill="auto"/>
        </w:rPr>
        <w:t>项目开发周期为</w:t>
      </w:r>
      <w:r>
        <w:rPr>
          <w:rFonts w:hint="eastAsia" w:ascii="Times New Roman" w:hAnsi="Times New Roman" w:eastAsia="仿宋_GB2312" w:cs="Times New Roman"/>
          <w:color w:val="auto"/>
          <w:spacing w:val="-6"/>
          <w:sz w:val="32"/>
          <w:szCs w:val="32"/>
          <w:shd w:val="clear" w:color="auto" w:fill="auto"/>
          <w:lang w:val="en-US" w:eastAsia="zh-CN"/>
        </w:rPr>
        <w:t>3</w:t>
      </w:r>
      <w:r>
        <w:rPr>
          <w:rFonts w:hint="eastAsia" w:ascii="仿宋_GB2312" w:hAnsi="仿宋_GB2312" w:eastAsia="仿宋_GB2312" w:cs="仿宋_GB2312"/>
          <w:color w:val="auto"/>
          <w:spacing w:val="-6"/>
          <w:kern w:val="0"/>
          <w:sz w:val="32"/>
          <w:szCs w:val="32"/>
          <w:highlight w:val="none"/>
          <w:shd w:val="clear" w:color="auto" w:fill="auto"/>
        </w:rPr>
        <w:t>年，</w:t>
      </w:r>
      <w:r>
        <w:rPr>
          <w:rFonts w:hint="eastAsia" w:ascii="仿宋_GB2312" w:hAnsi="仿宋_GB2312" w:eastAsia="仿宋_GB2312" w:cs="仿宋_GB2312"/>
          <w:color w:val="auto"/>
          <w:spacing w:val="-6"/>
          <w:kern w:val="0"/>
          <w:sz w:val="32"/>
          <w:szCs w:val="32"/>
          <w:highlight w:val="none"/>
          <w:shd w:val="clear" w:color="auto" w:fill="auto"/>
          <w:lang w:val="en-US" w:eastAsia="zh-CN"/>
        </w:rPr>
        <w:t>自方案批复之日起180日内开工建设，自开工之日起1095日内竣工，</w:t>
      </w:r>
      <w:r>
        <w:rPr>
          <w:rFonts w:hint="eastAsia" w:ascii="仿宋_GB2312" w:hAnsi="仿宋_GB2312" w:eastAsia="仿宋_GB2312" w:cs="仿宋_GB2312"/>
          <w:color w:val="auto"/>
          <w:spacing w:val="-6"/>
          <w:kern w:val="0"/>
          <w:sz w:val="32"/>
          <w:szCs w:val="32"/>
          <w:highlight w:val="none"/>
          <w:shd w:val="clear" w:color="auto" w:fill="auto"/>
        </w:rPr>
        <w:t>主要实施</w:t>
      </w:r>
      <w:r>
        <w:rPr>
          <w:rFonts w:hint="eastAsia" w:ascii="仿宋_GB2312" w:hAnsi="仿宋_GB2312" w:eastAsia="仿宋_GB2312" w:cs="仿宋_GB2312"/>
          <w:color w:val="auto"/>
          <w:spacing w:val="-6"/>
          <w:kern w:val="0"/>
          <w:sz w:val="32"/>
          <w:szCs w:val="32"/>
          <w:highlight w:val="none"/>
          <w:shd w:val="clear" w:color="auto" w:fill="auto"/>
          <w:lang w:val="en-US" w:eastAsia="zh-CN"/>
        </w:rPr>
        <w:t>建设</w:t>
      </w:r>
      <w:r>
        <w:rPr>
          <w:rFonts w:hint="eastAsia" w:ascii="仿宋_GB2312" w:hAnsi="仿宋_GB2312" w:eastAsia="仿宋_GB2312" w:cs="仿宋_GB2312"/>
          <w:color w:val="auto"/>
          <w:spacing w:val="-6"/>
          <w:kern w:val="0"/>
          <w:sz w:val="32"/>
          <w:szCs w:val="32"/>
          <w:highlight w:val="none"/>
          <w:shd w:val="clear" w:color="auto" w:fill="auto"/>
        </w:rPr>
        <w:t>工业厂房和配套设施。</w:t>
      </w:r>
      <w:bookmarkStart w:id="0" w:name="_GoBack"/>
      <w:bookmarkEnd w:id="0"/>
    </w:p>
    <w:p>
      <w:pPr>
        <w:numPr>
          <w:ilvl w:val="0"/>
          <w:numId w:val="1"/>
        </w:numPr>
        <w:spacing w:line="574" w:lineRule="exact"/>
        <w:ind w:firstLine="616" w:firstLineChars="200"/>
        <w:rPr>
          <w:rFonts w:hint="eastAsia"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实施监管</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color w:val="auto"/>
        </w:rPr>
      </w:pPr>
      <w:r>
        <w:rPr>
          <w:rFonts w:hint="eastAsia" w:ascii="仿宋_GB2312" w:hAnsi="仿宋_GB2312" w:eastAsia="仿宋_GB2312" w:cs="仿宋_GB2312"/>
          <w:color w:val="auto"/>
          <w:spacing w:val="-6"/>
          <w:kern w:val="0"/>
          <w:sz w:val="32"/>
          <w:szCs w:val="32"/>
          <w:u w:val="none"/>
          <w:lang w:val="en-US" w:eastAsia="zh-CN"/>
        </w:rPr>
        <w:t>详见项目实施</w:t>
      </w:r>
      <w:r>
        <w:rPr>
          <w:rFonts w:hint="eastAsia" w:ascii="仿宋_GB2312" w:hAnsi="仿宋_GB2312" w:eastAsia="仿宋_GB2312" w:cs="仿宋_GB2312"/>
          <w:color w:val="auto"/>
          <w:spacing w:val="-6"/>
          <w:kern w:val="0"/>
          <w:sz w:val="32"/>
          <w:szCs w:val="32"/>
          <w:u w:val="none"/>
        </w:rPr>
        <w:t>监管</w:t>
      </w:r>
      <w:r>
        <w:rPr>
          <w:rFonts w:hint="eastAsia" w:ascii="仿宋_GB2312" w:hAnsi="仿宋_GB2312" w:eastAsia="仿宋_GB2312" w:cs="仿宋_GB2312"/>
          <w:color w:val="auto"/>
          <w:spacing w:val="-6"/>
          <w:kern w:val="0"/>
          <w:sz w:val="32"/>
          <w:szCs w:val="32"/>
          <w:u w:val="none"/>
          <w:lang w:val="en-US" w:eastAsia="zh-CN"/>
        </w:rPr>
        <w:t>协议</w:t>
      </w:r>
      <w:r>
        <w:rPr>
          <w:rFonts w:hint="eastAsia" w:ascii="仿宋_GB2312" w:hAnsi="仿宋_GB2312" w:eastAsia="仿宋_GB2312" w:cs="仿宋_GB2312"/>
          <w:color w:val="auto"/>
          <w:spacing w:val="-6"/>
          <w:kern w:val="0"/>
          <w:sz w:val="32"/>
          <w:szCs w:val="32"/>
          <w:u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AD6"/>
    <w:multiLevelType w:val="singleLevel"/>
    <w:tmpl w:val="61CA8AD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ZGE0MTM5YTQxOGE3ZWM0NDVmOWMyNGU2YjY2ZWQifQ=="/>
  </w:docVars>
  <w:rsids>
    <w:rsidRoot w:val="001E78B0"/>
    <w:rsid w:val="000014B0"/>
    <w:rsid w:val="00033740"/>
    <w:rsid w:val="00035F31"/>
    <w:rsid w:val="00046897"/>
    <w:rsid w:val="000A12D9"/>
    <w:rsid w:val="000D418E"/>
    <w:rsid w:val="0019404A"/>
    <w:rsid w:val="001E78B0"/>
    <w:rsid w:val="002303DF"/>
    <w:rsid w:val="00291C7E"/>
    <w:rsid w:val="002F6D0C"/>
    <w:rsid w:val="00306083"/>
    <w:rsid w:val="00341766"/>
    <w:rsid w:val="0034455A"/>
    <w:rsid w:val="00384CA6"/>
    <w:rsid w:val="004948DC"/>
    <w:rsid w:val="004A710F"/>
    <w:rsid w:val="004C635F"/>
    <w:rsid w:val="004D32FB"/>
    <w:rsid w:val="004D554B"/>
    <w:rsid w:val="004E4ACF"/>
    <w:rsid w:val="00552C48"/>
    <w:rsid w:val="00593D2D"/>
    <w:rsid w:val="005A33F2"/>
    <w:rsid w:val="00600E0F"/>
    <w:rsid w:val="00634581"/>
    <w:rsid w:val="00762E87"/>
    <w:rsid w:val="00763CE5"/>
    <w:rsid w:val="007A1272"/>
    <w:rsid w:val="007A2FCC"/>
    <w:rsid w:val="007C22E5"/>
    <w:rsid w:val="00816ECC"/>
    <w:rsid w:val="00821228"/>
    <w:rsid w:val="008608E8"/>
    <w:rsid w:val="008F4C7F"/>
    <w:rsid w:val="00900756"/>
    <w:rsid w:val="0090771C"/>
    <w:rsid w:val="00930D71"/>
    <w:rsid w:val="00934CC6"/>
    <w:rsid w:val="009428CB"/>
    <w:rsid w:val="00983F47"/>
    <w:rsid w:val="0098660F"/>
    <w:rsid w:val="009A55B8"/>
    <w:rsid w:val="009B684A"/>
    <w:rsid w:val="009E6C14"/>
    <w:rsid w:val="00A15CD0"/>
    <w:rsid w:val="00A36BA7"/>
    <w:rsid w:val="00A6510A"/>
    <w:rsid w:val="00AD1112"/>
    <w:rsid w:val="00AF2453"/>
    <w:rsid w:val="00B75FAF"/>
    <w:rsid w:val="00B81142"/>
    <w:rsid w:val="00BC0C4D"/>
    <w:rsid w:val="00BD1F5E"/>
    <w:rsid w:val="00BD21E7"/>
    <w:rsid w:val="00C046D1"/>
    <w:rsid w:val="00C62386"/>
    <w:rsid w:val="00C96277"/>
    <w:rsid w:val="00CB2EDE"/>
    <w:rsid w:val="00D1442A"/>
    <w:rsid w:val="00D2445A"/>
    <w:rsid w:val="00D27E27"/>
    <w:rsid w:val="00D412CB"/>
    <w:rsid w:val="00D56552"/>
    <w:rsid w:val="00D72683"/>
    <w:rsid w:val="00DD6FDC"/>
    <w:rsid w:val="00DE21C4"/>
    <w:rsid w:val="00DE4F85"/>
    <w:rsid w:val="00DF1A5C"/>
    <w:rsid w:val="00E17EEB"/>
    <w:rsid w:val="00E30A38"/>
    <w:rsid w:val="00E82338"/>
    <w:rsid w:val="00F247E0"/>
    <w:rsid w:val="00F33FCF"/>
    <w:rsid w:val="00F84291"/>
    <w:rsid w:val="00FD2EF6"/>
    <w:rsid w:val="01506711"/>
    <w:rsid w:val="01791857"/>
    <w:rsid w:val="01D8681F"/>
    <w:rsid w:val="02904F8B"/>
    <w:rsid w:val="04D81F8C"/>
    <w:rsid w:val="0A7B3657"/>
    <w:rsid w:val="0E2205D9"/>
    <w:rsid w:val="0ED1492D"/>
    <w:rsid w:val="1090122E"/>
    <w:rsid w:val="10906081"/>
    <w:rsid w:val="115C5DB9"/>
    <w:rsid w:val="12442A85"/>
    <w:rsid w:val="13AC21A3"/>
    <w:rsid w:val="141F5007"/>
    <w:rsid w:val="15221FA7"/>
    <w:rsid w:val="17137B51"/>
    <w:rsid w:val="1C222755"/>
    <w:rsid w:val="228D03A4"/>
    <w:rsid w:val="250E205A"/>
    <w:rsid w:val="2B347537"/>
    <w:rsid w:val="2C156FDF"/>
    <w:rsid w:val="33B27909"/>
    <w:rsid w:val="37621C27"/>
    <w:rsid w:val="38664826"/>
    <w:rsid w:val="389353CC"/>
    <w:rsid w:val="39D26896"/>
    <w:rsid w:val="3EBA4A02"/>
    <w:rsid w:val="3F1A6908"/>
    <w:rsid w:val="40104C12"/>
    <w:rsid w:val="418E749F"/>
    <w:rsid w:val="494716AB"/>
    <w:rsid w:val="497E4C63"/>
    <w:rsid w:val="4A8B2496"/>
    <w:rsid w:val="4AFC3310"/>
    <w:rsid w:val="4BD439DA"/>
    <w:rsid w:val="4F507393"/>
    <w:rsid w:val="4FBC5511"/>
    <w:rsid w:val="51D72E39"/>
    <w:rsid w:val="59316984"/>
    <w:rsid w:val="5A5B6F06"/>
    <w:rsid w:val="5B503C76"/>
    <w:rsid w:val="5C3048D4"/>
    <w:rsid w:val="5D0D454F"/>
    <w:rsid w:val="5DBF0C9C"/>
    <w:rsid w:val="5F0F7150"/>
    <w:rsid w:val="5FF76CBC"/>
    <w:rsid w:val="62EE1F3C"/>
    <w:rsid w:val="64080E3E"/>
    <w:rsid w:val="6540249B"/>
    <w:rsid w:val="65952871"/>
    <w:rsid w:val="66EA4EED"/>
    <w:rsid w:val="696C63B8"/>
    <w:rsid w:val="6DBC7CCC"/>
    <w:rsid w:val="70436D1B"/>
    <w:rsid w:val="70FA7F2E"/>
    <w:rsid w:val="725364A2"/>
    <w:rsid w:val="725C3377"/>
    <w:rsid w:val="72951502"/>
    <w:rsid w:val="74AE1F4E"/>
    <w:rsid w:val="75684B0B"/>
    <w:rsid w:val="764F0EE7"/>
    <w:rsid w:val="78747CA5"/>
    <w:rsid w:val="79217D0A"/>
    <w:rsid w:val="7B837EAF"/>
    <w:rsid w:val="7DA9346F"/>
    <w:rsid w:val="7E4C7F74"/>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line="560" w:lineRule="exact"/>
      <w:outlineLvl w:val="1"/>
    </w:pPr>
    <w:rPr>
      <w:rFonts w:ascii="Arial" w:hAnsi="Arial" w:eastAsia="黑体"/>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4">
    <w:name w:val="toa heading"/>
    <w:basedOn w:val="1"/>
    <w:next w:val="1"/>
    <w:qFormat/>
    <w:uiPriority w:val="0"/>
    <w:pPr>
      <w:widowControl/>
      <w:spacing w:before="120" w:after="100" w:afterAutospacing="1"/>
    </w:pPr>
    <w:rPr>
      <w:rFonts w:ascii="Arial" w:hAnsi="Arial" w:eastAsia="宋体" w:cs="Arial"/>
      <w:sz w:val="24"/>
      <w:szCs w:val="24"/>
      <w:lang w:bidi="gu-IN"/>
    </w:rPr>
  </w:style>
  <w:style w:type="paragraph" w:styleId="5">
    <w:name w:val="annotation text"/>
    <w:basedOn w:val="1"/>
    <w:semiHidden/>
    <w:unhideWhenUsed/>
    <w:qFormat/>
    <w:uiPriority w:val="99"/>
    <w:pPr>
      <w:jc w:val="left"/>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7"/>
    <w:qFormat/>
    <w:uiPriority w:val="99"/>
    <w:rPr>
      <w:rFonts w:ascii="Calibri" w:hAnsi="Calibri" w:eastAsia="宋体" w:cs="Times New Roman"/>
      <w:sz w:val="18"/>
      <w:szCs w:val="18"/>
    </w:rPr>
  </w:style>
  <w:style w:type="character" w:customStyle="1" w:styleId="12">
    <w:name w:val="页脚 字符"/>
    <w:basedOn w:val="9"/>
    <w:link w:val="6"/>
    <w:qFormat/>
    <w:uiPriority w:val="99"/>
    <w:rPr>
      <w:rFonts w:ascii="Calibri" w:hAnsi="Calibri" w:eastAsia="宋体" w:cs="Times New Roman"/>
      <w:sz w:val="18"/>
      <w:szCs w:val="18"/>
    </w:rPr>
  </w:style>
  <w:style w:type="paragraph" w:customStyle="1" w:styleId="13">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276</Words>
  <Characters>1576</Characters>
  <Lines>13</Lines>
  <Paragraphs>3</Paragraphs>
  <TotalTime>1</TotalTime>
  <ScaleCrop>false</ScaleCrop>
  <LinksUpToDate>false</LinksUpToDate>
  <CharactersWithSpaces>1849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2022-10-21T08:30:00Z</dcterms:created>
  <dc:creator>Administrator</dc:creator>
  <cp:lastModifiedBy>Administrator</cp:lastModifiedBy>
  <cp:lastPrinted>2022-12-27T07:07:00Z</cp:lastPrinted>
  <dcterms:modified xsi:type="dcterms:W3CDTF">2024-06-17T00:41:10Z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A3DDE0D33F014C1C8DA85505DD11BA72_13</vt:lpwstr>
  </property>
</Properties>
</file>