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三乡镇华鹰智造生产基地“工改工”</w:t>
      </w:r>
    </w:p>
    <w:p>
      <w:pPr>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宗地项目“三旧”改造方案</w:t>
      </w:r>
    </w:p>
    <w:p>
      <w:pPr>
        <w:jc w:val="center"/>
        <w:rPr>
          <w:rFonts w:ascii="方正小标宋简体" w:hAnsi="方正小标宋简体" w:eastAsia="方正小标宋简体" w:cs="方正小标宋简体"/>
          <w:spacing w:val="-6"/>
          <w:sz w:val="44"/>
          <w:szCs w:val="44"/>
        </w:rPr>
      </w:pPr>
    </w:p>
    <w:p>
      <w:pPr>
        <w:widowControl/>
        <w:ind w:firstLine="640"/>
        <w:rPr>
          <w:rFonts w:ascii="宋体" w:hAnsi="宋体" w:eastAsia="宋体" w:cs="宋体"/>
          <w:kern w:val="0"/>
          <w:sz w:val="24"/>
          <w:szCs w:val="24"/>
        </w:rPr>
      </w:pPr>
      <w:r>
        <w:rPr>
          <w:rFonts w:hint="eastAsia" w:ascii="仿宋_GB2312" w:hAnsi="仿宋_GB2312" w:eastAsia="仿宋_GB2312" w:cs="仿宋_GB2312"/>
        </w:rPr>
        <w:t>根据《中山市城市更新（“三旧”改造）专项规划（2020-2035年）》及《中山市三乡镇白水林片区(2208单元)02、06街区SXBSL04-07至04-15 地块控制性详细规划局部调整》（在编），三乡镇人民政府拟对位于南龙村珠三角环线高速两侧的李永福、李泉福地块、李琼瑜、许伟伦地块、周小慧、黄荣正、黄荣信名下2宗地块及中山市三乡镇南龙村龙井队经济合作社（下称“龙井合作社”）地块进行改造。由广东华鹰产业投资有限公司与上述私人及村集体</w:t>
      </w:r>
      <w:r>
        <w:rPr>
          <w:rFonts w:hint="eastAsia" w:eastAsia="仿宋_GB2312"/>
        </w:rPr>
        <w:t>签订搬迁补偿协议后，作为改造主体以单一主体归宗方式实施全面改造。改造方案如下：</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改造地块基本情况</w:t>
      </w:r>
    </w:p>
    <w:p>
      <w:pPr>
        <w:pStyle w:val="4"/>
        <w:ind w:left="0" w:firstLine="640" w:firstLineChars="200"/>
        <w:rPr>
          <w:b w:val="0"/>
        </w:rPr>
      </w:pPr>
      <w:r>
        <w:rPr>
          <w:rFonts w:hint="eastAsia"/>
          <w:b w:val="0"/>
        </w:rPr>
        <w:t>总体情况</w:t>
      </w:r>
    </w:p>
    <w:p>
      <w:pPr>
        <w:widowControl/>
        <w:ind w:firstLine="640"/>
        <w:rPr>
          <w:rFonts w:ascii="仿宋_GB2312" w:hAnsi="仿宋_GB2312" w:eastAsia="仿宋_GB2312" w:cs="仿宋_GB2312"/>
          <w:spacing w:val="-6"/>
          <w:szCs w:val="20"/>
        </w:rPr>
      </w:pPr>
      <w:r>
        <w:rPr>
          <w:rFonts w:hint="eastAsia" w:ascii="仿宋_GB2312" w:hAnsi="仿宋_GB2312" w:eastAsia="仿宋_GB2312" w:cs="仿宋_GB2312"/>
          <w:spacing w:val="-6"/>
          <w:szCs w:val="20"/>
        </w:rPr>
        <w:t>改造项目涉及</w:t>
      </w:r>
      <w:r>
        <w:rPr>
          <w:rFonts w:ascii="仿宋_GB2312" w:hAnsi="仿宋_GB2312" w:eastAsia="仿宋_GB2312" w:cs="仿宋_GB2312"/>
          <w:spacing w:val="-6"/>
          <w:szCs w:val="20"/>
        </w:rPr>
        <w:t>5</w:t>
      </w:r>
      <w:r>
        <w:rPr>
          <w:rFonts w:hint="eastAsia" w:ascii="仿宋_GB2312" w:hAnsi="仿宋_GB2312" w:eastAsia="仿宋_GB2312" w:cs="仿宋_GB2312"/>
          <w:spacing w:val="-6"/>
          <w:szCs w:val="20"/>
        </w:rPr>
        <w:t>宗土地，均位于三乡镇南龙村，北至泉林路，南至珠三角环线高速，西至飞龙路，东至盛龙路，总用地面积</w:t>
      </w:r>
      <w:r>
        <w:rPr>
          <w:rFonts w:ascii="仿宋_GB2312" w:hAnsi="仿宋_GB2312" w:eastAsia="仿宋_GB2312" w:cs="仿宋_GB2312"/>
          <w:spacing w:val="-6"/>
          <w:szCs w:val="20"/>
        </w:rPr>
        <w:t>2.39</w:t>
      </w:r>
      <w:r>
        <w:rPr>
          <w:rFonts w:hint="eastAsia" w:ascii="仿宋_GB2312" w:hAnsi="仿宋_GB2312" w:eastAsia="仿宋_GB2312" w:cs="仿宋_GB2312"/>
          <w:spacing w:val="-6"/>
          <w:szCs w:val="20"/>
        </w:rPr>
        <w:t>78公顷（23977.99平方米，折合约</w:t>
      </w:r>
      <w:r>
        <w:rPr>
          <w:rFonts w:ascii="仿宋_GB2312" w:hAnsi="仿宋_GB2312" w:eastAsia="仿宋_GB2312" w:cs="仿宋_GB2312"/>
          <w:spacing w:val="-6"/>
          <w:szCs w:val="20"/>
        </w:rPr>
        <w:t>35.97</w:t>
      </w:r>
      <w:r>
        <w:rPr>
          <w:rFonts w:hint="eastAsia" w:ascii="仿宋_GB2312" w:hAnsi="仿宋_GB2312" w:eastAsia="仿宋_GB2312" w:cs="仿宋_GB2312"/>
          <w:spacing w:val="-6"/>
          <w:szCs w:val="20"/>
        </w:rPr>
        <w:t>亩）。</w:t>
      </w:r>
    </w:p>
    <w:p>
      <w:pPr>
        <w:widowControl/>
        <w:ind w:firstLine="640"/>
        <w:jc w:val="center"/>
        <w:rPr>
          <w:rFonts w:ascii="仿宋_GB2312" w:hAnsi="仿宋_GB2312" w:cs="仿宋_GB2312"/>
          <w:spacing w:val="-6"/>
          <w:kern w:val="0"/>
          <w:szCs w:val="32"/>
        </w:rPr>
      </w:pPr>
      <w:r>
        <w:rPr>
          <w:rFonts w:ascii="仿宋_GB2312" w:hAnsi="仿宋_GB2312" w:cs="仿宋_GB2312"/>
          <w:spacing w:val="-6"/>
          <w:szCs w:val="32"/>
        </w:rPr>
        <w:drawing>
          <wp:anchor distT="0" distB="0" distL="114300" distR="114300" simplePos="0" relativeHeight="251660288" behindDoc="0" locked="0" layoutInCell="1" allowOverlap="1">
            <wp:simplePos x="0" y="0"/>
            <wp:positionH relativeFrom="column">
              <wp:posOffset>1102360</wp:posOffset>
            </wp:positionH>
            <wp:positionV relativeFrom="paragraph">
              <wp:posOffset>133985</wp:posOffset>
            </wp:positionV>
            <wp:extent cx="3513455" cy="5443220"/>
            <wp:effectExtent l="0" t="0" r="0" b="5080"/>
            <wp:wrapTopAndBottom/>
            <wp:docPr id="1" name="图片 1" descr="C:/Users/Administrator/Desktop/xxxx.jpgx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xxxx.jpgxxxx"/>
                    <pic:cNvPicPr>
                      <a:picLocks noChangeAspect="1" noChangeArrowheads="1"/>
                    </pic:cNvPicPr>
                  </pic:nvPicPr>
                  <pic:blipFill>
                    <a:blip r:embed="rId7"/>
                    <a:srcRect l="44" r="44"/>
                    <a:stretch>
                      <a:fillRect/>
                    </a:stretch>
                  </pic:blipFill>
                  <pic:spPr>
                    <a:xfrm>
                      <a:off x="0" y="0"/>
                      <a:ext cx="3513343" cy="5443376"/>
                    </a:xfrm>
                    <a:prstGeom prst="rect">
                      <a:avLst/>
                    </a:prstGeom>
                    <a:noFill/>
                    <a:ln>
                      <a:noFill/>
                    </a:ln>
                  </pic:spPr>
                </pic:pic>
              </a:graphicData>
            </a:graphic>
          </wp:anchor>
        </w:drawing>
      </w:r>
      <w:r>
        <w:rPr>
          <w:rFonts w:ascii="仿宋_GB2312" w:hAnsi="宋体" w:eastAsia="仿宋_GB2312" w:cs="宋体"/>
          <w:kern w:val="0"/>
          <w:szCs w:val="32"/>
        </w:rPr>
        <w:t>改造宗地示</w:t>
      </w:r>
      <w:r>
        <w:rPr>
          <w:rFonts w:hint="eastAsia" w:ascii="仿宋_GB2312" w:hAnsi="宋体" w:eastAsia="仿宋_GB2312" w:cs="宋体"/>
          <w:kern w:val="0"/>
          <w:szCs w:val="32"/>
        </w:rPr>
        <w:t>意图</w:t>
      </w:r>
    </w:p>
    <w:p>
      <w:pPr>
        <w:pStyle w:val="4"/>
        <w:ind w:left="0" w:firstLine="640" w:firstLineChars="200"/>
        <w:rPr>
          <w:rFonts w:ascii="楷体" w:hAnsi="楷体" w:eastAsia="楷体" w:cs="楷体"/>
          <w:b w:val="0"/>
          <w:bCs w:val="0"/>
          <w:spacing w:val="-6"/>
        </w:rPr>
      </w:pPr>
      <w:r>
        <w:rPr>
          <w:rFonts w:hint="eastAsia"/>
          <w:b w:val="0"/>
        </w:rPr>
        <w:t>标图入库情况</w:t>
      </w:r>
    </w:p>
    <w:p>
      <w:pPr>
        <w:adjustRightInd w:val="0"/>
        <w:snapToGrid w:val="0"/>
        <w:ind w:firstLine="640" w:firstLineChars="200"/>
        <w:rPr>
          <w:rFonts w:hint="eastAsia" w:ascii="仿宋_GB2312" w:hAnsi="仿宋_GB2312" w:eastAsia="仿宋_GB2312" w:cs="仿宋_GB2312"/>
          <w:spacing w:val="0"/>
          <w:szCs w:val="22"/>
        </w:rPr>
      </w:pPr>
      <w:r>
        <w:rPr>
          <w:rFonts w:hint="eastAsia" w:eastAsia="仿宋_GB2312"/>
        </w:rPr>
        <w:t>改</w:t>
      </w:r>
      <w:r>
        <w:rPr>
          <w:rFonts w:hint="eastAsia" w:ascii="仿宋_GB2312" w:hAnsi="仿宋_GB2312" w:eastAsia="仿宋_GB2312" w:cs="仿宋_GB2312"/>
        </w:rPr>
        <w:t>造地块2.3978公顷（23977.99平方米，折合约35.97亩）正在办理“三旧”标图入库，图斑编号为44200069735和44200069736。纳入“三旧”改造范围整体利用的“三地”0.0087公顷（87.14平方米，折合约0.13亩），通过44200069736图斑可整体标图入库，具体面积以届时入库确定的土地面积为准。</w:t>
      </w:r>
    </w:p>
    <w:p>
      <w:pPr>
        <w:pStyle w:val="4"/>
        <w:ind w:left="0" w:firstLine="640" w:firstLineChars="200"/>
        <w:rPr>
          <w:rFonts w:ascii="楷体" w:hAnsi="楷体" w:eastAsia="楷体" w:cs="楷体"/>
          <w:b w:val="0"/>
          <w:bCs w:val="0"/>
          <w:spacing w:val="-6"/>
        </w:rPr>
      </w:pPr>
      <w:r>
        <w:rPr>
          <w:rFonts w:hint="eastAsia"/>
          <w:b w:val="0"/>
        </w:rPr>
        <w:t>权属情况</w:t>
      </w:r>
    </w:p>
    <w:p>
      <w:pPr>
        <w:adjustRightInd w:val="0"/>
        <w:snapToGrid w:val="0"/>
        <w:ind w:firstLine="616" w:firstLineChars="200"/>
        <w:rPr>
          <w:rFonts w:ascii="仿宋_GB2312" w:hAnsi="仿宋_GB2312" w:eastAsia="仿宋_GB2312" w:cs="仿宋_GB2312"/>
          <w:spacing w:val="-6"/>
          <w:szCs w:val="32"/>
        </w:rPr>
      </w:pPr>
      <w:r>
        <w:rPr>
          <w:rFonts w:ascii="仿宋_GB2312" w:hAnsi="仿宋_GB2312" w:eastAsia="仿宋_GB2312" w:cs="仿宋_GB2312"/>
          <w:spacing w:val="-6"/>
          <w:szCs w:val="32"/>
        </w:rPr>
        <w:t>改造范围内</w:t>
      </w:r>
      <w:r>
        <w:rPr>
          <w:rFonts w:hint="eastAsia" w:ascii="仿宋_GB2312" w:hAnsi="仿宋_GB2312" w:eastAsia="仿宋_GB2312" w:cs="仿宋_GB2312"/>
          <w:spacing w:val="-6"/>
          <w:szCs w:val="32"/>
        </w:rPr>
        <w:t>有</w:t>
      </w:r>
      <w:r>
        <w:rPr>
          <w:rFonts w:ascii="仿宋_GB2312" w:hAnsi="仿宋_GB2312" w:eastAsia="仿宋_GB2312" w:cs="仿宋_GB2312"/>
          <w:spacing w:val="-6"/>
          <w:szCs w:val="32"/>
        </w:rPr>
        <w:t>4宗国有建设用地</w:t>
      </w:r>
      <w:r>
        <w:rPr>
          <w:rFonts w:hint="eastAsia" w:ascii="仿宋_GB2312" w:hAnsi="仿宋_GB2312" w:eastAsia="仿宋_GB2312" w:cs="仿宋_GB2312"/>
          <w:spacing w:val="-6"/>
          <w:szCs w:val="32"/>
        </w:rPr>
        <w:t>与1宗</w:t>
      </w:r>
      <w:r>
        <w:rPr>
          <w:rFonts w:ascii="仿宋_GB2312" w:hAnsi="仿宋_GB2312" w:eastAsia="仿宋_GB2312" w:cs="仿宋_GB2312"/>
          <w:spacing w:val="-6"/>
          <w:szCs w:val="32"/>
        </w:rPr>
        <w:t>集体</w:t>
      </w:r>
      <w:r>
        <w:rPr>
          <w:rFonts w:hint="eastAsia" w:ascii="仿宋_GB2312" w:hAnsi="仿宋_GB2312" w:eastAsia="仿宋_GB2312" w:cs="仿宋_GB2312"/>
          <w:spacing w:val="-6"/>
          <w:szCs w:val="32"/>
        </w:rPr>
        <w:t>土</w:t>
      </w:r>
      <w:r>
        <w:rPr>
          <w:rFonts w:ascii="仿宋_GB2312" w:hAnsi="仿宋_GB2312" w:eastAsia="仿宋_GB2312" w:cs="仿宋_GB2312"/>
          <w:spacing w:val="-6"/>
          <w:szCs w:val="32"/>
        </w:rPr>
        <w:t>地</w:t>
      </w:r>
      <w:r>
        <w:rPr>
          <w:rFonts w:hint="eastAsia" w:ascii="仿宋_GB2312" w:hAnsi="仿宋_GB2312" w:eastAsia="仿宋_GB2312" w:cs="仿宋_GB2312"/>
          <w:spacing w:val="-6"/>
          <w:szCs w:val="32"/>
        </w:rPr>
        <w:t>。，</w:t>
      </w:r>
      <w:r>
        <w:rPr>
          <w:rFonts w:ascii="仿宋_GB2312" w:hAnsi="仿宋_GB2312" w:eastAsia="仿宋_GB2312" w:cs="仿宋_GB2312"/>
          <w:spacing w:val="-6"/>
          <w:szCs w:val="32"/>
        </w:rPr>
        <w:t xml:space="preserve">具体情况如下： </w:t>
      </w:r>
      <w:r>
        <w:rPr>
          <w:rFonts w:hint="eastAsia" w:ascii="仿宋_GB2312" w:hAnsi="仿宋_GB2312" w:eastAsia="仿宋_GB2312" w:cs="仿宋_GB2312"/>
          <w:spacing w:val="-6"/>
          <w:szCs w:val="32"/>
        </w:rPr>
        <w:t xml:space="preserve"> </w:t>
      </w:r>
      <w:r>
        <w:rPr>
          <w:rFonts w:ascii="仿宋_GB2312" w:hAnsi="仿宋_GB2312" w:eastAsia="仿宋_GB2312" w:cs="仿宋_GB2312"/>
          <w:spacing w:val="-6"/>
          <w:szCs w:val="32"/>
        </w:rPr>
        <w:t xml:space="preserve">        </w:t>
      </w:r>
    </w:p>
    <w:p>
      <w:pPr>
        <w:adjustRightInd w:val="0"/>
        <w:snapToGrid w:val="0"/>
        <w:ind w:firstLine="640" w:firstLineChars="200"/>
        <w:rPr>
          <w:rFonts w:hint="eastAsia" w:ascii="仿宋_GB2312" w:hAnsi="仿宋_GB2312" w:eastAsia="仿宋_GB2312" w:cs="仿宋_GB2312"/>
          <w:spacing w:val="0"/>
          <w:szCs w:val="22"/>
        </w:rPr>
      </w:pPr>
      <w:r>
        <w:rPr>
          <w:rFonts w:hint="eastAsia" w:ascii="仿宋_GB2312" w:hAnsi="仿宋_GB2312" w:eastAsia="仿宋_GB2312" w:cs="仿宋_GB2312"/>
          <w:spacing w:val="0"/>
          <w:szCs w:val="22"/>
        </w:rPr>
        <w:t xml:space="preserve">地块一用地面积0.9373公顷（9373.40平方米，折合14.06 亩），不动产权证号为粤（2019）中山市不动产权第0012674号、粤（2019）中山市不动产权第0012673号，为土地权利人李永福、李泉福自2003年11月开始使用。 </w:t>
      </w:r>
    </w:p>
    <w:p>
      <w:pPr>
        <w:adjustRightInd w:val="0"/>
        <w:snapToGrid w:val="0"/>
        <w:ind w:firstLine="640" w:firstLineChars="200"/>
        <w:rPr>
          <w:rFonts w:hint="eastAsia" w:ascii="仿宋_GB2312" w:hAnsi="仿宋_GB2312" w:eastAsia="仿宋_GB2312" w:cs="仿宋_GB2312"/>
          <w:spacing w:val="0"/>
          <w:szCs w:val="22"/>
        </w:rPr>
      </w:pPr>
      <w:r>
        <w:rPr>
          <w:rFonts w:hint="eastAsia" w:ascii="仿宋_GB2312" w:hAnsi="仿宋_GB2312" w:eastAsia="仿宋_GB2312" w:cs="仿宋_GB2312"/>
          <w:spacing w:val="0"/>
          <w:szCs w:val="22"/>
        </w:rPr>
        <w:t xml:space="preserve">地块二用地面积0.7284公顷（7284.1平方米，折合10.93 亩）；不动产权证号为中府国用（2003）第314179号，为土地权利人李琼瑜、许伟伦自2003年12月开始使用。 </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地块三用地面积为0.5648公顷（5648.30平方米，折合 8.47亩）不动产权证号为中府国用（2003）第310108号，为土地权利人周小慧、黄荣正、黄荣信自2003年12月开始使用。</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地块四用地面积为0.1585公顷（1585.04平方米，折合2.38亩）不动产权证号为中府国用（2006）第310110号，为土地权利人周小慧、黄荣正、黄荣信自2006年12月开始使用。</w:t>
      </w:r>
    </w:p>
    <w:p>
      <w:pPr>
        <w:adjustRightInd w:val="0"/>
        <w:snapToGrid w:val="0"/>
        <w:ind w:firstLine="640" w:firstLineChars="200"/>
        <w:rPr>
          <w:rFonts w:hint="eastAsia" w:ascii="仿宋_GB2312" w:hAnsi="仿宋_GB2312" w:eastAsia="仿宋_GB2312" w:cs="仿宋_GB2312"/>
          <w:spacing w:val="0"/>
          <w:szCs w:val="22"/>
        </w:rPr>
      </w:pPr>
      <w:r>
        <w:rPr>
          <w:rFonts w:hint="eastAsia" w:ascii="仿宋_GB2312" w:hAnsi="仿宋_GB2312" w:eastAsia="仿宋_GB2312" w:cs="仿宋_GB2312"/>
        </w:rPr>
        <w:t xml:space="preserve">地块五用地面积为0.0087公顷（87.14平方米，折合约0.13亩）未办理建设用地使用权证，有土地所有权证，所有权证号为中府集有(2013)第3100389号，为土地权利人龙井合作社自2013年3月开始使用。  </w:t>
      </w:r>
    </w:p>
    <w:p>
      <w:pPr>
        <w:pStyle w:val="4"/>
        <w:ind w:left="0" w:firstLine="640" w:firstLineChars="200"/>
        <w:rPr>
          <w:rFonts w:ascii="楷体" w:hAnsi="楷体" w:eastAsia="楷体" w:cs="楷体"/>
          <w:b w:val="0"/>
          <w:bCs w:val="0"/>
          <w:spacing w:val="-6"/>
        </w:rPr>
      </w:pPr>
      <w:r>
        <w:rPr>
          <w:rFonts w:hint="eastAsia"/>
          <w:b w:val="0"/>
        </w:rPr>
        <w:t>土地现状情况</w:t>
      </w:r>
    </w:p>
    <w:p>
      <w:pPr>
        <w:adjustRightInd w:val="0"/>
        <w:snapToGrid w:val="0"/>
        <w:ind w:firstLine="640" w:firstLineChars="200"/>
        <w:rPr>
          <w:rFonts w:hint="eastAsia" w:ascii="仿宋_GB2312" w:hAnsi="仿宋_GB2312" w:eastAsia="仿宋_GB2312" w:cs="仿宋_GB2312"/>
        </w:rPr>
      </w:pPr>
      <w:r>
        <w:rPr>
          <w:rFonts w:eastAsia="仿宋_GB2312"/>
        </w:rPr>
        <w:t>改</w:t>
      </w:r>
      <w:r>
        <w:rPr>
          <w:rFonts w:hint="eastAsia" w:ascii="仿宋_GB2312" w:hAnsi="仿宋_GB2312" w:eastAsia="仿宋_GB2312" w:cs="仿宋_GB2312"/>
        </w:rPr>
        <w:t>造地块“二调”及最新土地利用现状均为建设用地。改造地块现有33栋建筑物，暂未办理规划报建等手续。现有建筑面积17875.48平方米，现状容积率0.79，作工业厂房所用。改造前年产值为180万元（约5万元/亩），年税收为21万元（约0.58万元/亩）。</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改造范围内地块一、地块二、地块三、地块四涉嫌闲置，经三乡镇人民政府核实，上述用地2009年12月31日前已建设，地上建筑物(构筑物)基底面积达到用地面积三分之一以上并使用至今，属于“工改工”用地，未被认定为闲置土地，承诺材料正在收集中，现申请实施改造。</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地块五（夹心地）涉及违法使用土地0.0087公顷（87.14平方米，折合约0.13亩），正在办理违法用地处置。</w:t>
      </w:r>
    </w:p>
    <w:p>
      <w:pPr>
        <w:adjustRightInd w:val="0"/>
        <w:snapToGrid w:val="0"/>
        <w:ind w:firstLine="640" w:firstLineChars="200"/>
        <w:rPr>
          <w:rFonts w:ascii="仿宋_GB2312" w:hAnsi="仿宋_GB2312" w:cs="仿宋_GB2312"/>
          <w:spacing w:val="-6"/>
          <w:kern w:val="0"/>
          <w:szCs w:val="32"/>
        </w:rPr>
      </w:pPr>
      <w:r>
        <w:rPr>
          <w:rFonts w:hint="eastAsia" w:ascii="仿宋_GB2312" w:hAnsi="仿宋_GB2312" w:eastAsia="仿宋_GB2312" w:cs="仿宋_GB2312"/>
        </w:rPr>
        <w:t>改造地块不涉及抵押、查封、历史文化资源要素及土壤</w:t>
      </w:r>
      <w:r>
        <w:rPr>
          <w:rFonts w:hint="eastAsia" w:eastAsia="仿宋_GB2312"/>
        </w:rPr>
        <w:t>环境潜在监管地块等情况。</w:t>
      </w:r>
    </w:p>
    <w:p>
      <w:pPr>
        <w:pStyle w:val="4"/>
        <w:ind w:left="0" w:firstLine="640" w:firstLineChars="200"/>
        <w:rPr>
          <w:rFonts w:ascii="楷体" w:hAnsi="楷体" w:eastAsia="楷体" w:cs="楷体"/>
          <w:b w:val="0"/>
          <w:bCs w:val="0"/>
          <w:spacing w:val="-6"/>
        </w:rPr>
      </w:pPr>
      <w:r>
        <w:rPr>
          <w:rFonts w:hint="eastAsia"/>
          <w:b w:val="0"/>
        </w:rPr>
        <w:t>规划情况</w:t>
      </w:r>
    </w:p>
    <w:p>
      <w:pPr>
        <w:adjustRightInd w:val="0"/>
        <w:snapToGrid w:val="0"/>
        <w:ind w:firstLine="616" w:firstLineChars="200"/>
        <w:rPr>
          <w:rFonts w:ascii="仿宋_GB2312" w:hAnsi="仿宋_GB2312" w:eastAsia="仿宋_GB2312" w:cs="仿宋_GB2312"/>
          <w:spacing w:val="-6"/>
          <w:szCs w:val="32"/>
        </w:rPr>
      </w:pPr>
      <w:r>
        <w:rPr>
          <w:rFonts w:ascii="仿宋_GB2312" w:hAnsi="仿宋_GB2312" w:eastAsia="仿宋_GB2312" w:cs="仿宋_GB2312"/>
          <w:spacing w:val="-6"/>
          <w:szCs w:val="32"/>
        </w:rPr>
        <w:t>改造主地块符合国土空间总体规划</w:t>
      </w:r>
      <w:r>
        <w:rPr>
          <w:rFonts w:hint="eastAsia" w:ascii="仿宋_GB2312" w:hAnsi="仿宋_GB2312" w:eastAsia="仿宋_GB2312" w:cs="仿宋_GB2312"/>
          <w:spacing w:val="-6"/>
          <w:szCs w:val="32"/>
        </w:rPr>
        <w:t>、控制性详细规划</w:t>
      </w:r>
      <w:r>
        <w:rPr>
          <w:rFonts w:ascii="仿宋_GB2312" w:hAnsi="仿宋_GB2312" w:eastAsia="仿宋_GB2312" w:cs="仿宋_GB2312"/>
          <w:spacing w:val="-6"/>
          <w:szCs w:val="32"/>
        </w:rPr>
        <w:t>，已纳入《中山市城市更新（“三旧”改造）专项规划（2020-2035年）》（中府函〔2022〕414号）。其中，在《中山市国土空间总体规划（2021-2035年）》中，属城镇建设用地</w:t>
      </w:r>
      <w:r>
        <w:rPr>
          <w:rFonts w:ascii="仿宋_GB2312" w:hAnsi="仿宋_GB2312" w:eastAsia="仿宋_GB2312" w:cs="仿宋_GB2312"/>
          <w:spacing w:val="-6"/>
          <w:szCs w:val="20"/>
        </w:rPr>
        <w:t>2.39</w:t>
      </w:r>
      <w:r>
        <w:rPr>
          <w:rFonts w:hint="eastAsia" w:ascii="仿宋_GB2312" w:hAnsi="仿宋_GB2312" w:eastAsia="仿宋_GB2312" w:cs="仿宋_GB2312"/>
          <w:spacing w:val="-6"/>
          <w:szCs w:val="20"/>
        </w:rPr>
        <w:t>78公顷（23978平方米，折合约</w:t>
      </w:r>
      <w:r>
        <w:rPr>
          <w:rFonts w:ascii="仿宋_GB2312" w:hAnsi="仿宋_GB2312" w:eastAsia="仿宋_GB2312" w:cs="仿宋_GB2312"/>
          <w:spacing w:val="-6"/>
          <w:szCs w:val="20"/>
        </w:rPr>
        <w:t>35.97</w:t>
      </w:r>
      <w:r>
        <w:rPr>
          <w:rFonts w:hint="eastAsia" w:ascii="仿宋_GB2312" w:hAnsi="仿宋_GB2312" w:eastAsia="仿宋_GB2312" w:cs="仿宋_GB2312"/>
          <w:spacing w:val="-6"/>
          <w:szCs w:val="20"/>
        </w:rPr>
        <w:t>亩）</w:t>
      </w:r>
      <w:r>
        <w:rPr>
          <w:rFonts w:ascii="仿宋_GB2312" w:hAnsi="仿宋_GB2312" w:eastAsia="仿宋_GB2312" w:cs="仿宋_GB2312"/>
          <w:spacing w:val="-6"/>
          <w:szCs w:val="32"/>
        </w:rPr>
        <w:t>。在《</w:t>
      </w:r>
      <w:r>
        <w:rPr>
          <w:rFonts w:hint="eastAsia" w:ascii="仿宋_GB2312" w:hAnsi="仿宋_GB2312" w:eastAsia="仿宋_GB2312" w:cs="仿宋_GB2312"/>
          <w:spacing w:val="-6"/>
          <w:szCs w:val="32"/>
        </w:rPr>
        <w:t>中山市三乡镇白水林片区</w:t>
      </w:r>
      <w:r>
        <w:rPr>
          <w:rFonts w:ascii="仿宋_GB2312" w:hAnsi="仿宋_GB2312" w:eastAsia="仿宋_GB2312" w:cs="仿宋_GB2312"/>
          <w:spacing w:val="-6"/>
          <w:szCs w:val="32"/>
        </w:rPr>
        <w:t>(2208</w:t>
      </w:r>
      <w:r>
        <w:rPr>
          <w:rFonts w:hint="eastAsia" w:ascii="仿宋_GB2312" w:hAnsi="仿宋_GB2312" w:eastAsia="仿宋_GB2312" w:cs="仿宋_GB2312"/>
          <w:spacing w:val="-6"/>
          <w:szCs w:val="32"/>
        </w:rPr>
        <w:t>单元</w:t>
      </w:r>
      <w:r>
        <w:rPr>
          <w:rFonts w:ascii="仿宋_GB2312" w:hAnsi="仿宋_GB2312" w:eastAsia="仿宋_GB2312" w:cs="仿宋_GB2312"/>
          <w:spacing w:val="-6"/>
          <w:szCs w:val="32"/>
        </w:rPr>
        <w:t xml:space="preserve">)02、06街区SXBSL04-07至04-15 </w:t>
      </w:r>
      <w:r>
        <w:rPr>
          <w:rFonts w:hint="eastAsia" w:ascii="仿宋_GB2312" w:hAnsi="仿宋_GB2312" w:eastAsia="仿宋_GB2312" w:cs="仿宋_GB2312"/>
          <w:spacing w:val="-6"/>
          <w:szCs w:val="32"/>
        </w:rPr>
        <w:t>地块控制性详细规划局部调整</w:t>
      </w:r>
      <w:r>
        <w:rPr>
          <w:rFonts w:ascii="仿宋_GB2312" w:hAnsi="仿宋_GB2312" w:eastAsia="仿宋_GB2312" w:cs="仿宋_GB2312"/>
          <w:spacing w:val="-6"/>
          <w:szCs w:val="32"/>
        </w:rPr>
        <w:t>》（</w:t>
      </w:r>
      <w:r>
        <w:rPr>
          <w:rFonts w:hint="eastAsia" w:ascii="仿宋_GB2312" w:hAnsi="仿宋_GB2312" w:eastAsia="仿宋_GB2312" w:cs="仿宋_GB2312"/>
          <w:spacing w:val="-6"/>
          <w:szCs w:val="32"/>
        </w:rPr>
        <w:t>在编</w:t>
      </w:r>
      <w:r>
        <w:rPr>
          <w:rFonts w:ascii="仿宋_GB2312" w:hAnsi="仿宋_GB2312" w:eastAsia="仿宋_GB2312" w:cs="仿宋_GB2312"/>
          <w:spacing w:val="-6"/>
          <w:szCs w:val="32"/>
        </w:rPr>
        <w:t>）中，一类工业用地2.2249公顷（22249.95平方米，折合约33.37亩），规划容积率1.0-3.5，建筑密度35%-60%，绿地率10%-15%，生产性建筑高度≤50米（特殊工艺除外），配套设施建筑高≤100米；道路用地0.0858公顷（857.90平方米，折合约1.29亩）；</w:t>
      </w:r>
      <w:r>
        <w:rPr>
          <w:rFonts w:hint="eastAsia" w:ascii="仿宋_GB2312" w:hAnsi="仿宋_GB2312" w:eastAsia="仿宋_GB2312" w:cs="仿宋_GB2312"/>
          <w:spacing w:val="-6"/>
          <w:szCs w:val="32"/>
        </w:rPr>
        <w:t>防护绿地</w:t>
      </w:r>
      <w:r>
        <w:rPr>
          <w:rFonts w:ascii="仿宋_GB2312" w:hAnsi="仿宋_GB2312" w:eastAsia="仿宋_GB2312" w:cs="仿宋_GB2312"/>
          <w:spacing w:val="-6"/>
          <w:szCs w:val="32"/>
        </w:rPr>
        <w:t>用地0.0870公顷（870.14平方米，折合约1.31亩）</w:t>
      </w:r>
      <w:r>
        <w:rPr>
          <w:rFonts w:hint="eastAsia" w:ascii="仿宋_GB2312" w:hAnsi="仿宋_GB2312" w:eastAsia="仿宋_GB2312" w:cs="仿宋_GB2312"/>
          <w:spacing w:val="-6"/>
          <w:szCs w:val="32"/>
        </w:rPr>
        <w:t>。</w:t>
      </w:r>
    </w:p>
    <w:p>
      <w:pPr>
        <w:adjustRightInd w:val="0"/>
        <w:snapToGrid w:val="0"/>
        <w:ind w:firstLine="640" w:firstLineChars="200"/>
        <w:rPr>
          <w:rFonts w:ascii="仿宋_GB2312" w:hAnsi="仿宋_GB2312" w:cs="仿宋_GB2312"/>
          <w:szCs w:val="32"/>
        </w:rPr>
      </w:pPr>
      <w:r>
        <w:rPr>
          <w:rFonts w:eastAsia="仿宋_GB2312"/>
        </w:rPr>
        <w:t>改造地块不涉及到永久基本农田、生态保护红线；全部位于城镇开发边界内；</w:t>
      </w:r>
      <w:r>
        <w:rPr>
          <w:rFonts w:hint="eastAsia" w:eastAsia="仿宋_GB2312"/>
        </w:rPr>
        <w:t>均</w:t>
      </w:r>
      <w:r>
        <w:rPr>
          <w:rFonts w:eastAsia="仿宋_GB2312"/>
        </w:rPr>
        <w:t>位于一级工业用地保护线范围内。</w:t>
      </w:r>
      <w:r>
        <w:rPr>
          <w:rFonts w:ascii="仿宋_GB2312" w:hAnsi="宋体" w:eastAsia="仿宋_GB2312" w:cs="宋体"/>
          <w:kern w:val="0"/>
          <w:szCs w:val="32"/>
        </w:rPr>
        <w:t xml:space="preserve"> </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改造意愿及安置补偿情况</w:t>
      </w:r>
    </w:p>
    <w:p>
      <w:pPr>
        <w:pStyle w:val="4"/>
        <w:ind w:left="0" w:firstLine="640" w:firstLineChars="200"/>
        <w:rPr>
          <w:rFonts w:ascii="楷体" w:hAnsi="楷体" w:eastAsia="楷体" w:cs="楷体"/>
          <w:b w:val="0"/>
          <w:bCs w:val="0"/>
          <w:spacing w:val="-6"/>
          <w:kern w:val="0"/>
        </w:rPr>
      </w:pPr>
      <w:r>
        <w:rPr>
          <w:rFonts w:hint="eastAsia"/>
          <w:b w:val="0"/>
        </w:rPr>
        <w:t>改造意愿情况</w:t>
      </w:r>
    </w:p>
    <w:p>
      <w:pPr>
        <w:adjustRightInd w:val="0"/>
        <w:snapToGrid w:val="0"/>
        <w:ind w:firstLine="640" w:firstLineChars="200"/>
        <w:rPr>
          <w:rFonts w:ascii="仿宋_GB2312" w:hAnsi="仿宋_GB2312" w:cs="仿宋_GB2312"/>
          <w:spacing w:val="-6"/>
          <w:kern w:val="0"/>
          <w:szCs w:val="32"/>
          <w:highlight w:val="yellow"/>
        </w:rPr>
      </w:pPr>
      <w:r>
        <w:rPr>
          <w:rFonts w:hint="eastAsia" w:eastAsia="仿宋_GB2312"/>
        </w:rPr>
        <w:t>改</w:t>
      </w:r>
      <w:r>
        <w:rPr>
          <w:rFonts w:eastAsia="仿宋_GB2312"/>
        </w:rPr>
        <w:t>造项目涉及</w:t>
      </w:r>
      <w:r>
        <w:rPr>
          <w:rFonts w:hint="eastAsia" w:eastAsia="仿宋_GB2312"/>
        </w:rPr>
        <w:t>“</w:t>
      </w:r>
      <w:r>
        <w:rPr>
          <w:rFonts w:eastAsia="仿宋_GB2312"/>
        </w:rPr>
        <w:t xml:space="preserve"> </w:t>
      </w:r>
      <w:r>
        <w:rPr>
          <w:rFonts w:hint="eastAsia" w:eastAsia="仿宋_GB2312"/>
        </w:rPr>
        <w:t>李永福、李泉福”</w:t>
      </w:r>
      <w:r>
        <w:rPr>
          <w:rFonts w:eastAsia="仿宋_GB2312"/>
        </w:rPr>
        <w:t>、</w:t>
      </w:r>
      <w:r>
        <w:rPr>
          <w:rFonts w:hint="eastAsia" w:eastAsia="仿宋_GB2312"/>
        </w:rPr>
        <w:t>“李琼瑜、许伟伦”</w:t>
      </w:r>
      <w:r>
        <w:rPr>
          <w:rFonts w:eastAsia="仿宋_GB2312"/>
        </w:rPr>
        <w:t>、</w:t>
      </w:r>
      <w:r>
        <w:rPr>
          <w:rFonts w:hint="eastAsia" w:eastAsia="仿宋_GB2312"/>
        </w:rPr>
        <w:t>“周小慧、黄荣正、黄荣信”、“龙井合作社”</w:t>
      </w:r>
      <w:r>
        <w:rPr>
          <w:rFonts w:eastAsia="仿宋_GB2312"/>
        </w:rPr>
        <w:t>共</w:t>
      </w:r>
      <w:r>
        <w:rPr>
          <w:rFonts w:hint="eastAsia" w:ascii="仿宋_GB2312" w:hAnsi="仿宋_GB2312" w:eastAsia="仿宋_GB2312" w:cs="仿宋_GB2312"/>
        </w:rPr>
        <w:t>4个权利主体，三乡镇人民政府已按照法</w:t>
      </w:r>
      <w:r>
        <w:rPr>
          <w:rFonts w:eastAsia="仿宋_GB2312"/>
        </w:rPr>
        <w:t>律法规，就改造范围、土地现状、改造主体及拟改造情况、补偿安置方式及标准等事项</w:t>
      </w:r>
      <w:r>
        <w:rPr>
          <w:rFonts w:hint="eastAsia" w:eastAsia="仿宋_GB2312"/>
        </w:rPr>
        <w:t>正在开展</w:t>
      </w:r>
      <w:r>
        <w:rPr>
          <w:rFonts w:eastAsia="仿宋_GB2312"/>
        </w:rPr>
        <w:t>征询涉及所有权利人改造意愿</w:t>
      </w:r>
      <w:r>
        <w:rPr>
          <w:rFonts w:hint="eastAsia" w:eastAsia="仿宋_GB2312"/>
        </w:rPr>
        <w:t>工作</w:t>
      </w:r>
      <w:r>
        <w:rPr>
          <w:rFonts w:eastAsia="仿宋_GB2312"/>
        </w:rPr>
        <w:t>，</w:t>
      </w:r>
      <w:r>
        <w:rPr>
          <w:rFonts w:hint="eastAsia" w:eastAsia="仿宋_GB2312"/>
        </w:rPr>
        <w:t>经南龙村村集体会议三分之二以上股民代表同意，以及“李永福、李泉福”</w:t>
      </w:r>
      <w:r>
        <w:rPr>
          <w:rFonts w:eastAsia="仿宋_GB2312"/>
        </w:rPr>
        <w:t>、</w:t>
      </w:r>
      <w:r>
        <w:rPr>
          <w:rFonts w:hint="eastAsia" w:eastAsia="仿宋_GB2312"/>
        </w:rPr>
        <w:t>“李琼瑜、许伟伦”</w:t>
      </w:r>
      <w:r>
        <w:rPr>
          <w:rFonts w:eastAsia="仿宋_GB2312"/>
        </w:rPr>
        <w:t>、</w:t>
      </w:r>
      <w:r>
        <w:rPr>
          <w:rFonts w:hint="eastAsia" w:eastAsia="仿宋_GB2312"/>
        </w:rPr>
        <w:t>“周小慧、黄荣正、黄荣信”</w:t>
      </w:r>
      <w:r>
        <w:rPr>
          <w:rFonts w:eastAsia="仿宋_GB2312"/>
        </w:rPr>
        <w:t>权利主体同意</w:t>
      </w:r>
      <w:r>
        <w:rPr>
          <w:rFonts w:hint="eastAsia" w:eastAsia="仿宋_GB2312"/>
        </w:rPr>
        <w:t>后，</w:t>
      </w:r>
      <w:r>
        <w:rPr>
          <w:rFonts w:eastAsia="仿宋_GB2312"/>
        </w:rPr>
        <w:t xml:space="preserve">将涉及土地、房屋纳入改造范围。 </w:t>
      </w:r>
    </w:p>
    <w:p>
      <w:pPr>
        <w:pStyle w:val="4"/>
        <w:ind w:left="0" w:firstLine="640" w:firstLineChars="200"/>
        <w:rPr>
          <w:rFonts w:ascii="楷体" w:hAnsi="楷体" w:eastAsia="楷体" w:cs="楷体"/>
          <w:b w:val="0"/>
          <w:bCs w:val="0"/>
          <w:spacing w:val="-6"/>
          <w:kern w:val="0"/>
        </w:rPr>
      </w:pPr>
      <w:r>
        <w:rPr>
          <w:rFonts w:hint="eastAsia"/>
          <w:b w:val="0"/>
        </w:rPr>
        <w:t>补偿安置情况</w:t>
      </w:r>
    </w:p>
    <w:p>
      <w:pPr>
        <w:adjustRightInd w:val="0"/>
        <w:snapToGrid w:val="0"/>
        <w:ind w:firstLine="640" w:firstLineChars="200"/>
        <w:rPr>
          <w:rFonts w:hint="eastAsia" w:ascii="仿宋_GB2312" w:hAnsi="仿宋_GB2312" w:eastAsia="仿宋_GB2312" w:cs="仿宋_GB2312"/>
        </w:rPr>
      </w:pPr>
      <w:r>
        <w:rPr>
          <w:rFonts w:hint="eastAsia" w:eastAsia="仿宋_GB2312"/>
        </w:rPr>
        <w:t>改造主体广东华</w:t>
      </w:r>
      <w:r>
        <w:rPr>
          <w:rFonts w:hint="eastAsia" w:ascii="仿宋_GB2312" w:hAnsi="仿宋_GB2312" w:eastAsia="仿宋_GB2312" w:cs="仿宋_GB2312"/>
        </w:rPr>
        <w:t>鹰产业投资有限公司就“李永福、李泉福”、“李琼瑜、许伟伦”、“周小慧、黄荣正、黄荣信”地块制定补偿安置方案，明确采取货币补偿或货币补偿和物业补偿结合的方式对原权利人进行补偿安置，并与上述权利人签订《搬迁补偿协议》，具体补偿协议内容如下：</w:t>
      </w:r>
    </w:p>
    <w:p>
      <w:pPr>
        <w:adjustRightInd w:val="0"/>
        <w:snapToGrid w:val="0"/>
        <w:ind w:firstLine="640" w:firstLineChars="200"/>
        <w:rPr>
          <w:rFonts w:eastAsia="仿宋_GB2312"/>
        </w:rPr>
      </w:pPr>
      <w:r>
        <w:rPr>
          <w:rFonts w:hint="eastAsia" w:ascii="仿宋_GB2312" w:hAnsi="仿宋_GB2312" w:eastAsia="仿宋_GB2312" w:cs="仿宋_GB2312"/>
        </w:rPr>
        <w:t>地块一根据补偿协议，广东华鹰产业投资有限公司与李永福、李泉福明确采取货币补偿的方式对原权利人的物业进行搬（拆）迁补偿。双方协商确定货币补偿价款总金额为人民币1080万元(180万/亩，共计6.0亩)，物业补偿面积为4800平</w:t>
      </w:r>
      <w:r>
        <w:rPr>
          <w:rFonts w:hint="eastAsia" w:ascii="仿宋_GB2312" w:hAnsi="仿宋_GB2312" w:eastAsia="仿宋_GB2312" w:cs="仿宋_GB2312"/>
          <w:lang w:eastAsia="zh-CN"/>
        </w:rPr>
        <w:t>方</w:t>
      </w:r>
      <w:r>
        <w:rPr>
          <w:rFonts w:hint="eastAsia" w:ascii="仿宋_GB2312" w:hAnsi="仿宋_GB2312" w:eastAsia="仿宋_GB2312" w:cs="仿宋_GB2312"/>
        </w:rPr>
        <w:t>米。双方确认该补偿价款已包括了原权利人因本次搬（拆）迁应得的全部补偿、赔偿、补助等全部费用，改造主体不再就此次搬（拆）迁向原权利人支付其它任何费用。目前已支付补偿款400万元，剩余680万元按</w:t>
      </w:r>
      <w:r>
        <w:rPr>
          <w:rFonts w:eastAsia="仿宋_GB2312"/>
        </w:rPr>
        <w:t>照补偿协</w:t>
      </w:r>
      <w:bookmarkStart w:id="0" w:name="_GoBack"/>
      <w:bookmarkEnd w:id="0"/>
      <w:r>
        <w:rPr>
          <w:rFonts w:eastAsia="仿宋_GB2312"/>
        </w:rPr>
        <w:t xml:space="preserve">议约定支付。 </w:t>
      </w:r>
    </w:p>
    <w:p>
      <w:pPr>
        <w:adjustRightInd w:val="0"/>
        <w:snapToGrid w:val="0"/>
        <w:ind w:firstLine="640" w:firstLineChars="200"/>
        <w:rPr>
          <w:rFonts w:hint="eastAsia" w:ascii="仿宋_GB2312" w:hAnsi="仿宋_GB2312" w:eastAsia="仿宋_GB2312" w:cs="仿宋_GB2312"/>
        </w:rPr>
      </w:pPr>
      <w:r>
        <w:rPr>
          <w:rFonts w:hint="eastAsia" w:eastAsia="仿宋_GB2312"/>
        </w:rPr>
        <w:t>地块二根据补偿协议广东华鹰产业投资有限公司与李琼瑜、</w:t>
      </w:r>
      <w:r>
        <w:rPr>
          <w:rFonts w:hint="eastAsia" w:ascii="仿宋_GB2312" w:hAnsi="仿宋_GB2312" w:eastAsia="仿宋_GB2312" w:cs="仿宋_GB2312"/>
        </w:rPr>
        <w:t>许伟伦明确采取货币补偿的方式对原权利人的物业进行搬（拆）迁补偿。双方协商确定货币补偿价款总金额为人民币300万元以及物业补偿面积为7300平方米壹栋高标厂房(此物业为房产计容面积，不含地下设备用房,建筑高度不超50米，层数8层，建筑基底面积不得低于900平</w:t>
      </w:r>
      <w:r>
        <w:rPr>
          <w:rFonts w:hint="eastAsia" w:ascii="仿宋_GB2312" w:hAnsi="仿宋_GB2312" w:eastAsia="仿宋_GB2312" w:cs="仿宋_GB2312"/>
          <w:lang w:eastAsia="zh-CN"/>
        </w:rPr>
        <w:t>方</w:t>
      </w:r>
      <w:r>
        <w:rPr>
          <w:rFonts w:hint="eastAsia" w:ascii="仿宋_GB2312" w:hAnsi="仿宋_GB2312" w:eastAsia="仿宋_GB2312" w:cs="仿宋_GB2312"/>
        </w:rPr>
        <w:t xml:space="preserve">米)。双方确认该补偿价款已包括了原权利人因本次搬（拆）迁应得的全部补偿、赔偿、补助等全部费用，改造主体不再就此次搬（拆）迁向原权利人支付其它任何费用。目前已支付补偿款200万元，剩余100万元按照补偿协议约定支付。 </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地块三根据补偿协议广东华鹰产业投资有限公司与周小慧、黄荣正、黄荣信明确采取货币补偿的方式对原权利人的物业进行搬（拆）迁补偿。双方协商确定货币补偿价款总金额为人民币1778.7万元(210万/亩，共计8.47亩)，双方确认该补偿价款已包括了原权利人因本次搬（拆）迁应得的全部补偿、赔偿、补助等全部费用，改造主体不再就</w:t>
      </w:r>
      <w:r>
        <w:rPr>
          <w:rFonts w:hint="eastAsia" w:eastAsia="仿宋_GB2312"/>
        </w:rPr>
        <w:t>此次搬（拆</w:t>
      </w:r>
      <w:r>
        <w:rPr>
          <w:rFonts w:hint="eastAsia" w:ascii="仿宋_GB2312" w:hAnsi="仿宋_GB2312" w:eastAsia="仿宋_GB2312" w:cs="仿宋_GB2312"/>
        </w:rPr>
        <w:t xml:space="preserve">）迁向原权利人支付其它任何费用。目前已支付补偿款100万元，剩余1678.7万元按照补偿协议约定支付。 </w:t>
      </w:r>
    </w:p>
    <w:p>
      <w:pPr>
        <w:adjustRightInd w:val="0"/>
        <w:snapToGrid w:val="0"/>
        <w:ind w:firstLine="640" w:firstLineChars="200"/>
        <w:rPr>
          <w:rFonts w:eastAsia="仿宋_GB2312"/>
        </w:rPr>
      </w:pPr>
      <w:r>
        <w:rPr>
          <w:rFonts w:hint="eastAsia" w:ascii="仿宋_GB2312" w:hAnsi="仿宋_GB2312" w:eastAsia="仿宋_GB2312" w:cs="仿宋_GB2312"/>
          <w:szCs w:val="22"/>
          <w:lang w:bidi="ar"/>
        </w:rPr>
        <w:t>地块四根据补偿协议广东华鹰产业投资</w:t>
      </w:r>
      <w:r>
        <w:rPr>
          <w:rFonts w:hint="eastAsia" w:ascii="等线" w:hAnsi="等线" w:eastAsia="仿宋_GB2312" w:cs="仿宋"/>
          <w:szCs w:val="32"/>
          <w:lang w:bidi="ar"/>
        </w:rPr>
        <w:t>有限公司与周小慧、黄荣正、黄荣信明确采取货币补偿的方式对原权利人的物业进行搬（拆）迁补偿。双方协商确定货币补偿价款总金额为人民币</w:t>
      </w:r>
      <w:r>
        <w:rPr>
          <w:rFonts w:ascii="仿宋_GB2312" w:hAnsi="仿宋_GB2312" w:eastAsia="仿宋_GB2312" w:cs="仿宋_GB2312"/>
          <w:spacing w:val="-6"/>
          <w:kern w:val="0"/>
          <w:szCs w:val="32"/>
          <w:lang w:bidi="ar"/>
        </w:rPr>
        <w:t>499.8万元(210万/亩，共计2.38亩)</w:t>
      </w:r>
      <w:r>
        <w:rPr>
          <w:rFonts w:hint="eastAsia" w:ascii="等线" w:hAnsi="等线" w:eastAsia="仿宋_GB2312" w:cs="仿宋"/>
          <w:szCs w:val="32"/>
          <w:lang w:bidi="ar"/>
        </w:rPr>
        <w:t>，双方确认该补偿价款已包括了原权利人因本次搬（拆）迁应得的全部补偿、赔偿、补助等全部费用，改造主体不再就此次搬（拆）迁向原权利人支付其它任何费用。目前已支付补偿款</w:t>
      </w:r>
      <w:r>
        <w:rPr>
          <w:rFonts w:ascii="仿宋_GB2312" w:hAnsi="仿宋_GB2312" w:eastAsia="仿宋_GB2312" w:cs="仿宋_GB2312"/>
          <w:spacing w:val="-6"/>
          <w:kern w:val="0"/>
          <w:szCs w:val="32"/>
          <w:lang w:bidi="ar"/>
        </w:rPr>
        <w:t>100万元</w:t>
      </w:r>
      <w:r>
        <w:rPr>
          <w:rFonts w:hint="eastAsia" w:ascii="等线" w:hAnsi="等线" w:eastAsia="仿宋_GB2312" w:cs="仿宋"/>
          <w:szCs w:val="32"/>
          <w:lang w:bidi="ar"/>
        </w:rPr>
        <w:t>，剩余</w:t>
      </w:r>
      <w:r>
        <w:rPr>
          <w:rFonts w:ascii="仿宋_GB2312" w:hAnsi="仿宋_GB2312" w:eastAsia="仿宋_GB2312" w:cs="仿宋_GB2312"/>
          <w:spacing w:val="-6"/>
          <w:kern w:val="0"/>
          <w:szCs w:val="32"/>
          <w:lang w:bidi="ar"/>
        </w:rPr>
        <w:t>399.8万元</w:t>
      </w:r>
      <w:r>
        <w:rPr>
          <w:rFonts w:hint="eastAsia" w:ascii="等线" w:hAnsi="等线" w:eastAsia="仿宋_GB2312" w:cs="仿宋"/>
          <w:szCs w:val="32"/>
          <w:lang w:bidi="ar"/>
        </w:rPr>
        <w:t>按照补偿协议约定支付。</w:t>
      </w:r>
      <w:r>
        <w:rPr>
          <w:rFonts w:hint="eastAsia" w:ascii="等线" w:hAnsi="等线" w:eastAsia="仿宋_GB2312" w:cs="Times New Roman"/>
          <w:szCs w:val="32"/>
          <w:lang w:bidi="ar"/>
        </w:rPr>
        <w:t xml:space="preserve"> </w:t>
      </w:r>
    </w:p>
    <w:p>
      <w:pPr>
        <w:adjustRightInd w:val="0"/>
        <w:snapToGrid w:val="0"/>
        <w:ind w:firstLine="640" w:firstLineChars="200"/>
        <w:rPr>
          <w:szCs w:val="32"/>
        </w:rPr>
      </w:pPr>
      <w:r>
        <w:rPr>
          <w:rFonts w:hint="eastAsia" w:eastAsia="仿宋_GB2312"/>
        </w:rPr>
        <w:t>地块五属纳入“三旧”改造范围整体利用的“三地”，涉及办理转用及征收手续，三乡镇人民政府正在制定补偿安置方案。</w:t>
      </w:r>
      <w:r>
        <w:rPr>
          <w:rFonts w:ascii="仿宋_GB2312" w:hAnsi="宋体" w:eastAsia="仿宋_GB2312" w:cs="宋体"/>
          <w:kern w:val="0"/>
          <w:szCs w:val="32"/>
        </w:rPr>
        <w:t xml:space="preserve"> </w:t>
      </w:r>
    </w:p>
    <w:p>
      <w:pPr>
        <w:pStyle w:val="4"/>
        <w:ind w:left="0" w:firstLine="616" w:firstLineChars="200"/>
        <w:rPr>
          <w:rFonts w:ascii="楷体" w:hAnsi="楷体" w:eastAsia="楷体" w:cs="楷体"/>
          <w:spacing w:val="-6"/>
        </w:rPr>
      </w:pPr>
      <w:r>
        <w:rPr>
          <w:rFonts w:hint="eastAsia" w:ascii="楷体" w:hAnsi="楷体" w:eastAsia="楷体" w:cs="楷体"/>
          <w:b w:val="0"/>
          <w:spacing w:val="-6"/>
        </w:rPr>
        <w:t>开展社会稳定风险评估情况</w:t>
      </w:r>
    </w:p>
    <w:p>
      <w:pPr>
        <w:adjustRightInd w:val="0"/>
        <w:snapToGrid w:val="0"/>
        <w:ind w:firstLine="640" w:firstLineChars="200"/>
        <w:rPr>
          <w:rFonts w:hint="eastAsia" w:ascii="仿宋_GB2312" w:hAnsi="仿宋_GB2312" w:eastAsia="仿宋_GB2312" w:cs="仿宋_GB2312"/>
          <w:b w:val="0"/>
          <w:bCs w:val="0"/>
          <w:spacing w:val="0"/>
        </w:rPr>
      </w:pPr>
      <w:r>
        <w:rPr>
          <w:rFonts w:hint="eastAsia" w:ascii="仿宋_GB2312" w:hAnsi="仿宋_GB2312" w:eastAsia="仿宋_GB2312" w:cs="仿宋_GB2312"/>
          <w:spacing w:val="0"/>
          <w:kern w:val="2"/>
          <w:szCs w:val="22"/>
        </w:rPr>
        <w:t>地块五（夹心地）</w:t>
      </w:r>
      <w:r>
        <w:rPr>
          <w:rFonts w:hint="eastAsia" w:ascii="仿宋_GB2312" w:hAnsi="仿宋_GB2312" w:eastAsia="仿宋_GB2312" w:cs="仿宋_GB2312"/>
          <w:kern w:val="2"/>
          <w:szCs w:val="22"/>
        </w:rPr>
        <w:t>需办理转用及征收手续</w:t>
      </w:r>
      <w:r>
        <w:rPr>
          <w:rFonts w:hint="eastAsia" w:ascii="仿宋_GB2312" w:hAnsi="仿宋_GB2312" w:eastAsia="仿宋_GB2312" w:cs="仿宋_GB2312"/>
          <w:spacing w:val="0"/>
          <w:szCs w:val="22"/>
          <w:lang w:bidi="ar-SA"/>
        </w:rPr>
        <w:t>0.0087公顷（87.14平方米，折合约0.13亩）</w:t>
      </w:r>
      <w:r>
        <w:rPr>
          <w:rFonts w:hint="eastAsia" w:ascii="仿宋_GB2312" w:hAnsi="仿宋_GB2312" w:eastAsia="仿宋_GB2312" w:cs="仿宋_GB2312"/>
          <w:color w:val="auto"/>
          <w:spacing w:val="0"/>
          <w:szCs w:val="22"/>
        </w:rPr>
        <w:t>，</w:t>
      </w:r>
      <w:r>
        <w:rPr>
          <w:rFonts w:hint="eastAsia" w:ascii="仿宋_GB2312" w:hAnsi="仿宋_GB2312" w:eastAsia="仿宋_GB2312" w:cs="仿宋_GB2312"/>
          <w:color w:val="auto"/>
          <w:spacing w:val="0"/>
          <w:szCs w:val="22"/>
          <w:lang w:eastAsia="zh-CN"/>
        </w:rPr>
        <w:t>三乡镇政府</w:t>
      </w:r>
      <w:r>
        <w:rPr>
          <w:rFonts w:hint="eastAsia" w:ascii="仿宋_GB2312" w:hAnsi="仿宋_GB2312" w:eastAsia="仿宋_GB2312" w:cs="仿宋_GB2312"/>
          <w:kern w:val="2"/>
          <w:szCs w:val="22"/>
        </w:rPr>
        <w:t>正在按规定开展社会稳定风险评估。</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改造主体及拟改造情况</w:t>
      </w:r>
    </w:p>
    <w:p>
      <w:pPr>
        <w:rPr>
          <w:rFonts w:eastAsia="仿宋_GB2312"/>
        </w:rPr>
      </w:pPr>
      <w:r>
        <w:rPr>
          <w:rFonts w:hint="eastAsia" w:eastAsia="仿宋_GB2312"/>
        </w:rPr>
        <w:t>根据有关规划要求，改造项目将严格按照国土空间规划控制性详细规划管控要求实施建设。在控规中属道路和绿地等公益性用地部分，日后属地政府按规划开发建设时，应无偿将用地交给属地政府使用。</w:t>
      </w:r>
    </w:p>
    <w:p>
      <w:pPr>
        <w:rPr>
          <w:rFonts w:hint="eastAsia" w:eastAsia="仿宋_GB2312"/>
        </w:rPr>
      </w:pPr>
      <w:r>
        <w:rPr>
          <w:rFonts w:hint="eastAsia" w:eastAsia="仿宋_GB2312"/>
        </w:rPr>
        <w:t>该改造项目属“工改工”单一主体归宗项目，由广东华鹰产业投资有限公司作为改造主体实施全面改造。</w:t>
      </w:r>
    </w:p>
    <w:p>
      <w:pPr>
        <w:rPr>
          <w:rFonts w:hint="eastAsia" w:ascii="仿宋_GB2312" w:hAnsi="仿宋_GB2312" w:eastAsia="仿宋_GB2312" w:cs="仿宋_GB2312"/>
        </w:rPr>
      </w:pPr>
      <w:r>
        <w:rPr>
          <w:rFonts w:hint="eastAsia" w:eastAsia="仿宋_GB2312"/>
        </w:rPr>
        <w:t>改造后将用于工业用途，规划打造一个集高新智能制造装备、新材料、打印耗材等新型产业于一体多元化复合型的现代化产业园区。在符合详细规划的基础上，容积</w:t>
      </w:r>
      <w:r>
        <w:rPr>
          <w:rFonts w:hint="eastAsia" w:ascii="仿宋_GB2312" w:hAnsi="仿宋_GB2312" w:eastAsia="仿宋_GB2312" w:cs="仿宋_GB2312"/>
        </w:rPr>
        <w:t>率不小于2.</w:t>
      </w:r>
      <w:r>
        <w:rPr>
          <w:rFonts w:hint="eastAsia" w:ascii="仿宋_GB2312" w:hAnsi="仿宋_GB2312" w:eastAsia="仿宋_GB2312" w:cs="仿宋_GB2312"/>
          <w:lang w:eastAsia="zh-CN"/>
        </w:rPr>
        <w:t>5</w:t>
      </w:r>
      <w:r>
        <w:rPr>
          <w:rFonts w:hint="eastAsia" w:ascii="仿宋_GB2312" w:hAnsi="仿宋_GB2312" w:eastAsia="仿宋_GB2312" w:cs="仿宋_GB2312"/>
        </w:rPr>
        <w:t>，总建筑面积不小于55624.8</w:t>
      </w:r>
      <w:r>
        <w:rPr>
          <w:rFonts w:hint="eastAsia" w:ascii="仿宋_GB2312" w:hAnsi="仿宋_GB2312" w:eastAsia="仿宋_GB2312" w:cs="仿宋_GB2312"/>
          <w:lang w:val="en-US" w:eastAsia="zh-CN"/>
        </w:rPr>
        <w:t>8</w:t>
      </w:r>
      <w:r>
        <w:rPr>
          <w:rFonts w:hint="eastAsia" w:ascii="仿宋_GB2312" w:hAnsi="仿宋_GB2312" w:eastAsia="仿宋_GB2312" w:cs="仿宋_GB2312"/>
        </w:rPr>
        <w:t>平方米，其中新建建筑面积不少于55624.8</w:t>
      </w:r>
      <w:r>
        <w:rPr>
          <w:rFonts w:hint="eastAsia" w:ascii="仿宋_GB2312" w:hAnsi="仿宋_GB2312" w:eastAsia="仿宋_GB2312" w:cs="仿宋_GB2312"/>
          <w:lang w:val="en-US" w:eastAsia="zh-CN"/>
        </w:rPr>
        <w:t>8</w:t>
      </w:r>
      <w:r>
        <w:rPr>
          <w:rFonts w:hint="eastAsia" w:ascii="仿宋_GB2312" w:hAnsi="仿宋_GB2312" w:eastAsia="仿宋_GB2312" w:cs="仿宋_GB2312"/>
        </w:rPr>
        <w:t>平方米(最终容积率及拟建面积以规划许可证批复为准。最终规划方案总平面图及单体图以规划许可证及施工许可证批复为准)，不保留原建筑物。</w:t>
      </w:r>
    </w:p>
    <w:p>
      <w:pPr>
        <w:rPr>
          <w:rFonts w:hint="eastAsia" w:ascii="仿宋_GB2312" w:hAnsi="仿宋_GB2312" w:eastAsia="仿宋_GB2312" w:cs="仿宋_GB2312"/>
        </w:rPr>
      </w:pPr>
      <w:r>
        <w:rPr>
          <w:rFonts w:hint="eastAsia" w:eastAsia="仿宋_GB2312"/>
        </w:rPr>
        <w:t>项目情</w:t>
      </w:r>
      <w:r>
        <w:rPr>
          <w:rFonts w:hint="eastAsia" w:ascii="仿宋_GB2312" w:hAnsi="仿宋_GB2312" w:eastAsia="仿宋_GB2312" w:cs="仿宋_GB2312"/>
        </w:rPr>
        <w:t>况符合国家《产业结构调整指导目录》、《中山市“三线一单”生态环境分区管控方案》、《中山市涉挥发性有机物项目环保管理规定》。改造后年产值将达到20022万元（约600万元/亩），年税收将达到1001.1万元（约30万元/亩）。</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需办理的用地手续</w:t>
      </w:r>
    </w:p>
    <w:p>
      <w:pPr>
        <w:pStyle w:val="4"/>
        <w:ind w:left="0" w:firstLine="640" w:firstLineChars="200"/>
        <w:rPr>
          <w:rFonts w:ascii="楷体" w:hAnsi="楷体" w:eastAsia="楷体" w:cs="楷体"/>
          <w:b w:val="0"/>
          <w:bCs w:val="0"/>
          <w:spacing w:val="-6"/>
          <w:kern w:val="0"/>
        </w:rPr>
      </w:pPr>
      <w:r>
        <w:rPr>
          <w:rFonts w:hint="eastAsia"/>
          <w:b w:val="0"/>
        </w:rPr>
        <w:t>不动产注销登记</w:t>
      </w:r>
    </w:p>
    <w:p>
      <w:pPr>
        <w:adjustRightInd w:val="0"/>
        <w:snapToGrid w:val="0"/>
        <w:ind w:firstLine="640" w:firstLineChars="200"/>
        <w:rPr>
          <w:rFonts w:hint="eastAsia" w:ascii="仿宋_GB2312" w:hAnsi="仿宋_GB2312" w:eastAsia="仿宋_GB2312" w:cs="仿宋_GB2312"/>
        </w:rPr>
      </w:pPr>
      <w:r>
        <w:rPr>
          <w:rFonts w:hint="eastAsia" w:eastAsia="仿宋_GB2312"/>
        </w:rPr>
        <w:t>地块一、</w:t>
      </w:r>
      <w:r>
        <w:rPr>
          <w:rFonts w:hint="eastAsia" w:ascii="仿宋_GB2312" w:hAnsi="仿宋_GB2312" w:eastAsia="仿宋_GB2312" w:cs="仿宋_GB2312"/>
        </w:rPr>
        <w:t>地块二、地块三、地块四</w:t>
      </w:r>
      <w:r>
        <w:rPr>
          <w:rFonts w:hint="eastAsia" w:ascii="仿宋_GB2312" w:hAnsi="仿宋_GB2312" w:eastAsia="仿宋_GB2312" w:cs="仿宋_GB2312"/>
          <w:lang w:eastAsia="zh-CN"/>
        </w:rPr>
        <w:t>合计</w:t>
      </w:r>
      <w:r>
        <w:rPr>
          <w:rFonts w:hint="eastAsia" w:ascii="仿宋_GB2312" w:hAnsi="仿宋_GB2312" w:eastAsia="仿宋_GB2312" w:cs="仿宋_GB2312"/>
        </w:rPr>
        <w:t>2.39公顷（23890.85平方米，折合约35.84亩）国有工业用地，凭经批准的改造方案及批复等材料办理不动产注销登记手续。</w:t>
      </w:r>
    </w:p>
    <w:p>
      <w:pPr>
        <w:adjustRightInd w:val="0"/>
        <w:snapToGrid w:val="0"/>
        <w:ind w:left="0"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rPr>
        <w:t>办理集体土地完善转用、征收手续</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根据《广东省旧城镇旧厂房旧村庄改造管理办法》（粤府令第279号）《广东省“三旧”改造标图入库和用地报批工作指引（2021年版）（粤自然资函）〔2021〕935号》相关规定，“三地”符合办理转用、征收手续的要求。地块五（夹心地）0.0087公顷（87.14平方米，折合约0.13亩）需办理转用、征收手续</w:t>
      </w:r>
      <w:r>
        <w:rPr>
          <w:rFonts w:hint="eastAsia" w:ascii="仿宋_GB2312" w:hAnsi="仿宋_GB2312" w:eastAsia="仿宋_GB2312" w:cs="仿宋_GB2312"/>
          <w:spacing w:val="0"/>
          <w:sz w:val="32"/>
          <w:szCs w:val="22"/>
        </w:rPr>
        <w:t>（具体土地面积以办理用地手续时的测量图纸为准）</w:t>
      </w:r>
      <w:r>
        <w:rPr>
          <w:rFonts w:hint="eastAsia" w:ascii="仿宋_GB2312" w:hAnsi="仿宋_GB2312" w:eastAsia="仿宋_GB2312" w:cs="仿宋_GB2312"/>
        </w:rPr>
        <w:t>。</w:t>
      </w:r>
    </w:p>
    <w:p>
      <w:pPr>
        <w:pStyle w:val="4"/>
        <w:ind w:left="0" w:firstLine="640" w:firstLineChars="200"/>
        <w:rPr>
          <w:rFonts w:ascii="楷体" w:hAnsi="楷体" w:eastAsia="楷体" w:cs="楷体"/>
          <w:b w:val="0"/>
          <w:bCs w:val="0"/>
          <w:spacing w:val="-6"/>
          <w:kern w:val="0"/>
        </w:rPr>
      </w:pPr>
      <w:r>
        <w:rPr>
          <w:rFonts w:hint="eastAsia"/>
          <w:b w:val="0"/>
        </w:rPr>
        <w:t>土地供应</w:t>
      </w:r>
    </w:p>
    <w:p>
      <w:pPr>
        <w:rPr>
          <w:rFonts w:ascii="仿宋_GB2312" w:hAnsi="宋体" w:cs="宋体"/>
          <w:kern w:val="0"/>
          <w:szCs w:val="32"/>
        </w:rPr>
      </w:pPr>
      <w:r>
        <w:rPr>
          <w:rFonts w:hint="eastAsia" w:ascii="仿宋_GB2312" w:hAnsi="仿宋_GB2312" w:eastAsia="仿宋_GB2312" w:cs="仿宋_GB2312"/>
        </w:rPr>
        <w:t>根据《广东省旧城镇旧厂房旧村庄改造管理办法》（粤府令第279号）第二十六条规定，改造地块符合协议出让的条件。地块一、地块二、地块三、地块四不动产注销登记办结后及地块五（夹心地）办理转用、征收手续后，依据《中山市三乡镇白水林片区(2208单元)02、06街区SXBSL04-07至04-15 地块控制性详细规划局部调整》（在编），2.2249公顷（22249.95平方米，折合约33.37亩）一类工业用地拟采用协议出让方式按容积率1.0-3.5供地给广东华鹰产业投资有限公司；0.0858公顷（857.90平方米，折合约1.29亩）道路用地和0.0870公顷0.0870公顷（870.14平方米，折合约1.31亩）防护绿地拟采用划拨方式供地给三乡镇人民政府（具体</w:t>
      </w:r>
      <w:r>
        <w:rPr>
          <w:rFonts w:hint="eastAsia" w:ascii="仿宋_GB2312" w:hAnsi="仿宋_GB2312" w:eastAsia="仿宋_GB2312" w:cs="仿宋_GB2312"/>
          <w:lang w:eastAsia="zh-CN"/>
        </w:rPr>
        <w:t>土地</w:t>
      </w:r>
      <w:r>
        <w:rPr>
          <w:rFonts w:hint="eastAsia" w:ascii="仿宋_GB2312" w:hAnsi="仿宋_GB2312" w:eastAsia="仿宋_GB2312" w:cs="仿宋_GB2312"/>
        </w:rPr>
        <w:t>面积以届时供地测量图纸确定的为准）</w:t>
      </w:r>
      <w:r>
        <w:rPr>
          <w:rFonts w:eastAsia="仿宋_GB2312"/>
        </w:rPr>
        <w:t>。</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资金筹措</w:t>
      </w:r>
    </w:p>
    <w:p>
      <w:pPr>
        <w:rPr>
          <w:rFonts w:hint="eastAsia" w:ascii="仿宋_GB2312" w:hAnsi="仿宋_GB2312" w:eastAsia="仿宋_GB2312" w:cs="仿宋_GB2312"/>
        </w:rPr>
      </w:pPr>
      <w:r>
        <w:rPr>
          <w:rFonts w:hint="eastAsia" w:eastAsia="仿宋_GB2312"/>
          <w:spacing w:val="-6"/>
        </w:rPr>
        <w:t>项目改造总投入预计为</w:t>
      </w:r>
      <w:r>
        <w:rPr>
          <w:rFonts w:hint="eastAsia" w:ascii="仿宋_GB2312" w:hAnsi="仿宋_GB2312" w:eastAsia="仿宋_GB2312" w:cs="仿宋_GB2312"/>
          <w:spacing w:val="0"/>
        </w:rPr>
        <w:t>1</w:t>
      </w:r>
      <w:r>
        <w:rPr>
          <w:rFonts w:hint="eastAsia" w:ascii="仿宋_GB2312" w:hAnsi="仿宋_GB2312" w:eastAsia="仿宋_GB2312" w:cs="仿宋_GB2312"/>
          <w:spacing w:val="0"/>
          <w:lang w:val="en-US" w:eastAsia="zh-CN"/>
        </w:rPr>
        <w:t>.</w:t>
      </w:r>
      <w:r>
        <w:rPr>
          <w:rFonts w:hint="eastAsia" w:ascii="仿宋_GB2312" w:hAnsi="仿宋_GB2312" w:eastAsia="仿宋_GB2312" w:cs="仿宋_GB2312"/>
          <w:spacing w:val="0"/>
        </w:rPr>
        <w:t>3348亿元</w:t>
      </w:r>
      <w:r>
        <w:rPr>
          <w:rFonts w:hint="eastAsia" w:ascii="仿宋_GB2312" w:hAnsi="仿宋_GB2312" w:eastAsia="仿宋_GB2312" w:cs="仿宋_GB2312"/>
          <w:spacing w:val="0"/>
          <w:lang w:val="en-US" w:eastAsia="zh-CN"/>
        </w:rPr>
        <w:t>(</w:t>
      </w:r>
      <w:r>
        <w:rPr>
          <w:rFonts w:hint="eastAsia" w:ascii="仿宋_GB2312" w:hAnsi="仿宋_GB2312" w:eastAsia="仿宋_GB2312" w:cs="仿宋_GB2312"/>
        </w:rPr>
        <w:t>约</w:t>
      </w:r>
      <w:r>
        <w:rPr>
          <w:rFonts w:hint="eastAsia" w:ascii="仿宋_GB2312" w:hAnsi="仿宋_GB2312" w:eastAsia="仿宋_GB2312" w:cs="仿宋_GB2312"/>
          <w:lang w:val="en-US" w:eastAsia="zh-CN"/>
        </w:rPr>
        <w:t>400</w:t>
      </w:r>
      <w:r>
        <w:rPr>
          <w:rFonts w:hint="eastAsia" w:ascii="仿宋_GB2312" w:hAnsi="仿宋_GB2312" w:eastAsia="仿宋_GB2312" w:cs="仿宋_GB2312"/>
        </w:rPr>
        <w:t>万元/亩）</w:t>
      </w:r>
      <w:r>
        <w:rPr>
          <w:rFonts w:hint="eastAsia" w:ascii="仿宋_GB2312" w:hAnsi="仿宋_GB2312" w:eastAsia="仿宋_GB2312" w:cs="仿宋_GB2312"/>
          <w:spacing w:val="0"/>
        </w:rPr>
        <w:t>，由改造主体单方全额出资。其中自有资金1.2亿元，银行借贷约0.</w:t>
      </w:r>
      <w:r>
        <w:rPr>
          <w:rFonts w:hint="eastAsia" w:ascii="仿宋_GB2312" w:hAnsi="仿宋_GB2312" w:eastAsia="仿宋_GB2312" w:cs="仿宋_GB2312"/>
          <w:spacing w:val="0"/>
          <w:lang w:val="en-US" w:eastAsia="zh-CN"/>
        </w:rPr>
        <w:t>1348</w:t>
      </w:r>
      <w:r>
        <w:rPr>
          <w:rFonts w:hint="eastAsia" w:ascii="仿宋_GB2312" w:hAnsi="仿宋_GB2312" w:eastAsia="仿宋_GB2312" w:cs="仿宋_GB2312"/>
          <w:spacing w:val="0"/>
        </w:rPr>
        <w:t>亿元</w:t>
      </w:r>
      <w:r>
        <w:rPr>
          <w:rFonts w:hint="eastAsia" w:ascii="仿宋_GB2312" w:hAnsi="仿宋_GB2312" w:eastAsia="仿宋_GB2312" w:cs="仿宋_GB2312"/>
          <w:color w:val="auto"/>
        </w:rPr>
        <w:t>，最终以项目实际运营为准</w:t>
      </w:r>
      <w:r>
        <w:rPr>
          <w:rFonts w:hint="eastAsia" w:ascii="仿宋_GB2312" w:hAnsi="仿宋_GB2312" w:eastAsia="仿宋_GB2312" w:cs="仿宋_GB2312"/>
        </w:rPr>
        <w:t>。</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开发时序</w:t>
      </w:r>
    </w:p>
    <w:p>
      <w:pPr>
        <w:rPr>
          <w:rFonts w:hint="eastAsia" w:ascii="仿宋_GB2312" w:hAnsi="仿宋_GB2312" w:eastAsia="仿宋_GB2312" w:cs="仿宋_GB2312"/>
          <w:kern w:val="2"/>
          <w:szCs w:val="22"/>
        </w:rPr>
      </w:pPr>
      <w:r>
        <w:rPr>
          <w:rFonts w:hint="eastAsia" w:eastAsia="仿宋_GB2312"/>
        </w:rPr>
        <w:t>项目开发</w:t>
      </w:r>
      <w:r>
        <w:rPr>
          <w:rFonts w:hint="eastAsia" w:ascii="仿宋_GB2312" w:hAnsi="仿宋_GB2312" w:eastAsia="仿宋_GB2312" w:cs="仿宋_GB2312"/>
        </w:rPr>
        <w:t>周期为</w:t>
      </w:r>
      <w:r>
        <w:rPr>
          <w:rFonts w:hint="eastAsia" w:ascii="仿宋_GB2312" w:hAnsi="仿宋_GB2312" w:eastAsia="仿宋_GB2312" w:cs="仿宋_GB2312"/>
          <w:lang w:eastAsia="zh-CN"/>
        </w:rPr>
        <w:t>2</w:t>
      </w:r>
      <w:r>
        <w:rPr>
          <w:rFonts w:hint="eastAsia" w:ascii="仿宋_GB2312" w:hAnsi="仿宋_GB2312" w:eastAsia="仿宋_GB2312" w:cs="仿宋_GB2312"/>
        </w:rPr>
        <w:t>年，自土地交付之日起182日内动工，自动工之日起730日内竣工，土地自签订土地出让合同之日起1个月内交付。</w:t>
      </w:r>
    </w:p>
    <w:p>
      <w:pPr>
        <w:pStyle w:val="3"/>
        <w:ind w:firstLine="616"/>
        <w:rPr>
          <w:rFonts w:ascii="黑体" w:hAnsi="黑体" w:cs="黑体"/>
          <w:b w:val="0"/>
          <w:bCs w:val="0"/>
          <w:spacing w:val="-6"/>
          <w:kern w:val="0"/>
          <w:sz w:val="32"/>
          <w:szCs w:val="32"/>
        </w:rPr>
      </w:pPr>
      <w:r>
        <w:rPr>
          <w:rFonts w:hint="eastAsia" w:ascii="黑体" w:hAnsi="黑体" w:cs="黑体"/>
          <w:b w:val="0"/>
          <w:bCs w:val="0"/>
          <w:spacing w:val="-6"/>
          <w:kern w:val="0"/>
          <w:sz w:val="32"/>
          <w:szCs w:val="32"/>
        </w:rPr>
        <w:t>实施监管</w:t>
      </w:r>
    </w:p>
    <w:p>
      <w:pPr>
        <w:rPr>
          <w:rFonts w:eastAsia="仿宋_GB2312"/>
        </w:rPr>
      </w:pPr>
      <w:r>
        <w:rPr>
          <w:rFonts w:hint="eastAsia" w:eastAsia="仿宋_GB2312"/>
        </w:rPr>
        <w:t>详见三乡镇人民政府与改造主签订的项目实施监管协议。</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pStyle w:val="3"/>
      <w:suff w:val="nothing"/>
      <w:lvlText w:val="%1、"/>
      <w:lvlJc w:val="left"/>
      <w:pPr>
        <w:ind w:left="425" w:hanging="425"/>
      </w:pPr>
      <w:rPr>
        <w:rFonts w:hint="eastAsia"/>
      </w:rPr>
    </w:lvl>
    <w:lvl w:ilvl="1" w:tentative="0">
      <w:start w:val="1"/>
      <w:numFmt w:val="chineseCountingThousand"/>
      <w:pStyle w:val="4"/>
      <w:suff w:val="nothing"/>
      <w:lvlText w:val="（%2）"/>
      <w:lvlJc w:val="left"/>
      <w:pPr>
        <w:ind w:left="425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yZGZjYWZhMTE5MDdjN2M1NmY2Y2RjMjkzZDllOTAifQ=="/>
  </w:docVars>
  <w:rsids>
    <w:rsidRoot w:val="00172A27"/>
    <w:rsid w:val="0000279B"/>
    <w:rsid w:val="00087722"/>
    <w:rsid w:val="0009148E"/>
    <w:rsid w:val="000A6B7C"/>
    <w:rsid w:val="000B050A"/>
    <w:rsid w:val="000D5E61"/>
    <w:rsid w:val="000E223A"/>
    <w:rsid w:val="00132CC0"/>
    <w:rsid w:val="00172A27"/>
    <w:rsid w:val="001861CC"/>
    <w:rsid w:val="001B7FDB"/>
    <w:rsid w:val="001C58C5"/>
    <w:rsid w:val="001C7A94"/>
    <w:rsid w:val="001D5AF0"/>
    <w:rsid w:val="002111C2"/>
    <w:rsid w:val="00234C86"/>
    <w:rsid w:val="002A7F40"/>
    <w:rsid w:val="0031591A"/>
    <w:rsid w:val="00375CA6"/>
    <w:rsid w:val="00381271"/>
    <w:rsid w:val="003D7844"/>
    <w:rsid w:val="003F2897"/>
    <w:rsid w:val="003F6907"/>
    <w:rsid w:val="00417B9D"/>
    <w:rsid w:val="004B5E6C"/>
    <w:rsid w:val="004D6A11"/>
    <w:rsid w:val="004F2308"/>
    <w:rsid w:val="005035D1"/>
    <w:rsid w:val="00561C0E"/>
    <w:rsid w:val="005621B6"/>
    <w:rsid w:val="005903CD"/>
    <w:rsid w:val="005A614C"/>
    <w:rsid w:val="005B39BF"/>
    <w:rsid w:val="005D4D50"/>
    <w:rsid w:val="00603381"/>
    <w:rsid w:val="00664AD0"/>
    <w:rsid w:val="00670DA1"/>
    <w:rsid w:val="0068404B"/>
    <w:rsid w:val="00686B29"/>
    <w:rsid w:val="00687175"/>
    <w:rsid w:val="0069503B"/>
    <w:rsid w:val="006A29C1"/>
    <w:rsid w:val="006C4387"/>
    <w:rsid w:val="006F21FF"/>
    <w:rsid w:val="00711BF1"/>
    <w:rsid w:val="00721B01"/>
    <w:rsid w:val="00732810"/>
    <w:rsid w:val="00751BE2"/>
    <w:rsid w:val="007617E3"/>
    <w:rsid w:val="00771371"/>
    <w:rsid w:val="00794641"/>
    <w:rsid w:val="007C2CDF"/>
    <w:rsid w:val="007C752F"/>
    <w:rsid w:val="007F652B"/>
    <w:rsid w:val="00840EA6"/>
    <w:rsid w:val="00855CBD"/>
    <w:rsid w:val="008B2A41"/>
    <w:rsid w:val="008C1E72"/>
    <w:rsid w:val="008C4798"/>
    <w:rsid w:val="008C542E"/>
    <w:rsid w:val="0090053E"/>
    <w:rsid w:val="00902B82"/>
    <w:rsid w:val="00920712"/>
    <w:rsid w:val="00926FCF"/>
    <w:rsid w:val="00930F9D"/>
    <w:rsid w:val="00933BF3"/>
    <w:rsid w:val="00941E2B"/>
    <w:rsid w:val="00996300"/>
    <w:rsid w:val="009B6F87"/>
    <w:rsid w:val="009C4868"/>
    <w:rsid w:val="009E2E09"/>
    <w:rsid w:val="009E3620"/>
    <w:rsid w:val="009F5EEE"/>
    <w:rsid w:val="00A93BCF"/>
    <w:rsid w:val="00A97D40"/>
    <w:rsid w:val="00AA0051"/>
    <w:rsid w:val="00AA4032"/>
    <w:rsid w:val="00B0193A"/>
    <w:rsid w:val="00B13248"/>
    <w:rsid w:val="00B2458D"/>
    <w:rsid w:val="00B33318"/>
    <w:rsid w:val="00B35506"/>
    <w:rsid w:val="00B45F31"/>
    <w:rsid w:val="00BB7A48"/>
    <w:rsid w:val="00BE628A"/>
    <w:rsid w:val="00BF5D2F"/>
    <w:rsid w:val="00C3469E"/>
    <w:rsid w:val="00C45ADC"/>
    <w:rsid w:val="00C62ECC"/>
    <w:rsid w:val="00C775E6"/>
    <w:rsid w:val="00CC67AA"/>
    <w:rsid w:val="00CD0A08"/>
    <w:rsid w:val="00CD4468"/>
    <w:rsid w:val="00CE437F"/>
    <w:rsid w:val="00D1505F"/>
    <w:rsid w:val="00D17CD7"/>
    <w:rsid w:val="00D510DD"/>
    <w:rsid w:val="00D62489"/>
    <w:rsid w:val="00D769B1"/>
    <w:rsid w:val="00D848A8"/>
    <w:rsid w:val="00D92E8E"/>
    <w:rsid w:val="00DA797C"/>
    <w:rsid w:val="00DB33B4"/>
    <w:rsid w:val="00DD2710"/>
    <w:rsid w:val="00DF0315"/>
    <w:rsid w:val="00DF62BF"/>
    <w:rsid w:val="00E11161"/>
    <w:rsid w:val="00E16E53"/>
    <w:rsid w:val="00E52DCC"/>
    <w:rsid w:val="00E9654D"/>
    <w:rsid w:val="00EA2546"/>
    <w:rsid w:val="00EB0E15"/>
    <w:rsid w:val="00EE58DF"/>
    <w:rsid w:val="00EE7F89"/>
    <w:rsid w:val="00F001C9"/>
    <w:rsid w:val="00F30348"/>
    <w:rsid w:val="00F30877"/>
    <w:rsid w:val="00F346F9"/>
    <w:rsid w:val="00FA7242"/>
    <w:rsid w:val="00FB7544"/>
    <w:rsid w:val="00FE7896"/>
    <w:rsid w:val="09EA3258"/>
    <w:rsid w:val="1017394C"/>
    <w:rsid w:val="130B1520"/>
    <w:rsid w:val="14E83C4D"/>
    <w:rsid w:val="1B9D574E"/>
    <w:rsid w:val="1FB05F1A"/>
    <w:rsid w:val="1FFE7DBD"/>
    <w:rsid w:val="278F25ED"/>
    <w:rsid w:val="28551B2C"/>
    <w:rsid w:val="2D7C30AE"/>
    <w:rsid w:val="2EAB4B24"/>
    <w:rsid w:val="38DF62C3"/>
    <w:rsid w:val="39E8110F"/>
    <w:rsid w:val="3B0F202E"/>
    <w:rsid w:val="404644FC"/>
    <w:rsid w:val="40D54856"/>
    <w:rsid w:val="42A60853"/>
    <w:rsid w:val="445E4D82"/>
    <w:rsid w:val="491A36BD"/>
    <w:rsid w:val="4AF8659B"/>
    <w:rsid w:val="4BA8772B"/>
    <w:rsid w:val="4BB40583"/>
    <w:rsid w:val="4D6C0FAE"/>
    <w:rsid w:val="4FF85B9E"/>
    <w:rsid w:val="51132C90"/>
    <w:rsid w:val="51B15CB4"/>
    <w:rsid w:val="53175ACC"/>
    <w:rsid w:val="5496535D"/>
    <w:rsid w:val="56032355"/>
    <w:rsid w:val="5C7452D7"/>
    <w:rsid w:val="5FDC55D3"/>
    <w:rsid w:val="613E7277"/>
    <w:rsid w:val="65CE3D15"/>
    <w:rsid w:val="66BA13D4"/>
    <w:rsid w:val="67CD5479"/>
    <w:rsid w:val="6C761EBB"/>
    <w:rsid w:val="6EE37EE4"/>
    <w:rsid w:val="730A2AB9"/>
    <w:rsid w:val="78F8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4" w:lineRule="exact"/>
      <w:ind w:firstLine="618"/>
      <w:jc w:val="both"/>
    </w:pPr>
    <w:rPr>
      <w:rFonts w:eastAsia="仿宋" w:asciiTheme="minorHAnsi" w:hAnsiTheme="minorHAnsi" w:cstheme="minorBidi"/>
      <w:kern w:val="2"/>
      <w:sz w:val="32"/>
      <w:szCs w:val="22"/>
      <w:lang w:val="en-US" w:eastAsia="zh-CN" w:bidi="ar-SA"/>
    </w:rPr>
  </w:style>
  <w:style w:type="paragraph" w:styleId="3">
    <w:name w:val="heading 1"/>
    <w:basedOn w:val="1"/>
    <w:next w:val="1"/>
    <w:link w:val="10"/>
    <w:qFormat/>
    <w:uiPriority w:val="0"/>
    <w:pPr>
      <w:keepNext/>
      <w:keepLines/>
      <w:numPr>
        <w:ilvl w:val="0"/>
        <w:numId w:val="1"/>
      </w:numPr>
      <w:outlineLvl w:val="0"/>
    </w:pPr>
    <w:rPr>
      <w:rFonts w:ascii="Times New Roman" w:hAnsi="Times New Roman" w:eastAsia="黑体" w:cs="Times New Roman"/>
      <w:b/>
      <w:bCs/>
      <w:kern w:val="44"/>
      <w:sz w:val="28"/>
      <w:szCs w:val="44"/>
    </w:rPr>
  </w:style>
  <w:style w:type="paragraph" w:styleId="4">
    <w:name w:val="heading 2"/>
    <w:basedOn w:val="1"/>
    <w:next w:val="1"/>
    <w:link w:val="11"/>
    <w:qFormat/>
    <w:uiPriority w:val="0"/>
    <w:pPr>
      <w:keepNext/>
      <w:keepLines/>
      <w:numPr>
        <w:ilvl w:val="1"/>
        <w:numId w:val="1"/>
      </w:numPr>
      <w:outlineLvl w:val="1"/>
      <w:pPrChange w:id="0" w:author="Yongmei Chang/省建科" w:date="2024-04-28T20:09:00Z">
        <w:pPr>
          <w:keepNext/>
          <w:keepLines/>
          <w:widowControl w:val="0"/>
          <w:numPr>
            <w:ilvl w:val="1"/>
            <w:numId w:val="1"/>
          </w:numPr>
          <w:spacing w:line="574" w:lineRule="exact"/>
          <w:ind w:left="4252" w:hanging="567"/>
          <w:jc w:val="both"/>
          <w:outlineLvl w:val="1"/>
        </w:pPr>
      </w:pPrChange>
    </w:pPr>
    <w:rPr>
      <w:rFonts w:ascii="Times New Roman" w:hAnsi="Times New Roman" w:eastAsia="楷体_GB2312" w:cs="Times New Roman"/>
      <w:b/>
      <w:bCs/>
      <w:szCs w:val="32"/>
      <w:rPrChange w:id="1" w:author="Yongmei Chang/省建科" w:date="2024-04-28T20:09:00Z">
        <w:rPr>
          <w:rFonts w:eastAsia="楷体_GB2312"/>
          <w:b/>
          <w:bCs/>
          <w:kern w:val="2"/>
          <w:sz w:val="28"/>
          <w:szCs w:val="32"/>
          <w:lang w:val="en-US" w:eastAsia="zh-CN" w:bidi="ar-SA"/>
        </w:rPr>
      </w:rPrChang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widowControl/>
      <w:spacing w:before="120" w:after="100" w:afterAutospacing="1"/>
    </w:pPr>
    <w:rPr>
      <w:rFonts w:ascii="Arial" w:hAnsi="Arial" w:eastAsia="宋体" w:cs="Arial"/>
      <w:sz w:val="24"/>
      <w:szCs w:val="24"/>
      <w:lang w:bidi="gu-IN"/>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customStyle="1" w:styleId="10">
    <w:name w:val="标题 1 字符"/>
    <w:basedOn w:val="9"/>
    <w:link w:val="3"/>
    <w:qFormat/>
    <w:uiPriority w:val="0"/>
    <w:rPr>
      <w:rFonts w:ascii="Times New Roman" w:hAnsi="Times New Roman" w:eastAsia="黑体" w:cs="Times New Roman"/>
      <w:b/>
      <w:bCs/>
      <w:kern w:val="44"/>
      <w:sz w:val="28"/>
      <w:szCs w:val="44"/>
    </w:rPr>
  </w:style>
  <w:style w:type="character" w:customStyle="1" w:styleId="11">
    <w:name w:val="标题 2 字符"/>
    <w:basedOn w:val="9"/>
    <w:link w:val="4"/>
    <w:qFormat/>
    <w:uiPriority w:val="0"/>
    <w:rPr>
      <w:rFonts w:eastAsia="楷体_GB2312"/>
      <w:b/>
      <w:bCs/>
      <w:kern w:val="2"/>
      <w:sz w:val="32"/>
      <w:szCs w:val="32"/>
    </w:rPr>
  </w:style>
  <w:style w:type="paragraph" w:customStyle="1" w:styleId="1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3">
    <w:name w:val="页眉 字符"/>
    <w:basedOn w:val="9"/>
    <w:link w:val="6"/>
    <w:qFormat/>
    <w:uiPriority w:val="99"/>
    <w:rPr>
      <w:rFonts w:eastAsia="仿宋"/>
      <w:sz w:val="18"/>
      <w:szCs w:val="18"/>
    </w:rPr>
  </w:style>
  <w:style w:type="character" w:customStyle="1" w:styleId="14">
    <w:name w:val="页脚 字符"/>
    <w:basedOn w:val="9"/>
    <w:link w:val="5"/>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3899</Words>
  <Characters>4520</Characters>
  <Lines>32</Lines>
  <Paragraphs>9</Paragraphs>
  <TotalTime>14</TotalTime>
  <ScaleCrop>false</ScaleCrop>
  <LinksUpToDate>false</LinksUpToDate>
  <CharactersWithSpaces>4548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2024-04-28T07:10:00Z</dcterms:created>
  <dc:creator>Yongmei Chang/省建科</dc:creator>
  <cp:lastModifiedBy>方雅颖</cp:lastModifiedBy>
  <cp:lastPrinted>2023-11-23T02:50:00Z</cp:lastPrinted>
  <dcterms:modified xsi:type="dcterms:W3CDTF">2024-11-11T08:57:06Z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009F28887E0D4DBE89BF701F52C27177</vt:lpwstr>
  </property>
</Properties>
</file>